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Utskottet för medborgerliga fri- och rättigheter samt rättsliga och inrikes frågor</w:t>
      </w:r>
      <w:r>
        <w:rPr>
          <w:rStyle w:val="HideTWBExt"/>
        </w:rPr>
        <w:t>&lt;/Commission&gt;</w:t>
      </w:r>
    </w:p>
    <w:p>
      <w:pPr>
        <w:pStyle w:val="LineBottom"/>
      </w:pPr>
      <w:r>
        <w:t xml:space="preserve"> </w:t>
      </w:r>
    </w:p>
    <w:p>
      <w:pPr>
        <w:pStyle w:val="CoverReference"/>
      </w:pPr>
      <w:r>
        <w:rPr>
          <w:rStyle w:val="HideTWBExt"/>
        </w:rPr>
        <w:t>&lt;RefProc&gt;</w:t>
      </w:r>
      <w:r>
        <w:t>2023/0404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{29/01/2025}</w:t>
      </w:r>
      <w:r>
        <w:t>29.1.2025</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362</w:t>
      </w:r>
      <w:r>
        <w:t xml:space="preserve"> - </w:t>
      </w:r>
      <w:r>
        <w:t>761</w:t>
      </w:r>
      <w:r>
        <w:rPr>
          <w:rStyle w:val="HideTWBExt"/>
        </w:rPr>
        <w:t>&lt;/RangeAM&gt;</w:t>
      </w:r>
    </w:p>
    <w:p>
      <w:pPr>
        <w:pStyle w:val="CoverBold"/>
      </w:pPr>
      <w:r>
        <w:rPr>
          <w:rStyle w:val="HideTWBExt"/>
        </w:rPr>
        <w:t>&lt;TitreType&gt;</w:t>
      </w:r>
      <w:r>
        <w:t>Förslag till betänkande</w:t>
      </w:r>
      <w:r>
        <w:rPr>
          <w:rStyle w:val="HideTWBExt"/>
        </w:rPr>
        <w:t>&lt;/TitreType&gt;</w:t>
      </w:r>
    </w:p>
    <w:p>
      <w:pPr>
        <w:pStyle w:val="CoverBold"/>
      </w:pPr>
      <w:r>
        <w:rPr>
          <w:rStyle w:val="HideTWBExt"/>
        </w:rPr>
        <w:t>&lt;Rapporteur&gt;</w:t>
      </w:r>
      <w:r>
        <w:t>Abir Al-Sahlani</w:t>
      </w:r>
      <w:r>
        <w:rPr>
          <w:rStyle w:val="HideTWBExt"/>
        </w:rPr>
        <w:t>&lt;/Rapporteur&gt;</w:t>
      </w:r>
    </w:p>
    <w:p>
      <w:pPr>
        <w:pStyle w:val="CoverNormal24a"/>
      </w:pPr>
      <w:r>
        <w:rPr>
          <w:rStyle w:val="HideTWBExt"/>
        </w:rPr>
        <w:t>&lt;DocRefPE&gt;</w:t>
      </w:r>
      <w:r>
        <w:t>(PE766.973v01-00)</w:t>
      </w:r>
      <w:r>
        <w:rPr>
          <w:rStyle w:val="HideTWBExt"/>
        </w:rPr>
        <w:t>&lt;/DocRefPE&gt;</w:t>
      </w:r>
    </w:p>
    <w:p>
      <w:pPr>
        <w:pStyle w:val="CoverNormal24a"/>
      </w:pPr>
      <w:r>
        <w:rPr>
          <w:rStyle w:val="HideTWBExt"/>
        </w:rPr>
        <w:t>&lt;Titre&gt;</w:t>
      </w:r>
      <w:r>
        <w:t>Inrättande av EU:s talangreserv</w:t>
      </w:r>
      <w:r>
        <w:rPr>
          <w:rStyle w:val="HideTWBExt"/>
        </w:rPr>
        <w:t>&lt;/Titre&gt;</w:t>
      </w:r>
    </w:p>
    <w:p>
      <w:pPr>
        <w:pStyle w:val="CoverNormal"/>
      </w:pPr>
      <w:r>
        <w:rPr>
          <w:rStyle w:val="HideTWBExt"/>
        </w:rPr>
        <w:t>&lt;DocAmend&gt;</w:t>
      </w:r>
      <w:r>
        <w:t>Förslag till förordning</w:t>
      </w:r>
      <w:r>
        <w:rPr>
          <w:rStyle w:val="HideTWBExt"/>
        </w:rPr>
        <w:t>&lt;/DocAmend&gt;</w:t>
      </w:r>
    </w:p>
    <w:p>
      <w:pPr>
        <w:pStyle w:val="CoverNormal24a"/>
      </w:pPr>
      <w:r>
        <w:rPr>
          <w:rStyle w:val="HideTWBExt"/>
        </w:rPr>
        <w:t>&lt;DocRef&gt;</w:t>
      </w:r>
      <w:r>
        <w:t>(COM(2023)0716 – C9-0413/2023 – 2023/0404(COD))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3b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annan deltagande enhet: ett bemanningsföretag, en privat arbetsförmedling eller en arbetskraftsförmedlare vars lediga platser är tillgängliga på it-plattformen för EU:s talangreserv så som de överförts av den nationella kontaktpunkten i den medlemsstat där den andra deltagande enheten är etablerad.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profil: den information som tillhandahålls av en arbetssökande från ett tredjeland via ett standardiserat dataformat i syfte att söka arbete genom it-plattformen för EU:s talangreserv.</w:t>
            </w:r>
          </w:p>
        </w:tc>
        <w:tc>
          <w:tcPr>
            <w:tcW w:w="4876" w:type="dxa"/>
            <w:tcBorders>
              <w:top w:val="nil"/>
              <w:left w:val="nil"/>
              <w:bottom w:val="nil"/>
              <w:right w:val="nil"/>
            </w:tcBorders>
          </w:tcPr>
          <w:p>
            <w:pPr>
              <w:pStyle w:val="Normal6a"/>
            </w:pPr>
            <w:r>
              <w:t>(4)</w:t>
            </w:r>
            <w:r>
              <w:tab/>
            </w:r>
            <w:r>
              <w:t xml:space="preserve">profil: den information som tillhandahålls av en arbetssökande från ett tredjeland </w:t>
            </w:r>
            <w:r>
              <w:rPr>
                <w:b/>
                <w:i/>
              </w:rPr>
              <w:t>eller av en arbetsgivare</w:t>
            </w:r>
            <w:r>
              <w:t xml:space="preserve"> via ett standardiserat dataformat i syfte att söka arbete </w:t>
            </w:r>
            <w:r>
              <w:rPr>
                <w:b/>
                <w:i/>
              </w:rPr>
              <w:t>eller registrera sig i EU:s talangreserv</w:t>
            </w:r>
            <w:r>
              <w:t xml:space="preserve"> genom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profil: den information som tillhandahålls av en arbetssökande från ett tredjeland via ett standardiserat dataformat i syfte att </w:t>
            </w:r>
            <w:r>
              <w:rPr>
                <w:b/>
                <w:i/>
              </w:rPr>
              <w:t>söka arbete genom</w:t>
            </w:r>
            <w:r>
              <w:t xml:space="preserve"> it-plattformen för EU:s talangreserv.</w:t>
            </w:r>
          </w:p>
        </w:tc>
        <w:tc>
          <w:tcPr>
            <w:tcW w:w="4876" w:type="dxa"/>
            <w:tcBorders>
              <w:top w:val="nil"/>
              <w:left w:val="nil"/>
              <w:bottom w:val="nil"/>
              <w:right w:val="nil"/>
            </w:tcBorders>
          </w:tcPr>
          <w:p>
            <w:pPr>
              <w:pStyle w:val="Normal6a"/>
            </w:pPr>
            <w:r>
              <w:t>(4)</w:t>
            </w:r>
            <w:r>
              <w:tab/>
            </w:r>
            <w:r>
              <w:t>profil: den information som tillhandahålls av en arbetssökande från ett tredjeland</w:t>
            </w:r>
            <w:r>
              <w:rPr>
                <w:b/>
                <w:i/>
              </w:rPr>
              <w:t>, en deltagande arbetsgivare eller en förmedlare</w:t>
            </w:r>
            <w:r>
              <w:t xml:space="preserve"> via ett standardiserat dataformat i syfte att </w:t>
            </w:r>
            <w:r>
              <w:rPr>
                <w:b/>
                <w:i/>
              </w:rPr>
              <w:t>använda</w:t>
            </w:r>
            <w:r>
              <w:t xml:space="preserve">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annan deltagande enhet: ett bemanningsföretag, en privat arbetsförmedling eller en arbetskraftsförmedlare vars lediga platser är tillgängliga på it-plattformen för EU:s talangreserv så som de överförts av den nationella kontaktpunkten i den medlemsstat där den andra deltagande enheten är etablerad.</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För att i största möjliga utsträckning hålla nere antalet ändringsförslag som lämnas in bör den definition som används här tillämpas konsekvent i hela texten i stället för ”arbetsgivare”.</w:t>
      </w:r>
    </w:p>
    <w:p>
      <w:r>
        <w:rPr>
          <w:rStyle w:val="HideTWBExt"/>
        </w:rPr>
        <w:t>&lt;/Amend&gt;</w:t>
      </w:r>
    </w:p>
    <w:p>
      <w:pPr>
        <w:pStyle w:val="AmNumberTabs"/>
      </w:pPr>
      <w:r>
        <w:rPr>
          <w:rStyle w:val="HideTWBExt"/>
        </w:rPr>
        <w:t>&lt;Amend&gt;</w:t>
      </w:r>
      <w:r>
        <w:t>Ändringsförslag</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den enda samordnade kanalen: den it-tjänst som inrättas för överföring av lediga platser från </w:t>
            </w:r>
            <w:r>
              <w:rPr>
                <w:b/>
                <w:i/>
              </w:rPr>
              <w:t>de deltagande</w:t>
            </w:r>
            <w:r>
              <w:t xml:space="preserve"> medlemsstaterna till it-plattformen för EU:s talangreserv enligt ett enhetligt system och med användning av nödvändig teknisk infrastruktur.</w:t>
            </w:r>
          </w:p>
        </w:tc>
        <w:tc>
          <w:tcPr>
            <w:tcW w:w="4876" w:type="dxa"/>
            <w:tcBorders>
              <w:top w:val="nil"/>
              <w:left w:val="nil"/>
              <w:bottom w:val="nil"/>
              <w:right w:val="nil"/>
            </w:tcBorders>
          </w:tcPr>
          <w:p>
            <w:pPr>
              <w:pStyle w:val="Normal6a"/>
            </w:pPr>
            <w:r>
              <w:t>(5)</w:t>
            </w:r>
            <w:r>
              <w:tab/>
            </w:r>
            <w:r>
              <w:t>den enda samordnade kanalen: den it-tjänst som inrättas för överföring av lediga platser från medlemsstaterna till it-plattformen för EU:s talangreserv enligt ett enhetligt system och med användning av nödvändig teknisk infrastruktur.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den </w:t>
            </w:r>
            <w:r>
              <w:rPr>
                <w:b/>
                <w:i/>
              </w:rPr>
              <w:t>enda samordnade kanalen</w:t>
            </w:r>
            <w:r>
              <w:t xml:space="preserve">: den it-tjänst som inrättas för överföring av lediga platser från </w:t>
            </w:r>
            <w:r>
              <w:rPr>
                <w:b/>
                <w:i/>
              </w:rPr>
              <w:t>de deltagande</w:t>
            </w:r>
            <w:r>
              <w:t xml:space="preserve"> medlemsstaterna till it-plattformen för EU:s talangreserv enligt ett enhetligt system och med användning av nödvändig teknisk infrastruktur.</w:t>
            </w:r>
          </w:p>
        </w:tc>
        <w:tc>
          <w:tcPr>
            <w:tcW w:w="4876" w:type="dxa"/>
            <w:tcBorders>
              <w:top w:val="nil"/>
              <w:left w:val="nil"/>
              <w:bottom w:val="nil"/>
              <w:right w:val="nil"/>
            </w:tcBorders>
          </w:tcPr>
          <w:p>
            <w:pPr>
              <w:pStyle w:val="Normal6a"/>
            </w:pPr>
            <w:r>
              <w:t>(5)</w:t>
            </w:r>
            <w:r>
              <w:tab/>
            </w:r>
            <w:r>
              <w:t xml:space="preserve">den </w:t>
            </w:r>
            <w:r>
              <w:rPr>
                <w:b/>
                <w:i/>
              </w:rPr>
              <w:t>gemensamma it-plattformen</w:t>
            </w:r>
            <w:r>
              <w:t xml:space="preserve">: den it-tjänst som inrättas </w:t>
            </w:r>
            <w:r>
              <w:rPr>
                <w:b/>
                <w:i/>
              </w:rPr>
              <w:t>på unionsnivå</w:t>
            </w:r>
            <w:r>
              <w:t xml:space="preserve"> för överföring av lediga platser från medlemsstaterna till it-plattformen för EU:s talangreserv enligt ett enhetligt system och med användning av nödvändig teknisk infrastruktur.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5a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ledig plats: ett erbjudande om anställning som skulle göra det möjligt för arbetssökandena, om de rekryteras, att ingå ett anställningsförhållande i den deltagande medlemsstat där den deltagande arbetsgivaren är etablerad och där de arbetssökande vanligen kommer att arbeta.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Härmed inrättas it-plattformen för EU:s talangreserv för att underlätta rekrytering av arbetssökande från tredjeländer.</w:t>
            </w:r>
          </w:p>
        </w:tc>
        <w:tc>
          <w:tcPr>
            <w:tcW w:w="4876" w:type="dxa"/>
            <w:tcBorders>
              <w:top w:val="nil"/>
              <w:left w:val="nil"/>
              <w:bottom w:val="nil"/>
              <w:right w:val="nil"/>
            </w:tcBorders>
          </w:tcPr>
          <w:p>
            <w:pPr>
              <w:pStyle w:val="Normal6a"/>
            </w:pPr>
            <w:r>
              <w:t>1.</w:t>
            </w:r>
            <w:r>
              <w:tab/>
            </w:r>
            <w:r>
              <w:t xml:space="preserve">Härmed inrättas it-plattformen för EU:s talangreserv för att underlätta rekrytering av arbetssökande från tredjeländer. </w:t>
            </w:r>
            <w:r>
              <w:rPr>
                <w:b/>
                <w:i/>
              </w:rPr>
              <w:t>Information på plattformen ska när det är tekniskt möjligt göras tillgänglig åtminstone på de officiella språken i alla EU:s medlemsstater samt på de officiella språken i de tredjeländer som deltar i talangpartnerskapen och de officiella språken för de tio nationaliteter som har fått flest kombinerade tillstånd inom EU under de senaste tre åren.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Härmed inrättas it-plattformen för EU:s talangreserv för att underlätta rekrytering av arbetssökande från tredjeländer.</w:t>
            </w:r>
          </w:p>
        </w:tc>
        <w:tc>
          <w:tcPr>
            <w:tcW w:w="4876" w:type="dxa"/>
            <w:tcBorders>
              <w:top w:val="nil"/>
              <w:left w:val="nil"/>
              <w:bottom w:val="nil"/>
              <w:right w:val="nil"/>
            </w:tcBorders>
          </w:tcPr>
          <w:p>
            <w:pPr>
              <w:pStyle w:val="Normal6a"/>
            </w:pPr>
            <w:r>
              <w:t>1.</w:t>
            </w:r>
            <w:r>
              <w:tab/>
            </w:r>
            <w:r>
              <w:t xml:space="preserve">Härmed inrättas it-plattformen för EU:s talangreserv för att underlätta rekrytering av arbetssökande från tredjeländer </w:t>
            </w:r>
            <w:r>
              <w:rPr>
                <w:b/>
                <w:i/>
              </w:rPr>
              <w:t>och matchning med deltagande arbetsgivare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Härmed inrättas it-plattformen för EU:s talangreserv för att underlätta rekrytering av arbetssökande från tredjeländer.</w:t>
            </w:r>
          </w:p>
        </w:tc>
        <w:tc>
          <w:tcPr>
            <w:tcW w:w="4876" w:type="dxa"/>
            <w:tcBorders>
              <w:top w:val="nil"/>
              <w:left w:val="nil"/>
              <w:bottom w:val="nil"/>
              <w:right w:val="nil"/>
            </w:tcBorders>
          </w:tcPr>
          <w:p>
            <w:pPr>
              <w:pStyle w:val="Normal6a"/>
            </w:pPr>
            <w:r>
              <w:t>1.</w:t>
            </w:r>
            <w:r>
              <w:tab/>
            </w:r>
            <w:r>
              <w:t xml:space="preserve">Härmed inrättas it-plattformen för EU:s talangreserv för att underlätta rekrytering av </w:t>
            </w:r>
            <w:r>
              <w:rPr>
                <w:b/>
                <w:i/>
              </w:rPr>
              <w:t>högkvalificerade</w:t>
            </w:r>
            <w:r>
              <w:t xml:space="preserve"> arbetssökande från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den </w:t>
            </w:r>
            <w:r>
              <w:rPr>
                <w:b/>
                <w:i/>
              </w:rPr>
              <w:t>enda samordnade kanalen</w:t>
            </w:r>
            <w:r>
              <w:t xml:space="preserve">, som gör det möjligt för deltagande medlemsstater att överföra lediga platser till </w:t>
            </w:r>
            <w:r>
              <w:rPr>
                <w:b/>
                <w:i/>
              </w:rPr>
              <w:t>EU-talangreservens databas,</w:t>
            </w:r>
          </w:p>
        </w:tc>
        <w:tc>
          <w:tcPr>
            <w:tcW w:w="4876" w:type="dxa"/>
            <w:tcBorders>
              <w:top w:val="nil"/>
              <w:left w:val="nil"/>
              <w:bottom w:val="nil"/>
              <w:right w:val="nil"/>
            </w:tcBorders>
          </w:tcPr>
          <w:p>
            <w:pPr>
              <w:pStyle w:val="Normal6a"/>
            </w:pPr>
            <w:r>
              <w:t>a)</w:t>
            </w:r>
            <w:r>
              <w:tab/>
            </w:r>
            <w:r>
              <w:t xml:space="preserve">den </w:t>
            </w:r>
            <w:r>
              <w:rPr>
                <w:b/>
                <w:i/>
              </w:rPr>
              <w:t>gemensamma it-plattformen</w:t>
            </w:r>
            <w:r>
              <w:t xml:space="preserve">, som gör det möjligt för deltagande </w:t>
            </w:r>
            <w:r>
              <w:rPr>
                <w:b/>
                <w:i/>
              </w:rPr>
              <w:t>arbetsgivare, förmedlare och</w:t>
            </w:r>
            <w:r>
              <w:t xml:space="preserve"> medlemsstater att </w:t>
            </w:r>
            <w:r>
              <w:rPr>
                <w:b/>
                <w:i/>
              </w:rPr>
              <w:t>via sina nationella kontaktpunkter</w:t>
            </w:r>
            <w:r>
              <w:t xml:space="preserve"> överföra lediga platser till </w:t>
            </w:r>
            <w:r>
              <w:rPr>
                <w:b/>
                <w:i/>
              </w:rPr>
              <w:t>databasen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den enda samordnade kanalen, som gör det möjligt för deltagande medlemsstater att överföra lediga platser till EU-talangreservens databas,</w:t>
            </w:r>
          </w:p>
        </w:tc>
        <w:tc>
          <w:tcPr>
            <w:tcW w:w="4876" w:type="dxa"/>
            <w:tcBorders>
              <w:top w:val="nil"/>
              <w:left w:val="nil"/>
              <w:bottom w:val="nil"/>
              <w:right w:val="nil"/>
            </w:tcBorders>
          </w:tcPr>
          <w:p>
            <w:pPr>
              <w:pStyle w:val="Normal6a"/>
            </w:pPr>
            <w:r>
              <w:t>a)</w:t>
            </w:r>
            <w:r>
              <w:tab/>
            </w:r>
            <w:r>
              <w:t xml:space="preserve">den enda samordnade kanalen, som gör det möjligt för deltagande medlemsstater att överföra lediga platser </w:t>
            </w:r>
            <w:r>
              <w:rPr>
                <w:b/>
                <w:i/>
              </w:rPr>
              <w:t>och registrerade arbetsgivare </w:t>
            </w:r>
            <w:r>
              <w:t>till EU-talangreservens databas,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den enda samordnade kanalen, som gör det möjligt för </w:t>
            </w:r>
            <w:r>
              <w:rPr>
                <w:b/>
                <w:i/>
              </w:rPr>
              <w:t>deltagande</w:t>
            </w:r>
            <w:r>
              <w:t xml:space="preserve"> medlemsstater att överföra lediga platser till EU-talangreservens databas,</w:t>
            </w:r>
          </w:p>
        </w:tc>
        <w:tc>
          <w:tcPr>
            <w:tcW w:w="4876" w:type="dxa"/>
            <w:tcBorders>
              <w:top w:val="nil"/>
              <w:left w:val="nil"/>
              <w:bottom w:val="nil"/>
              <w:right w:val="nil"/>
            </w:tcBorders>
          </w:tcPr>
          <w:p>
            <w:pPr>
              <w:pStyle w:val="Normal6a"/>
            </w:pPr>
            <w:r>
              <w:t>a)</w:t>
            </w:r>
            <w:r>
              <w:tab/>
            </w:r>
            <w:r>
              <w:t>den enda samordnade kanalen, som gör det möjligt för medlemsstater att överföra lediga platser till EU-talangreservens databas,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den tekniska infrastruktur som gör det möjligt för EU-talangreservens databas att ta emot lediga platser från de deltagande </w:t>
            </w:r>
            <w:r>
              <w:rPr>
                <w:b/>
                <w:i/>
              </w:rPr>
              <w:t>medlemsstaterna</w:t>
            </w:r>
            <w:r>
              <w:t>,</w:t>
            </w:r>
          </w:p>
        </w:tc>
        <w:tc>
          <w:tcPr>
            <w:tcW w:w="4876" w:type="dxa"/>
            <w:tcBorders>
              <w:top w:val="nil"/>
              <w:left w:val="nil"/>
              <w:bottom w:val="nil"/>
              <w:right w:val="nil"/>
            </w:tcBorders>
          </w:tcPr>
          <w:p>
            <w:pPr>
              <w:pStyle w:val="Normal6a"/>
            </w:pPr>
            <w:r>
              <w:t>b)</w:t>
            </w:r>
            <w:r>
              <w:tab/>
            </w:r>
            <w:r>
              <w:t xml:space="preserve">den tekniska infrastruktur som gör det möjligt för EU-talangreservens databas att ta emot lediga platser från </w:t>
            </w:r>
            <w:r>
              <w:rPr>
                <w:b/>
                <w:i/>
              </w:rPr>
              <w:t>medlemsstaterna och</w:t>
            </w:r>
            <w:r>
              <w:t xml:space="preserve"> de deltagande </w:t>
            </w:r>
            <w:r>
              <w:rPr>
                <w:b/>
                <w:i/>
              </w:rPr>
              <w:t>arbetsgivarna och förmedlarna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den tekniska infrastruktur som gör det möjligt för EU-talangreservens databas att ta emot lediga platser från </w:t>
            </w:r>
            <w:r>
              <w:rPr>
                <w:b/>
                <w:i/>
              </w:rPr>
              <w:t>de deltagande</w:t>
            </w:r>
            <w:r>
              <w:t xml:space="preserve"> medlemsstaterna,</w:t>
            </w:r>
          </w:p>
        </w:tc>
        <w:tc>
          <w:tcPr>
            <w:tcW w:w="4876" w:type="dxa"/>
            <w:tcBorders>
              <w:top w:val="nil"/>
              <w:left w:val="nil"/>
              <w:bottom w:val="nil"/>
              <w:right w:val="nil"/>
            </w:tcBorders>
          </w:tcPr>
          <w:p>
            <w:pPr>
              <w:pStyle w:val="Normal6a"/>
            </w:pPr>
            <w:r>
              <w:t>b)</w:t>
            </w:r>
            <w:r>
              <w:tab/>
            </w:r>
            <w:r>
              <w:t>den tekniska infrastruktur som gör det möjligt för EU-talangreservens databas att ta emot lediga platser från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den tekniska infrastrukturen för att samla in och underhålla profiler för registrerade arbetssökande från tredjeländer,</w:t>
            </w:r>
          </w:p>
        </w:tc>
        <w:tc>
          <w:tcPr>
            <w:tcW w:w="4876" w:type="dxa"/>
            <w:tcBorders>
              <w:top w:val="nil"/>
              <w:left w:val="nil"/>
              <w:bottom w:val="nil"/>
              <w:right w:val="nil"/>
            </w:tcBorders>
          </w:tcPr>
          <w:p>
            <w:pPr>
              <w:pStyle w:val="Normal6a"/>
            </w:pPr>
            <w:r>
              <w:t>c)</w:t>
            </w:r>
            <w:r>
              <w:tab/>
            </w:r>
            <w:r>
              <w:t xml:space="preserve">den tekniska infrastrukturen för att samla in och underhålla profiler för registrerade arbetssökande från tredjeländer </w:t>
            </w:r>
            <w:r>
              <w:rPr>
                <w:b/>
                <w:i/>
              </w:rPr>
              <w:t>och registrerade arbetsgivare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den tekniska infrastrukturen för att samla in och underhålla profiler för registrerade arbetssökande från tredjeländer,</w:t>
            </w:r>
          </w:p>
        </w:tc>
        <w:tc>
          <w:tcPr>
            <w:tcW w:w="4876" w:type="dxa"/>
            <w:tcBorders>
              <w:top w:val="nil"/>
              <w:left w:val="nil"/>
              <w:bottom w:val="nil"/>
              <w:right w:val="nil"/>
            </w:tcBorders>
          </w:tcPr>
          <w:p>
            <w:pPr>
              <w:pStyle w:val="Normal6a"/>
            </w:pPr>
            <w:r>
              <w:t>c)</w:t>
            </w:r>
            <w:r>
              <w:tab/>
            </w:r>
            <w:r>
              <w:t xml:space="preserve">den tekniska infrastrukturen för att samla in och underhålla profiler för registrerade arbetssökande från tredjeländer </w:t>
            </w:r>
            <w:r>
              <w:rPr>
                <w:b/>
                <w:i/>
              </w:rPr>
              <w:t>och ladda upp handlingar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det automatiska matchningsverktyget,</w:t>
            </w:r>
          </w:p>
        </w:tc>
        <w:tc>
          <w:tcPr>
            <w:tcW w:w="4876" w:type="dxa"/>
            <w:tcBorders>
              <w:top w:val="nil"/>
              <w:left w:val="nil"/>
              <w:bottom w:val="nil"/>
              <w:right w:val="nil"/>
            </w:tcBorders>
          </w:tcPr>
          <w:p>
            <w:pPr>
              <w:pStyle w:val="Normal6a"/>
            </w:pPr>
            <w:r>
              <w:t>e)</w:t>
            </w:r>
            <w:r>
              <w:tab/>
            </w:r>
            <w:r>
              <w:rPr>
                <w:b/>
                <w:i/>
              </w:rPr>
              <w:t>en automatisk standardmatchningsalgoritm samt en möjlighet för tredjepartsalgoritmer som tävlar med varandra i fråga om noggrannhet och effektivitet att uppnå bästa övergripande matchningsresultat.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den säkra kommunikationskanalen, så att registrerade arbetssökande och arbetsgivare som deltar i EU:s talangreserv kan kommunicera inom it-plattformen för EU:s talangreserv.</w:t>
            </w:r>
          </w:p>
        </w:tc>
        <w:tc>
          <w:tcPr>
            <w:tcW w:w="4876" w:type="dxa"/>
            <w:tcBorders>
              <w:top w:val="nil"/>
              <w:left w:val="nil"/>
              <w:bottom w:val="nil"/>
              <w:right w:val="nil"/>
            </w:tcBorders>
          </w:tcPr>
          <w:p>
            <w:pPr>
              <w:pStyle w:val="Normal6a"/>
            </w:pPr>
            <w:r>
              <w:t>f)</w:t>
            </w:r>
            <w:r>
              <w:tab/>
            </w:r>
            <w:r>
              <w:t xml:space="preserve">den säkra kommunikationskanalen, så att registrerade arbetssökande och arbetsgivare som deltar i EU:s talangreserv kan kommunicera inom it-plattformen för EU:s talangreserv </w:t>
            </w:r>
            <w:r>
              <w:rPr>
                <w:b/>
                <w:i/>
              </w:rPr>
              <w:t>och så att kompetenstester och intervjuer kan genomföras direkt på it-plattformen för EU:s talangreserv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frivilliga granskningsverktyg för att kontrollera registrerade arbetssökandes färdigheter och kvalifikationer,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fb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frivilliga moduler för kompetenshöjning och omskolning för att öka registrerade arbetssökandes anställbarhet och anpassningsförmåga till arbetsmarknadens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fc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en kontinuerligt förbättrad standardiserad referensram för standardiserad bedömning för att påskynda och harmonisera granskningen av färdigheter och kvalifikationer i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fd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fd)</w:t>
            </w:r>
            <w:r>
              <w:tab/>
            </w:r>
            <w:r>
              <w:rPr>
                <w:b/>
                <w:i/>
              </w:rPr>
              <w:t>mekanismer för att kontrollera profiler för arbetssökande från tredjeländer och identifiera falska profiler.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It-plattformen för EU:s talangreserv ska innehålla offentlig information om hur EU:s talangreserv fungerar samt information om rekryterings- och invandringsförfaranden och prövningsmekanismer.</w:t>
            </w:r>
            <w:r>
              <w:t xml:space="preserve"> </w:t>
            </w:r>
            <w:r>
              <w:rPr>
                <w:b/>
                <w:i/>
              </w:rPr>
              <w:t>Informationen kan tillhandahållas genom att koppla samman relevanta nationella system eller plattformar som innehåller denna information.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It-plattformens utformning och funktion ska säkerställa att det automatiska matchningsverktyget inte leder till att befintliga snedvridningar eller diskriminerande metoder upprepas.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Kommissionen ska genom genomförandeakter anta nödvändiga tekniska standarder för datautbyte, dataformat (inklusive Esco) samt format för lediga platser och arbetssökarprofiler. Dessa genomförandeakter ska antas i enlighet med det granskningsförfarande som avses i artikel 22.3.</w:t>
            </w:r>
          </w:p>
        </w:tc>
        <w:tc>
          <w:tcPr>
            <w:tcW w:w="4876" w:type="dxa"/>
            <w:tcBorders>
              <w:top w:val="nil"/>
              <w:left w:val="nil"/>
              <w:bottom w:val="nil"/>
              <w:right w:val="nil"/>
            </w:tcBorders>
          </w:tcPr>
          <w:p>
            <w:pPr>
              <w:pStyle w:val="Normal6a"/>
            </w:pPr>
            <w:r>
              <w:t>3.</w:t>
            </w:r>
            <w:r>
              <w:tab/>
            </w:r>
            <w:r>
              <w:t xml:space="preserve">Kommissionen ska genom genomförandeakter anta nödvändiga tekniska standarder för datautbyte, dataformat (inklusive Esco) samt format för lediga platser och arbetssökarprofiler </w:t>
            </w:r>
            <w:r>
              <w:rPr>
                <w:b/>
                <w:i/>
              </w:rPr>
              <w:t>med hjälp av ett flexibelt och anpassningsbart system som tar hänsyn till de sysselsättningsmässiga, sociala och ekonomiska särdragen och behoven i varje medlemsstat</w:t>
            </w:r>
            <w:r>
              <w:t>. Dessa genomförandeakter ska antas i enlighet med det granskningsförfarande som avses i artikel 22.3.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Kommissionen ska genom genomförandeakter anta nödvändiga tekniska standarder för datautbyte, dataformat (inklusive Esco) samt format för lediga platser och arbetssökarprofiler. Dessa genomförandeakter ska antas i enlighet med det granskningsförfarande som avses i artikel 22.3.</w:t>
            </w:r>
          </w:p>
        </w:tc>
        <w:tc>
          <w:tcPr>
            <w:tcW w:w="4876" w:type="dxa"/>
            <w:tcBorders>
              <w:top w:val="nil"/>
              <w:left w:val="nil"/>
              <w:bottom w:val="nil"/>
              <w:right w:val="nil"/>
            </w:tcBorders>
          </w:tcPr>
          <w:p>
            <w:pPr>
              <w:pStyle w:val="Normal6a"/>
            </w:pPr>
            <w:r>
              <w:t>3.</w:t>
            </w:r>
            <w:r>
              <w:tab/>
            </w:r>
            <w:r>
              <w:t xml:space="preserve">Kommissionen ska genom genomförandeakter anta nödvändiga tekniska standarder </w:t>
            </w:r>
            <w:r>
              <w:rPr>
                <w:b/>
                <w:i/>
              </w:rPr>
              <w:t>eller tekniska IKT-specifikationer</w:t>
            </w:r>
            <w:r>
              <w:t xml:space="preserve"> för datautbyte, dataformat (inklusive Esco) samt format för lediga platser och arbetssökarprofiler. Dessa genomförandeakter ska antas i enlighet med det granskningsförfarande som avses i artikel 22.3.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Kommissionen ska genom genomförandeakter anta nödvändiga tekniska standarder för datautbyte, dataformat </w:t>
            </w:r>
            <w:r>
              <w:rPr>
                <w:b/>
                <w:i/>
              </w:rPr>
              <w:t>(inklusive Esco)</w:t>
            </w:r>
            <w:r>
              <w:t xml:space="preserve"> samt format för lediga platser och arbetssökarprofiler. Dessa genomförandeakter ska antas i enlighet med det granskningsförfarande som avses i artikel 22.3.</w:t>
            </w:r>
          </w:p>
        </w:tc>
        <w:tc>
          <w:tcPr>
            <w:tcW w:w="4876" w:type="dxa"/>
            <w:tcBorders>
              <w:top w:val="nil"/>
              <w:left w:val="nil"/>
              <w:bottom w:val="nil"/>
              <w:right w:val="nil"/>
            </w:tcBorders>
          </w:tcPr>
          <w:p>
            <w:pPr>
              <w:pStyle w:val="Normal6a"/>
            </w:pPr>
            <w:r>
              <w:t>3.</w:t>
            </w:r>
            <w:r>
              <w:tab/>
            </w:r>
            <w:r>
              <w:t xml:space="preserve">Kommissionen ska genom genomförandeakter anta nödvändiga tekniska standarder för datautbyte, dataformat </w:t>
            </w:r>
            <w:r>
              <w:rPr>
                <w:b/>
                <w:i/>
              </w:rPr>
              <w:t>såsom Esco, Europass</w:t>
            </w:r>
            <w:r>
              <w:t xml:space="preserve"> samt format för lediga platser och arbetssökarprofiler. Dessa genomförandeakter ska antas i enlighet med det granskningsförfarande som avses i artikel 22.3.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De deltagande medlemsstaterna och sekretariatet för EU:s talangreserv som avses i artikel 8 ska säkerställa teknisk interoperabilitet mellan nationella system och it-plattformen för EU:s talangreserv. Sekretariatet för EU:s talangreserv ska säkerställa samverkan med andra relevanta instrument och tjänster som erbjuds på unionsnivå, när så är lämpligt.</w:t>
            </w:r>
          </w:p>
        </w:tc>
        <w:tc>
          <w:tcPr>
            <w:tcW w:w="4876" w:type="dxa"/>
            <w:tcBorders>
              <w:top w:val="nil"/>
              <w:left w:val="nil"/>
              <w:bottom w:val="nil"/>
              <w:right w:val="nil"/>
            </w:tcBorders>
          </w:tcPr>
          <w:p>
            <w:pPr>
              <w:pStyle w:val="Normal6a"/>
            </w:pPr>
            <w:r>
              <w:t>4.</w:t>
            </w:r>
            <w:r>
              <w:tab/>
            </w:r>
            <w:r>
              <w:t xml:space="preserve">De deltagande medlemsstaterna och sekretariatet för EU:s talangreserv som avses i artikel 8 ska säkerställa teknisk interoperabilitet mellan nationella system och it-plattformen för EU:s talangreserv. Sekretariatet för EU:s talangreserv ska säkerställa samverkan med andra relevanta instrument och tjänster som erbjuds på unionsnivå, när så är lämpligt. </w:t>
            </w:r>
            <w:r>
              <w:rPr>
                <w:b/>
                <w:i/>
              </w:rPr>
              <w:t>För programmeringen av it-plattformen för EU:s talangreserv ska it-komponenterna i Eures om möjligt återanvändas.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De deltagande medlemsstaterna och sekretariatet för EU:s talangreserv som avses i artikel 8 ska säkerställa teknisk interoperabilitet mellan nationella system och it-plattformen för EU:s talangreserv</w:t>
            </w:r>
            <w:r>
              <w:t xml:space="preserve">. Sekretariatet för </w:t>
            </w:r>
            <w:r>
              <w:rPr>
                <w:b/>
                <w:i/>
              </w:rPr>
              <w:t>EU:s talangreserv</w:t>
            </w:r>
            <w:r>
              <w:t xml:space="preserve"> ska säkerställa samverkan med andra relevanta instrument och tjänster som erbjuds på unionsnivå, när så är lämpligt.</w:t>
            </w:r>
          </w:p>
        </w:tc>
        <w:tc>
          <w:tcPr>
            <w:tcW w:w="4876" w:type="dxa"/>
            <w:tcBorders>
              <w:top w:val="nil"/>
              <w:left w:val="nil"/>
              <w:bottom w:val="nil"/>
              <w:right w:val="nil"/>
            </w:tcBorders>
          </w:tcPr>
          <w:p>
            <w:pPr>
              <w:pStyle w:val="Normal6a"/>
            </w:pPr>
            <w:r>
              <w:t>4.</w:t>
            </w:r>
            <w:r>
              <w:tab/>
            </w:r>
            <w:r>
              <w:rPr>
                <w:b/>
                <w:i/>
              </w:rPr>
              <w:t>EU:s talangreserv ska göra det möjligt för de arbetssökande att exportera sina profiluppgifter i ett strukturerat, allmänt använt och maskinläsbart format så att de kan överföra uppgifterna till andra jobbportaler i den offentliga eller privata sektorn</w:t>
            </w:r>
            <w:r>
              <w:t xml:space="preserve">. Sekretariatet för </w:t>
            </w:r>
            <w:r>
              <w:rPr>
                <w:b/>
                <w:i/>
              </w:rPr>
              <w:t>talangreserven</w:t>
            </w:r>
            <w:r>
              <w:t xml:space="preserve"> ska säkerställa samverkan med andra relevanta instrument och tjänster som erbjuds på unionsnivå, när så är lämpligt. </w:t>
            </w:r>
            <w:r>
              <w:rPr>
                <w:b/>
                <w:i/>
              </w:rPr>
              <w:t>Dataskyddsförordningen ska tillämpas för alla uppgiftsöverföringar.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De deltagande</w:t>
            </w:r>
            <w:r>
              <w:t xml:space="preserve"> medlemsstaterna och sekretariatet för EU:s talangreserv som avses i artikel 8 ska säkerställa teknisk interoperabilitet mellan nationella system och it-plattformen för EU:s talangreserv. Sekretariatet för EU:s talangreserv ska säkerställa samverkan med andra relevanta instrument och tjänster som erbjuds på unionsnivå, när så är lämpligt.</w:t>
            </w:r>
          </w:p>
        </w:tc>
        <w:tc>
          <w:tcPr>
            <w:tcW w:w="4876" w:type="dxa"/>
            <w:tcBorders>
              <w:top w:val="nil"/>
              <w:left w:val="nil"/>
              <w:bottom w:val="nil"/>
              <w:right w:val="nil"/>
            </w:tcBorders>
          </w:tcPr>
          <w:p>
            <w:pPr>
              <w:pStyle w:val="Normal6a"/>
            </w:pPr>
            <w:r>
              <w:t>4.</w:t>
            </w:r>
            <w:r>
              <w:tab/>
            </w:r>
            <w:r>
              <w:t>Medlemsstaterna och sekretariatet för EU:s talangreserv som avses i artikel 8 ska säkerställa teknisk interoperabilitet mellan nationella system och it-plattformen för EU:s talangreserv. Sekretariatet för EU:s talangreserv ska säkerställa samverkan med andra relevanta instrument och tjänster som erbjuds på unionsnivå, när så är lämpligt.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It-plattformen för EU:s talangreserv ska utformas så att arbetssökande och arbetsgivare får ett modernt och användarvänligt gränssnitt, där tillgång, de arbetssökandes registrering och arbetsgivarnas deltagande underlättas.</w:t>
            </w:r>
            <w:r>
              <w:t xml:space="preserve"> </w:t>
            </w:r>
            <w:r>
              <w:rPr>
                <w:b/>
                <w:i/>
              </w:rPr>
              <w:t>Genom plattformens utformning ska sök- och matchningsprocessen bli effektivare.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Sekretariatet för EU:s talangreserv får behandla personuppgifter </w:t>
            </w:r>
            <w:r>
              <w:rPr>
                <w:b/>
                <w:i/>
              </w:rPr>
              <w:t>om</w:t>
            </w:r>
            <w:r>
              <w:t xml:space="preserve"> registrerade arbetssökande från tredjeländer och om arbetsgivare som deltar i EU:s talangreserv endast i den utsträckning som krävs för att det ska kunna utföra sina uppgifter enligt artikel 8. Vid behandling av personuppgifter för detta ändamål ska sekretariatet för EU:s talangreserv fungera som personuppgiftsansvarig i den mening som avses i artikel 3.8 i förordning (EU) 2018/1725.</w:t>
            </w:r>
          </w:p>
        </w:tc>
        <w:tc>
          <w:tcPr>
            <w:tcW w:w="4876" w:type="dxa"/>
            <w:tcBorders>
              <w:top w:val="nil"/>
              <w:left w:val="nil"/>
              <w:bottom w:val="nil"/>
              <w:right w:val="nil"/>
            </w:tcBorders>
          </w:tcPr>
          <w:p>
            <w:pPr>
              <w:pStyle w:val="Normal6a"/>
            </w:pPr>
            <w:r>
              <w:t>1.</w:t>
            </w:r>
            <w:r>
              <w:tab/>
            </w:r>
            <w:r>
              <w:t xml:space="preserve">Sekretariatet för EU:s talangreserv får behandla personuppgifter </w:t>
            </w:r>
            <w:r>
              <w:rPr>
                <w:b/>
                <w:i/>
              </w:rPr>
              <w:t>med uttryckligt samtycke från</w:t>
            </w:r>
            <w:r>
              <w:t xml:space="preserve"> registrerade arbetssökande från tredjeländer och </w:t>
            </w:r>
            <w:r>
              <w:rPr>
                <w:b/>
                <w:i/>
              </w:rPr>
              <w:t>personuppgifter</w:t>
            </w:r>
            <w:r>
              <w:t xml:space="preserve"> om arbetsgivare som deltar i EU:s talangreserv endast i den utsträckning som krävs för att det ska kunna utföra sina uppgifter enligt artikel 8. Vid behandling av personuppgifter för detta ändamål ska sekretariatet för EU:s talangreserv fungera som personuppgiftsansvarig i den mening som avses i artikel 3.8 i förordning (EU) 2018/1725.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information om akademiska kvalifikationer och yrkeskvalifikationer, arbetslivserfarenhet, andra färdigheter och </w:t>
            </w:r>
            <w:r>
              <w:rPr>
                <w:b/>
                <w:i/>
              </w:rPr>
              <w:t>språkkunskaper.</w:t>
            </w:r>
            <w:r>
              <w:t xml:space="preserve"> </w:t>
            </w:r>
            <w:r>
              <w:rPr>
                <w:b/>
                <w:i/>
              </w:rPr>
              <w:t>Lediga platser hos arbetsgivare som deltar i</w:t>
            </w:r>
            <w:r>
              <w:t xml:space="preserve"> EU:s talangreserv ska </w:t>
            </w:r>
            <w:r>
              <w:rPr>
                <w:b/>
                <w:i/>
              </w:rPr>
              <w:t>innehålla namn, efternamn och kontaktuppgifter</w:t>
            </w:r>
            <w:r>
              <w:t>.</w:t>
            </w:r>
          </w:p>
        </w:tc>
        <w:tc>
          <w:tcPr>
            <w:tcW w:w="4876" w:type="dxa"/>
            <w:tcBorders>
              <w:top w:val="nil"/>
              <w:left w:val="nil"/>
              <w:bottom w:val="nil"/>
              <w:right w:val="nil"/>
            </w:tcBorders>
          </w:tcPr>
          <w:p>
            <w:pPr>
              <w:pStyle w:val="Normal6a"/>
            </w:pPr>
            <w:r>
              <w:t>3.</w:t>
            </w:r>
            <w:r>
              <w:tab/>
            </w:r>
            <w:r>
              <w:rPr>
                <w:b/>
                <w:i/>
              </w:rPr>
              <w:t>De grundläggande</w:t>
            </w:r>
            <w:r>
              <w:t xml:space="preserve"> profilerna för registrerade arbetssökande från tredjeländer ska innehålla namn, efternamn, kontaktuppgifter, födelsedatum och nationalitet, </w:t>
            </w:r>
            <w:r>
              <w:rPr>
                <w:b/>
                <w:i/>
              </w:rPr>
              <w:t>och, i tillämpliga fall, information om akademiska kvalifikationer och/eller yrkeskvalifikationer, arbetslivserfarenhet och språkkunskaper.</w:t>
            </w:r>
            <w:r>
              <w:t xml:space="preserve"> </w:t>
            </w:r>
            <w:r>
              <w:rPr>
                <w:b/>
                <w:i/>
              </w:rPr>
              <w:t>En registrerad arbetssökande kan lämna ytterligare information för att förbättra matchningen, inbegripet ytterligare</w:t>
            </w:r>
            <w:r>
              <w:t xml:space="preserve"> information om akademiska kvalifikationer och yrkeskvalifikationer, arbetslivserfarenhet, andra färdigheter och </w:t>
            </w:r>
            <w:r>
              <w:rPr>
                <w:b/>
                <w:i/>
              </w:rPr>
              <w:t>sysselsättningsrelevanta faktorer samt preferensländer.</w:t>
            </w:r>
            <w:r>
              <w:t xml:space="preserve"> </w:t>
            </w:r>
            <w:r>
              <w:rPr>
                <w:b/>
                <w:i/>
              </w:rPr>
              <w:t>Sekretariatet för</w:t>
            </w:r>
            <w:r>
              <w:t xml:space="preserve"> EU:s talangreserv ska </w:t>
            </w:r>
            <w:r>
              <w:rPr>
                <w:b/>
                <w:i/>
              </w:rPr>
              <w:t>säkerställa att verktygen för att skapa profiler är enkla och användarvänliga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information om akademiska kvalifikationer och yrkeskvalifikationer, arbetslivserfarenhet, andra färdigheter och språkkunskaper. </w:t>
            </w:r>
            <w:r>
              <w:rPr>
                <w:b/>
                <w:i/>
              </w:rPr>
              <w:t>Lediga platser hos</w:t>
            </w:r>
            <w:r>
              <w:t xml:space="preserve"> arbetsgivare som deltar i EU:s talangreserv ska innehålla </w:t>
            </w:r>
            <w:r>
              <w:rPr>
                <w:b/>
                <w:i/>
              </w:rPr>
              <w:t>namn</w:t>
            </w:r>
            <w:r>
              <w:t>, efternamn och kontaktuppgifter.</w:t>
            </w:r>
          </w:p>
        </w:tc>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w:t>
            </w:r>
            <w:r>
              <w:rPr>
                <w:b/>
                <w:i/>
              </w:rPr>
              <w:t>tillgänglighet,</w:t>
            </w:r>
            <w:r>
              <w:t xml:space="preserve"> information om akademiska kvalifikationer och yrkeskvalifikationer, arbetslivserfarenhet, andra färdigheter och språkkunskaper. </w:t>
            </w:r>
            <w:r>
              <w:rPr>
                <w:b/>
                <w:i/>
              </w:rPr>
              <w:t>Profilerna för</w:t>
            </w:r>
            <w:r>
              <w:t xml:space="preserve"> arbetsgivare som deltar i EU:s talangreserv ska innehålla </w:t>
            </w:r>
            <w:r>
              <w:rPr>
                <w:b/>
                <w:i/>
              </w:rPr>
              <w:t>organisationens eller företagets namn samt förnamn</w:t>
            </w:r>
            <w:r>
              <w:t xml:space="preserve">, efternamn </w:t>
            </w:r>
            <w:r>
              <w:rPr>
                <w:b/>
                <w:i/>
              </w:rPr>
              <w:t>och kontaktuppgifter till den kontaktperson som ansvarar för talangreserven.</w:t>
            </w:r>
            <w:r>
              <w:t xml:space="preserve"> </w:t>
            </w:r>
            <w:r>
              <w:rPr>
                <w:b/>
                <w:i/>
              </w:rPr>
              <w:t>Lediga platser ska innehålla befattning, arbetsgivare, tidsram, arbetsbeskrivning</w:t>
            </w:r>
            <w:r>
              <w:t xml:space="preserve"> och kontaktuppgifter.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information om akademiska kvalifikationer och yrkeskvalifikationer, arbetslivserfarenhet, andra färdigheter och språkkunskaper. </w:t>
            </w:r>
            <w:r>
              <w:rPr>
                <w:b/>
                <w:i/>
              </w:rPr>
              <w:t>Lediga platser hos</w:t>
            </w:r>
            <w:r>
              <w:t xml:space="preserve"> arbetsgivare som deltar i EU:s talangreserv ska innehålla namn, efternamn och kontaktuppgifter.</w:t>
            </w:r>
          </w:p>
        </w:tc>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information om akademiska kvalifikationer och yrkeskvalifikationer, arbetslivserfarenhet, andra färdigheter och språkkunskaper. </w:t>
            </w:r>
            <w:r>
              <w:rPr>
                <w:b/>
                <w:i/>
              </w:rPr>
              <w:t>Profiler för registrerade</w:t>
            </w:r>
            <w:r>
              <w:t xml:space="preserve"> arbetsgivare som deltar i EU:s talangreserv </w:t>
            </w:r>
            <w:r>
              <w:rPr>
                <w:b/>
                <w:i/>
              </w:rPr>
              <w:t>och deras lediga platser</w:t>
            </w:r>
            <w:r>
              <w:t xml:space="preserve"> ska innehålla namn, efternamn och kontaktuppgifter</w:t>
            </w:r>
            <w:r>
              <w:rPr>
                <w:b/>
                <w:i/>
              </w:rPr>
              <w:t>, verksamhetsområde, verksamhetsbeskrivning och organisationsnummer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Profilerna för registrerade arbetssökande från tredjeländer ska innehålla namn, efternamn, kontaktuppgifter, födelsedatum och nationalitet, information om akademiska kvalifikationer och yrkeskvalifikationer, arbetslivserfarenhet, andra färdigheter och språkkunskaper. Lediga platser hos arbetsgivare som deltar i EU:s talangreserv ska innehålla namn, efternamn och kontaktuppgifter.</w:t>
            </w:r>
          </w:p>
        </w:tc>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information om akademiska kvalifikationer och yrkeskvalifikationer, arbetslivserfarenhet, andra färdigheter och språkkunskaper. Lediga platser hos arbetsgivare som deltar i EU:s talangreserv ska innehålla namn, efternamn och kontaktuppgifter. </w:t>
            </w:r>
            <w:r>
              <w:rPr>
                <w:b/>
                <w:i/>
              </w:rPr>
              <w:t>All information bör åtminstone finnas på engelska.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Profilerna för registrerade arbetssökande från tredjeländer ska innehålla namn, efternamn, kontaktuppgifter, födelsedatum och nationalitet, information om akademiska kvalifikationer och yrkeskvalifikationer, arbetslivserfarenhet, andra färdigheter och språkkunskaper. Lediga platser hos arbetsgivare som deltar i EU:s talangreserv ska innehålla namn, efternamn och kontaktuppgifter.</w:t>
            </w:r>
          </w:p>
        </w:tc>
        <w:tc>
          <w:tcPr>
            <w:tcW w:w="4876" w:type="dxa"/>
            <w:tcBorders>
              <w:top w:val="nil"/>
              <w:left w:val="nil"/>
              <w:bottom w:val="nil"/>
              <w:right w:val="nil"/>
            </w:tcBorders>
          </w:tcPr>
          <w:p>
            <w:pPr>
              <w:pStyle w:val="Normal6a"/>
            </w:pPr>
            <w:r>
              <w:t>3.</w:t>
            </w:r>
            <w:r>
              <w:tab/>
            </w:r>
            <w:r>
              <w:t xml:space="preserve">Profilerna för registrerade arbetssökande från tredjeländer ska innehålla namn, efternamn, kontaktuppgifter, födelsedatum och nationalitet </w:t>
            </w:r>
            <w:r>
              <w:rPr>
                <w:b/>
                <w:i/>
              </w:rPr>
              <w:t>eller nationaliteter</w:t>
            </w:r>
            <w:r>
              <w:t>, information om akademiska kvalifikationer och yrkeskvalifikationer, arbetslivserfarenhet, andra färdigheter och språkkunskaper. Lediga platser hos arbetsgivare som deltar i EU:s talangreserv ska innehålla namn, efternamn och kontaktuppgifter.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3a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Profiler för registrerade arbetsgivare och lediga platser hos arbetsgivare som deltar i EU:s talangreserv ska innehålla namn, efternamn, kontaktuppgifter, organisationsnummer, verksamhetsområde och en kort beskrivning av arbetsgivarens verksamhet.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välja mellan ett antal tekniska alternativ för att begränsa tillgången till sina personuppgifter.</w:t>
            </w:r>
          </w:p>
        </w:tc>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välja mellan ett antal tekniska alternativ för att begränsa tillgången till sina personuppgifter</w:t>
            </w:r>
            <w:r>
              <w:rPr>
                <w:b/>
                <w:i/>
              </w:rPr>
              <w:t>, bland annat att när som helst begära att personuppgifter i deras profiler raderas eller ändras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Personuppgifter som registrerats i eller överförts till it-plattformen för EU:s talangreserv i enlighet med denna förordning ska indexeras, lagras och göras tillgängliga där endast för söknings- </w:t>
            </w:r>
            <w:r>
              <w:rPr>
                <w:b/>
                <w:i/>
              </w:rPr>
              <w:t>och</w:t>
            </w:r>
            <w:r>
              <w:t xml:space="preserve"> matchningsändamål</w:t>
            </w:r>
            <w:r>
              <w:rPr>
                <w:b/>
                <w:i/>
              </w:rPr>
              <w:t>.</w:t>
            </w:r>
            <w:r>
              <w:t xml:space="preserve"> </w:t>
            </w:r>
            <w:r>
              <w:rPr>
                <w:b/>
                <w:i/>
              </w:rPr>
              <w:t>Registrerade arbetssökande från tredjeländer ska ha rätt att välja mellan ett antal tekniska alternativ för att begränsa tillgången till sina personuppgifter</w:t>
            </w:r>
            <w:r>
              <w:t>.</w:t>
            </w:r>
          </w:p>
        </w:tc>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w:t>
            </w:r>
            <w:r>
              <w:rPr>
                <w:b/>
                <w:i/>
              </w:rPr>
              <w:t>, -</w:t>
            </w:r>
            <w:r>
              <w:t xml:space="preserve">matchningsändamål </w:t>
            </w:r>
            <w:r>
              <w:rPr>
                <w:b/>
                <w:i/>
              </w:rPr>
              <w:t>samt för medlemsländernas säkerhetsmyndigheter</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välja mellan ett antal tekniska alternativ för att begränsa tillgången till sina personuppgifter.</w:t>
            </w:r>
          </w:p>
        </w:tc>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välja mellan ett antal tekniska alternativ för att begränsa tillgången till sina personuppgifter</w:t>
            </w:r>
            <w:r>
              <w:rPr>
                <w:b/>
                <w:i/>
              </w:rPr>
              <w:t>, inbegripet vem som kan få tillgång till dem och i vilket syfte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w:t>
            </w:r>
            <w:r>
              <w:rPr>
                <w:b/>
                <w:i/>
              </w:rPr>
              <w:t>välja mellan ett antal tekniska alternativ för att</w:t>
            </w:r>
            <w:r>
              <w:t xml:space="preserve"> begränsa tillgången till sina personuppgifter.</w:t>
            </w:r>
          </w:p>
        </w:tc>
        <w:tc>
          <w:tcPr>
            <w:tcW w:w="4876" w:type="dxa"/>
            <w:tcBorders>
              <w:top w:val="nil"/>
              <w:left w:val="nil"/>
              <w:bottom w:val="nil"/>
              <w:right w:val="nil"/>
            </w:tcBorders>
          </w:tcPr>
          <w:p>
            <w:pPr>
              <w:pStyle w:val="Normal6a"/>
            </w:pPr>
            <w:r>
              <w:t>5.</w:t>
            </w:r>
            <w:r>
              <w:tab/>
            </w:r>
            <w:r>
              <w:t>Personuppgifter som registrerats i eller överförts till it-plattformen för EU:s talangreserv i enlighet med denna förordning ska indexeras, lagras och göras tillgängliga där endast för söknings- och matchningsändamål. Registrerade arbetssökande från tredjeländer ska ha rätt att begränsa tillgången till sina personuppgifter.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två år från registreringen av profilen ska den tas bort </w:t>
            </w:r>
            <w:r>
              <w:rPr>
                <w:b/>
                <w:i/>
              </w:rPr>
              <w:t>eller anonymiseras</w:t>
            </w:r>
            <w:r>
              <w:t>, och inga personuppgifter får lagras. När en profil har tagits bort kan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två år </w:t>
            </w:r>
            <w:r>
              <w:rPr>
                <w:b/>
                <w:i/>
              </w:rPr>
              <w:t>och om en arbetsgivares profil inte har använts på tre år</w:t>
            </w:r>
            <w:r>
              <w:t xml:space="preserve"> från registreringen av profilen ska den tas bort, och inga personuppgifter får lagras. </w:t>
            </w:r>
            <w:r>
              <w:rPr>
                <w:b/>
                <w:i/>
              </w:rPr>
              <w:t>Ägaren till profilen ska underrättas om borttagandet minst en månad i förväg.</w:t>
            </w:r>
            <w:r>
              <w:t xml:space="preserve"> När en profil har tagits bort kan en begränsad uppsättning anonymiserade uppgifter fortsätta att lagras för forskning och statistiska ändamål samt för datautvinning för att förbättra EU-talangreservens funktion. </w:t>
            </w:r>
            <w:r>
              <w:rPr>
                <w:b/>
                <w:i/>
              </w:rPr>
              <w:t>När det gäller registrerade arbetssökandes profiler får uppgifter om nationalitet, önskat eller nuvarande yrke, innehav av talangpartnerskapspass, hur länge profilen har varit registrerad på it-plattformen för EU:s talangreserv, antalet besök på plattformen, antalet matchningar med arbetsgivare och antalet arbeten som förmedlats lagras.</w:t>
            </w:r>
            <w:r>
              <w:t xml:space="preserve"> </w:t>
            </w:r>
            <w:r>
              <w:rPr>
                <w:b/>
                <w:i/>
              </w:rPr>
              <w:t>När det gäller arbetsgivares profiler får uppgifter om den medlemsstat som de är baserade i, sektor, antalet besök på it-plattformen för EU:s talangreserv, antalet matchningar med arbetssökande och antalet arbeten som förmedlats lagras.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Om registrerade arbetssökande från tredjeländer inte har loggat in på sin profil på två år från registreringen av profilen ska den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två år från registreringen av profilen ska den tas bort eller anonymiseras, och inga personuppgifter får lagras. </w:t>
            </w:r>
            <w:r>
              <w:rPr>
                <w:b/>
                <w:i/>
              </w:rPr>
              <w:t>De berörda arbetssökandena ska två månader före borttagandet informeras om att deras profil kommer att tas bort om de inte loggar in på profilen inom den perioden.</w:t>
            </w:r>
            <w:r>
              <w:t xml:space="preserve"> </w:t>
            </w:r>
            <w:r>
              <w:rPr>
                <w:b/>
                <w:i/>
              </w:rPr>
              <w:t>Om registrerade arbetsgivare inte har loggat in på sin profil på två år från registreringen av profilen ska den tas bort eller anonymiseras, och inga personuppgifter får lagras.</w:t>
            </w:r>
            <w:r>
              <w:t xml:space="preserve"> </w:t>
            </w:r>
            <w:r>
              <w:rPr>
                <w:b/>
                <w:i/>
              </w:rPr>
              <w:t>De berörda arbetsgivarna ska två månader före borttagandet informeras om att deras profil kommer att tas bort om de inte loggar in på profilen inom den perioden.</w:t>
            </w:r>
            <w:r>
              <w:t xml:space="preserve"> När en profil har tagits bort kan en begränsad uppsättning anonymiserade uppgifter fortsätta att lagras för forskning och statistiska ändamål samt för datautvinning för att förbättra EU-talangreservens funktion.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två år från registreringen av profilen ska den </w:t>
            </w:r>
            <w:r>
              <w:rPr>
                <w:b/>
                <w:i/>
              </w:rPr>
              <w:t>tas bort</w:t>
            </w:r>
            <w:r>
              <w:t xml:space="preserve"> eller </w:t>
            </w:r>
            <w:r>
              <w:rPr>
                <w:b/>
                <w:i/>
              </w:rPr>
              <w:t>anonymiseras, och inga personuppgifter får lagras</w:t>
            </w:r>
            <w:r>
              <w:t xml:space="preserve">. När en profil har tagits bort </w:t>
            </w:r>
            <w:r>
              <w:rPr>
                <w:b/>
                <w:i/>
              </w:rPr>
              <w:t>kan</w:t>
            </w:r>
            <w:r>
              <w:t xml:space="preserve">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två år från registreringen av profilen ska den </w:t>
            </w:r>
            <w:r>
              <w:rPr>
                <w:b/>
                <w:i/>
              </w:rPr>
              <w:t>raderas, efter att användaren först har informerats om detta och inom två veckor varken motsatt sig raderandet</w:t>
            </w:r>
            <w:r>
              <w:t xml:space="preserve"> eller </w:t>
            </w:r>
            <w:r>
              <w:rPr>
                <w:b/>
                <w:i/>
              </w:rPr>
              <w:t>uppdaterat profilen.</w:t>
            </w:r>
            <w:r>
              <w:t xml:space="preserve"> </w:t>
            </w:r>
            <w:r>
              <w:rPr>
                <w:b/>
                <w:i/>
              </w:rPr>
              <w:t>Om användaren uppdaterar profilen ska profilen bevaras i ytterligare två år</w:t>
            </w:r>
            <w:r>
              <w:t xml:space="preserve">. När en profil har tagits bort </w:t>
            </w:r>
            <w:r>
              <w:rPr>
                <w:b/>
                <w:i/>
              </w:rPr>
              <w:t>ska alla personuppgifter raderas, men</w:t>
            </w:r>
            <w:r>
              <w:t xml:space="preserve"> en begränsad uppsättning anonymiserade uppgifter </w:t>
            </w:r>
            <w:r>
              <w:rPr>
                <w:b/>
                <w:i/>
              </w:rPr>
              <w:t>får</w:t>
            </w:r>
            <w:r>
              <w:t xml:space="preserve"> fortsätta att lagras för forskning och statistiska ändamål samt för datautvinning för att förbättra EU-talangreservens funktion. </w:t>
            </w:r>
            <w:r>
              <w:rPr>
                <w:b/>
                <w:i/>
              </w:rPr>
              <w:t>Användarna ska ha rätt att när som helst begära att deras profil och personuppgifter raderas.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Om</w:t>
            </w:r>
            <w:r>
              <w:t xml:space="preserve"> registrerade arbetssökande från tredjeländer </w:t>
            </w:r>
            <w:r>
              <w:rPr>
                <w:b/>
                <w:i/>
              </w:rPr>
              <w:t>inte har loggat in på sin profil</w:t>
            </w:r>
            <w:r>
              <w:t xml:space="preserve"> på två år från registreringen av profilen ska </w:t>
            </w:r>
            <w:r>
              <w:rPr>
                <w:b/>
                <w:i/>
              </w:rPr>
              <w:t>den</w:t>
            </w:r>
            <w:r>
              <w:t xml:space="preserve">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Registrerade arbetssökande från tredjeländer </w:t>
            </w:r>
            <w:r>
              <w:rPr>
                <w:b/>
                <w:i/>
              </w:rPr>
              <w:t>vars profil inte visats av en arbetsgivare</w:t>
            </w:r>
            <w:r>
              <w:t xml:space="preserve"> på två år från registreringen av profilen ska </w:t>
            </w:r>
            <w:r>
              <w:rPr>
                <w:b/>
                <w:i/>
              </w:rPr>
              <w:t>automatiskt påminnas om att uppdatera eller ta bort sin profil.</w:t>
            </w:r>
            <w:r>
              <w:t xml:space="preserve"> </w:t>
            </w:r>
            <w:r>
              <w:rPr>
                <w:b/>
                <w:i/>
              </w:rPr>
              <w:t>Om detta inte görs inom en månad från påminnelsen ska profilen</w:t>
            </w:r>
            <w:r>
              <w:t xml:space="preserve">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w:t>
            </w:r>
            <w:r>
              <w:rPr>
                <w:b/>
                <w:i/>
              </w:rPr>
              <w:t>två</w:t>
            </w:r>
            <w:r>
              <w:t xml:space="preserve"> år från registreringen av profilen ska den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w:t>
            </w:r>
            <w:r>
              <w:rPr>
                <w:b/>
                <w:i/>
              </w:rPr>
              <w:t>ett</w:t>
            </w:r>
            <w:r>
              <w:t xml:space="preserve"> år från registreringen av profilen ska den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w:t>
            </w:r>
            <w:r>
              <w:rPr>
                <w:b/>
                <w:i/>
              </w:rPr>
              <w:t>två</w:t>
            </w:r>
            <w:r>
              <w:t xml:space="preserve"> år från registreringen av profilen ska den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c>
          <w:tcPr>
            <w:tcW w:w="4876" w:type="dxa"/>
            <w:tcBorders>
              <w:top w:val="nil"/>
              <w:left w:val="nil"/>
              <w:bottom w:val="nil"/>
              <w:right w:val="nil"/>
            </w:tcBorders>
          </w:tcPr>
          <w:p>
            <w:pPr>
              <w:pStyle w:val="Normal6a"/>
            </w:pPr>
            <w:r>
              <w:t>6.</w:t>
            </w:r>
            <w:r>
              <w:tab/>
            </w:r>
            <w:r>
              <w:t xml:space="preserve">Om registrerade arbetssökande från tredjeländer inte har loggat in på sin profil på </w:t>
            </w:r>
            <w:r>
              <w:rPr>
                <w:b/>
                <w:i/>
              </w:rPr>
              <w:t>ett</w:t>
            </w:r>
            <w:r>
              <w:t xml:space="preserve"> år från registreringen av profilen ska den tas bort eller anonymiseras, och inga personuppgifter får lagras. När en profil har tagits bort kan en begränsad uppsättning anonymiserade uppgifter fortsätta att lagras för forskning och statistiska ändamål samt för datautvinning för att förbättra EU-talangreservens funktion.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6a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Lediga platser ska regelbundet ses över och automatiskt tas bort om de har tillsatts.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Sekretariatet för EU:s talangreserv ska göra uppgifter om registrerade arbetssökande från tredjeländer och lediga platser hos arbetsgivare som deltar i EU:s talangreserv tillgängliga för sökning och matchning på it-plattformen för EU:s talangreserv.</w:t>
            </w:r>
          </w:p>
        </w:tc>
        <w:tc>
          <w:tcPr>
            <w:tcW w:w="4876" w:type="dxa"/>
            <w:tcBorders>
              <w:top w:val="nil"/>
              <w:left w:val="nil"/>
              <w:bottom w:val="nil"/>
              <w:right w:val="nil"/>
            </w:tcBorders>
          </w:tcPr>
          <w:p>
            <w:pPr>
              <w:pStyle w:val="Normal6a"/>
            </w:pPr>
            <w:r>
              <w:t>7.</w:t>
            </w:r>
            <w:r>
              <w:tab/>
            </w:r>
            <w:r>
              <w:t xml:space="preserve">Sekretariatet för EU:s talangreserv ska göra uppgifter om registrerade arbetssökande från tredjeländer </w:t>
            </w:r>
            <w:r>
              <w:rPr>
                <w:b/>
                <w:i/>
              </w:rPr>
              <w:t>samt profiler för</w:t>
            </w:r>
            <w:r>
              <w:t xml:space="preserve"> och lediga platser hos arbetsgivare som deltar i EU:s talangreserv tillgängliga för sökning och matchning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Uppgifter om registrerade arbetssökande från tredjeländer ska endast vara tillgängliga för arbetsgivare som deltar i EU:s talangreserv </w:t>
            </w:r>
            <w:r>
              <w:rPr>
                <w:b/>
                <w:i/>
              </w:rPr>
              <w:t>och</w:t>
            </w:r>
            <w:r>
              <w:t xml:space="preserve"> för de nationella kontaktpunkterna för EU:s talangreserv. Uppgifter om arbetsgivare som deltar i EU:s talangreserv ska vara tillgängliga för registrerade arbetssökande från tredjeländer </w:t>
            </w:r>
            <w:r>
              <w:rPr>
                <w:b/>
                <w:i/>
              </w:rPr>
              <w:t>och</w:t>
            </w:r>
            <w:r>
              <w:t xml:space="preserve"> för de nationella kontaktpunkterna för EU:s talangreserv.</w:t>
            </w:r>
          </w:p>
        </w:tc>
        <w:tc>
          <w:tcPr>
            <w:tcW w:w="4876" w:type="dxa"/>
            <w:tcBorders>
              <w:top w:val="nil"/>
              <w:left w:val="nil"/>
              <w:bottom w:val="nil"/>
              <w:right w:val="nil"/>
            </w:tcBorders>
          </w:tcPr>
          <w:p>
            <w:pPr>
              <w:pStyle w:val="Normal6a"/>
            </w:pPr>
            <w:r>
              <w:t>8.</w:t>
            </w:r>
            <w:r>
              <w:tab/>
            </w:r>
            <w:r>
              <w:t xml:space="preserve">Uppgifter om registrerade arbetssökande från tredjeländer ska endast vara tillgängliga för arbetsgivare </w:t>
            </w:r>
            <w:r>
              <w:rPr>
                <w:b/>
                <w:i/>
              </w:rPr>
              <w:t>och förmedlare</w:t>
            </w:r>
            <w:r>
              <w:t xml:space="preserve"> som deltar i EU:s talangreserv</w:t>
            </w:r>
            <w:r>
              <w:rPr>
                <w:b/>
                <w:i/>
              </w:rPr>
              <w:t>,</w:t>
            </w:r>
            <w:r>
              <w:t xml:space="preserve"> för de nationella kontaktpunkterna för EU:s talangreserv </w:t>
            </w:r>
            <w:r>
              <w:rPr>
                <w:b/>
                <w:i/>
              </w:rPr>
              <w:t>och, om den arbetssökande så önskar, för matchningsalgoritmer från tredje part</w:t>
            </w:r>
            <w:r>
              <w:t xml:space="preserve">. Uppgifter om arbetsgivare </w:t>
            </w:r>
            <w:r>
              <w:rPr>
                <w:b/>
                <w:i/>
              </w:rPr>
              <w:t>och förmedlare</w:t>
            </w:r>
            <w:r>
              <w:t xml:space="preserve"> som deltar i EU:s talangreserv ska vara tillgängliga för registrerade arbetssökande från tredjeländer</w:t>
            </w:r>
            <w:r>
              <w:rPr>
                <w:b/>
                <w:i/>
              </w:rPr>
              <w:t>,</w:t>
            </w:r>
            <w:r>
              <w:t xml:space="preserve"> för de nationella kontaktpunkterna för EU:s talangreserv </w:t>
            </w:r>
            <w:r>
              <w:rPr>
                <w:b/>
                <w:i/>
              </w:rPr>
              <w:t>och, om den deltagande arbetsgivaren väljer att använda dem, för matchningsalgoritmer från tredje part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Uppgifter om registrerade arbetssökande från tredjeländer ska endast vara tillgängliga för arbetsgivare som deltar i EU:s talangreserv </w:t>
            </w:r>
            <w:r>
              <w:rPr>
                <w:b/>
                <w:i/>
              </w:rPr>
              <w:t>och för de nationella kontaktpunkterna för EU:s talangreserv</w:t>
            </w:r>
            <w:r>
              <w:t>. Uppgifter om arbetsgivare som deltar i EU:s talangreserv ska vara tillgängliga för registrerade arbetssökande från tredjeländer och för de nationella kontaktpunkterna för EU:s talangreserv.</w:t>
            </w:r>
          </w:p>
        </w:tc>
        <w:tc>
          <w:tcPr>
            <w:tcW w:w="4876" w:type="dxa"/>
            <w:tcBorders>
              <w:top w:val="nil"/>
              <w:left w:val="nil"/>
              <w:bottom w:val="nil"/>
              <w:right w:val="nil"/>
            </w:tcBorders>
          </w:tcPr>
          <w:p>
            <w:pPr>
              <w:pStyle w:val="Normal6a"/>
            </w:pPr>
            <w:r>
              <w:t>8.</w:t>
            </w:r>
            <w:r>
              <w:tab/>
            </w:r>
            <w:r>
              <w:t xml:space="preserve">Uppgifter om registrerade arbetssökande från tredjeländer ska endast vara tillgängliga för arbetsgivare som deltar i EU:s talangreserv </w:t>
            </w:r>
            <w:r>
              <w:rPr>
                <w:b/>
                <w:i/>
              </w:rPr>
              <w:t>samt all medlemsländernas säkerhetstjänster</w:t>
            </w:r>
            <w:r>
              <w:t>. Uppgifter om arbetsgivare som deltar i EU:s talangreserv ska vara tillgängliga för registrerade arbetssökande från tredjeländer och för de nationella kontaktpunkterna för EU:s talangreserv.</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Kommissionen ska, genom genomförandeakter, anta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w:t>
            </w:r>
            <w:r>
              <w:t xml:space="preserve"> </w:t>
            </w:r>
            <w:r>
              <w:rPr>
                <w:b/>
                <w:i/>
              </w:rPr>
              <w:t>Dessa genomförandeakter ska antas i enlighet med det granskningsförfarande som avses i artikel 22.3.</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Kommissionen ska, genom genomförandeakter, anta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 Dessa genomförandeakter ska antas i enlighet med det granskningsförfarande som avses i artikel 22.3.</w:t>
            </w:r>
          </w:p>
        </w:tc>
        <w:tc>
          <w:tcPr>
            <w:tcW w:w="4876" w:type="dxa"/>
            <w:tcBorders>
              <w:top w:val="nil"/>
              <w:left w:val="nil"/>
              <w:bottom w:val="nil"/>
              <w:right w:val="nil"/>
            </w:tcBorders>
          </w:tcPr>
          <w:p>
            <w:pPr>
              <w:pStyle w:val="Normal6a"/>
            </w:pPr>
            <w:r>
              <w:t>9.</w:t>
            </w:r>
            <w:r>
              <w:tab/>
            </w:r>
            <w:r>
              <w:t xml:space="preserve">Kommissionen ska, genom genomförandeakter, anta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 Dessa genomförandeakter ska </w:t>
            </w:r>
            <w:r>
              <w:rPr>
                <w:b/>
                <w:i/>
              </w:rPr>
              <w:t>säkerställa att all information som behövs för lyckade matchningar är tillgänglig.</w:t>
            </w:r>
            <w:r>
              <w:t xml:space="preserve"> </w:t>
            </w:r>
            <w:r>
              <w:rPr>
                <w:b/>
                <w:i/>
              </w:rPr>
              <w:t>Dessa genomförandeakter ska</w:t>
            </w:r>
            <w:r>
              <w:t xml:space="preserve"> antas i enlighet med det granskningsförfarande som avses i artikel 22.3.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Kommissionen ska</w:t>
            </w:r>
            <w:r>
              <w:rPr>
                <w:b/>
                <w:i/>
              </w:rPr>
              <w:t>, genom genomförandeakter, anta</w:t>
            </w:r>
            <w:r>
              <w:t xml:space="preserve">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 </w:t>
            </w:r>
            <w:r>
              <w:rPr>
                <w:b/>
                <w:i/>
              </w:rPr>
              <w:t>Dessa genomförandeakter ska antas i enlighet med det granskningsförfarande som avses i artikel 22.3.</w:t>
            </w:r>
          </w:p>
        </w:tc>
        <w:tc>
          <w:tcPr>
            <w:tcW w:w="4876" w:type="dxa"/>
            <w:tcBorders>
              <w:top w:val="nil"/>
              <w:left w:val="nil"/>
              <w:bottom w:val="nil"/>
              <w:right w:val="nil"/>
            </w:tcBorders>
          </w:tcPr>
          <w:p>
            <w:pPr>
              <w:pStyle w:val="Normal6a"/>
            </w:pPr>
            <w:r>
              <w:t>9.</w:t>
            </w:r>
            <w:r>
              <w:tab/>
            </w:r>
            <w:r>
              <w:t xml:space="preserve">Kommissionen ska </w:t>
            </w:r>
            <w:r>
              <w:rPr>
                <w:b/>
                <w:i/>
              </w:rPr>
              <w:t>anta delegerade akter i enlighet med artikel 21 för att införa</w:t>
            </w:r>
            <w:r>
              <w:t xml:space="preserve">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Kommissionen ska, genom </w:t>
            </w:r>
            <w:r>
              <w:rPr>
                <w:b/>
                <w:i/>
              </w:rPr>
              <w:t>genomförandeakter</w:t>
            </w:r>
            <w:r>
              <w:t xml:space="preserve">, anta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 Dessa </w:t>
            </w:r>
            <w:r>
              <w:rPr>
                <w:b/>
                <w:i/>
              </w:rPr>
              <w:t>genomförandeakter</w:t>
            </w:r>
            <w:r>
              <w:t xml:space="preserve"> ska antas i enlighet med </w:t>
            </w:r>
            <w:r>
              <w:rPr>
                <w:b/>
                <w:i/>
              </w:rPr>
              <w:t>det granskningsförfarande som avses i</w:t>
            </w:r>
            <w:r>
              <w:t xml:space="preserve"> artikel </w:t>
            </w:r>
            <w:r>
              <w:rPr>
                <w:b/>
                <w:i/>
              </w:rPr>
              <w:t>22.3</w:t>
            </w:r>
            <w:r>
              <w:t>.</w:t>
            </w:r>
          </w:p>
        </w:tc>
        <w:tc>
          <w:tcPr>
            <w:tcW w:w="4876" w:type="dxa"/>
            <w:tcBorders>
              <w:top w:val="nil"/>
              <w:left w:val="nil"/>
              <w:bottom w:val="nil"/>
              <w:right w:val="nil"/>
            </w:tcBorders>
          </w:tcPr>
          <w:p>
            <w:pPr>
              <w:pStyle w:val="Normal6a"/>
            </w:pPr>
            <w:r>
              <w:t>9.</w:t>
            </w:r>
            <w:r>
              <w:tab/>
            </w:r>
            <w:r>
              <w:t xml:space="preserve">Kommissionen ska, genom </w:t>
            </w:r>
            <w:r>
              <w:rPr>
                <w:b/>
                <w:i/>
              </w:rPr>
              <w:t>delegerade akter</w:t>
            </w:r>
            <w:r>
              <w:t xml:space="preserve">, anta ytterligare bestämmelser om de personuppgifter som ska behandlas och ingå i formaten för lediga platser och arbetssökarprofiler, de personuppgiftsansvarigas ansvar, inbegripet regler för eventuell användning av ett eller flera personuppgiftsbiträden, samt om villkoren för tillgång till personuppgifter och möjligheten för registrerade arbetssökande att begränsa tillgången till sina personuppgifter på it-plattformen för EU:s talangreserv. Dessa </w:t>
            </w:r>
            <w:r>
              <w:rPr>
                <w:b/>
                <w:i/>
              </w:rPr>
              <w:t>delegerade akter</w:t>
            </w:r>
            <w:r>
              <w:t xml:space="preserve"> ska antas i enlighet med artikel </w:t>
            </w:r>
            <w:r>
              <w:rPr>
                <w:b/>
                <w:i/>
              </w:rPr>
              <w:t>21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Kapitel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Article 8</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Sekretariatet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Kommissionen ska upprätta ett sekretariat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Sekretariatet ska ansvara för att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säkerställa den övergripande styrningen av EU:s talangreserv, inbegripet planering och samordning av verksamheten inom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upprätta och förvalta it-plattformen för EU:s talangreserv och relaterade it-tjänster som krävs för dess funktion, särskilt genom att använda redan tillgänglig teknisk infrastruktur på unionsnivå där så är relevant,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offentliggöra relevant information om it-plattformen för EU:s talangreserv i enlighet med artiklarna 3.3, 10.2 f, 12.5, 12.6 och 12.7, 14.2 och 15.2,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förbereda mötena i styrgruppen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samla in relevanta uppgifter för övervakning av resultaten av EU:s talangreserv i enlighet med artikel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sammankalla regelbundna möten i nätverket för de nationella kontaktpunkterna för EU:s talangreserv som avses i artikel 10 för att utbyta information och bästa praxis om det tekniska genomförandet av denna förordning på nationell nivå.</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Kommissionen ska upprätta ett sekretariat för EU:s talangreserv.</w:t>
            </w:r>
          </w:p>
        </w:tc>
        <w:tc>
          <w:tcPr>
            <w:tcW w:w="4876" w:type="dxa"/>
            <w:tcBorders>
              <w:top w:val="nil"/>
              <w:left w:val="nil"/>
              <w:bottom w:val="nil"/>
              <w:right w:val="nil"/>
            </w:tcBorders>
          </w:tcPr>
          <w:p>
            <w:pPr>
              <w:pStyle w:val="Normal6a"/>
            </w:pPr>
            <w:r>
              <w:t>1.</w:t>
            </w:r>
            <w:r>
              <w:tab/>
            </w:r>
            <w:r>
              <w:t>Kommissionen ska </w:t>
            </w:r>
            <w:r>
              <w:rPr>
                <w:b/>
                <w:i/>
              </w:rPr>
              <w:t>i nära samarbete med medlemsstaternas behöriga myndigheter </w:t>
            </w:r>
            <w:r>
              <w:t>upprätta ett sekretariat för EU:s talangreserv.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säkerställa den övergripande styrningen av EU:s talangreserv, inbegripet planering och samordning av verksamheten inom EU:s talangreserv,</w:t>
            </w:r>
          </w:p>
        </w:tc>
        <w:tc>
          <w:tcPr>
            <w:tcW w:w="4876" w:type="dxa"/>
            <w:tcBorders>
              <w:top w:val="nil"/>
              <w:left w:val="nil"/>
              <w:bottom w:val="nil"/>
              <w:right w:val="nil"/>
            </w:tcBorders>
          </w:tcPr>
          <w:p>
            <w:pPr>
              <w:pStyle w:val="Normal6a"/>
            </w:pPr>
            <w:r>
              <w:t>a)</w:t>
            </w:r>
            <w:r>
              <w:tab/>
            </w:r>
            <w:r>
              <w:t xml:space="preserve">säkerställa den övergripande styrningen av EU:s talangreserv, inbegripet planering och samordning av verksamheten inom EU:s talangreserv, </w:t>
            </w:r>
            <w:r>
              <w:rPr>
                <w:b/>
                <w:i/>
              </w:rPr>
              <w:t>såsom informationskampanjer,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godkänna, samordna och övervaka tillgången till och användningen av data från ytterligare tjänster som syftar till att förbättra matchningen,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offentliggöra relevant information om it-plattformen för EU:s talangreserv i enlighet med artiklarna </w:t>
            </w:r>
            <w:r>
              <w:rPr>
                <w:b/>
                <w:i/>
              </w:rPr>
              <w:t>3.3</w:t>
            </w:r>
            <w:r>
              <w:t>, 10.2 f, 12.5, 12.6 och 12.7, 14.2 och 15.2,</w:t>
            </w:r>
          </w:p>
        </w:tc>
        <w:tc>
          <w:tcPr>
            <w:tcW w:w="4876" w:type="dxa"/>
            <w:tcBorders>
              <w:top w:val="nil"/>
              <w:left w:val="nil"/>
              <w:bottom w:val="nil"/>
              <w:right w:val="nil"/>
            </w:tcBorders>
          </w:tcPr>
          <w:p>
            <w:pPr>
              <w:pStyle w:val="Normal6a"/>
            </w:pPr>
            <w:r>
              <w:t>c)</w:t>
            </w:r>
            <w:r>
              <w:tab/>
            </w:r>
            <w:r>
              <w:t xml:space="preserve">offentliggöra relevant information om it-plattformen för EU:s talangreserv i enlighet med artiklarna </w:t>
            </w:r>
            <w:r>
              <w:rPr>
                <w:b/>
                <w:i/>
              </w:rPr>
              <w:t>3.2</w:t>
            </w:r>
            <w:r>
              <w:t>, 10.2 f, 12.5, 12.6 och 12.7, 14.2 och 15.2,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offentliggöra relevant information om it-plattformen för EU:s talangreserv i enlighet med artiklarna 3.3, 10.2 f, 12.5, 12.6 och 12.7, </w:t>
            </w:r>
            <w:r>
              <w:rPr>
                <w:b/>
                <w:i/>
              </w:rPr>
              <w:t>14.2 och 15.2</w:t>
            </w:r>
            <w:r>
              <w:t>,</w:t>
            </w:r>
          </w:p>
        </w:tc>
        <w:tc>
          <w:tcPr>
            <w:tcW w:w="4876" w:type="dxa"/>
            <w:tcBorders>
              <w:top w:val="nil"/>
              <w:left w:val="nil"/>
              <w:bottom w:val="nil"/>
              <w:right w:val="nil"/>
            </w:tcBorders>
          </w:tcPr>
          <w:p>
            <w:pPr>
              <w:pStyle w:val="Normal6a"/>
            </w:pPr>
            <w:r>
              <w:t>c)</w:t>
            </w:r>
            <w:r>
              <w:tab/>
            </w:r>
            <w:r>
              <w:t xml:space="preserve">offentliggöra relevant information om it-plattformen för EU:s talangreserv i enlighet med artiklarna 3.3, 10.2 f, 12.5, 12.6 och 12.7, </w:t>
            </w:r>
            <w:r>
              <w:rPr>
                <w:b/>
                <w:i/>
              </w:rPr>
              <w:t>och 15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utforma och genomföra omfattande marknadsföringsinsatser och informationskampanjer i tredjeländer för att etablera EU:s talangreserv som ett globalt varumärke,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utarbeta riktlinjer för etiska rekryteringsmetoder som prioriterar sektorer och yrken där rekryteringen inte avsevärt försämrar utvecklingsmöjligheterna i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samla in relevanta uppgifter </w:t>
            </w:r>
            <w:r>
              <w:rPr>
                <w:b/>
                <w:i/>
              </w:rPr>
              <w:t>för övervakning av</w:t>
            </w:r>
            <w:r>
              <w:t xml:space="preserve"> resultaten av EU:s talangreserv i enlighet med artikel 20,</w:t>
            </w:r>
          </w:p>
        </w:tc>
        <w:tc>
          <w:tcPr>
            <w:tcW w:w="4876" w:type="dxa"/>
            <w:tcBorders>
              <w:top w:val="nil"/>
              <w:left w:val="nil"/>
              <w:bottom w:val="nil"/>
              <w:right w:val="nil"/>
            </w:tcBorders>
          </w:tcPr>
          <w:p>
            <w:pPr>
              <w:pStyle w:val="Normal6a"/>
            </w:pPr>
            <w:r>
              <w:t>e)</w:t>
            </w:r>
            <w:r>
              <w:tab/>
            </w:r>
            <w:r>
              <w:t xml:space="preserve">samla in relevanta uppgifter </w:t>
            </w:r>
            <w:r>
              <w:rPr>
                <w:b/>
                <w:i/>
              </w:rPr>
              <w:t>och utöva tillsyn över övervakningen och</w:t>
            </w:r>
            <w:r>
              <w:t xml:space="preserve"> resultaten av EU:s talangreserv i enlighet med artikel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utveckla och stödja den standardiserade referensramen för granskning av färdigheter och kvalifikationer inom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sammankalla regelbundna </w:t>
            </w:r>
            <w:r>
              <w:rPr>
                <w:b/>
                <w:i/>
              </w:rPr>
              <w:t>möten i</w:t>
            </w:r>
            <w:r>
              <w:t xml:space="preserve"> nätverket för de nationella kontaktpunkterna för EU:s talangreserv </w:t>
            </w:r>
            <w:r>
              <w:rPr>
                <w:b/>
                <w:i/>
              </w:rPr>
              <w:t>som avses i artikel 10</w:t>
            </w:r>
            <w:r>
              <w:t xml:space="preserve"> för att utbyta information och bästa praxis om det tekniska genomförandet av denna förordning på nationell nivå.</w:t>
            </w:r>
          </w:p>
        </w:tc>
        <w:tc>
          <w:tcPr>
            <w:tcW w:w="4876" w:type="dxa"/>
            <w:tcBorders>
              <w:top w:val="nil"/>
              <w:left w:val="nil"/>
              <w:bottom w:val="nil"/>
              <w:right w:val="nil"/>
            </w:tcBorders>
          </w:tcPr>
          <w:p>
            <w:pPr>
              <w:pStyle w:val="Normal6a"/>
            </w:pPr>
            <w:r>
              <w:t>f)</w:t>
            </w:r>
            <w:r>
              <w:tab/>
            </w:r>
            <w:r>
              <w:t xml:space="preserve">sammankalla regelbundna </w:t>
            </w:r>
            <w:r>
              <w:rPr>
                <w:b/>
                <w:i/>
              </w:rPr>
              <w:t>offentliga samråd, som sammanför</w:t>
            </w:r>
            <w:r>
              <w:t xml:space="preserve"> nätverket för de nationella kontaktpunkterna för EU:s talangreserv </w:t>
            </w:r>
            <w:r>
              <w:rPr>
                <w:b/>
                <w:i/>
              </w:rPr>
              <w:t>och arbetsgivarna, däribland mindre företag,</w:t>
            </w:r>
            <w:r>
              <w:t xml:space="preserve"> för att utbyta information och bästa praxis om det tekniska genomförandet av denna förordning på nationell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säkerställa att de nationella kontaktpunkterna för EU:s talangreserv tillhandahåller tillräckliga informations- och stödtjänster för registrerade arbetssökande från tredjeländer och arbetsgivare som deltar i EU:s talangreserv i enlighet med artikel 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8a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Sammansättning av styrgruppen för EU:s talangreserv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Styrgruppen för EU:s talangreserv ska bestå av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två medlemmar från varje deltagande medlemsstat,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två medlemmar som företräder kommissionen,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fyra medlemmar som företräder branschövergripande arbetsmarknadsparter på unionsnivå, med lika många företrädare för fackföreningar som för arbetsgivarorganisationer,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två experter från Europaparlamentet som observatörer.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Medlemmarna i styrgruppen för EU:s talangreserv ska utses på grundval av sina relevanta kunskaper på området sysselsättning och invandring.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Medlemsstater som inte deltar i EU:s talangreserv får delta i mötena i styrgruppen för EU:s talangreserv som observatörer.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Styrgruppen för EU:s talangreserv får bjuda in berörda parter, såsom företrädare för Europeiska arbetsmyndigheten, centrumet för utveckling av yrkesutbildning och Europeiska yrkesutbildningsstiftelsen, att delta i dess möten som observatörer.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Alla medlemmar i styrgruppen för EU:s talangreserv ska underteckna en skriftlig förklaring när de tillträder om att de inte befinner sig i en intressekonflikt.</w:t>
            </w:r>
            <w:r>
              <w:t xml:space="preserve"> </w:t>
            </w:r>
            <w:r>
              <w:rPr>
                <w:b/>
                <w:i/>
              </w:rPr>
              <w:t>Alla medlemmar ska uppdatera sin förklaring om det sker en förändring i fråga om intressekonflikter.</w:t>
            </w:r>
            <w:r>
              <w:t xml:space="preserve"> </w:t>
            </w:r>
            <w:r>
              <w:rPr>
                <w:b/>
                <w:i/>
              </w:rPr>
              <w:t>Sekretariatet för EU:s talangreserv ska offentliggöra förklaringarna och uppdateringarna på sin webbplats.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Styrgruppen för EU:s talangreserv</w:t>
            </w:r>
          </w:p>
        </w:tc>
        <w:tc>
          <w:tcPr>
            <w:tcW w:w="4876" w:type="dxa"/>
            <w:tcBorders>
              <w:top w:val="nil"/>
              <w:left w:val="nil"/>
              <w:bottom w:val="nil"/>
              <w:right w:val="nil"/>
            </w:tcBorders>
          </w:tcPr>
          <w:p>
            <w:pPr>
              <w:pStyle w:val="Normal6a"/>
            </w:pPr>
            <w:r>
              <w:rPr>
                <w:b/>
                <w:i/>
              </w:rPr>
              <w:t>Uppgifter för</w:t>
            </w:r>
            <w:r>
              <w:t xml:space="preserve"> styrgruppen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Härmed inrättas styrgruppen för EU:s talangreserv.</w:t>
            </w:r>
            <w:r>
              <w:t xml:space="preserve"> </w:t>
            </w:r>
            <w:r>
              <w:rPr>
                <w:b/>
                <w:i/>
              </w:rPr>
              <w:t>Styrgruppen för EU:s talangreserv ansvarar för att</w:t>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ge stöd till sekretariatet för EU:s talangreserv vid planeringen och samordningen av verksamheten inom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underlätta insamlingen av uppgifter som är relevanta för övervakningen av EU:s talangreserv enligt artikel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diskutera genomförandet av påskyndade invandringsförfaranden för att underlätta rekryteringen av registrerade arbetssökande från tredjeländer i enlighet med artikel 19.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Härmed inrättas styrgruppen för EU:s talangreserv.</w:t>
            </w:r>
            <w:r>
              <w:t xml:space="preserve"> Styrgruppen för EU:s talangreserv ansvarar för att</w:t>
            </w:r>
          </w:p>
        </w:tc>
        <w:tc>
          <w:tcPr>
            <w:tcW w:w="4876" w:type="dxa"/>
            <w:tcBorders>
              <w:top w:val="nil"/>
              <w:left w:val="nil"/>
              <w:bottom w:val="nil"/>
              <w:right w:val="nil"/>
            </w:tcBorders>
          </w:tcPr>
          <w:p>
            <w:pPr>
              <w:pStyle w:val="Normal6a"/>
            </w:pPr>
            <w:r>
              <w:t>1.</w:t>
            </w:r>
            <w:r>
              <w:tab/>
            </w:r>
            <w:r>
              <w:t>Styrgruppen för EU:s talangreserv ansvarar för att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Sophie Wilmès, Veronika Cifrová Ostrihoňová, Hilde Vautmans,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r>
              <w:t>a)</w:t>
            </w:r>
            <w:r>
              <w:tab/>
            </w:r>
            <w:r>
              <w:t xml:space="preserve">ge stöd till sekretariatet för EU:s talangreserv vid utarbetandet av förteckningen över bristyrken i hela EU i enlighet med artikel 14 </w:t>
            </w:r>
            <w:r>
              <w:rPr>
                <w:b/>
                <w:i/>
              </w:rPr>
              <w:t>och säkerställa ett utbyte av bästa praxis mellan medlemsstaterna när det gäller upprättande, innehåll och uppdatering av nationella förteckningar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ge stöd till sekretariatet för EU:s talangreserv vid utarbetandet av förteckningen över bristyrken i hela EU i enlighet med artikel 14,</w:t>
            </w:r>
          </w:p>
        </w:tc>
        <w:tc>
          <w:tcPr>
            <w:tcW w:w="4876" w:type="dxa"/>
            <w:tcBorders>
              <w:top w:val="nil"/>
              <w:left w:val="nil"/>
              <w:bottom w:val="nil"/>
              <w:right w:val="nil"/>
            </w:tcBorders>
          </w:tcPr>
          <w:p>
            <w:pPr>
              <w:pStyle w:val="Normal6a"/>
            </w:pPr>
            <w:r>
              <w:t>a)</w:t>
            </w:r>
            <w:r>
              <w:tab/>
            </w:r>
            <w:r>
              <w:rPr>
                <w:b/>
                <w:i/>
              </w:rPr>
              <w:t>identifiera sektorer med enhetliga kompetenskrav och akuta brister, och</w:t>
            </w:r>
            <w:r>
              <w:t xml:space="preserve"> ge stöd till sekretariatet för EU:s talangreserv vid utarbetandet av förteckningen över bristyrken i hela EU i enlighet med artikel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uppdatera de nationella bilagorna om bristyrken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tillhandahålla tillsyn och stöd till sekretariatet för EU:s talangreserv när det gäller omfattande marknadsföringsinsatser och informationskampanjer i tredjeländer i enlighet med artikel 8.2 c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underlätta insamlingen av uppgifter som är relevanta för övervakningen av EU:s talangreserv enligt artikel 20,</w:t>
            </w:r>
          </w:p>
        </w:tc>
        <w:tc>
          <w:tcPr>
            <w:tcW w:w="4876" w:type="dxa"/>
            <w:tcBorders>
              <w:top w:val="nil"/>
              <w:left w:val="nil"/>
              <w:bottom w:val="nil"/>
              <w:right w:val="nil"/>
            </w:tcBorders>
          </w:tcPr>
          <w:p>
            <w:pPr>
              <w:pStyle w:val="Normal6a"/>
            </w:pPr>
            <w:r>
              <w:t>c)</w:t>
            </w:r>
            <w:r>
              <w:tab/>
            </w:r>
            <w:r>
              <w:t xml:space="preserve">underlätta insamlingen av uppgifter som är relevanta för övervakningen av EU:s talangreserv enligt artikel 20, </w:t>
            </w:r>
            <w:r>
              <w:rPr>
                <w:b/>
                <w:i/>
              </w:rPr>
              <w:t>inbegripet insamling av återkoppling efter matchning för att dra lärdom för framtiden,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diskutera genomförandet av påskyndade invandringsförfaranden för att underlätta rekryteringen av registrerade arbetssökande från tredjeländer i enlighet med artikel 19.</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diskutera genomförandet av påskyndade invandringsförfaranden för att underlätta rekryteringen av registrerade arbetssökande från tredjeländer i enlighet med artikel 19.</w:t>
            </w:r>
          </w:p>
        </w:tc>
        <w:tc>
          <w:tcPr>
            <w:tcW w:w="4876" w:type="dxa"/>
            <w:tcBorders>
              <w:top w:val="nil"/>
              <w:left w:val="nil"/>
              <w:bottom w:val="nil"/>
              <w:right w:val="nil"/>
            </w:tcBorders>
          </w:tcPr>
          <w:p>
            <w:pPr>
              <w:pStyle w:val="Normal6a"/>
            </w:pPr>
            <w:r>
              <w:t>d)</w:t>
            </w:r>
            <w:r>
              <w:tab/>
            </w:r>
            <w:r>
              <w:t xml:space="preserve">diskutera </w:t>
            </w:r>
            <w:r>
              <w:rPr>
                <w:b/>
                <w:i/>
              </w:rPr>
              <w:t>och utbyta praxis om </w:t>
            </w:r>
            <w:r>
              <w:t>genomförandet av påskyndade invandringsförfaranden för att underlätta rekryteringen av registrerade arbetssökande från tredjeländer i enlighet med artikel 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bedöma risken för kompetensflykt i partnerländer utanför EU och, om en sådan risk kan fastställas, underrätta de berörda myndigheterna i det partnerlandet,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övervaka efterlevnaden av befintliga arbetsnormer som följer av kollektivavtal och relevant rätt och praxis på unionsnivå och nationell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1 – led dc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genomföra en årlig översyn av verksamheten i EU:s talangreserv, inbegripet en bedömning av dess inverkan på arbetstagarnas rättigheter och arbetsnormer.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Endast deltagande medlemsstater ska vara medlemmar i styrgruppen för EU:s talangreserv.</w:t>
            </w:r>
            <w:r>
              <w:t xml:space="preserve"> </w:t>
            </w:r>
            <w:r>
              <w:rPr>
                <w:b/>
                <w:i/>
              </w:rPr>
              <w:t>Medlemsstater som inte deltar i EU:s talangreserv får delta i mötena i styrgruppen för EU:s talangreserv som observatörer.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Endast deltagande medlemsstater ska vara medlemmar i styrgruppen för EU:s talangreserv. Medlemsstater som inte deltar i EU:s talangreserv får delta i mötena i styrgruppen för EU:s talangreserv som observatörer.</w:t>
            </w:r>
          </w:p>
        </w:tc>
        <w:tc>
          <w:tcPr>
            <w:tcW w:w="4876" w:type="dxa"/>
            <w:tcBorders>
              <w:top w:val="nil"/>
              <w:left w:val="nil"/>
              <w:bottom w:val="nil"/>
              <w:right w:val="nil"/>
            </w:tcBorders>
          </w:tcPr>
          <w:p>
            <w:pPr>
              <w:pStyle w:val="Normal6a"/>
            </w:pPr>
            <w:r>
              <w:t>2.</w:t>
            </w:r>
            <w:r>
              <w:tab/>
            </w:r>
            <w:r>
              <w:t xml:space="preserve">Endast deltagande medlemsstater ska vara medlemmar i styrgruppen för EU:s talangreserv. </w:t>
            </w:r>
            <w:r>
              <w:rPr>
                <w:b/>
                <w:i/>
              </w:rPr>
              <w:t>Medlemsstaterna ska företrädas av experter på området sysselsättning och invandring.</w:t>
            </w:r>
            <w:r>
              <w:t xml:space="preserve"> Medlemsstater som inte deltar i EU:s talangreserv får delta i mötena i styrgruppen för EU:s talangreserv som observatörer.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Endast deltagande medlemsstater ska vara medlemmar i styrgruppen för EU:s talangreserv.</w:t>
            </w:r>
            <w:r>
              <w:t xml:space="preserve"> </w:t>
            </w:r>
            <w:r>
              <w:rPr>
                <w:b/>
                <w:i/>
              </w:rPr>
              <w:t>Medlemsstater som inte deltar i EU:s talangreserv får delta i mötena</w:t>
            </w:r>
            <w:r>
              <w:t xml:space="preserve"> i styrgruppen för EU:s talangreserv </w:t>
            </w:r>
            <w:r>
              <w:rPr>
                <w:b/>
                <w:i/>
              </w:rPr>
              <w:t>som observatörer</w:t>
            </w:r>
            <w:r>
              <w:t>.</w:t>
            </w:r>
          </w:p>
        </w:tc>
        <w:tc>
          <w:tcPr>
            <w:tcW w:w="4876" w:type="dxa"/>
            <w:tcBorders>
              <w:top w:val="nil"/>
              <w:left w:val="nil"/>
              <w:bottom w:val="nil"/>
              <w:right w:val="nil"/>
            </w:tcBorders>
          </w:tcPr>
          <w:p>
            <w:pPr>
              <w:pStyle w:val="Normal6a"/>
            </w:pPr>
            <w:r>
              <w:t>2.</w:t>
            </w:r>
            <w:r>
              <w:tab/>
            </w:r>
            <w:r>
              <w:rPr>
                <w:b/>
                <w:i/>
              </w:rPr>
              <w:t>Medlemsstaterna och deras nationella kontaktpunkter i enlighet med artikel 10 ska vara medlemmar</w:t>
            </w:r>
            <w:r>
              <w:t xml:space="preserve"> i styrgruppen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Endast deltagande medlemsstater ska vara medlemmar i</w:t>
            </w:r>
            <w:r>
              <w:t xml:space="preserve"> styrgruppen för EU:s talangreserv</w:t>
            </w:r>
            <w:r>
              <w:rPr>
                <w:b/>
                <w:i/>
              </w:rPr>
              <w:t>.</w:t>
            </w:r>
            <w:r>
              <w:t xml:space="preserve"> </w:t>
            </w:r>
            <w:r>
              <w:rPr>
                <w:b/>
                <w:i/>
              </w:rPr>
              <w:t>Medlemsstater som inte deltar i EU:s talangreserv får delta i mötena i styrgruppen för EU:s talangreserv som observatörer</w:t>
            </w:r>
            <w:r>
              <w:t>.</w:t>
            </w:r>
          </w:p>
        </w:tc>
        <w:tc>
          <w:tcPr>
            <w:tcW w:w="4876" w:type="dxa"/>
            <w:tcBorders>
              <w:top w:val="nil"/>
              <w:left w:val="nil"/>
              <w:bottom w:val="nil"/>
              <w:right w:val="nil"/>
            </w:tcBorders>
          </w:tcPr>
          <w:p>
            <w:pPr>
              <w:pStyle w:val="Normal6a"/>
            </w:pPr>
            <w:r>
              <w:t>2.</w:t>
            </w:r>
            <w:r>
              <w:tab/>
            </w:r>
            <w:r>
              <w:t xml:space="preserve">Styrgruppen för EU:s talangreserv </w:t>
            </w:r>
            <w:r>
              <w:rPr>
                <w:b/>
                <w:i/>
              </w:rPr>
              <w:t>ska bestå av två företrädare per medlemsstat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Styrgruppen för EU:s talangreserv ska sammanträda två gånger om året, eller vid behov på ad hoc-basis. Mötena ska sammankallas och ledas av kommissionen.</w:t>
            </w:r>
          </w:p>
        </w:tc>
        <w:tc>
          <w:tcPr>
            <w:tcW w:w="4876" w:type="dxa"/>
            <w:tcBorders>
              <w:top w:val="nil"/>
              <w:left w:val="nil"/>
              <w:bottom w:val="nil"/>
              <w:right w:val="nil"/>
            </w:tcBorders>
          </w:tcPr>
          <w:p>
            <w:pPr>
              <w:pStyle w:val="Normal6a"/>
            </w:pPr>
            <w:r>
              <w:t>3.</w:t>
            </w:r>
            <w:r>
              <w:tab/>
            </w:r>
            <w:r>
              <w:t xml:space="preserve">Styrgruppen för EU:s talangreserv ska sammanträda </w:t>
            </w:r>
            <w:r>
              <w:rPr>
                <w:b/>
                <w:i/>
              </w:rPr>
              <w:t>minst</w:t>
            </w:r>
            <w:r>
              <w:t xml:space="preserve"> två gånger om året, eller vid behov på ad hoc-basis. Mötena ska sammankallas och ledas av kommissionen </w:t>
            </w:r>
            <w:r>
              <w:rPr>
                <w:b/>
                <w:i/>
              </w:rPr>
              <w:t>och sekretariatet för talangreserven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Företrädare för branschövergripande arbetsmarknadsparter på unionsnivå ska ha rätt att delta som observatörer i mötena i styrgruppen för EU:s talangreserv.</w:t>
            </w:r>
            <w:r>
              <w:t xml:space="preserve"> </w:t>
            </w:r>
            <w:r>
              <w:rPr>
                <w:b/>
                <w:i/>
              </w:rPr>
              <w:t>Styrgruppen för EU:s talangreserv ska säkerställa att två företrädare för fackföreningar och två företrädare för arbetsgivarorganisationer deltar.</w:t>
            </w:r>
            <w:r>
              <w:t xml:space="preserve"> </w:t>
            </w:r>
            <w:r>
              <w:rPr>
                <w:b/>
                <w:i/>
              </w:rPr>
              <w:t>Dessa företrädare ska underteckna en skriftlig förklaring om att de inte befinner sig i en intressekonflikt.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Företrädare för branschövergripande arbetsmarknadsparter på unionsnivå ska ha rätt att delta som observatörer i mötena i styrgruppen för EU:s talangreserv.</w:t>
            </w:r>
            <w:r>
              <w:t xml:space="preserve"> </w:t>
            </w:r>
            <w:r>
              <w:rPr>
                <w:b/>
                <w:i/>
              </w:rPr>
              <w:t>Styrgruppen för EU:s talangreserv ska säkerställa att två företrädare för fackföreningar och två företrädare för arbetsgivarorganisationer deltar.</w:t>
            </w:r>
            <w:r>
              <w:t xml:space="preserve"> </w:t>
            </w:r>
            <w:r>
              <w:rPr>
                <w:b/>
                <w:i/>
              </w:rPr>
              <w:t>Dessa företrädare ska underteckna en skriftlig förklaring om att de inte befinner sig i en intressekonflikt.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Företrädare för branschövergripande arbetsmarknadsparter på unionsnivå </w:t>
            </w:r>
            <w:r>
              <w:rPr>
                <w:b/>
                <w:i/>
              </w:rPr>
              <w:t>ska ha rätt att delta som observatörer i mötena</w:t>
            </w:r>
            <w:r>
              <w:t xml:space="preserve"> i styrgruppen för EU:s talangreserv. </w:t>
            </w:r>
            <w:r>
              <w:rPr>
                <w:b/>
                <w:i/>
              </w:rPr>
              <w:t>Styrgruppen för EU:s talangreserv ska säkerställa att två företrädare för fackföreningar och två företrädare för arbetsgivarorganisationer deltar</w:t>
            </w:r>
            <w:r>
              <w:t>. Dessa företrädare ska underteckna en skriftlig förklaring om att de inte befinner sig i en intressekonflikt.</w:t>
            </w:r>
          </w:p>
        </w:tc>
        <w:tc>
          <w:tcPr>
            <w:tcW w:w="4876" w:type="dxa"/>
            <w:tcBorders>
              <w:top w:val="nil"/>
              <w:left w:val="nil"/>
              <w:bottom w:val="nil"/>
              <w:right w:val="nil"/>
            </w:tcBorders>
          </w:tcPr>
          <w:p>
            <w:pPr>
              <w:pStyle w:val="Normal6a"/>
            </w:pPr>
            <w:r>
              <w:t>4.</w:t>
            </w:r>
            <w:r>
              <w:tab/>
            </w:r>
            <w:r>
              <w:rPr>
                <w:b/>
                <w:i/>
              </w:rPr>
              <w:t>Fyra</w:t>
            </w:r>
            <w:r>
              <w:t xml:space="preserve"> företrädare för branschövergripande </w:t>
            </w:r>
            <w:r>
              <w:rPr>
                <w:b/>
                <w:i/>
              </w:rPr>
              <w:t>och sektorsspecifika</w:t>
            </w:r>
            <w:r>
              <w:t xml:space="preserve"> arbetsmarknadsparter på unionsnivå</w:t>
            </w:r>
            <w:r>
              <w:rPr>
                <w:b/>
                <w:i/>
              </w:rPr>
              <w:t>, utsedda av dessa organisationer, med en jämlik representation av fackföreningar och arbetsgivarorganisationer, ska vara aktiva medlemmar</w:t>
            </w:r>
            <w:r>
              <w:t xml:space="preserve"> i styrgruppen för EU:s talangreserv. </w:t>
            </w:r>
            <w:r>
              <w:rPr>
                <w:b/>
                <w:i/>
              </w:rPr>
              <w:t>Företrädare för sektorsspecifika arbetsmarknadsparter på unionsnivå samt organisationer som verkar för migranters rättigheter har rätt att delta i mötena i styrgruppen för EU:s talangreserv som observatörer</w:t>
            </w:r>
            <w:r>
              <w:t xml:space="preserve">. Dessa företrädare ska underteckna en skriftlig förklaring om att de inte befinner sig i en intressekonflikt. </w:t>
            </w:r>
            <w:r>
              <w:rPr>
                <w:b/>
                <w:i/>
              </w:rPr>
              <w:t>Företrädare för de tredjeländer som berörs av EU:s talangreserv samt fackföreningarna i dessa länder ska ha rätt att delta som observatörer i mötena i styrgruppen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Företrädare för branschövergripande arbetsmarknadsparter på unionsnivå ska ha rätt att delta </w:t>
            </w:r>
            <w:r>
              <w:rPr>
                <w:b/>
                <w:i/>
              </w:rPr>
              <w:t>som observatörer</w:t>
            </w:r>
            <w:r>
              <w:t xml:space="preserve"> i mötena i styrgruppen för EU:s talangreserv. Styrgruppen för EU:s talangreserv ska säkerställa att två företrädare för fackföreningar och två företrädare för arbetsgivarorganisationer deltar. </w:t>
            </w:r>
            <w:r>
              <w:rPr>
                <w:b/>
                <w:i/>
              </w:rPr>
              <w:t>Dessa</w:t>
            </w:r>
            <w:r>
              <w:t xml:space="preserve"> företrädare ska underteckna en skriftlig förklaring om att de inte befinner sig i en intressekonflikt.</w:t>
            </w:r>
          </w:p>
        </w:tc>
        <w:tc>
          <w:tcPr>
            <w:tcW w:w="4876" w:type="dxa"/>
            <w:tcBorders>
              <w:top w:val="nil"/>
              <w:left w:val="nil"/>
              <w:bottom w:val="nil"/>
              <w:right w:val="nil"/>
            </w:tcBorders>
          </w:tcPr>
          <w:p>
            <w:pPr>
              <w:pStyle w:val="Normal6a"/>
            </w:pPr>
            <w:r>
              <w:t>4.</w:t>
            </w:r>
            <w:r>
              <w:tab/>
            </w:r>
            <w:r>
              <w:t xml:space="preserve">Företrädare för branschövergripande arbetsmarknadsparter på unionsnivå ska ha rätt att delta i mötena i styrgruppen för EU:s talangreserv. Styrgruppen för EU:s talangreserv ska säkerställa att två företrädare för fackföreningar och två företrädare för arbetsgivarorganisationer deltar. </w:t>
            </w:r>
            <w:r>
              <w:rPr>
                <w:b/>
                <w:i/>
              </w:rPr>
              <w:t>Två företrädare för civilsamhällesorganisationer som arbetar direkt med migrerande arbetstagare och/eller företräder migrantgrupper ska också delta i styrgruppen för EU:s talangreserv.</w:t>
            </w:r>
            <w:r>
              <w:t xml:space="preserve"> </w:t>
            </w:r>
            <w:r>
              <w:rPr>
                <w:b/>
                <w:i/>
              </w:rPr>
              <w:t>Relevanta internationella organisationer som OECD eller IOM kan bjudas in att delta i styrgruppens möten.</w:t>
            </w:r>
            <w:r>
              <w:t xml:space="preserve"> </w:t>
            </w:r>
            <w:r>
              <w:rPr>
                <w:b/>
                <w:i/>
              </w:rPr>
              <w:t>Alla</w:t>
            </w:r>
            <w:r>
              <w:t xml:space="preserve"> företrädare ska underteckna en skriftlig förklaring om att de inte befinner sig i en intressekonflikt.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Företrädare för branschövergripande arbetsmarknadsparter på unionsnivå ska ha rätt att delta som observatörer i mötena i styrgruppen för EU:s talangreserv. Styrgruppen för EU:s talangreserv ska säkerställa att två företrädare för fackföreningar och två företrädare för arbetsgivarorganisationer deltar. Dessa företrädare ska underteckna en skriftlig förklaring om att de inte befinner sig i en intressekonflikt.</w:t>
            </w:r>
          </w:p>
        </w:tc>
        <w:tc>
          <w:tcPr>
            <w:tcW w:w="4876" w:type="dxa"/>
            <w:tcBorders>
              <w:top w:val="nil"/>
              <w:left w:val="nil"/>
              <w:bottom w:val="nil"/>
              <w:right w:val="nil"/>
            </w:tcBorders>
          </w:tcPr>
          <w:p>
            <w:pPr>
              <w:pStyle w:val="Normal6a"/>
            </w:pPr>
            <w:r>
              <w:t>4.</w:t>
            </w:r>
            <w:r>
              <w:tab/>
            </w:r>
            <w:r>
              <w:t xml:space="preserve">Företrädare för branschövergripande arbetsmarknadsparter på unionsnivå ska ha rätt att delta som observatörer i mötena i styrgruppen för EU:s talangreserv. Styrgruppen för EU:s talangreserv ska säkerställa att två företrädare för fackföreningar och två företrädare för arbetsgivarorganisationer deltar. Dessa företrädare ska underteckna en skriftlig förklaring om att de inte befinner sig i en intressekonflikt. </w:t>
            </w:r>
            <w:r>
              <w:rPr>
                <w:b/>
                <w:i/>
              </w:rPr>
              <w:t>Företrädare från tredjeländer med vilka unionen har undertecknat talangpartnerskap får bjudas in till särskilda möten.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Företrädare för </w:t>
            </w:r>
            <w:r>
              <w:rPr>
                <w:b/>
                <w:i/>
              </w:rPr>
              <w:t>branschövergripande arbetsmarknadsparter</w:t>
            </w:r>
            <w:r>
              <w:t xml:space="preserve"> på unionsnivå ska ha rätt att delta som observatörer i mötena i styrgruppen för EU:s talangreserv. Styrgruppen för EU:s talangreserv ska säkerställa att två företrädare för fackföreningar och två företrädare för </w:t>
            </w:r>
            <w:r>
              <w:rPr>
                <w:b/>
                <w:i/>
              </w:rPr>
              <w:t>arbetsgivarorganisationer</w:t>
            </w:r>
            <w:r>
              <w:t xml:space="preserve"> deltar. Dessa företrädare ska underteckna en skriftlig förklaring om att de inte befinner sig i en intressekonflikt.</w:t>
            </w:r>
          </w:p>
        </w:tc>
        <w:tc>
          <w:tcPr>
            <w:tcW w:w="4876" w:type="dxa"/>
            <w:tcBorders>
              <w:top w:val="nil"/>
              <w:left w:val="nil"/>
              <w:bottom w:val="nil"/>
              <w:right w:val="nil"/>
            </w:tcBorders>
          </w:tcPr>
          <w:p>
            <w:pPr>
              <w:pStyle w:val="Normal6a"/>
            </w:pPr>
            <w:r>
              <w:t>4.</w:t>
            </w:r>
            <w:r>
              <w:tab/>
            </w:r>
            <w:r>
              <w:t xml:space="preserve">Företrädare för </w:t>
            </w:r>
            <w:r>
              <w:rPr>
                <w:b/>
                <w:i/>
              </w:rPr>
              <w:t>arbetsmarknadsparter, som näringslivsorganisationer, fackföreningar och yrkesorganisationer</w:t>
            </w:r>
            <w:r>
              <w:t xml:space="preserve"> på unionsnivå</w:t>
            </w:r>
            <w:r>
              <w:rPr>
                <w:b/>
                <w:i/>
              </w:rPr>
              <w:t>,</w:t>
            </w:r>
            <w:r>
              <w:t xml:space="preserve"> ska ha rätt att delta som observatörer i mötena i styrgruppen för EU:s talangreserv. Styrgruppen för EU:s talangreserv ska säkerställa att två företrädare för fackföreningar och två företrädare för </w:t>
            </w:r>
            <w:r>
              <w:rPr>
                <w:b/>
                <w:i/>
              </w:rPr>
              <w:t>arbetsgivar- och yrkesorganisationer</w:t>
            </w:r>
            <w:r>
              <w:t xml:space="preserve"> deltar. Dessa företrädare ska underteckna en skriftlig förklaring om att de inte befinner sig i en intressekonflikt.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Styrgruppen ska inrätta en formell mekanism för samråd med fackföreningar för att samla in regelbunden återkoppling om hur EU:s talangreserv fungerar och hur den inverkar på arbetsmarknaden och arbetsvillkoren.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Article 10</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Nationella kontaktpunkter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Varje deltagande medlemsstat ska utse en nationell kontaktpunkt för EU:s talangreserv.</w:t>
            </w:r>
            <w:r>
              <w:rPr>
                <w:b/>
                <w:i/>
              </w:rPr>
              <w:t xml:space="preserve"> </w:t>
            </w:r>
            <w:r>
              <w:rPr>
                <w:b/>
                <w:i/>
              </w:rPr>
              <w:t>De deltagande medlemsstaterna ska säkerställa att relevanta myndigheter på området sysselsättning och invandring utses till nationella kontaktpunkter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Den nationella kontaktpunkten för EU:s talangreserv ska ansvara för att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bidra till en väl fungerande it-plattform för EU:s talangreserv på nationell nivå i enlighet med artikel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överföra lediga platser till it-plattformen för EU:s talangreserv genom den enda samordnade kanalen och underlätta matchningen mellan registrerade arbetssökande från tredjeländer och arbetsgivare som deltar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till sekretariatet för EU:s talangreserv anmäla den nationella förteckningen över bristyrken en gång om året och eventuella nationella justeringar av förteckningen över bristyrken i hela EU i enlighet med artikel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föra ett register över arbetsgivare som deltar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lämna information till sekretariatet för EU:s talangreserv om invandrings- och erkännandeförfaranden på nationell nivå, bland annat när det gäller genomförandet av principen om företräde för unionsmedborgare och relevanta uppgifter för övervakningen av EU:s talangreserv i enlighet med artikel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tillhandahålla information och stödtjänster till registrerade arbetssökande från tredjeländer och arbetsgivare som deltar i EU:s talangreserv i enlighet med artikel 17.</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 nationella kontaktpunkterna för EU:s talangreserv från varje deltagande medlemsstat ska regelbundet sammankallas av sekretariatet för EU:s talangreserv i nätverket av nationella kontaktpunkter för EU:s talangreserv för att utbyta information och bästa praxis om genomförandet av denna förordning.</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Varje </w:t>
            </w:r>
            <w:r>
              <w:rPr>
                <w:b/>
                <w:i/>
              </w:rPr>
              <w:t>deltagande</w:t>
            </w:r>
            <w:r>
              <w:t xml:space="preserve"> medlemsstat ska utse en nationell kontaktpunkt för EU:s talangreserv. </w:t>
            </w:r>
            <w:r>
              <w:rPr>
                <w:b/>
                <w:i/>
              </w:rPr>
              <w:t>De deltagande</w:t>
            </w:r>
            <w:r>
              <w:t xml:space="preserve"> medlemsstaterna ska säkerställa att relevanta myndigheter på området sysselsättning och invandring utses till nationella kontaktpunkter för EU:s talangreserv.</w:t>
            </w:r>
          </w:p>
        </w:tc>
        <w:tc>
          <w:tcPr>
            <w:tcW w:w="4876" w:type="dxa"/>
            <w:tcBorders>
              <w:top w:val="nil"/>
              <w:left w:val="nil"/>
              <w:bottom w:val="nil"/>
              <w:right w:val="nil"/>
            </w:tcBorders>
          </w:tcPr>
          <w:p>
            <w:pPr>
              <w:pStyle w:val="Normal6a"/>
            </w:pPr>
            <w:r>
              <w:t>1.</w:t>
            </w:r>
            <w:r>
              <w:tab/>
            </w:r>
            <w:r>
              <w:t xml:space="preserve">Varje medlemsstat ska utse en nationell kontaktpunkt för EU:s talangreserv. Medlemsstaterna ska säkerställa att relevanta myndigheter på området sysselsättning och invandring utses till nationella kontaktpunkter för EU:s talangreserv </w:t>
            </w:r>
            <w:r>
              <w:rPr>
                <w:b/>
                <w:i/>
              </w:rPr>
              <w:t>i syfte att förbättra synergieffekterna mellan dessa myndigheter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Varje </w:t>
            </w:r>
            <w:r>
              <w:rPr>
                <w:b/>
                <w:i/>
              </w:rPr>
              <w:t>deltagande</w:t>
            </w:r>
            <w:r>
              <w:t xml:space="preserve"> medlemsstat ska utse en nationell kontaktpunkt för EU:s talangreserv. </w:t>
            </w:r>
            <w:r>
              <w:rPr>
                <w:b/>
                <w:i/>
              </w:rPr>
              <w:t>De deltagande</w:t>
            </w:r>
            <w:r>
              <w:t xml:space="preserve"> medlemsstaterna ska säkerställa att relevanta myndigheter på området sysselsättning och invandring utses till nationella </w:t>
            </w:r>
            <w:r>
              <w:rPr>
                <w:b/>
                <w:i/>
              </w:rPr>
              <w:t>kontaktpunkter</w:t>
            </w:r>
            <w:r>
              <w:t xml:space="preserve"> för EU:s talangreserv.</w:t>
            </w:r>
          </w:p>
        </w:tc>
        <w:tc>
          <w:tcPr>
            <w:tcW w:w="4876" w:type="dxa"/>
            <w:tcBorders>
              <w:top w:val="nil"/>
              <w:left w:val="nil"/>
              <w:bottom w:val="nil"/>
              <w:right w:val="nil"/>
            </w:tcBorders>
          </w:tcPr>
          <w:p>
            <w:pPr>
              <w:pStyle w:val="Normal6a"/>
            </w:pPr>
            <w:r>
              <w:t>1.</w:t>
            </w:r>
            <w:r>
              <w:tab/>
            </w:r>
            <w:r>
              <w:t>Varje medlemsstat ska utse en nationell kontaktpunkt för EU:s talangreserv. Medlemsstaterna ska säkerställa att relevanta myndigheter på området sysselsättning och invandring</w:t>
            </w:r>
            <w:r>
              <w:rPr>
                <w:b/>
                <w:i/>
              </w:rPr>
              <w:t>, till exempel offentliga arbetsförmedlingar,</w:t>
            </w:r>
            <w:r>
              <w:t xml:space="preserve"> utses till </w:t>
            </w:r>
            <w:r>
              <w:rPr>
                <w:b/>
                <w:i/>
              </w:rPr>
              <w:t>medlemmar av den</w:t>
            </w:r>
            <w:r>
              <w:t xml:space="preserve"> nationella </w:t>
            </w:r>
            <w:r>
              <w:rPr>
                <w:b/>
                <w:i/>
              </w:rPr>
              <w:t>kontaktpunkten</w:t>
            </w:r>
            <w:r>
              <w:t xml:space="preserve">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Varje deltagande medlemsstat ska utse en nationell kontaktpunkt för EU:s talangreserv. De deltagande medlemsstaterna ska säkerställa att relevanta myndigheter på området sysselsättning och invandring utses till nationella </w:t>
            </w:r>
            <w:r>
              <w:rPr>
                <w:b/>
                <w:i/>
              </w:rPr>
              <w:t>kontaktpunkter</w:t>
            </w:r>
            <w:r>
              <w:t xml:space="preserve"> för EU:s talangreserv.</w:t>
            </w:r>
          </w:p>
        </w:tc>
        <w:tc>
          <w:tcPr>
            <w:tcW w:w="4876" w:type="dxa"/>
            <w:tcBorders>
              <w:top w:val="nil"/>
              <w:left w:val="nil"/>
              <w:bottom w:val="nil"/>
              <w:right w:val="nil"/>
            </w:tcBorders>
          </w:tcPr>
          <w:p>
            <w:pPr>
              <w:pStyle w:val="Normal6a"/>
            </w:pPr>
            <w:r>
              <w:t>1.</w:t>
            </w:r>
            <w:r>
              <w:tab/>
            </w:r>
            <w:r>
              <w:t xml:space="preserve">Varje deltagande medlemsstat ska utse en nationell kontaktpunkt för EU:s talangreserv. De deltagande medlemsstaterna ska säkerställa att relevanta myndigheter på området sysselsättning och invandring utses till </w:t>
            </w:r>
            <w:r>
              <w:rPr>
                <w:b/>
                <w:i/>
              </w:rPr>
              <w:t>deras</w:t>
            </w:r>
            <w:r>
              <w:t xml:space="preserve"> nationella </w:t>
            </w:r>
            <w:r>
              <w:rPr>
                <w:b/>
                <w:i/>
              </w:rPr>
              <w:t>kontaktpunkt</w:t>
            </w:r>
            <w:r>
              <w:t xml:space="preserve">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Varje deltagande medlemsstat ska utse en nationell kontaktpunkt för EU:s talangreserv</w:t>
            </w:r>
            <w:r>
              <w:rPr>
                <w:b/>
                <w:i/>
              </w:rPr>
              <w:t>.</w:t>
            </w:r>
            <w:r>
              <w:t xml:space="preserve"> </w:t>
            </w:r>
            <w:r>
              <w:rPr>
                <w:b/>
                <w:i/>
              </w:rPr>
              <w:t>De deltagande medlemsstaterna ska säkerställa att</w:t>
            </w:r>
            <w:r>
              <w:t xml:space="preserve"> relevanta myndigheter på området sysselsättning och invandring </w:t>
            </w:r>
            <w:r>
              <w:rPr>
                <w:b/>
                <w:i/>
              </w:rPr>
              <w:t>utses till nationella kontaktpunkter för EU:s talangreserv</w:t>
            </w:r>
            <w:r>
              <w:t>.</w:t>
            </w:r>
          </w:p>
        </w:tc>
        <w:tc>
          <w:tcPr>
            <w:tcW w:w="4876" w:type="dxa"/>
            <w:tcBorders>
              <w:top w:val="nil"/>
              <w:left w:val="nil"/>
              <w:bottom w:val="nil"/>
              <w:right w:val="nil"/>
            </w:tcBorders>
          </w:tcPr>
          <w:p>
            <w:pPr>
              <w:pStyle w:val="Normal6a"/>
            </w:pPr>
            <w:r>
              <w:t>1.</w:t>
            </w:r>
            <w:r>
              <w:tab/>
            </w:r>
            <w:r>
              <w:t xml:space="preserve">Varje deltagande medlemsstat ska utse en nationell kontaktpunkt för EU:s talangreserv </w:t>
            </w:r>
            <w:r>
              <w:rPr>
                <w:b/>
                <w:i/>
              </w:rPr>
              <w:t>och därvid involvera</w:t>
            </w:r>
            <w:r>
              <w:t xml:space="preserve"> relevanta myndigheter på området sysselsättning och invandring</w:t>
            </w:r>
            <w:r>
              <w:rPr>
                <w:b/>
                <w:i/>
              </w:rPr>
              <w:t>, offentliga arbetsförmedlingar och arbetsmarknadens parter på nationell nivå</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Den nationella kontaktpunkten för EU:s talangreserv ska ansvara för att</w:t>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bidra till en väl fungerande it-plattform för EU:s talangreserv på nationell nivå i enlighet med artikel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överföra lediga platser till it-plattformen för EU:s talangreserv genom den enda samordnade kanalen och underlätta matchningen mellan registrerade arbetssökande från tredjeländer och arbetsgivare som deltar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till sekretariatet för EU:s talangreserv anmäla den nationella förteckningen över bristyrken en gång om året och eventuella nationella justeringar av förteckningen över bristyrken i hela EU i enlighet med artikel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föra ett register över arbetsgivare som deltar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lämna information till sekretariatet för EU:s talangreserv om invandrings- och erkännandeförfaranden på nationell nivå, bland annat när det gäller genomförandet av principen om företräde för unionsmedborgare och relevanta uppgifter för övervakningen av EU:s talangreserv i enlighet med artikel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tillhandahålla information och stödtjänster till registrerade arbetssökande från tredjeländer och arbetsgivare som deltar i EU:s talangreserv i enlighet med artikel 17.</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överföra lediga platser till it-plattformen för EU:s talangreserv genom den enda samordnade kanalen och underlätta matchningen mellan registrerade arbetssökande från tredjeländer och arbetsgivare som deltar i EU:s talangreserv,</w:t>
            </w:r>
          </w:p>
        </w:tc>
        <w:tc>
          <w:tcPr>
            <w:tcW w:w="4876" w:type="dxa"/>
            <w:tcBorders>
              <w:top w:val="nil"/>
              <w:left w:val="nil"/>
              <w:bottom w:val="nil"/>
              <w:right w:val="nil"/>
            </w:tcBorders>
          </w:tcPr>
          <w:p>
            <w:pPr>
              <w:pStyle w:val="Normal6a"/>
            </w:pPr>
            <w:r>
              <w:t>b)</w:t>
            </w:r>
            <w:r>
              <w:tab/>
            </w:r>
            <w:r>
              <w:t xml:space="preserve">överföra </w:t>
            </w:r>
            <w:r>
              <w:rPr>
                <w:b/>
                <w:i/>
              </w:rPr>
              <w:t>alla arbetsgivarprofiler och</w:t>
            </w:r>
            <w:r>
              <w:t xml:space="preserve"> lediga platser </w:t>
            </w:r>
            <w:r>
              <w:rPr>
                <w:b/>
                <w:i/>
              </w:rPr>
              <w:t>som omfattas av den förteckning över bristyrken i hela EU som avses i artikel 14 och de nationella justeringarna av förteckningen i enlighet med artikel 15.1</w:t>
            </w:r>
            <w:r>
              <w:t xml:space="preserve"> till it-plattformen för EU:s talangreserv genom den enda samordnade kanalen och underlätta matchningen mellan registrerade arbetssökande från tredjeländer och arbetsgivare som deltar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överföra lediga platser till it-plattformen för EU:s talangreserv </w:t>
            </w:r>
            <w:r>
              <w:rPr>
                <w:b/>
                <w:i/>
              </w:rPr>
              <w:t>genom den enda samordnade kanalen</w:t>
            </w:r>
            <w:r>
              <w:t xml:space="preserve"> och underlätta matchningen mellan registrerade arbetssökande från tredjeländer och arbetsgivare som deltar i EU:s talangreserv,</w:t>
            </w:r>
          </w:p>
        </w:tc>
        <w:tc>
          <w:tcPr>
            <w:tcW w:w="4876" w:type="dxa"/>
            <w:tcBorders>
              <w:top w:val="nil"/>
              <w:left w:val="nil"/>
              <w:bottom w:val="nil"/>
              <w:right w:val="nil"/>
            </w:tcBorders>
          </w:tcPr>
          <w:p>
            <w:pPr>
              <w:pStyle w:val="Normal6a"/>
            </w:pPr>
            <w:r>
              <w:t>b)</w:t>
            </w:r>
            <w:r>
              <w:tab/>
            </w:r>
            <w:r>
              <w:t xml:space="preserve">överföra lediga platser till it-plattformen för EU:s talangreserv </w:t>
            </w:r>
            <w:r>
              <w:rPr>
                <w:b/>
                <w:i/>
              </w:rPr>
              <w:t>i enlighet med artikel 13,</w:t>
            </w:r>
            <w:r>
              <w:t xml:space="preserve"> och underlätta matchningen mellan registrerade arbetssökande från tredjeländer och arbetsgivare </w:t>
            </w:r>
            <w:r>
              <w:rPr>
                <w:b/>
                <w:i/>
              </w:rPr>
              <w:t>och förmedlare</w:t>
            </w:r>
            <w:r>
              <w:t xml:space="preserve"> som deltar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till sekretariatet för EU:s talangreserv anmäla den nationella förteckningen över bristyrken en gång om året och eventuella nationella justeringar av förteckningen över bristyrken i hela EU i enlighet med artikel 15,</w:t>
            </w:r>
          </w:p>
        </w:tc>
        <w:tc>
          <w:tcPr>
            <w:tcW w:w="4876" w:type="dxa"/>
            <w:tcBorders>
              <w:top w:val="nil"/>
              <w:left w:val="nil"/>
              <w:bottom w:val="nil"/>
              <w:right w:val="nil"/>
            </w:tcBorders>
          </w:tcPr>
          <w:p>
            <w:pPr>
              <w:pStyle w:val="Normal6a"/>
            </w:pPr>
            <w:r>
              <w:t>c)</w:t>
            </w:r>
            <w:r>
              <w:tab/>
            </w:r>
            <w:r>
              <w:rPr>
                <w:b/>
                <w:i/>
              </w:rPr>
              <w:t>efter samråd med nationella arbetsmarknadsparter</w:t>
            </w:r>
            <w:r>
              <w:t xml:space="preserve"> till sekretariatet för EU:s talangreserv anmäla den nationella förteckningen över bristyrken en gång om året och eventuella nationella justeringar av förteckningen över bristyrken i hela EU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till sekretariatet för EU:s talangreserv anmäla den nationella förteckningen över bristyrken en gång om året </w:t>
            </w:r>
            <w:r>
              <w:rPr>
                <w:b/>
                <w:i/>
              </w:rPr>
              <w:t>och eventuella nationella justeringar av förteckningen över bristyrken i hela EU</w:t>
            </w:r>
            <w:r>
              <w:t xml:space="preserve"> i enlighet med artikel 15,</w:t>
            </w:r>
          </w:p>
        </w:tc>
        <w:tc>
          <w:tcPr>
            <w:tcW w:w="4876" w:type="dxa"/>
            <w:tcBorders>
              <w:top w:val="nil"/>
              <w:left w:val="nil"/>
              <w:bottom w:val="nil"/>
              <w:right w:val="nil"/>
            </w:tcBorders>
          </w:tcPr>
          <w:p>
            <w:pPr>
              <w:pStyle w:val="Normal6a"/>
            </w:pPr>
            <w:r>
              <w:t>c)</w:t>
            </w:r>
            <w:r>
              <w:tab/>
            </w:r>
            <w:r>
              <w:t>till sekretariatet för EU:s talangreserv anmäla den nationella förteckningen över bristyrken en gång om året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till sekretariatet för EU:s talangreserv anmäla den nationella förteckningen över bristyrken en gång om året och eventuella nationella justeringar av förteckningen över bristyrken i hela EU i enlighet med artikel 15,</w:t>
            </w:r>
          </w:p>
        </w:tc>
        <w:tc>
          <w:tcPr>
            <w:tcW w:w="4876" w:type="dxa"/>
            <w:tcBorders>
              <w:top w:val="nil"/>
              <w:left w:val="nil"/>
              <w:bottom w:val="nil"/>
              <w:right w:val="nil"/>
            </w:tcBorders>
          </w:tcPr>
          <w:p>
            <w:pPr>
              <w:pStyle w:val="Normal6a"/>
            </w:pPr>
            <w:r>
              <w:t>c)</w:t>
            </w:r>
            <w:r>
              <w:tab/>
            </w:r>
            <w:r>
              <w:t xml:space="preserve">till sekretariatet för EU:s talangreserv anmäla den nationella förteckningen över bristyrken </w:t>
            </w:r>
            <w:r>
              <w:rPr>
                <w:b/>
                <w:i/>
              </w:rPr>
              <w:t>så snart den ändras, men minst</w:t>
            </w:r>
            <w:r>
              <w:t xml:space="preserve"> en gång om året och eventuella nationella justeringar av förteckningen över bristyrken i hela EU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till sekretariatet för EU:s talangreserv anmäla den nationella förteckningen över bristyrken en gång om året och eventuella nationella justeringar av förteckningen över bristyrken i hela EU i enlighet med artikel 15,</w:t>
            </w:r>
          </w:p>
        </w:tc>
        <w:tc>
          <w:tcPr>
            <w:tcW w:w="4876" w:type="dxa"/>
            <w:tcBorders>
              <w:top w:val="nil"/>
              <w:left w:val="nil"/>
              <w:bottom w:val="nil"/>
              <w:right w:val="nil"/>
            </w:tcBorders>
          </w:tcPr>
          <w:p>
            <w:pPr>
              <w:pStyle w:val="Normal6a"/>
            </w:pPr>
            <w:r>
              <w:t>c)</w:t>
            </w:r>
            <w:r>
              <w:tab/>
            </w:r>
            <w:r>
              <w:t xml:space="preserve">till sekretariatet för EU:s talangreserv anmäla den nationella förteckningen över bristyrken </w:t>
            </w:r>
            <w:r>
              <w:rPr>
                <w:b/>
                <w:i/>
              </w:rPr>
              <w:t>minst</w:t>
            </w:r>
            <w:r>
              <w:t xml:space="preserve"> en gång om året och eventuella nationella justeringar av förteckningen över bristyrken i hela EU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till sekretariatet för EU:s talangreserv anmäla den nationella förteckningen över bristyrken </w:t>
            </w:r>
            <w:r>
              <w:rPr>
                <w:b/>
                <w:i/>
              </w:rPr>
              <w:t>en gång om året</w:t>
            </w:r>
            <w:r>
              <w:t xml:space="preserve"> och eventuella nationella justeringar av förteckningen över bristyrken i hela EU i enlighet med artikel 15,</w:t>
            </w:r>
          </w:p>
        </w:tc>
        <w:tc>
          <w:tcPr>
            <w:tcW w:w="4876" w:type="dxa"/>
            <w:tcBorders>
              <w:top w:val="nil"/>
              <w:left w:val="nil"/>
              <w:bottom w:val="nil"/>
              <w:right w:val="nil"/>
            </w:tcBorders>
          </w:tcPr>
          <w:p>
            <w:pPr>
              <w:pStyle w:val="Normal6a"/>
            </w:pPr>
            <w:r>
              <w:t>c)</w:t>
            </w:r>
            <w:r>
              <w:tab/>
            </w:r>
            <w:r>
              <w:t>till sekretariatet för EU:s talangreserv anmäla den nationella förteckningen över bristyrken och eventuella nationella justeringar av förteckningen över bristyrken i hela EU i enlighet med artikel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föra ett register över arbetsgivare som deltar i EU:s talangreserv,</w:t>
            </w:r>
          </w:p>
        </w:tc>
        <w:tc>
          <w:tcPr>
            <w:tcW w:w="4876" w:type="dxa"/>
            <w:tcBorders>
              <w:top w:val="nil"/>
              <w:left w:val="nil"/>
              <w:bottom w:val="nil"/>
              <w:right w:val="nil"/>
            </w:tcBorders>
          </w:tcPr>
          <w:p>
            <w:pPr>
              <w:pStyle w:val="Normal6a"/>
            </w:pPr>
            <w:r>
              <w:t>d)</w:t>
            </w:r>
            <w:r>
              <w:tab/>
            </w:r>
            <w:r>
              <w:rPr>
                <w:b/>
                <w:i/>
              </w:rPr>
              <w:t>kontrollera att kraven för registrering och deltagande uppfylls,</w:t>
            </w:r>
            <w:r>
              <w:t xml:space="preserve"> föra ett register över arbetsgivare som deltar i EU:s talangreserv </w:t>
            </w:r>
            <w:r>
              <w:rPr>
                <w:b/>
                <w:i/>
              </w:rPr>
              <w:t>och ha tillsyn över kvaliteten på de lediga platserna, inbegripet den bestämmelse som fastställs i artikel 13.3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föra ett register över arbetsgivare som deltar i EU:s talangreserv,</w:t>
            </w:r>
          </w:p>
        </w:tc>
        <w:tc>
          <w:tcPr>
            <w:tcW w:w="4876" w:type="dxa"/>
            <w:tcBorders>
              <w:top w:val="nil"/>
              <w:left w:val="nil"/>
              <w:bottom w:val="nil"/>
              <w:right w:val="nil"/>
            </w:tcBorders>
          </w:tcPr>
          <w:p>
            <w:pPr>
              <w:pStyle w:val="Normal6a"/>
            </w:pPr>
            <w:r>
              <w:t>d)</w:t>
            </w:r>
            <w:r>
              <w:tab/>
            </w:r>
            <w:r>
              <w:rPr>
                <w:b/>
                <w:i/>
              </w:rPr>
              <w:t>kontrollera att kraven för registrering och deltagande uppfylls och</w:t>
            </w:r>
            <w:r>
              <w:t xml:space="preserve"> föra ett </w:t>
            </w:r>
            <w:r>
              <w:rPr>
                <w:b/>
                <w:i/>
              </w:rPr>
              <w:t>offentligt</w:t>
            </w:r>
            <w:r>
              <w:t xml:space="preserve"> register över arbetsgivare som deltar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föra ett register över arbetsgivare som deltar i EU:s talangreserv,</w:t>
            </w:r>
          </w:p>
        </w:tc>
        <w:tc>
          <w:tcPr>
            <w:tcW w:w="4876" w:type="dxa"/>
            <w:tcBorders>
              <w:top w:val="nil"/>
              <w:left w:val="nil"/>
              <w:bottom w:val="nil"/>
              <w:right w:val="nil"/>
            </w:tcBorders>
          </w:tcPr>
          <w:p>
            <w:pPr>
              <w:pStyle w:val="Normal6a"/>
            </w:pPr>
            <w:r>
              <w:t>d)</w:t>
            </w:r>
            <w:r>
              <w:tab/>
            </w:r>
            <w:r>
              <w:rPr>
                <w:b/>
                <w:i/>
              </w:rPr>
              <w:t>kontrollera och godkänna arbetsgivare och förmedlare i enlighet med artikel 13 och</w:t>
            </w:r>
            <w:r>
              <w:t xml:space="preserve"> föra ett </w:t>
            </w:r>
            <w:r>
              <w:rPr>
                <w:b/>
                <w:i/>
              </w:rPr>
              <w:t>offentligt</w:t>
            </w:r>
            <w:r>
              <w:t xml:space="preserve"> register över </w:t>
            </w:r>
            <w:r>
              <w:rPr>
                <w:b/>
                <w:i/>
              </w:rPr>
              <w:t>godkända</w:t>
            </w:r>
            <w:r>
              <w:t xml:space="preserve"> arbetsgivare </w:t>
            </w:r>
            <w:r>
              <w:rPr>
                <w:b/>
                <w:i/>
              </w:rPr>
              <w:t>och förmedlare</w:t>
            </w:r>
            <w:r>
              <w:t xml:space="preserve"> som deltar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föra ett register över arbetsgivare som deltar i EU:s talangreserv,</w:t>
            </w:r>
          </w:p>
        </w:tc>
        <w:tc>
          <w:tcPr>
            <w:tcW w:w="4876" w:type="dxa"/>
            <w:tcBorders>
              <w:top w:val="nil"/>
              <w:left w:val="nil"/>
              <w:bottom w:val="nil"/>
              <w:right w:val="nil"/>
            </w:tcBorders>
          </w:tcPr>
          <w:p>
            <w:pPr>
              <w:pStyle w:val="Normal6a"/>
            </w:pPr>
            <w:r>
              <w:t>d)</w:t>
            </w:r>
            <w:r>
              <w:tab/>
            </w:r>
            <w:r>
              <w:rPr>
                <w:b/>
                <w:i/>
              </w:rPr>
              <w:t>kontrollera att kraven för registrering och deltagande uppfylls och</w:t>
            </w:r>
            <w:r>
              <w:t xml:space="preserve"> föra ett register över arbetsgivare som deltar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föra ett register över arbetsgivare som deltar i EU:s talangreserv,</w:t>
            </w:r>
          </w:p>
        </w:tc>
        <w:tc>
          <w:tcPr>
            <w:tcW w:w="4876" w:type="dxa"/>
            <w:tcBorders>
              <w:top w:val="nil"/>
              <w:left w:val="nil"/>
              <w:bottom w:val="nil"/>
              <w:right w:val="nil"/>
            </w:tcBorders>
          </w:tcPr>
          <w:p>
            <w:pPr>
              <w:pStyle w:val="Normal6a"/>
            </w:pPr>
            <w:r>
              <w:t>d)</w:t>
            </w:r>
            <w:r>
              <w:tab/>
            </w:r>
            <w:r>
              <w:t xml:space="preserve">föra ett register över arbetsgivare som deltar i EU:s talangreserv </w:t>
            </w:r>
            <w:r>
              <w:rPr>
                <w:b/>
                <w:i/>
              </w:rPr>
              <w:t>på grundval av de arbetsgivarprofiler som registrerats på it-plattformen för EU:s talangreserv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stänga av</w:t>
            </w:r>
            <w:r>
              <w:t xml:space="preserve">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rPr>
                <w:b/>
                <w:i/>
              </w:rPr>
              <w:t>utesluta</w:t>
            </w:r>
            <w:r>
              <w:t xml:space="preserve"> arbetsgivare som deltar i EU:s talangreserv och ta bort deras lediga platser från it-plattformen för EU:s talangreserv vid överträdelser av </w:t>
            </w:r>
            <w:r>
              <w:rPr>
                <w:b/>
                <w:i/>
              </w:rPr>
              <w:t>tillämpliga arbetsnormer som följer av kollektivavtal och</w:t>
            </w:r>
            <w:r>
              <w:t xml:space="preserve"> relevant rätt och praxis </w:t>
            </w:r>
            <w:r>
              <w:rPr>
                <w:b/>
                <w:i/>
              </w:rPr>
              <w:t>på unionsnivå och nationell nivå</w:t>
            </w:r>
            <w:r>
              <w:t xml:space="preserve"> enligt artikel 13.3 vilka anmäls till de nationella kontaktpunkterna för EU:s talangreserv av de berörda nationella myndigheter som ansvarar för att relevant rätt och praxis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t xml:space="preserve">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w:t>
            </w:r>
            <w:r>
              <w:rPr>
                <w:b/>
                <w:i/>
              </w:rPr>
              <w:t>nationell</w:t>
            </w:r>
            <w:r>
              <w:t xml:space="preserve"> rätt och praxis efterlevs, </w:t>
            </w:r>
            <w:r>
              <w:rPr>
                <w:b/>
                <w:i/>
              </w:rPr>
              <w:t>samtidigt som proportionalitetsprincipen tillämpas,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stänga av</w:t>
            </w:r>
            <w:r>
              <w:t xml:space="preserve"> arbetsgivare som deltar i EU:s talangreserv och ta bort deras lediga platser från it-plattformen för EU:s talangreserv vid överträdelser av relevant rätt och praxis enligt artikel 13.3 vilka </w:t>
            </w:r>
            <w:r>
              <w:rPr>
                <w:b/>
                <w:i/>
              </w:rPr>
              <w:t>anmäls till de nationella kontaktpunkterna för EU:s talangreserv</w:t>
            </w:r>
            <w:r>
              <w:t xml:space="preserve">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rPr>
                <w:b/>
                <w:i/>
              </w:rPr>
              <w:t>ta bort</w:t>
            </w:r>
            <w:r>
              <w:t xml:space="preserve"> arbetsgivare </w:t>
            </w:r>
            <w:r>
              <w:rPr>
                <w:b/>
                <w:i/>
              </w:rPr>
              <w:t>och arbetsmarknadsförmedlare</w:t>
            </w:r>
            <w:r>
              <w:t xml:space="preserve"> som deltar i EU:s talangreserv och ta bort deras lediga platser från </w:t>
            </w:r>
            <w:r>
              <w:rPr>
                <w:b/>
                <w:i/>
              </w:rPr>
              <w:t>såväl</w:t>
            </w:r>
            <w:r>
              <w:t xml:space="preserve"> it-plattformen för EU:s talangreserv </w:t>
            </w:r>
            <w:r>
              <w:rPr>
                <w:b/>
                <w:i/>
              </w:rPr>
              <w:t>som alla parterna som avses i artikel 7,</w:t>
            </w:r>
            <w:r>
              <w:t xml:space="preserve"> vid överträdelser av relevant rätt och praxis enligt artikel 13.3 vilka </w:t>
            </w:r>
            <w:r>
              <w:rPr>
                <w:b/>
                <w:i/>
              </w:rPr>
              <w:t>fastställs</w:t>
            </w:r>
            <w:r>
              <w:t xml:space="preserve"> av de berörda nationella myndigheter som ansvarar för att relevant rätt och praxis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t xml:space="preserve">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w:t>
            </w:r>
            <w:r>
              <w:rPr>
                <w:b/>
                <w:i/>
              </w:rPr>
              <w:t>eller arbetsmarknadsparter</w:t>
            </w:r>
            <w:r>
              <w:t xml:space="preserve"> som ansvarar för att relevant rätt och praxis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t xml:space="preserve">stänga av arbetsgivare som deltar i EU:s talangreserv och ta bort deras </w:t>
            </w:r>
            <w:r>
              <w:rPr>
                <w:b/>
                <w:i/>
              </w:rPr>
              <w:t>profiler och</w:t>
            </w:r>
            <w:r>
              <w:t xml:space="preserve">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c>
          <w:tcPr>
            <w:tcW w:w="4876" w:type="dxa"/>
            <w:tcBorders>
              <w:top w:val="nil"/>
              <w:left w:val="nil"/>
              <w:bottom w:val="nil"/>
              <w:right w:val="nil"/>
            </w:tcBorders>
          </w:tcPr>
          <w:p>
            <w:pPr>
              <w:pStyle w:val="Normal6a"/>
            </w:pPr>
            <w:r>
              <w:t>e)</w:t>
            </w:r>
            <w:r>
              <w:tab/>
            </w:r>
            <w:r>
              <w:rPr>
                <w:b/>
                <w:i/>
              </w:rPr>
              <w:t>tillfälligt</w:t>
            </w:r>
            <w:r>
              <w:t xml:space="preserve"> stänga av arbetsgivare som deltar i EU:s talangreserv och ta bort deras lediga platser från it-plattformen för EU:s talangreserv vid överträdelser av relevant rätt och praxis enligt artikel 13.3 vilka anmäls till de nationella kontaktpunkterna för EU:s talangreserv av de berörda nationella myndigheter som ansvarar för att relevant rätt och praxis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föra ett offentligt register över arbetsgivare som permanent har uteslutits från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lämna information till sekretariatet för EU:s talangreserv om invandrings- och erkännandeförfaranden på nationell nivå, bland annat när det gäller genomförandet av principen om företräde för unionsmedborgare och relevanta uppgifter för övervakningen av EU:s talangreserv i enlighet med artikel 20,</w:t>
            </w:r>
          </w:p>
        </w:tc>
        <w:tc>
          <w:tcPr>
            <w:tcW w:w="4876" w:type="dxa"/>
            <w:tcBorders>
              <w:top w:val="nil"/>
              <w:left w:val="nil"/>
              <w:bottom w:val="nil"/>
              <w:right w:val="nil"/>
            </w:tcBorders>
          </w:tcPr>
          <w:p>
            <w:pPr>
              <w:pStyle w:val="Normal6a"/>
            </w:pPr>
            <w:r>
              <w:t>f)</w:t>
            </w:r>
            <w:r>
              <w:tab/>
            </w:r>
            <w:r>
              <w:t xml:space="preserve">lämna information till sekretariatet för EU:s talangreserv om invandrings- och erkännandeförfaranden på nationell nivå </w:t>
            </w:r>
            <w:r>
              <w:rPr>
                <w:b/>
                <w:i/>
              </w:rPr>
              <w:t>eller enligt direktiv (EU) 2024/1233</w:t>
            </w:r>
            <w:r>
              <w:t xml:space="preserve">, bland annat när det gäller genomförandet av principen om företräde för unionsmedborgare </w:t>
            </w:r>
            <w:r>
              <w:rPr>
                <w:b/>
                <w:i/>
              </w:rPr>
              <w:t>eller tillfälligt upphävande av denna inom ramen för ett påskyndat invandringsförfarande</w:t>
            </w:r>
            <w:r>
              <w:t xml:space="preserve"> och relevanta uppgifter för övervakningen av EU:s talangreserv i enlighet med artikel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2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Upprätta förteckningar över de intyg om färdigheter och yrkeskvalifikationer som förvärvats under yrkeslivet och som utfärdats av yrkesorganisationer och/eller institutioner för livslångt lärande, som arbetssökande kan lägga till i sina profiler i enlighet med artikel 12.3 c.</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De nationella kontaktpunkterna för EU:s talangreserv från varje </w:t>
            </w:r>
            <w:r>
              <w:rPr>
                <w:b/>
                <w:i/>
              </w:rPr>
              <w:t>deltagande</w:t>
            </w:r>
            <w:r>
              <w:t xml:space="preserve"> medlemsstat ska regelbundet sammankallas av sekretariatet för EU:s talangreserv i nätverket av nationella kontaktpunkter för EU:s talangreserv för att utbyta information och bästa praxis om genomförandet av denna förordning.</w:t>
            </w:r>
          </w:p>
        </w:tc>
        <w:tc>
          <w:tcPr>
            <w:tcW w:w="4876" w:type="dxa"/>
            <w:tcBorders>
              <w:top w:val="nil"/>
              <w:left w:val="nil"/>
              <w:bottom w:val="nil"/>
              <w:right w:val="nil"/>
            </w:tcBorders>
          </w:tcPr>
          <w:p>
            <w:pPr>
              <w:pStyle w:val="Normal6a"/>
            </w:pPr>
            <w:r>
              <w:t>3.</w:t>
            </w:r>
            <w:r>
              <w:tab/>
            </w:r>
            <w:r>
              <w:t>De nationella kontaktpunkterna för EU:s talangreserv från varje medlemsstat ska regelbundet sammankallas av sekretariatet för EU:s talangreserv i nätverket av nationella kontaktpunkter för EU:s talangreserv för att utbyta information och bästa praxis om genomförandet av denna förordning.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punkt 3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 deltagande medlemsstaternas nationella arbetsmarknadsparter ska vara nära involverade i de nationella kontaktpunkternas arbete via sina respektive nationella strukturer.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Registrering och tillgång för arbetssökande från tredjeländer</w:t>
            </w:r>
          </w:p>
        </w:tc>
        <w:tc>
          <w:tcPr>
            <w:tcW w:w="4876" w:type="dxa"/>
            <w:tcBorders>
              <w:top w:val="nil"/>
              <w:left w:val="nil"/>
              <w:bottom w:val="nil"/>
              <w:right w:val="nil"/>
            </w:tcBorders>
          </w:tcPr>
          <w:p>
            <w:pPr>
              <w:pStyle w:val="Normal6a"/>
            </w:pPr>
            <w:r>
              <w:t xml:space="preserve">Registrering och tillgång för </w:t>
            </w:r>
            <w:r>
              <w:rPr>
                <w:b/>
                <w:i/>
              </w:rPr>
              <w:t>högkvalificerade</w:t>
            </w:r>
            <w:r>
              <w:t xml:space="preserve"> arbetssökande från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Registrering och tillgång för arbetssökande från tredjeländer</w:t>
            </w:r>
          </w:p>
        </w:tc>
        <w:tc>
          <w:tcPr>
            <w:tcW w:w="4876" w:type="dxa"/>
            <w:tcBorders>
              <w:top w:val="nil"/>
              <w:left w:val="nil"/>
              <w:bottom w:val="nil"/>
              <w:right w:val="nil"/>
            </w:tcBorders>
          </w:tcPr>
          <w:p>
            <w:pPr>
              <w:pStyle w:val="Normal6a"/>
            </w:pPr>
            <w:r>
              <w:t>Registrering</w:t>
            </w:r>
            <w:r>
              <w:rPr>
                <w:b/>
                <w:i/>
              </w:rPr>
              <w:t>, kontroll</w:t>
            </w:r>
            <w:r>
              <w:t xml:space="preserve"> och tillgång för arbetssökande från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Arbetssökande från tredjeländer kan skapa sina profiler genom profilbyggaren i Europass för att registrera sig på it-plattformen för EU:s talangreserv.</w:t>
            </w:r>
          </w:p>
        </w:tc>
        <w:tc>
          <w:tcPr>
            <w:tcW w:w="4876" w:type="dxa"/>
            <w:tcBorders>
              <w:top w:val="nil"/>
              <w:left w:val="nil"/>
              <w:bottom w:val="nil"/>
              <w:right w:val="nil"/>
            </w:tcBorders>
          </w:tcPr>
          <w:p>
            <w:pPr>
              <w:pStyle w:val="Normal6a"/>
            </w:pPr>
            <w:r>
              <w:t>1.</w:t>
            </w:r>
            <w:r>
              <w:tab/>
            </w:r>
            <w:r>
              <w:t xml:space="preserve">Arbetssökande från tredjeländer kan skapa sina profiler genom profilbyggaren i Europass för att registrera sig på it-plattformen för EU:s talangreserv. </w:t>
            </w:r>
            <w:r>
              <w:rPr>
                <w:b/>
                <w:i/>
              </w:rPr>
              <w:t>För registrering krävs kunskaper i ett av EU:s officiella språk.</w:t>
            </w:r>
            <w:r>
              <w:t xml:space="preserve"> </w:t>
            </w:r>
            <w:r>
              <w:rPr>
                <w:b/>
                <w:i/>
              </w:rPr>
              <w:t>För detta ändamål ska ett internationellt erkänt intyg som styrker den språknivå som krävs tillhandahållas.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Arbetssökande från tredjeländer kan skapa sina profiler genom profilbyggaren i Europass för att registrera sig på it-plattformen för EU:s talangreserv.</w:t>
            </w:r>
          </w:p>
        </w:tc>
        <w:tc>
          <w:tcPr>
            <w:tcW w:w="4876" w:type="dxa"/>
            <w:tcBorders>
              <w:top w:val="nil"/>
              <w:left w:val="nil"/>
              <w:bottom w:val="nil"/>
              <w:right w:val="nil"/>
            </w:tcBorders>
          </w:tcPr>
          <w:p>
            <w:pPr>
              <w:pStyle w:val="Normal6a"/>
            </w:pPr>
            <w:r>
              <w:t>1.</w:t>
            </w:r>
            <w:r>
              <w:tab/>
            </w:r>
            <w:r>
              <w:t xml:space="preserve">Arbetssökande från tredjeländer kan skapa sina profiler genom </w:t>
            </w:r>
            <w:r>
              <w:rPr>
                <w:b/>
                <w:i/>
              </w:rPr>
              <w:t>manuell inmatning, import av meritförteckningar,</w:t>
            </w:r>
            <w:r>
              <w:t xml:space="preserve"> profilbyggaren i Europass</w:t>
            </w:r>
            <w:r>
              <w:rPr>
                <w:b/>
                <w:i/>
              </w:rPr>
              <w:t>, EU:s verktyg för kompetensprofil för tredjelandsmedborgare eller annan integration som godkänts av sekretariatet</w:t>
            </w:r>
            <w:r>
              <w:t xml:space="preserve"> för att registrera sig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Arbetssökande från tredjeländer </w:t>
            </w:r>
            <w:r>
              <w:rPr>
                <w:b/>
                <w:i/>
              </w:rPr>
              <w:t>kan</w:t>
            </w:r>
            <w:r>
              <w:t xml:space="preserve"> skapa sina profiler genom profilbyggaren i Europass för att registrera sig på it-plattformen för EU:s talangreserv.</w:t>
            </w:r>
          </w:p>
        </w:tc>
        <w:tc>
          <w:tcPr>
            <w:tcW w:w="4876" w:type="dxa"/>
            <w:tcBorders>
              <w:top w:val="nil"/>
              <w:left w:val="nil"/>
              <w:bottom w:val="nil"/>
              <w:right w:val="nil"/>
            </w:tcBorders>
          </w:tcPr>
          <w:p>
            <w:pPr>
              <w:pStyle w:val="Normal6a"/>
            </w:pPr>
            <w:r>
              <w:t>1.</w:t>
            </w:r>
            <w:r>
              <w:tab/>
            </w:r>
            <w:r>
              <w:t xml:space="preserve">Arbetssökande från tredjeländer </w:t>
            </w:r>
            <w:r>
              <w:rPr>
                <w:b/>
                <w:i/>
              </w:rPr>
              <w:t>som vill registrera sig på it-plattformen för EU:s talangreserv ska</w:t>
            </w:r>
            <w:r>
              <w:t xml:space="preserve"> skapa sina profiler genom profilbyggaren i Europass för att registrera sig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Arbetssökande från tredjeländer </w:t>
            </w:r>
            <w:r>
              <w:rPr>
                <w:b/>
                <w:i/>
              </w:rPr>
              <w:t>kan</w:t>
            </w:r>
            <w:r>
              <w:t xml:space="preserve"> skapa sina profiler genom profilbyggaren i Europass för att registrera sig på it-plattformen för EU:s talangreserv.</w:t>
            </w:r>
          </w:p>
        </w:tc>
        <w:tc>
          <w:tcPr>
            <w:tcW w:w="4876" w:type="dxa"/>
            <w:tcBorders>
              <w:top w:val="nil"/>
              <w:left w:val="nil"/>
              <w:bottom w:val="nil"/>
              <w:right w:val="nil"/>
            </w:tcBorders>
          </w:tcPr>
          <w:p>
            <w:pPr>
              <w:pStyle w:val="Normal6a"/>
            </w:pPr>
            <w:r>
              <w:t>1.</w:t>
            </w:r>
            <w:r>
              <w:tab/>
            </w:r>
            <w:r>
              <w:t xml:space="preserve">Arbetssökande från tredjeländer </w:t>
            </w:r>
            <w:r>
              <w:rPr>
                <w:b/>
                <w:i/>
              </w:rPr>
              <w:t>ska</w:t>
            </w:r>
            <w:r>
              <w:t xml:space="preserve"> skapa sina profiler genom profilbyggaren i Europass för att registrera sig på it-plattformen för EU:s talangreserv.</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t>2.</w:t>
            </w:r>
            <w:r>
              <w:tab/>
            </w:r>
            <w:r>
              <w:t xml:space="preserve">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 </w:t>
            </w:r>
            <w:r>
              <w:rPr>
                <w:b/>
                <w:i/>
              </w:rPr>
              <w:t>Om en sådan profil redan är registrerad på it-plattformen ska den tas bort.</w:t>
            </w:r>
            <w:r>
              <w:t xml:space="preserve"> </w:t>
            </w:r>
            <w:r>
              <w:rPr>
                <w:b/>
                <w:i/>
              </w:rPr>
              <w:t>Även om rättsliga förfaranden mot en arbetssökande från ett tredjeland har avslutats och de rättsliga åtgärderna har vidtagits ska arbetssökanden vara utestängd från plattformen.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Tomáš Zdechovský,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t>2.</w:t>
            </w:r>
            <w:r>
              <w:tab/>
            </w:r>
            <w:r>
              <w:t xml:space="preserve">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 </w:t>
            </w:r>
            <w:r>
              <w:rPr>
                <w:b/>
                <w:i/>
              </w:rPr>
              <w:t>Dessutom ska tillgången till registrering av en profil på it-plattformen för EU:s talangreserv begränsas till personer som kan tillhandahålla ett utdrag ur belastningsregistret, vilket säkerställer ökad säkerhet och underlättar en grundligare kontroll av brottslig bakgrund.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Möjligheten att registrera en profil på it-plattformen för EU:s talangreserv ska begränsas till personer som uttryckligen förklarar att de </w:t>
            </w:r>
            <w:r>
              <w:rPr>
                <w:b/>
                <w:i/>
              </w:rPr>
              <w:t>inte omfattas av ett rättsligt eller administrativt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t>2.</w:t>
            </w:r>
            <w:r>
              <w:tab/>
            </w:r>
            <w:r>
              <w:t>Möjligheten att registrera en profil på it-plattformen för EU:s talangreserv ska begränsas till personer som uttryckligen förklarar att 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Möjligheten att registrera en profil på it-plattformen för EU:s talangreserv ska begränsas till personer som uttryckligen förklarar att de inte omfattas av ett rättsligt eller administrativt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t>2.</w:t>
            </w:r>
            <w:r>
              <w:tab/>
            </w:r>
            <w:r>
              <w:t xml:space="preserve">Möjligheten att registrera en profil på it-plattformen för EU:s talangreserv ska begränsas till personer som uttryckligen förklarar </w:t>
            </w:r>
            <w:r>
              <w:rPr>
                <w:b/>
                <w:i/>
              </w:rPr>
              <w:t>samt kan bevisa med registerutdrag som kan verifieras på ett enkelt sätt</w:t>
            </w:r>
            <w:r>
              <w:t xml:space="preserve"> att de inte omfattas av ett rättsligt eller administrativt beslut om nekad inresa till eller vistelse i en medlemsstat i enlighet med dess nationella rätt eller ett inreseförbud till unionens territorium i enlighet med direktiv 2008/115/EG </w:t>
            </w:r>
            <w:r>
              <w:rPr>
                <w:b/>
                <w:i/>
              </w:rPr>
              <w:t>samt i övrigt kan bevisa god vandel i sina hemländer</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Möjligheten att registrera en profil på it-plattformen för EU:s talangreserv ska begränsas till personer som uttryckligen förklarar att de inte omfattas av ett rättsligt </w:t>
            </w:r>
            <w:r>
              <w:rPr>
                <w:b/>
                <w:i/>
              </w:rPr>
              <w:t>eller administrativt</w:t>
            </w:r>
            <w:r>
              <w:t xml:space="preserve"> beslut om nekad inresa till eller vistelse i en medlemsstat i enlighet med dess nationella rätt eller ett inreseförbud till unionens territorium i enlighet med direktiv 2008/115/EG.</w:t>
            </w:r>
          </w:p>
        </w:tc>
        <w:tc>
          <w:tcPr>
            <w:tcW w:w="4876" w:type="dxa"/>
            <w:tcBorders>
              <w:top w:val="nil"/>
              <w:left w:val="nil"/>
              <w:bottom w:val="nil"/>
              <w:right w:val="nil"/>
            </w:tcBorders>
          </w:tcPr>
          <w:p>
            <w:pPr>
              <w:pStyle w:val="Normal6a"/>
            </w:pPr>
            <w:r>
              <w:t>2.</w:t>
            </w:r>
            <w:r>
              <w:tab/>
            </w:r>
            <w:r>
              <w:t>Möjligheten att registrera en profil på it-plattformen för EU:s talangreserv ska begränsas till personer som uttryckligen förklarar att de inte omfattas av ett rättsligt beslut om nekad inresa till eller vistelse i en medlemsstat i enlighet med dess nationella rätt eller ett inreseförbud till unionens territorium i enlighet med direktiv 2008/115/EG.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 inte omfattas av ett rättsligt eller administrativt beslut om nekad inresa till eller vistelse i en medlemsstat i enlighet med dess nationella rätt eller ett inreseförbud till unionens territorium i enlighet med direktiv 2008/115/EG,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inte har dömts för ett brott enligt direktiv (EU) 2017/541 eller för något annat brott som utgör eller innebär ett hot mot en medlemsstats nationella säkerhet,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inte medvetet har samröre med personer, grupper och enheter som omfattas av gemensam ståndpunkt 2001/931/CFSP (nedan kallad förteckningen).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Arbetssökande vars invandringsansökan avslås i en medlemsstat till följd av de säkerhetskontroller som gjorts i enlighet med artikel 19.2 b ska omedelbart få sina profiler borttagna från it-plattformen för EU:s talangreserv utan möjlighet att återinföra dem.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Under de invandringsförfaranden som utförs av medlemsstaterna får nödvändiga kontroller utföras i relevanta nationella databaser och EU-databaser, t.ex. Schengens informationssystem.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En arbetssökande som nekas tillgång till EU:s talangreserv ska underrättas skriftligen via it-plattformen för EU:s talangreserv, och skälen till avslaget ska förklaras.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2b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Profiler för arbetssökande som lämnat felaktiga uppgifter om någon av de ovannämnda punkterna ska raderas från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Profiler för arbetssökande från tredjeländer som är registrerade i EU:s talangreserv ska vara synliga för arbetsgivare som deltar i EU:s talangreserv.</w:t>
            </w:r>
          </w:p>
        </w:tc>
        <w:tc>
          <w:tcPr>
            <w:tcW w:w="4876" w:type="dxa"/>
            <w:tcBorders>
              <w:top w:val="nil"/>
              <w:left w:val="nil"/>
              <w:bottom w:val="nil"/>
              <w:right w:val="nil"/>
            </w:tcBorders>
          </w:tcPr>
          <w:p>
            <w:pPr>
              <w:pStyle w:val="Normal6a"/>
            </w:pPr>
            <w:r>
              <w:t>3.</w:t>
            </w:r>
            <w:r>
              <w:tab/>
            </w:r>
            <w:r>
              <w:t xml:space="preserve">Profiler för arbetssökande från tredjeländer som är registrerade i EU:s talangreserv ska vara synliga för </w:t>
            </w:r>
            <w:r>
              <w:rPr>
                <w:b/>
                <w:i/>
              </w:rPr>
              <w:t>deltagande</w:t>
            </w:r>
            <w:r>
              <w:t xml:space="preserve"> arbetsgivare </w:t>
            </w:r>
            <w:r>
              <w:rPr>
                <w:b/>
                <w:i/>
              </w:rPr>
              <w:t>och mellanhänder, leverantörer av kontroll- och matchningstjänster, kompetenshöjnings- och omskolningstjänster samt nationella kontaktpunkter</w:t>
            </w:r>
            <w:r>
              <w:t xml:space="preserve"> som deltar i EU:s talangreserv </w:t>
            </w:r>
            <w:r>
              <w:rPr>
                <w:b/>
                <w:i/>
              </w:rPr>
              <w:t>på grundval av behovsenlig behörighet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Profiler för arbetssökande från tredjeländer som är registrerade i EU:s talangreserv ska vara synliga för </w:t>
            </w:r>
            <w:r>
              <w:rPr>
                <w:b/>
                <w:i/>
              </w:rPr>
              <w:t>arbetsgivare som deltar i EU:s talangreserv.</w:t>
            </w:r>
          </w:p>
        </w:tc>
        <w:tc>
          <w:tcPr>
            <w:tcW w:w="4876" w:type="dxa"/>
            <w:tcBorders>
              <w:top w:val="nil"/>
              <w:left w:val="nil"/>
              <w:bottom w:val="nil"/>
              <w:right w:val="nil"/>
            </w:tcBorders>
          </w:tcPr>
          <w:p>
            <w:pPr>
              <w:pStyle w:val="Normal6a"/>
            </w:pPr>
            <w:r>
              <w:t>3.</w:t>
            </w:r>
            <w:r>
              <w:tab/>
            </w:r>
            <w:r>
              <w:t xml:space="preserve">Profiler för arbetssökande från tredjeländer som är registrerade i EU:s talangreserv ska vara synliga för </w:t>
            </w:r>
            <w:r>
              <w:rPr>
                <w:b/>
                <w:i/>
              </w:rPr>
              <w:t>alla som betalar för att studera innehållet i talangreserven</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Arbetssökande från tredjeländer som är registrerade på it-plattformen för EU:s talangreserv kan söka efter lediga platser.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Arbetssökande från tredjeländer som är registrerade på it-plattformen för EU:s talangreserv kan söka efter lediga platser.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Arbetssökande från tredjeländer som är registrerade på it-plattformen för EU:s talangreserv kan söka efter lediga platser.</w:t>
            </w:r>
          </w:p>
        </w:tc>
        <w:tc>
          <w:tcPr>
            <w:tcW w:w="4876" w:type="dxa"/>
            <w:tcBorders>
              <w:top w:val="nil"/>
              <w:left w:val="nil"/>
              <w:bottom w:val="nil"/>
              <w:right w:val="nil"/>
            </w:tcBorders>
          </w:tcPr>
          <w:p>
            <w:pPr>
              <w:pStyle w:val="Normal6a"/>
            </w:pPr>
            <w:r>
              <w:t>4.</w:t>
            </w:r>
            <w:r>
              <w:tab/>
            </w:r>
            <w:r>
              <w:t xml:space="preserve">Arbetssökande från tredjeländer som är registrerade på it-plattformen för EU:s talangreserv kan söka efter lediga platser </w:t>
            </w:r>
            <w:r>
              <w:rPr>
                <w:b/>
                <w:i/>
              </w:rPr>
              <w:t>som utannonserats av arbetsgivare från deltagande medlemsstater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Arbetssökande från tredjeländer som är registrerade på it-plattformen för EU:s talangreserv </w:t>
            </w:r>
            <w:r>
              <w:rPr>
                <w:b/>
                <w:i/>
              </w:rPr>
              <w:t>kan</w:t>
            </w:r>
            <w:r>
              <w:t xml:space="preserve"> söka efter lediga platser.</w:t>
            </w:r>
          </w:p>
        </w:tc>
        <w:tc>
          <w:tcPr>
            <w:tcW w:w="4876" w:type="dxa"/>
            <w:tcBorders>
              <w:top w:val="nil"/>
              <w:left w:val="nil"/>
              <w:bottom w:val="nil"/>
              <w:right w:val="nil"/>
            </w:tcBorders>
          </w:tcPr>
          <w:p>
            <w:pPr>
              <w:pStyle w:val="Normal6a"/>
            </w:pPr>
            <w:r>
              <w:t>4.</w:t>
            </w:r>
            <w:r>
              <w:tab/>
            </w:r>
            <w:r>
              <w:t xml:space="preserve">Arbetssökande från tredjeländer som är registrerade på it-plattformen för EU:s talangreserv </w:t>
            </w:r>
            <w:r>
              <w:rPr>
                <w:b/>
                <w:i/>
              </w:rPr>
              <w:t>ska kunna</w:t>
            </w:r>
            <w:r>
              <w:t xml:space="preserve"> söka efter </w:t>
            </w:r>
            <w:r>
              <w:rPr>
                <w:b/>
                <w:i/>
              </w:rPr>
              <w:t>alla</w:t>
            </w:r>
            <w:r>
              <w:t xml:space="preserve"> lediga platser </w:t>
            </w:r>
            <w:r>
              <w:rPr>
                <w:b/>
                <w:i/>
              </w:rPr>
              <w:t>och se profiler för deltagande arbetsgivare och mellanhänder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Arbetssökande från tredjeländer kan välja flera nivåer för identitetskontroll: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Ingen verifiering, genom att skapa en grundläggande profil utan ytterligare kontroller.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Förbättrad verifiering, genom inlämning av en digital identitetshandling som är elektroniskt undertecknad av en erkänd identitetsleverantör.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Arbetssökande och arbetstagare från tredjeländer ska åtnjuta rättvis och lika behandling på samma sätt som EU-medborgare, inbegripet när det gäller arbets- och anställningsvillkor, lön, tillgång till socialt skydd, utbildning, sociala förmåner och skatteförmåner, hälso- och sjukvård, utbildning, bostäder och fackföreningsrättigheter.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Profilregistrering och tillgång för arbetssökande från tredjeländer inom ramen för talangpartnerskap</w:t>
            </w:r>
          </w:p>
        </w:tc>
        <w:tc>
          <w:tcPr>
            <w:tcW w:w="4876" w:type="dxa"/>
            <w:tcBorders>
              <w:top w:val="nil"/>
              <w:left w:val="nil"/>
              <w:bottom w:val="nil"/>
              <w:right w:val="nil"/>
            </w:tcBorders>
          </w:tcPr>
          <w:p>
            <w:pPr>
              <w:pStyle w:val="Normal6a"/>
            </w:pPr>
            <w:r>
              <w:t xml:space="preserve">Profilregistrering och tillgång för arbetssökande från tredjeländer inom ramen för talangpartnerskap </w:t>
            </w:r>
            <w:r>
              <w:rPr>
                <w:b/>
                <w:i/>
              </w:rPr>
              <w:t>eller nationella ramverk för utveckling och validering av kompetens i ett tredjeland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Profilregistrering och tillgång för arbetssökande från tredjeländer inom ramen för talangpartnerskap</w:t>
            </w:r>
          </w:p>
        </w:tc>
        <w:tc>
          <w:tcPr>
            <w:tcW w:w="4876" w:type="dxa"/>
            <w:tcBorders>
              <w:top w:val="nil"/>
              <w:left w:val="nil"/>
              <w:bottom w:val="nil"/>
              <w:right w:val="nil"/>
            </w:tcBorders>
          </w:tcPr>
          <w:p>
            <w:pPr>
              <w:pStyle w:val="Normal6a"/>
            </w:pPr>
            <w:r>
              <w:t xml:space="preserve">Profilregistrering och tillgång för arbetssökande från tredjeländer inom ramen för talangpartnerskap </w:t>
            </w:r>
            <w:r>
              <w:rPr>
                <w:b/>
                <w:i/>
              </w:rPr>
              <w:t>och nationella ramverk för utveckling och validering av kompetens i ett tredjeland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Profilregistrering och tillgång för arbetssökande från tredjeländer inom ramen för talangpartnerskap</w:t>
            </w:r>
          </w:p>
        </w:tc>
        <w:tc>
          <w:tcPr>
            <w:tcW w:w="4876" w:type="dxa"/>
            <w:tcBorders>
              <w:top w:val="nil"/>
              <w:left w:val="nil"/>
              <w:bottom w:val="nil"/>
              <w:right w:val="nil"/>
            </w:tcBorders>
          </w:tcPr>
          <w:p>
            <w:pPr>
              <w:pStyle w:val="Normal6a"/>
            </w:pPr>
            <w:r>
              <w:t xml:space="preserve">Profilregistrering och tillgång för arbetssökande från tredjeländer inom ramen för </w:t>
            </w:r>
            <w:r>
              <w:rPr>
                <w:b/>
                <w:i/>
              </w:rPr>
              <w:t>EU:s</w:t>
            </w:r>
            <w:r>
              <w:t xml:space="preserve"> talangpartnerskap </w:t>
            </w:r>
            <w:r>
              <w:rPr>
                <w:b/>
                <w:i/>
              </w:rPr>
              <w:t>och nationella arrangemang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som deltar i ett </w:t>
            </w:r>
            <w:r>
              <w:rPr>
                <w:b/>
                <w:i/>
              </w:rPr>
              <w:t>talangpartnerskap</w:t>
            </w:r>
            <w:r>
              <w:t xml:space="preserve"> kan välja att använda sig av EU:s talangreserv för att underlätta rekryteringen av arbetssökande från det berörda tredjelandet vars kompetens har utvecklats eller validerats inom ramen för det </w:t>
            </w:r>
            <w:r>
              <w:rPr>
                <w:b/>
                <w:i/>
              </w:rPr>
              <w:t>talangpartnerskapet och</w:t>
            </w:r>
            <w:r>
              <w:t xml:space="preserve"> certifierats genom ett EU-talangpartnerskapspass.</w:t>
            </w:r>
          </w:p>
        </w:tc>
        <w:tc>
          <w:tcPr>
            <w:tcW w:w="4876" w:type="dxa"/>
            <w:tcBorders>
              <w:top w:val="nil"/>
              <w:left w:val="nil"/>
              <w:bottom w:val="nil"/>
              <w:right w:val="nil"/>
            </w:tcBorders>
          </w:tcPr>
          <w:p>
            <w:pPr>
              <w:pStyle w:val="Normal6a"/>
            </w:pPr>
            <w:r>
              <w:t>1.</w:t>
            </w:r>
            <w:r>
              <w:tab/>
            </w:r>
            <w:r>
              <w:t xml:space="preserve">Deltagande medlemsstater som deltar i ett </w:t>
            </w:r>
            <w:r>
              <w:rPr>
                <w:b/>
                <w:i/>
              </w:rPr>
              <w:t>EU-talangpartnerskap eller har infört ett nationellt ramverk för kompetensutveckling och validering i ett tredjeland</w:t>
            </w:r>
            <w:r>
              <w:t xml:space="preserve"> kan välja att använda sig av EU:s talangreserv för att underlätta rekryteringen av arbetssökande från det berörda tredjelandet vars kompetens har utvecklats eller validerats inom ramen för det </w:t>
            </w:r>
            <w:r>
              <w:rPr>
                <w:b/>
                <w:i/>
              </w:rPr>
              <w:t>EU-talangpartnerskapet eller ett nationellt ramverk och som</w:t>
            </w:r>
            <w:r>
              <w:t xml:space="preserve"> certifierats genom ett </w:t>
            </w:r>
            <w:r>
              <w:rPr>
                <w:b/>
                <w:i/>
              </w:rPr>
              <w:t>”</w:t>
            </w:r>
            <w:r>
              <w:t>EU-talangpartnerskapspass</w:t>
            </w:r>
            <w:r>
              <w:rPr>
                <w:b/>
                <w:i/>
              </w:rPr>
              <w: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Deltagande medlemsstater som deltar i ett talangpartnerskap kan välja att använda sig av EU:s talangreserv för att underlätta rekryteringen av arbetssökande från det berörda tredjelandet vars kompetens har utvecklats eller validerats inom ramen för det talangpartnerskapet och certifierats genom ett EU-talangpartnerskapspass.</w:t>
            </w:r>
          </w:p>
        </w:tc>
        <w:tc>
          <w:tcPr>
            <w:tcW w:w="4876" w:type="dxa"/>
            <w:tcBorders>
              <w:top w:val="nil"/>
              <w:left w:val="nil"/>
              <w:bottom w:val="nil"/>
              <w:right w:val="nil"/>
            </w:tcBorders>
          </w:tcPr>
          <w:p>
            <w:pPr>
              <w:pStyle w:val="Normal6a"/>
            </w:pPr>
            <w:r>
              <w:t>1.</w:t>
            </w:r>
            <w:r>
              <w:tab/>
            </w:r>
            <w:r>
              <w:t xml:space="preserve">Deltagande medlemsstater som deltar i ett talangpartnerskap kan välja att använda sig av EU:s talangreserv för att underlätta rekryteringen av arbetssökande från det berörda tredjelandet vars kompetens har utvecklats eller validerats inom ramen för det talangpartnerskapet och certifierats genom ett EU-talangpartnerskapspass. </w:t>
            </w:r>
            <w:r>
              <w:rPr>
                <w:b/>
                <w:i/>
              </w:rPr>
              <w:t>Det står varje medlemsland fritt att bedömma om ett utfärdat EU-talangpartnerskapspass är giltigt och ett utfärdad godkännande kan dras tillbaka av värdlandet.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som deltar i ett </w:t>
            </w:r>
            <w:r>
              <w:rPr>
                <w:b/>
                <w:i/>
              </w:rPr>
              <w:t>talangpartnerskap</w:t>
            </w:r>
            <w:r>
              <w:t xml:space="preserve"> kan välja att använda sig av EU:s talangreserv för att underlätta rekryteringen av arbetssökande från det berörda tredjelandet vars kompetens har utvecklats eller validerats inom ramen för det talangpartnerskapet och certifierats genom ett EU-talangpartnerskapspass.</w:t>
            </w:r>
          </w:p>
        </w:tc>
        <w:tc>
          <w:tcPr>
            <w:tcW w:w="4876" w:type="dxa"/>
            <w:tcBorders>
              <w:top w:val="nil"/>
              <w:left w:val="nil"/>
              <w:bottom w:val="nil"/>
              <w:right w:val="nil"/>
            </w:tcBorders>
          </w:tcPr>
          <w:p>
            <w:pPr>
              <w:pStyle w:val="Normal6a"/>
            </w:pPr>
            <w:r>
              <w:t>1.</w:t>
            </w:r>
            <w:r>
              <w:tab/>
            </w:r>
            <w:r>
              <w:t xml:space="preserve">Deltagande medlemsstater som deltar i ett </w:t>
            </w:r>
            <w:r>
              <w:rPr>
                <w:b/>
                <w:i/>
              </w:rPr>
              <w:t>EU-talangpartnerskap eller har bilaterala arrangemang med tredjeländer</w:t>
            </w:r>
            <w:r>
              <w:t xml:space="preserve"> kan välja att använda sig av EU:s talangreserv för att underlätta rekryteringen av arbetssökande från det berörda tredjelandet vars kompetens har utvecklats eller validerats inom ramen för det talangpartnerskapet och certifierats genom ett EU-talangpartnerskapspass.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Deltagande</w:t>
            </w:r>
            <w:r>
              <w:t xml:space="preserve"> medlemsstater som deltar i ett talangpartnerskap kan välja att använda sig av EU:s talangreserv för att underlätta rekryteringen av arbetssökande från det berörda tredjelandet vars kompetens har utvecklats eller </w:t>
            </w:r>
            <w:r>
              <w:rPr>
                <w:b/>
                <w:i/>
              </w:rPr>
              <w:t>validerats</w:t>
            </w:r>
            <w:r>
              <w:t xml:space="preserve"> inom ramen för det talangpartnerskapet </w:t>
            </w:r>
            <w:r>
              <w:rPr>
                <w:b/>
                <w:i/>
              </w:rPr>
              <w:t>och certifierats genom ett EU-talangpartnerskapspass</w:t>
            </w:r>
            <w:r>
              <w:t>.</w:t>
            </w:r>
          </w:p>
        </w:tc>
        <w:tc>
          <w:tcPr>
            <w:tcW w:w="4876" w:type="dxa"/>
            <w:tcBorders>
              <w:top w:val="nil"/>
              <w:left w:val="nil"/>
              <w:bottom w:val="nil"/>
              <w:right w:val="nil"/>
            </w:tcBorders>
          </w:tcPr>
          <w:p>
            <w:pPr>
              <w:pStyle w:val="Normal6a"/>
            </w:pPr>
            <w:r>
              <w:t>1.</w:t>
            </w:r>
            <w:r>
              <w:tab/>
            </w:r>
            <w:r>
              <w:t xml:space="preserve">Medlemsstater som deltar i ett talangpartnerskap </w:t>
            </w:r>
            <w:r>
              <w:rPr>
                <w:b/>
                <w:i/>
              </w:rPr>
              <w:t>eller motsvarande nationellt ramverk för kompetensutveckling och validering i ett tredjeland</w:t>
            </w:r>
            <w:r>
              <w:t xml:space="preserve"> kan välja att använda sig av EU:s talangreserv för att underlätta rekryteringen av arbetssökande från det berörda tredjelandet vars kompetens har utvecklats</w:t>
            </w:r>
            <w:r>
              <w:rPr>
                <w:b/>
                <w:i/>
              </w:rPr>
              <w:t>, validerats</w:t>
            </w:r>
            <w:r>
              <w:t xml:space="preserve"> eller </w:t>
            </w:r>
            <w:r>
              <w:rPr>
                <w:b/>
                <w:i/>
              </w:rPr>
              <w:t>certifierats</w:t>
            </w:r>
            <w:r>
              <w:t xml:space="preserve"> inom ramen för det talangpartnerskapet </w:t>
            </w:r>
            <w:r>
              <w:rPr>
                <w:b/>
                <w:i/>
              </w:rPr>
              <w:t>eller det motsvarande nationella ramverket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Deltagande</w:t>
            </w:r>
            <w:r>
              <w:t xml:space="preserve"> medlemsstater som deltar i ett talangpartnerskap kan välja att använda sig av EU:s talangreserv för att underlätta rekryteringen av arbetssökande från det berörda tredjelandet vars kompetens har utvecklats eller validerats inom ramen för det talangpartnerskapet och certifierats genom ett EU-talangpartnerskapspass.</w:t>
            </w:r>
          </w:p>
        </w:tc>
        <w:tc>
          <w:tcPr>
            <w:tcW w:w="4876" w:type="dxa"/>
            <w:tcBorders>
              <w:top w:val="nil"/>
              <w:left w:val="nil"/>
              <w:bottom w:val="nil"/>
              <w:right w:val="nil"/>
            </w:tcBorders>
          </w:tcPr>
          <w:p>
            <w:pPr>
              <w:pStyle w:val="Normal6a"/>
            </w:pPr>
            <w:r>
              <w:t>1.</w:t>
            </w:r>
            <w:r>
              <w:tab/>
            </w:r>
            <w:r>
              <w:t>Medlemsstater som deltar i ett talangpartnerskap kan välja att använda sig av EU:s talangreserv för att underlätta rekryteringen av arbetssökande från det berörda tredjelandet vars kompetens har utvecklats eller validerats inom ramen för det talangpartnerskapet och certifierats genom ett EU-talangpartnerskapspass.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Arbetssökande från tredjeländer som har fått ett EU-talangpartnerskapspass som intygar den kompetens som utvecklats eller validerats inom ramen för ett </w:t>
            </w:r>
            <w:r>
              <w:rPr>
                <w:b/>
                <w:i/>
              </w:rPr>
              <w:t>talangpartnerskap</w:t>
            </w:r>
            <w:r>
              <w:t xml:space="preserve"> får registrera sin profil på it-plattformen för EU:s talangreserv och länka denna till EU-talangpartnerskapspasset.</w:t>
            </w:r>
          </w:p>
        </w:tc>
        <w:tc>
          <w:tcPr>
            <w:tcW w:w="4876" w:type="dxa"/>
            <w:tcBorders>
              <w:top w:val="nil"/>
              <w:left w:val="nil"/>
              <w:bottom w:val="nil"/>
              <w:right w:val="nil"/>
            </w:tcBorders>
          </w:tcPr>
          <w:p>
            <w:pPr>
              <w:pStyle w:val="Normal6a"/>
            </w:pPr>
            <w:r>
              <w:t>2.</w:t>
            </w:r>
            <w:r>
              <w:tab/>
            </w:r>
            <w:r>
              <w:t xml:space="preserve">Arbetssökande från tredjeländer som har fått ett EU-talangpartnerskapspass som intygar den kompetens som utvecklats eller validerats inom ramen för ett </w:t>
            </w:r>
            <w:r>
              <w:rPr>
                <w:b/>
                <w:i/>
              </w:rPr>
              <w:t>EU-talangpartnerskap eller bilaterala arrangemang</w:t>
            </w:r>
            <w:r>
              <w:t xml:space="preserve"> får registrera sin profil på it-plattformen för EU:s talangreserv och länka denna till EU-talangpartnerskapspasset.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Arbetssökande från tredjeländer som har fått ett EU-talangpartnerskapspass som </w:t>
            </w:r>
            <w:r>
              <w:rPr>
                <w:b/>
                <w:i/>
              </w:rPr>
              <w:t>intygar</w:t>
            </w:r>
            <w:r>
              <w:t xml:space="preserve"> den kompetens som </w:t>
            </w:r>
            <w:r>
              <w:rPr>
                <w:b/>
                <w:i/>
              </w:rPr>
              <w:t>utvecklats eller validerats inom ramen för ett talangpartnerskap</w:t>
            </w:r>
            <w:r>
              <w:t xml:space="preserve"> får registrera sin profil på it-plattformen för EU:s talangreserv och länka denna till EU-talangpartnerskapspasset.</w:t>
            </w:r>
          </w:p>
        </w:tc>
        <w:tc>
          <w:tcPr>
            <w:tcW w:w="4876" w:type="dxa"/>
            <w:tcBorders>
              <w:top w:val="nil"/>
              <w:left w:val="nil"/>
              <w:bottom w:val="nil"/>
              <w:right w:val="nil"/>
            </w:tcBorders>
          </w:tcPr>
          <w:p>
            <w:pPr>
              <w:pStyle w:val="Normal6a"/>
            </w:pPr>
            <w:r>
              <w:t>2.</w:t>
            </w:r>
            <w:r>
              <w:tab/>
            </w:r>
            <w:r>
              <w:t xml:space="preserve">Arbetssökande från tredjeländer som har fått ett EU-talangpartnerskapspass som </w:t>
            </w:r>
            <w:r>
              <w:rPr>
                <w:b/>
                <w:i/>
              </w:rPr>
              <w:t>kan garantera</w:t>
            </w:r>
            <w:r>
              <w:t xml:space="preserve"> den kompetens som </w:t>
            </w:r>
            <w:r>
              <w:rPr>
                <w:b/>
                <w:i/>
              </w:rPr>
              <w:t>de påstår att de är i besittning av</w:t>
            </w:r>
            <w:r>
              <w:t xml:space="preserve"> får registrera sin profil på it-plattformen för EU:s talangreserv och länka denna till EU-talangpartnerskapspasset.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Arbetssökande från ett tredjeland som har fått ett talangpartnerskapskort och som till följd av ett erbjudande om arbete därefter ansöker om tillstånd för högkvalificerad anställning i enlighet med direktiv (EU) 2021/1883 ska automatiskt omfattas av bestämmelserna i artikel 11.1 andra stycket och artikel 13.2 i det direktivet.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Arbetssökande från tredjeländer som har dragit nytta av nationella ramverk för utveckling och validering av kompetens i ett tredjeland kan koppla sin profil till dessa ramverk och ange de kompetenser som utvecklats och validerats i detta sammanhang.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stycke 2b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Arbetssökande från ett tredjeland som har fått ett talangpartnerskapspass och som till följd av ett erbjudande om arbete därefter ansöker om ett kombinerat tillstånd i enlighet med direktiv (EU) 2024/1233 ska få ett beslut om sin ansökan i enlighet med artikel 5.2 i det direktivet.</w:t>
            </w:r>
            <w:r>
              <w:t xml:space="preserve"> </w:t>
            </w:r>
            <w:r>
              <w:rPr>
                <w:b/>
                <w:i/>
              </w:rPr>
              <w:t>För sådana ansökningar om kombinerade tillstånd ska bestämmelserna i artikel 8.3 och 8.4 i direktivet inte tillämpas.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EU-talangpartnerskapspasset</w:t>
            </w:r>
            <w:r>
              <w:t xml:space="preserve"> ska vara synligt på it-plattformen för EU:s talangreserv och innehålla information om en eller flera av följande aspekter:</w:t>
            </w:r>
          </w:p>
        </w:tc>
        <w:tc>
          <w:tcPr>
            <w:tcW w:w="4876" w:type="dxa"/>
            <w:tcBorders>
              <w:top w:val="nil"/>
              <w:left w:val="nil"/>
              <w:bottom w:val="nil"/>
              <w:right w:val="nil"/>
            </w:tcBorders>
          </w:tcPr>
          <w:p>
            <w:pPr>
              <w:pStyle w:val="Normal6a"/>
            </w:pPr>
            <w:r>
              <w:t>3.</w:t>
            </w:r>
            <w:r>
              <w:tab/>
            </w:r>
            <w:r>
              <w:rPr>
                <w:b/>
                <w:i/>
              </w:rPr>
              <w:t>Talangpartnerskapspasset</w:t>
            </w:r>
            <w:r>
              <w:t xml:space="preserve"> ska vara synligt på it-plattformen för EU:s talangreserv och innehålla information om en eller flera av följande aspekter: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Närmare</w:t>
            </w:r>
            <w:r>
              <w:t xml:space="preserve"> uppgifter om den utbildning som genomgåtts av den tredjelandsmedborgare som deltar i talangpartnerskapet, inbegripet utbildningens ämnesområde och längd och vilken typ av kompetens som erhållits </w:t>
            </w:r>
            <w:r>
              <w:rPr>
                <w:b/>
                <w:i/>
              </w:rPr>
              <w:t>och på</w:t>
            </w:r>
            <w:r>
              <w:t xml:space="preserve"> vilken nivå.</w:t>
            </w:r>
          </w:p>
        </w:tc>
        <w:tc>
          <w:tcPr>
            <w:tcW w:w="4876" w:type="dxa"/>
            <w:tcBorders>
              <w:top w:val="nil"/>
              <w:left w:val="nil"/>
              <w:bottom w:val="nil"/>
              <w:right w:val="nil"/>
            </w:tcBorders>
          </w:tcPr>
          <w:p>
            <w:pPr>
              <w:pStyle w:val="Normal6a"/>
            </w:pPr>
            <w:r>
              <w:t>a)</w:t>
            </w:r>
            <w:r>
              <w:tab/>
            </w:r>
            <w:r>
              <w:rPr>
                <w:b/>
                <w:i/>
              </w:rPr>
              <w:t>Fullständiga</w:t>
            </w:r>
            <w:r>
              <w:t xml:space="preserve"> uppgifter om den utbildning som genomgåtts av den tredjelandsmedborgare som deltar i talangpartnerskapet, inbegripet utbildningens ämnesområde och längd och vilken typ av kompetens som erhållits</w:t>
            </w:r>
            <w:r>
              <w:rPr>
                <w:b/>
                <w:i/>
              </w:rPr>
              <w:t>,</w:t>
            </w:r>
            <w:r>
              <w:t xml:space="preserve"> vilken nivå</w:t>
            </w:r>
            <w:r>
              <w:rPr>
                <w:b/>
                <w:i/>
              </w:rPr>
              <w:t>, vilket lärosäte eller organisation som utfört utbildningen samt deras certifikat, och kopior på deras utfärdade utbildningsbevis</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Närmare uppgifter om den utbildning som genomgåtts av den tredjelandsmedborgare som deltar i </w:t>
            </w:r>
            <w:r>
              <w:rPr>
                <w:b/>
                <w:i/>
              </w:rPr>
              <w:t>talangpartnerskapet</w:t>
            </w:r>
            <w:r>
              <w:t>, inbegripet utbildningens ämnesområde och längd och vilken typ av kompetens som erhållits och på vilken nivå.</w:t>
            </w:r>
          </w:p>
        </w:tc>
        <w:tc>
          <w:tcPr>
            <w:tcW w:w="4876" w:type="dxa"/>
            <w:tcBorders>
              <w:top w:val="nil"/>
              <w:left w:val="nil"/>
              <w:bottom w:val="nil"/>
              <w:right w:val="nil"/>
            </w:tcBorders>
          </w:tcPr>
          <w:p>
            <w:pPr>
              <w:pStyle w:val="Normal6a"/>
            </w:pPr>
            <w:r>
              <w:t>a)</w:t>
            </w:r>
            <w:r>
              <w:tab/>
            </w:r>
            <w:r>
              <w:t xml:space="preserve">Närmare uppgifter om den utbildning som genomgåtts av den tredjelandsmedborgare som deltar i </w:t>
            </w:r>
            <w:r>
              <w:rPr>
                <w:b/>
                <w:i/>
              </w:rPr>
              <w:t>EU-talangpartnerskapet eller i ett nationellt ramverk</w:t>
            </w:r>
            <w:r>
              <w:t>, inbegripet utbildningens ämnesområde och längd och vilken typ av kompetens som erhållits och på vilken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Närmare uppgifter om den utbildning som genomgåtts av den tredjelandsmedborgare som deltar i </w:t>
            </w:r>
            <w:r>
              <w:rPr>
                <w:b/>
                <w:i/>
              </w:rPr>
              <w:t>talangpartnerskapet</w:t>
            </w:r>
            <w:r>
              <w:t>, inbegripet utbildningens ämnesområde och längd och vilken typ av kompetens som erhållits och på vilken nivå.</w:t>
            </w:r>
          </w:p>
        </w:tc>
        <w:tc>
          <w:tcPr>
            <w:tcW w:w="4876" w:type="dxa"/>
            <w:tcBorders>
              <w:top w:val="nil"/>
              <w:left w:val="nil"/>
              <w:bottom w:val="nil"/>
              <w:right w:val="nil"/>
            </w:tcBorders>
          </w:tcPr>
          <w:p>
            <w:pPr>
              <w:pStyle w:val="Normal6a"/>
            </w:pPr>
            <w:r>
              <w:t>a)</w:t>
            </w:r>
            <w:r>
              <w:tab/>
            </w:r>
            <w:r>
              <w:t xml:space="preserve">Närmare uppgifter om den utbildning som genomgåtts av den tredjelandsmedborgare som deltar i </w:t>
            </w:r>
            <w:r>
              <w:rPr>
                <w:b/>
                <w:i/>
              </w:rPr>
              <w:t>EU-talangpartnerskapet eller i bilaterala arrangemang</w:t>
            </w:r>
            <w:r>
              <w:t>, inbegripet utbildningens ämnesområde och längd och vilken typ av kompetens som erhållits och på vilken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 kvalifikationer som förvärvats och den kompetens hos tredjelandsmedborgaren som validerats inom ramen för </w:t>
            </w:r>
            <w:r>
              <w:rPr>
                <w:b/>
                <w:i/>
              </w:rPr>
              <w:t>talangpartnerskapet</w:t>
            </w:r>
            <w:r>
              <w:t>, inbegripet kompetens och färdigheter inom ett visst yrke, språkkunskaper eller kunskaper som underlättar integrationen i en eller flera medlemsstater.</w:t>
            </w:r>
          </w:p>
        </w:tc>
        <w:tc>
          <w:tcPr>
            <w:tcW w:w="4876" w:type="dxa"/>
            <w:tcBorders>
              <w:top w:val="nil"/>
              <w:left w:val="nil"/>
              <w:bottom w:val="nil"/>
              <w:right w:val="nil"/>
            </w:tcBorders>
          </w:tcPr>
          <w:p>
            <w:pPr>
              <w:pStyle w:val="Normal6a"/>
            </w:pPr>
            <w:r>
              <w:t>b)</w:t>
            </w:r>
            <w:r>
              <w:tab/>
            </w:r>
            <w:r>
              <w:t xml:space="preserve">De kvalifikationer som förvärvats och den kompetens hos tredjelandsmedborgaren som validerats inom ramen för </w:t>
            </w:r>
            <w:r>
              <w:rPr>
                <w:b/>
                <w:i/>
              </w:rPr>
              <w:t>EU-talangpartnerskapet eller ett nationellt ramverk</w:t>
            </w:r>
            <w:r>
              <w:t>, inbegripet kompetens och färdigheter inom ett visst yrke, språkkunskaper eller kunskaper som underlättar integrationen i en eller flera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 kvalifikationer som förvärvats och den kompetens hos tredjelandsmedborgaren som validerats inom ramen för </w:t>
            </w:r>
            <w:r>
              <w:rPr>
                <w:b/>
                <w:i/>
              </w:rPr>
              <w:t>talangpartnerskapet</w:t>
            </w:r>
            <w:r>
              <w:t>, inbegripet kompetens och färdigheter inom ett visst yrke, språkkunskaper eller kunskaper som underlättar integrationen i en eller flera medlemsstater.</w:t>
            </w:r>
          </w:p>
        </w:tc>
        <w:tc>
          <w:tcPr>
            <w:tcW w:w="4876" w:type="dxa"/>
            <w:tcBorders>
              <w:top w:val="nil"/>
              <w:left w:val="nil"/>
              <w:bottom w:val="nil"/>
              <w:right w:val="nil"/>
            </w:tcBorders>
          </w:tcPr>
          <w:p>
            <w:pPr>
              <w:pStyle w:val="Normal6a"/>
            </w:pPr>
            <w:r>
              <w:t>b)</w:t>
            </w:r>
            <w:r>
              <w:tab/>
            </w:r>
            <w:r>
              <w:t xml:space="preserve">De kvalifikationer som förvärvats och den kompetens hos tredjelandsmedborgaren som validerats inom ramen för </w:t>
            </w:r>
            <w:r>
              <w:rPr>
                <w:b/>
                <w:i/>
              </w:rPr>
              <w:t>EU-talangpartnerskapet eller bilaterala arrangemang</w:t>
            </w:r>
            <w:r>
              <w:t>, inbegripet kompetens och färdigheter inom ett visst yrke, språkkunskaper eller kunskaper som underlättar integrationen i en eller flera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3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Yrkeskompetensbevis och yrkeskvalifikationer som förvärvats under hela yrkeslivet och som utfärdats av yrkesorganisationer och/eller utbildningsinstitutioner i destinationslandet.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Kommissionen ska genom genomförandeakter anta mallar för utformningen av </w:t>
            </w:r>
            <w:r>
              <w:rPr>
                <w:b/>
                <w:i/>
              </w:rPr>
              <w:t>EU-talangpartnerskapspasset</w:t>
            </w:r>
            <w:r>
              <w:t>. Dessa genomförandeakter ska antas i enlighet med det rådgivande förfarande som avses i artikel 22.2.</w:t>
            </w:r>
          </w:p>
        </w:tc>
        <w:tc>
          <w:tcPr>
            <w:tcW w:w="4876" w:type="dxa"/>
            <w:tcBorders>
              <w:top w:val="nil"/>
              <w:left w:val="nil"/>
              <w:bottom w:val="nil"/>
              <w:right w:val="nil"/>
            </w:tcBorders>
          </w:tcPr>
          <w:p>
            <w:pPr>
              <w:pStyle w:val="Normal6a"/>
            </w:pPr>
            <w:r>
              <w:t>4.</w:t>
            </w:r>
            <w:r>
              <w:tab/>
            </w:r>
            <w:r>
              <w:t xml:space="preserve">Kommissionen ska genom genomförandeakter anta mallar för utformningen av </w:t>
            </w:r>
            <w:r>
              <w:rPr>
                <w:b/>
                <w:i/>
              </w:rPr>
              <w:t>talangpartnerskapspasset</w:t>
            </w:r>
            <w:r>
              <w:t>. Dessa genomförandeakter ska antas i enlighet med det rådgivande förfarande som avses i artikel 22.2.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Kommissionen ska genom genomförandeakter anta mallar för utformningen av </w:t>
            </w:r>
            <w:r>
              <w:rPr>
                <w:b/>
                <w:i/>
              </w:rPr>
              <w:t>EU-talangpartnerskapspasset</w:t>
            </w:r>
            <w:r>
              <w:t>. Dessa genomförandeakter ska antas i enlighet med det rådgivande förfarande som avses i artikel 22.2.</w:t>
            </w:r>
          </w:p>
        </w:tc>
        <w:tc>
          <w:tcPr>
            <w:tcW w:w="4876" w:type="dxa"/>
            <w:tcBorders>
              <w:top w:val="nil"/>
              <w:left w:val="nil"/>
              <w:bottom w:val="nil"/>
              <w:right w:val="nil"/>
            </w:tcBorders>
          </w:tcPr>
          <w:p>
            <w:pPr>
              <w:pStyle w:val="Normal6a"/>
            </w:pPr>
            <w:r>
              <w:t>4.</w:t>
            </w:r>
            <w:r>
              <w:tab/>
            </w:r>
            <w:r>
              <w:t xml:space="preserve">Kommissionen ska genom genomförandeakter anta mallar för utformningen av </w:t>
            </w:r>
            <w:r>
              <w:rPr>
                <w:b/>
                <w:i/>
              </w:rPr>
              <w:t>talangpartnerskapspasset</w:t>
            </w:r>
            <w:r>
              <w:t>. Dessa genomförandeakter ska antas i enlighet med det rådgivande förfarande som avses i artikel 22.2.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Villkoren för utfärdande av </w:t>
            </w:r>
            <w:r>
              <w:rPr>
                <w:b/>
                <w:i/>
              </w:rPr>
              <w:t>EU-talangpartnerskapspasset</w:t>
            </w:r>
            <w:r>
              <w:t xml:space="preserve"> ska fastställas av medlemsstaterna inom ramen för det </w:t>
            </w:r>
            <w:r>
              <w:rPr>
                <w:b/>
                <w:i/>
              </w:rPr>
              <w:t>talangpartnerskap</w:t>
            </w:r>
            <w:r>
              <w:t xml:space="preserve"> som de deltar i. Kommissionen ska offentliggöra information om dessa villkor på it-plattformen för EU:s talangreserv.</w:t>
            </w:r>
          </w:p>
        </w:tc>
        <w:tc>
          <w:tcPr>
            <w:tcW w:w="4876" w:type="dxa"/>
            <w:tcBorders>
              <w:top w:val="nil"/>
              <w:left w:val="nil"/>
              <w:bottom w:val="nil"/>
              <w:right w:val="nil"/>
            </w:tcBorders>
          </w:tcPr>
          <w:p>
            <w:pPr>
              <w:pStyle w:val="Normal6a"/>
            </w:pPr>
            <w:r>
              <w:t>5.</w:t>
            </w:r>
            <w:r>
              <w:tab/>
            </w:r>
            <w:r>
              <w:t xml:space="preserve">Villkoren för utfärdande av </w:t>
            </w:r>
            <w:r>
              <w:rPr>
                <w:b/>
                <w:i/>
              </w:rPr>
              <w:t>talangpartnerskapspasset</w:t>
            </w:r>
            <w:r>
              <w:t xml:space="preserve"> ska fastställas av medlemsstaterna inom ramen för det </w:t>
            </w:r>
            <w:r>
              <w:rPr>
                <w:b/>
                <w:i/>
              </w:rPr>
              <w:t>EU-talangpartnerskap</w:t>
            </w:r>
            <w:r>
              <w:t xml:space="preserve"> som de deltar i </w:t>
            </w:r>
            <w:r>
              <w:rPr>
                <w:b/>
                <w:i/>
              </w:rPr>
              <w:t>eller inom ramen för det nationella ramverk de har genomfört</w:t>
            </w:r>
            <w:r>
              <w:t>. Kommissionen ska offentliggöra information om dessa villkor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Villkoren för utfärdande av EU-talangpartnerskapspasset ska fastställas av medlemsstaterna inom ramen för det </w:t>
            </w:r>
            <w:r>
              <w:rPr>
                <w:b/>
                <w:i/>
              </w:rPr>
              <w:t>talangpartnerskap</w:t>
            </w:r>
            <w:r>
              <w:t xml:space="preserve"> som de deltar i. Kommissionen ska offentliggöra information om dessa villkor på it-plattformen för EU:s talangreserv.</w:t>
            </w:r>
          </w:p>
        </w:tc>
        <w:tc>
          <w:tcPr>
            <w:tcW w:w="4876" w:type="dxa"/>
            <w:tcBorders>
              <w:top w:val="nil"/>
              <w:left w:val="nil"/>
              <w:bottom w:val="nil"/>
              <w:right w:val="nil"/>
            </w:tcBorders>
          </w:tcPr>
          <w:p>
            <w:pPr>
              <w:pStyle w:val="Normal6a"/>
            </w:pPr>
            <w:r>
              <w:t>5.</w:t>
            </w:r>
            <w:r>
              <w:tab/>
            </w:r>
            <w:r>
              <w:t xml:space="preserve">Villkoren för utfärdande av EU-talangpartnerskapspasset ska fastställas av medlemsstaterna inom ramen för det </w:t>
            </w:r>
            <w:r>
              <w:rPr>
                <w:b/>
                <w:i/>
              </w:rPr>
              <w:t>EU-talangpartnerskap eller de bilaterala arrangemang</w:t>
            </w:r>
            <w:r>
              <w:t xml:space="preserve"> som de deltar i. Kommissionen ska offentliggöra information om dessa villkor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Jan-Christoph Oetjen, Hilde Vautmans, Irena Joveva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Deltagande medlemsstater får, inom ramen för det relevanta talangpartnerskapet, besluta att i högst ett år begränsa synligheten av profiler för registrerade arbetssökande från tredjeländer som har erhållit ett EU-talangpartnerskapspass, så att de endast syns för arbetsgivare som är etablerade i en eller flera medlemsstater som deltar i samma talangpartnerskap.</w:t>
            </w:r>
            <w:r>
              <w:t xml:space="preserve"> </w:t>
            </w:r>
            <w:r>
              <w:rPr>
                <w:b/>
                <w:i/>
              </w:rPr>
              <w:t>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ett år </w:t>
            </w:r>
            <w:r>
              <w:rPr>
                <w:b/>
                <w:i/>
              </w:rPr>
              <w:t>begränsa</w:t>
            </w:r>
            <w:r>
              <w:t xml:space="preserve">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ett år </w:t>
            </w:r>
            <w:r>
              <w:rPr>
                <w:b/>
                <w:i/>
              </w:rPr>
              <w:t>prioritera</w:t>
            </w:r>
            <w:r>
              <w:t xml:space="preserve">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Ordet "begränsa" verkar ha en negativ konnotation och kan uppfattas som att arbetssökandes synlighet faktiskt kommer att vara begränsad, samtidigt som den är tänkt att vara mer inriktad på behoven i ett specifikt talangpartnerskap.</w:t>
      </w:r>
      <w:r>
        <w:t xml:space="preserve"> </w:t>
      </w:r>
      <w:r>
        <w:t>Det är därför mer logiskt att använda ordet "prioritera" i detta fall.</w:t>
      </w:r>
    </w:p>
    <w:p>
      <w:r>
        <w:rPr>
          <w:rStyle w:val="HideTWBExt"/>
        </w:rPr>
        <w:t>&lt;/Amend&gt;</w:t>
      </w:r>
    </w:p>
    <w:p>
      <w:pPr>
        <w:pStyle w:val="AmNumberTabs"/>
      </w:pPr>
      <w:r>
        <w:rPr>
          <w:rStyle w:val="HideTWBExt"/>
        </w:rPr>
        <w:t>&lt;Amend&gt;</w:t>
      </w:r>
      <w:r>
        <w:t>Ändringsförslag</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w:t>
            </w:r>
            <w:r>
              <w:rPr>
                <w:b/>
                <w:i/>
              </w:rPr>
              <w:t>ett</w:t>
            </w:r>
            <w:r>
              <w:t xml:space="preserve"> år begränsa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w:t>
            </w:r>
            <w:r>
              <w:rPr>
                <w:b/>
                <w:i/>
              </w:rPr>
              <w:t>två</w:t>
            </w:r>
            <w:r>
              <w:t xml:space="preserve"> år begränsa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w:t>
            </w:r>
            <w:r>
              <w:rPr>
                <w:b/>
                <w:i/>
              </w:rPr>
              <w:t>talangpartnerskapet</w:t>
            </w:r>
            <w:r>
              <w:t xml:space="preserve">, besluta att i högst ett år begränsa synligheten av profiler för registrerade arbetssökande från tredjeländer som har erhållit ett </w:t>
            </w:r>
            <w:r>
              <w:rPr>
                <w:b/>
                <w:i/>
              </w:rPr>
              <w:t>EU-talangpartnerskapspass</w:t>
            </w:r>
            <w:r>
              <w:t xml:space="preserve">, så att de endast syns för arbetsgivare som är etablerade i en eller flera medlemsstater som deltar i samma </w:t>
            </w:r>
            <w:r>
              <w:rPr>
                <w:b/>
                <w:i/>
              </w:rPr>
              <w:t>talangpartnerskap</w:t>
            </w:r>
            <w:r>
              <w:t>.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 xml:space="preserve">Deltagande medlemsstater får, inom ramen för det relevanta </w:t>
            </w:r>
            <w:r>
              <w:rPr>
                <w:b/>
                <w:i/>
              </w:rPr>
              <w:t>EU-talangpartnerskapet</w:t>
            </w:r>
            <w:r>
              <w:t xml:space="preserve">, besluta att i högst ett år begränsa synligheten av profiler för registrerade arbetssökande från tredjeländer som har erhållit ett </w:t>
            </w:r>
            <w:r>
              <w:rPr>
                <w:b/>
                <w:i/>
              </w:rPr>
              <w:t>talangpartnerskapspass</w:t>
            </w:r>
            <w:r>
              <w:t xml:space="preserve">, så att de endast syns för arbetsgivare som är etablerade i en eller flera medlemsstater som deltar i samma </w:t>
            </w:r>
            <w:r>
              <w:rPr>
                <w:b/>
                <w:i/>
              </w:rPr>
              <w:t>EU-talangpartnerskap</w:t>
            </w:r>
            <w:r>
              <w:t>.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w:t>
            </w:r>
            <w:r>
              <w:rPr>
                <w:b/>
                <w:i/>
              </w:rPr>
              <w:t>i högst ett år</w:t>
            </w:r>
            <w:r>
              <w:t xml:space="preserve"> begränsa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Deltagande medlemsstater får, inom ramen för det relevanta talangpartnerskapet, besluta att begränsa synligheten av profiler för registrerade arbetssökande från tredjeländer som har erhållit ett EU-talangpartnerskapspass,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ett år begränsa synligheten av profiler för registrerade arbetssökande från tredjeländer som har erhållit ett </w:t>
            </w:r>
            <w:r>
              <w:rPr>
                <w:b/>
                <w:i/>
              </w:rPr>
              <w:t>EU-talangpartnerskapspass</w:t>
            </w:r>
            <w:r>
              <w:t>,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 xml:space="preserve">Deltagande medlemsstater får, inom ramen för det relevanta talangpartnerskapet, besluta att i högst ett år begränsa synligheten av profiler för registrerade arbetssökande från tredjeländer som har erhållit ett </w:t>
            </w:r>
            <w:r>
              <w:rPr>
                <w:b/>
                <w:i/>
              </w:rPr>
              <w:t>talangpartnerskapspass</w:t>
            </w:r>
            <w:r>
              <w:t>, så att de endast syns för arbetsgivare som är etablerade i en eller flera medlemsstater som deltar i samma talangpartnerskap.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Deltagande medlemsstater får, inom ramen för det relevanta </w:t>
            </w:r>
            <w:r>
              <w:rPr>
                <w:b/>
                <w:i/>
              </w:rPr>
              <w:t>talangpartnerskapet</w:t>
            </w:r>
            <w:r>
              <w:t xml:space="preserve">, besluta att i högst </w:t>
            </w:r>
            <w:r>
              <w:rPr>
                <w:b/>
                <w:i/>
              </w:rPr>
              <w:t>ett år</w:t>
            </w:r>
            <w:r>
              <w:t xml:space="preserve"> begränsa synligheten av profiler för registrerade arbetssökande från tredjeländer som har erhållit ett EU-talangpartnerskapspass, så att de endast syns för arbetsgivare som är etablerade i </w:t>
            </w:r>
            <w:r>
              <w:rPr>
                <w:b/>
                <w:i/>
              </w:rPr>
              <w:t>en eller flera medlemsstater som deltar i samma talangpartnerskap</w:t>
            </w:r>
            <w:r>
              <w:t>. Sekretariatet för EU:s talangreserv ska offentliggöra information om tillämpningen av denna punkt på it-plattformen för EU:s talangreserv.</w:t>
            </w:r>
          </w:p>
        </w:tc>
        <w:tc>
          <w:tcPr>
            <w:tcW w:w="4876" w:type="dxa"/>
            <w:tcBorders>
              <w:top w:val="nil"/>
              <w:left w:val="nil"/>
              <w:bottom w:val="nil"/>
              <w:right w:val="nil"/>
            </w:tcBorders>
          </w:tcPr>
          <w:p>
            <w:pPr>
              <w:pStyle w:val="Normal6a"/>
            </w:pPr>
            <w:r>
              <w:t>6.</w:t>
            </w:r>
            <w:r>
              <w:tab/>
            </w:r>
            <w:r>
              <w:t xml:space="preserve">Deltagande medlemsstater får, inom ramen för det relevanta </w:t>
            </w:r>
            <w:r>
              <w:rPr>
                <w:b/>
                <w:i/>
              </w:rPr>
              <w:t>EU-talangpartnerskapet eller bilaterala arrangemang</w:t>
            </w:r>
            <w:r>
              <w:t xml:space="preserve">, besluta att i högst </w:t>
            </w:r>
            <w:r>
              <w:rPr>
                <w:b/>
                <w:i/>
              </w:rPr>
              <w:t>sex månader</w:t>
            </w:r>
            <w:r>
              <w:t xml:space="preserve"> begränsa synligheten av profiler för registrerade arbetssökande från tredjeländer som har erhållit ett EU-talangpartnerskapspass, så att de endast syns för arbetsgivare som är etablerade i </w:t>
            </w:r>
            <w:r>
              <w:rPr>
                <w:b/>
                <w:i/>
              </w:rPr>
              <w:t>de berörda medlemsstaterna</w:t>
            </w:r>
            <w:r>
              <w:t>. Sekretariatet för EU:s talangreserv ska offentliggöra information om tillämpningen av denna punkt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Förteckningen över tredjeländer och deltagande medlemsstater som deltar i ett </w:t>
            </w:r>
            <w:r>
              <w:rPr>
                <w:b/>
                <w:i/>
              </w:rPr>
              <w:t>talangpartnerskap</w:t>
            </w:r>
            <w:r>
              <w:t xml:space="preserve"> och de relevanta yrken som omfattas ska offentliggöras på it-plattformen för EU:s talangreserv.</w:t>
            </w:r>
          </w:p>
        </w:tc>
        <w:tc>
          <w:tcPr>
            <w:tcW w:w="4876" w:type="dxa"/>
            <w:tcBorders>
              <w:top w:val="nil"/>
              <w:left w:val="nil"/>
              <w:bottom w:val="nil"/>
              <w:right w:val="nil"/>
            </w:tcBorders>
          </w:tcPr>
          <w:p>
            <w:pPr>
              <w:pStyle w:val="Normal6a"/>
            </w:pPr>
            <w:r>
              <w:t>7.</w:t>
            </w:r>
            <w:r>
              <w:tab/>
            </w:r>
            <w:r>
              <w:t xml:space="preserve">Förteckningen över tredjeländer och deltagande medlemsstater som deltar i ett </w:t>
            </w:r>
            <w:r>
              <w:rPr>
                <w:b/>
                <w:i/>
              </w:rPr>
              <w:t>EU-talangpartnerskap</w:t>
            </w:r>
            <w:r>
              <w:t xml:space="preserve"> och de relevanta yrken som omfattas ska offentliggöras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Förteckningen över tredjeländer och deltagande medlemsstater som deltar i ett </w:t>
            </w:r>
            <w:r>
              <w:rPr>
                <w:b/>
                <w:i/>
              </w:rPr>
              <w:t>talangpartnerskap</w:t>
            </w:r>
            <w:r>
              <w:t xml:space="preserve"> och de relevanta yrken som omfattas ska offentliggöras på it-plattformen för EU:s talangreserv.</w:t>
            </w:r>
          </w:p>
        </w:tc>
        <w:tc>
          <w:tcPr>
            <w:tcW w:w="4876" w:type="dxa"/>
            <w:tcBorders>
              <w:top w:val="nil"/>
              <w:left w:val="nil"/>
              <w:bottom w:val="nil"/>
              <w:right w:val="nil"/>
            </w:tcBorders>
          </w:tcPr>
          <w:p>
            <w:pPr>
              <w:pStyle w:val="Normal6a"/>
            </w:pPr>
            <w:r>
              <w:t>7.</w:t>
            </w:r>
            <w:r>
              <w:tab/>
            </w:r>
            <w:r>
              <w:t xml:space="preserve">Förteckningen över tredjeländer och deltagande medlemsstater som deltar i ett </w:t>
            </w:r>
            <w:r>
              <w:rPr>
                <w:b/>
                <w:i/>
              </w:rPr>
              <w:t>EU-talangpartnerskap</w:t>
            </w:r>
            <w:r>
              <w:t xml:space="preserve"> och de relevanta yrken som omfattas ska offentliggöras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Förteckningen över tredjeländer och </w:t>
            </w:r>
            <w:r>
              <w:rPr>
                <w:b/>
                <w:i/>
              </w:rPr>
              <w:t>deltagande</w:t>
            </w:r>
            <w:r>
              <w:t xml:space="preserve"> medlemsstater som deltar i ett talangpartnerskap och de relevanta yrken som omfattas ska offentliggöras på it-plattformen för EU:s talangreserv.</w:t>
            </w:r>
          </w:p>
        </w:tc>
        <w:tc>
          <w:tcPr>
            <w:tcW w:w="4876" w:type="dxa"/>
            <w:tcBorders>
              <w:top w:val="nil"/>
              <w:left w:val="nil"/>
              <w:bottom w:val="nil"/>
              <w:right w:val="nil"/>
            </w:tcBorders>
          </w:tcPr>
          <w:p>
            <w:pPr>
              <w:pStyle w:val="Normal6a"/>
            </w:pPr>
            <w:r>
              <w:t>7.</w:t>
            </w:r>
            <w:r>
              <w:tab/>
            </w:r>
            <w:r>
              <w:t>Förteckningen över tredjeländer och medlemsstater som deltar i ett talangpartnerskap och de relevanta yrken som omfattas ska offentliggöras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Arbetsgivares deltagande</w:t>
            </w:r>
            <w:r>
              <w:t xml:space="preserve"> i EU:s talangreserv</w:t>
            </w:r>
          </w:p>
        </w:tc>
        <w:tc>
          <w:tcPr>
            <w:tcW w:w="4876" w:type="dxa"/>
            <w:tcBorders>
              <w:top w:val="nil"/>
              <w:left w:val="nil"/>
              <w:bottom w:val="nil"/>
              <w:right w:val="nil"/>
            </w:tcBorders>
          </w:tcPr>
          <w:p>
            <w:pPr>
              <w:pStyle w:val="Normal6a"/>
            </w:pPr>
            <w:r>
              <w:rPr>
                <w:b/>
                <w:i/>
              </w:rPr>
              <w:t>Deltagande och bakgrundskontroll av arbetsgivare och mellanhänder</w:t>
            </w:r>
            <w:r>
              <w:t xml:space="preserve">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Arbetsgivares deltagande i EU:s talangreserv</w:t>
            </w:r>
          </w:p>
        </w:tc>
        <w:tc>
          <w:tcPr>
            <w:tcW w:w="4876" w:type="dxa"/>
            <w:tcBorders>
              <w:top w:val="nil"/>
              <w:left w:val="nil"/>
              <w:bottom w:val="nil"/>
              <w:right w:val="nil"/>
            </w:tcBorders>
          </w:tcPr>
          <w:p>
            <w:pPr>
              <w:pStyle w:val="Normal6a"/>
            </w:pPr>
            <w:r>
              <w:t xml:space="preserve">Arbetsgivares </w:t>
            </w:r>
            <w:r>
              <w:rPr>
                <w:b/>
                <w:i/>
              </w:rPr>
              <w:t>registrering och</w:t>
            </w:r>
            <w:r>
              <w:t xml:space="preserve"> deltagande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Arbetsgivare som är </w:t>
            </w:r>
            <w:r>
              <w:rPr>
                <w:b/>
                <w:i/>
              </w:rPr>
              <w:t>intresserade av att delta</w:t>
            </w:r>
            <w:r>
              <w:t xml:space="preserve"> i EU:s talangreserv </w:t>
            </w:r>
            <w:r>
              <w:rPr>
                <w:b/>
                <w:i/>
              </w:rPr>
              <w:t>får begära att den nationella kontaktpunkten för EU:s talangreserv i den medlemsstat där de är etablerade överför deras</w:t>
            </w:r>
            <w:r>
              <w:t xml:space="preserve"> lediga </w:t>
            </w:r>
            <w:r>
              <w:rPr>
                <w:b/>
                <w:i/>
              </w:rPr>
              <w:t>platser till it-plattformen för EU:s talangreserv</w:t>
            </w:r>
            <w:r>
              <w:t>.</w:t>
            </w:r>
          </w:p>
        </w:tc>
        <w:tc>
          <w:tcPr>
            <w:tcW w:w="4876" w:type="dxa"/>
            <w:tcBorders>
              <w:top w:val="nil"/>
              <w:left w:val="nil"/>
              <w:bottom w:val="nil"/>
              <w:right w:val="nil"/>
            </w:tcBorders>
          </w:tcPr>
          <w:p>
            <w:pPr>
              <w:pStyle w:val="Normal6a"/>
            </w:pPr>
            <w:r>
              <w:t>1.</w:t>
            </w:r>
            <w:r>
              <w:tab/>
            </w:r>
            <w:r>
              <w:t xml:space="preserve">Arbetsgivare som är </w:t>
            </w:r>
            <w:r>
              <w:rPr>
                <w:b/>
                <w:i/>
              </w:rPr>
              <w:t>registrerade</w:t>
            </w:r>
            <w:r>
              <w:t xml:space="preserve"> i EU:s talangreserv </w:t>
            </w:r>
            <w:r>
              <w:rPr>
                <w:b/>
                <w:i/>
              </w:rPr>
              <w:t>ska uppge namn, efternamn, kontaktuppgifter, företagets organisationsnummer, verksamhetssektor, en beskrivning av arbetsgivarens verksamhet och en detaljerad beskrivning av den</w:t>
            </w:r>
            <w:r>
              <w:t xml:space="preserve"> lediga </w:t>
            </w:r>
            <w:r>
              <w:rPr>
                <w:b/>
                <w:i/>
              </w:rPr>
              <w:t>platsen, inbegripet information om lön, arbetsplats och typ av arbete, kvalifikationskrav, huvudsakliga uppgifter, kontraktets typ och varaktighet, arbetstider samt övriga tillämpliga arbets- och anställningsvillkor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Arbetsgivare som är intresserade av att delta i EU:s talangreserv får begära att den nationella kontaktpunkten för EU:s talangreserv i den medlemsstat där de är etablerade överför deras lediga platser till it-plattformen för EU:s talangreserv.</w:t>
            </w:r>
          </w:p>
        </w:tc>
        <w:tc>
          <w:tcPr>
            <w:tcW w:w="4876" w:type="dxa"/>
            <w:tcBorders>
              <w:top w:val="nil"/>
              <w:left w:val="nil"/>
              <w:bottom w:val="nil"/>
              <w:right w:val="nil"/>
            </w:tcBorders>
          </w:tcPr>
          <w:p>
            <w:pPr>
              <w:pStyle w:val="Normal6a"/>
            </w:pPr>
            <w:r>
              <w:t>1.</w:t>
            </w:r>
            <w:r>
              <w:tab/>
            </w:r>
            <w:r>
              <w:t xml:space="preserve">Arbetsgivare som är intresserade av att delta i EU:s talangreserv får begära att den nationella kontaktpunkten för EU:s talangreserv i den medlemsstat där de är etablerade överför deras lediga platser till it-plattformen för EU:s talangreserv. </w:t>
            </w:r>
            <w:r>
              <w:rPr>
                <w:b/>
                <w:i/>
              </w:rPr>
              <w:t>Denna begäran ska underlättas genom en tilläggsfunktion inom de befintliga nationella förfarandena för att offentliggöra jobb.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Arbetsgivare som är intresserade av att delta i EU:s talangreserv får begära att den nationella kontaktpunkten för EU:s talangreserv i den medlemsstat där de är etablerade överför deras lediga platser till it-plattformen för EU:s talangreserv.</w:t>
            </w:r>
          </w:p>
        </w:tc>
        <w:tc>
          <w:tcPr>
            <w:tcW w:w="4876" w:type="dxa"/>
            <w:tcBorders>
              <w:top w:val="nil"/>
              <w:left w:val="nil"/>
              <w:bottom w:val="nil"/>
              <w:right w:val="nil"/>
            </w:tcBorders>
          </w:tcPr>
          <w:p>
            <w:pPr>
              <w:pStyle w:val="Normal6a"/>
            </w:pPr>
            <w:r>
              <w:t>1.</w:t>
            </w:r>
            <w:r>
              <w:tab/>
            </w:r>
            <w:r>
              <w:t xml:space="preserve">Arbetsgivare som är intresserade av att delta i EU:s talangreserv får begära att den nationella kontaktpunkten för EU:s talangreserv i den medlemsstat där de är etablerade överför deras lediga platser </w:t>
            </w:r>
            <w:r>
              <w:rPr>
                <w:b/>
                <w:i/>
              </w:rPr>
              <w:t>från andra plattformar</w:t>
            </w:r>
            <w:r>
              <w:t xml:space="preserve"> till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Arbetsgivare som är intresserade av att delta i EU:s talangreserv </w:t>
            </w:r>
            <w:r>
              <w:rPr>
                <w:b/>
                <w:i/>
              </w:rPr>
              <w:t>får</w:t>
            </w:r>
            <w:r>
              <w:t xml:space="preserve"> begära att den nationella kontaktpunkten för EU:s talangreserv i den medlemsstat där de är etablerade överför deras lediga platser till it-plattformen för EU:s talangreserv.</w:t>
            </w:r>
          </w:p>
        </w:tc>
        <w:tc>
          <w:tcPr>
            <w:tcW w:w="4876" w:type="dxa"/>
            <w:tcBorders>
              <w:top w:val="nil"/>
              <w:left w:val="nil"/>
              <w:bottom w:val="nil"/>
              <w:right w:val="nil"/>
            </w:tcBorders>
          </w:tcPr>
          <w:p>
            <w:pPr>
              <w:pStyle w:val="Normal6a"/>
            </w:pPr>
            <w:r>
              <w:t>1.</w:t>
            </w:r>
            <w:r>
              <w:tab/>
            </w:r>
            <w:r>
              <w:t xml:space="preserve">Arbetsgivare som är intresserade av att delta i EU:s talangreserv </w:t>
            </w:r>
            <w:r>
              <w:rPr>
                <w:b/>
                <w:i/>
              </w:rPr>
              <w:t>ska</w:t>
            </w:r>
            <w:r>
              <w:t xml:space="preserve"> begära att den nationella kontaktpunkten för EU:s talangreserv i den medlemsstat där de är etablerade överför deras </w:t>
            </w:r>
            <w:r>
              <w:rPr>
                <w:b/>
                <w:i/>
              </w:rPr>
              <w:t>profil och</w:t>
            </w:r>
            <w:r>
              <w:t xml:space="preserve"> lediga platser till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Arbetsgivare som är intresserade av att delta i EU:s talangreserv </w:t>
            </w:r>
            <w:r>
              <w:rPr>
                <w:b/>
                <w:i/>
              </w:rPr>
              <w:t>får begära att den nationella kontaktpunkten</w:t>
            </w:r>
            <w:r>
              <w:t xml:space="preserve"> för EU:s talangreserv </w:t>
            </w:r>
            <w:r>
              <w:rPr>
                <w:b/>
                <w:i/>
              </w:rPr>
              <w:t>i den medlemsstat där de är etablerade överför deras lediga platser till it-plattformen för EU:s talangreserv</w:t>
            </w:r>
            <w:r>
              <w:t>.</w:t>
            </w:r>
          </w:p>
        </w:tc>
        <w:tc>
          <w:tcPr>
            <w:tcW w:w="4876" w:type="dxa"/>
            <w:tcBorders>
              <w:top w:val="nil"/>
              <w:left w:val="nil"/>
              <w:bottom w:val="nil"/>
              <w:right w:val="nil"/>
            </w:tcBorders>
          </w:tcPr>
          <w:p>
            <w:pPr>
              <w:pStyle w:val="Normal6a"/>
            </w:pPr>
            <w:r>
              <w:t>1.</w:t>
            </w:r>
            <w:r>
              <w:tab/>
            </w:r>
            <w:r>
              <w:t xml:space="preserve">Arbetsgivare som är intresserade av att delta i EU:s talangreserv </w:t>
            </w:r>
            <w:r>
              <w:rPr>
                <w:b/>
                <w:i/>
              </w:rPr>
              <w:t>ska kunna skapa en profil på it-plattformen</w:t>
            </w:r>
            <w:r>
              <w:t xml:space="preserve"> för EU:s talangreserv</w:t>
            </w:r>
            <w:r>
              <w:rPr>
                <w:b/>
                <w:i/>
              </w:rPr>
              <w:t>, som innehåller den information som avses i artikel 6.3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Arbetsgivare som är intresserade av att delta i EU:s talangreserv </w:t>
            </w:r>
            <w:r>
              <w:rPr>
                <w:b/>
                <w:i/>
              </w:rPr>
              <w:t>får begära att den nationella kontaktpunkten</w:t>
            </w:r>
            <w:r>
              <w:t xml:space="preserve"> för EU:s talangreserv </w:t>
            </w:r>
            <w:r>
              <w:rPr>
                <w:b/>
                <w:i/>
              </w:rPr>
              <w:t>i den medlemsstat där de är etablerade överför deras lediga platser till it-plattformen för EU:s talangreserv</w:t>
            </w:r>
            <w:r>
              <w:t>.</w:t>
            </w:r>
          </w:p>
        </w:tc>
        <w:tc>
          <w:tcPr>
            <w:tcW w:w="4876" w:type="dxa"/>
            <w:tcBorders>
              <w:top w:val="nil"/>
              <w:left w:val="nil"/>
              <w:bottom w:val="nil"/>
              <w:right w:val="nil"/>
            </w:tcBorders>
          </w:tcPr>
          <w:p>
            <w:pPr>
              <w:pStyle w:val="Normal6a"/>
            </w:pPr>
            <w:r>
              <w:t>1.</w:t>
            </w:r>
            <w:r>
              <w:tab/>
            </w:r>
            <w:r>
              <w:t xml:space="preserve">Arbetsgivare </w:t>
            </w:r>
            <w:r>
              <w:rPr>
                <w:b/>
                <w:i/>
              </w:rPr>
              <w:t>och mellanhänder</w:t>
            </w:r>
            <w:r>
              <w:t xml:space="preserve"> som är intresserade av att delta i EU:s talangreserv </w:t>
            </w:r>
            <w:r>
              <w:rPr>
                <w:b/>
                <w:i/>
              </w:rPr>
              <w:t>ska registrera en profil på it-plattformen</w:t>
            </w:r>
            <w:r>
              <w:t xml:space="preserve"> för EU:s talangreserv</w:t>
            </w:r>
            <w:r>
              <w:rPr>
                <w:b/>
                <w:i/>
              </w:rPr>
              <w:t>, med angivande av nödvändig information i enlighet med artikel 6</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De nationella kontaktpunkterna för EU:s talangreserv ska, tillsammans med de berörda nationella myndigheterna och arbetsmarknadens parter, när så är lämpligt, göra kontroller av arbetsgivare innan deras profiler registreras och aktiveras.</w:t>
            </w:r>
            <w:r>
              <w:t xml:space="preserve"> </w:t>
            </w:r>
            <w:r>
              <w:rPr>
                <w:b/>
                <w:i/>
              </w:rPr>
              <w:t>Dessa kontroller ska innefatta kontroll av eventuella utestående löneutbetalningar, socialförsäkringsavgifter och skatteinbetalningar samt av utdrag ur belastningsregistret för den fysiska person som ansvarar för företaget.</w:t>
            </w:r>
            <w:r>
              <w:t xml:space="preserve"> </w:t>
            </w:r>
            <w:r>
              <w:rPr>
                <w:b/>
                <w:i/>
              </w:rPr>
              <w:t>Kontrollerna ska upprepas vartannat år efter det att arbetsgivaren registrerats.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Den nationella kontaktpunkten för EU:s talangreserv i den medlemsstat där den deltagande arbetsgivaren eller förmedlaren är etablerad ansvarar för att granska ansökningarna och godkänna åtkomst till it-plattformen för EU:s talangreserv.</w:t>
            </w:r>
            <w:r>
              <w:t xml:space="preserve"> </w:t>
            </w:r>
            <w:r>
              <w:rPr>
                <w:b/>
                <w:i/>
              </w:rPr>
              <w:t>Vid utförandet av denna uppgift ska den nationella kontaktpunkten samarbeta med relevanta nationella myndigheter.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De nationella kontaktpunkterna för EU:s talangreserv ska, tillsammans med de berörda nationella myndigheterna, när så är lämpligt, göra kontroller av arbetsgivare innan deras profiler registreras och aktiveras.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1b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Efter godkännande från den relevanta nationella kontaktpunkten får deltagande arbetsgivare ladda upp sina lediga platser direkt på it-plattformen eller begära att den nationella kontaktpunkten för EU:s talangreserv i den medlemsstat där de är etablerade överför sina lediga platser till it-plattformen för EU:s talangreserv.</w:t>
            </w:r>
            <w:r>
              <w:t xml:space="preserve"> </w:t>
            </w:r>
            <w:r>
              <w:rPr>
                <w:b/>
                <w:i/>
              </w:rPr>
              <w:t>Granskade mellanhänder kan också överföra lediga tjänster hos arbetsgivarna vid registrering och länkning till arbetsgivarnas profil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1b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De nationella kontaktpunkterna för EU:s talangreserv får ta ut en avgift av arbetsgivare för överföringen av lediga platser till it-plattformen för EU:s talangreserv för att täcka de administrativa kostnaderna för plattformen och tillhörande tjänster.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De nationella kontaktpunkterna för EU:s talangreserv ska </w:t>
            </w:r>
            <w:r>
              <w:rPr>
                <w:b/>
                <w:i/>
              </w:rPr>
              <w:t>till it-plattformen för EU:s talangreserv överföra lediga platser som</w:t>
            </w:r>
          </w:p>
        </w:tc>
        <w:tc>
          <w:tcPr>
            <w:tcW w:w="4876" w:type="dxa"/>
            <w:tcBorders>
              <w:top w:val="nil"/>
              <w:left w:val="nil"/>
              <w:bottom w:val="nil"/>
              <w:right w:val="nil"/>
            </w:tcBorders>
          </w:tcPr>
          <w:p>
            <w:pPr>
              <w:pStyle w:val="Normal6a"/>
            </w:pPr>
            <w:r>
              <w:t>2.</w:t>
            </w:r>
            <w:r>
              <w:tab/>
            </w:r>
            <w:r>
              <w:t>De nationella kontaktpunkterna för EU:s talangreserv ska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samordna med de berörda nationella myndigheterna på ett lämpligt sätt för att granska och kontrollera de registrerade arbetsgivarna innan deras profiler aktiveras.</w:t>
            </w:r>
            <w:r>
              <w:rPr>
                <w:b/>
                <w:i/>
              </w:rPr>
              <w:t>Detta bör omfatta kontroll av löner, socialförsäkrings- och skatteskulder, klagomål mot arbetsgivaren, tillräckliga medel för att fullgöra skyldigheter gentemot anställda vid insolvens samt en kontroll av kriminalregister för de fysiska personer som ansvarar för företaget.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överföra lediga platser som är öppna för rekrytering av arbetssökande från tredjeländer i enlighet med principen om företräde för unionsmedborgare, i tillämpliga fall enligt nationell rätt, eller de lediga platser som är relevanta för ett talangpartnerskap, till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De nationella kontaktpunkterna</w:t>
            </w:r>
            <w:r>
              <w:t xml:space="preserve"> för EU:s talangreserv ska </w:t>
            </w:r>
            <w:r>
              <w:rPr>
                <w:b/>
                <w:i/>
              </w:rPr>
              <w:t>till it-plattformen för EU:s talangreserv överföra</w:t>
            </w:r>
            <w:r>
              <w:t xml:space="preserve"> lediga </w:t>
            </w:r>
            <w:r>
              <w:rPr>
                <w:b/>
                <w:i/>
              </w:rPr>
              <w:t>platser som</w:t>
            </w:r>
          </w:p>
        </w:tc>
        <w:tc>
          <w:tcPr>
            <w:tcW w:w="4876" w:type="dxa"/>
            <w:tcBorders>
              <w:top w:val="nil"/>
              <w:left w:val="nil"/>
              <w:bottom w:val="nil"/>
              <w:right w:val="nil"/>
            </w:tcBorders>
          </w:tcPr>
          <w:p>
            <w:pPr>
              <w:pStyle w:val="Normal6a"/>
            </w:pPr>
            <w:r>
              <w:t>2.</w:t>
            </w:r>
            <w:r>
              <w:tab/>
            </w:r>
            <w:r>
              <w:rPr>
                <w:b/>
                <w:i/>
              </w:rPr>
              <w:t>Innan en ledig tjänst laddas upp på it-plattformen</w:t>
            </w:r>
            <w:r>
              <w:t xml:space="preserve"> för EU:s talangreserv ska </w:t>
            </w:r>
            <w:r>
              <w:rPr>
                <w:b/>
                <w:i/>
              </w:rPr>
              <w:t>den deltagande arbetsgivaren och de deltagande förmedlarna i tillämpliga fall förklara att den</w:t>
            </w:r>
            <w:r>
              <w:t xml:space="preserve"> lediga </w:t>
            </w:r>
            <w:r>
              <w:rPr>
                <w:b/>
                <w:i/>
              </w:rPr>
              <w:t>platsen uppfyller alla nationella kriterier som krävs för att öppna den för rekrytering av arbetssökande från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omfattas av förteckningen över bristyrken i hela EU enligt artikel 14 och de nationella justeringarna av förteckningen enligt artikel 15.1 eller de lediga platser som är relevanta för ett talangpartnerskap,</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omfattas av förteckningen över bristyrken i hela EU enligt artikel 14 och de nationella justeringarna av förteckningen enligt artikel 15.1 eller de lediga platser som är relevanta för </w:t>
            </w:r>
            <w:r>
              <w:rPr>
                <w:b/>
                <w:i/>
              </w:rPr>
              <w:t>ett talangpartnerskap,</w:t>
            </w:r>
          </w:p>
        </w:tc>
        <w:tc>
          <w:tcPr>
            <w:tcW w:w="4876" w:type="dxa"/>
            <w:tcBorders>
              <w:top w:val="nil"/>
              <w:left w:val="nil"/>
              <w:bottom w:val="nil"/>
              <w:right w:val="nil"/>
            </w:tcBorders>
          </w:tcPr>
          <w:p>
            <w:pPr>
              <w:pStyle w:val="Normal6a"/>
            </w:pPr>
            <w:r>
              <w:t>a)</w:t>
            </w:r>
            <w:r>
              <w:tab/>
            </w:r>
            <w:r>
              <w:t xml:space="preserve">omfattas av förteckningen över bristyrken i hela EU enligt artikel 14 och de nationella justeringarna av förteckningen enligt artikel 15.1 eller de lediga platser som är relevanta för </w:t>
            </w:r>
            <w:r>
              <w:rPr>
                <w:b/>
                <w:i/>
              </w:rPr>
              <w:t>EU-talangpartnerskapen och de nationella ramverk för utveckling och validering av kompetens i ett tredjeland som är upptagna på förteckningen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omfattas av förteckningen </w:t>
            </w:r>
            <w:r>
              <w:rPr>
                <w:b/>
                <w:i/>
              </w:rPr>
              <w:t>över bristyrken i hela EU enligt artikel 14 och de</w:t>
            </w:r>
            <w:r>
              <w:t xml:space="preserve"> nationella </w:t>
            </w:r>
            <w:r>
              <w:rPr>
                <w:b/>
                <w:i/>
              </w:rPr>
              <w:t>justeringarna av förteckningen</w:t>
            </w:r>
            <w:r>
              <w:t xml:space="preserve"> enligt artikel </w:t>
            </w:r>
            <w:r>
              <w:rPr>
                <w:b/>
                <w:i/>
              </w:rPr>
              <w:t>15.1</w:t>
            </w:r>
            <w:r>
              <w:t xml:space="preserve"> eller de lediga platser som är relevanta för ett talangpartnerskap,</w:t>
            </w:r>
          </w:p>
        </w:tc>
        <w:tc>
          <w:tcPr>
            <w:tcW w:w="4876" w:type="dxa"/>
            <w:tcBorders>
              <w:top w:val="nil"/>
              <w:left w:val="nil"/>
              <w:bottom w:val="nil"/>
              <w:right w:val="nil"/>
            </w:tcBorders>
          </w:tcPr>
          <w:p>
            <w:pPr>
              <w:pStyle w:val="Normal6a"/>
            </w:pPr>
            <w:r>
              <w:t>a)</w:t>
            </w:r>
            <w:r>
              <w:tab/>
            </w:r>
            <w:r>
              <w:t xml:space="preserve">omfattas av förteckningen </w:t>
            </w:r>
            <w:r>
              <w:rPr>
                <w:b/>
                <w:i/>
              </w:rPr>
              <w:t>i den</w:t>
            </w:r>
            <w:r>
              <w:t xml:space="preserve"> nationella </w:t>
            </w:r>
            <w:r>
              <w:rPr>
                <w:b/>
                <w:i/>
              </w:rPr>
              <w:t>bilagan över bristyrken</w:t>
            </w:r>
            <w:r>
              <w:t xml:space="preserve"> enligt artikel </w:t>
            </w:r>
            <w:r>
              <w:rPr>
                <w:b/>
                <w:i/>
              </w:rPr>
              <w:t>15</w:t>
            </w:r>
            <w:r>
              <w:t xml:space="preserve"> eller de lediga platser som är relevanta för ett talangpartnerskap,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är öppna för rekrytering av arbetssökande från tredjeländer i enlighet med principen om företräde för unionsmedborgare, om detta är tillämpligt enligt nationell rätt.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är öppna för rekrytering av arbetssökande från tredjeländer i enlighet med principen om företräde för unionsmedborgare, om detta är tillämpligt enligt nationell rätt.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är öppna för rekrytering av arbetssökande från tredjeländer </w:t>
            </w:r>
            <w:r>
              <w:rPr>
                <w:b/>
                <w:i/>
              </w:rPr>
              <w:t>i enlighet med principen om företräde för unionsmedborgare, om detta är tillämpligt enligt nationell rätt</w:t>
            </w:r>
            <w:r>
              <w:t>.</w:t>
            </w:r>
          </w:p>
        </w:tc>
        <w:tc>
          <w:tcPr>
            <w:tcW w:w="4876" w:type="dxa"/>
            <w:tcBorders>
              <w:top w:val="nil"/>
              <w:left w:val="nil"/>
              <w:bottom w:val="nil"/>
              <w:right w:val="nil"/>
            </w:tcBorders>
          </w:tcPr>
          <w:p>
            <w:pPr>
              <w:pStyle w:val="Normal6a"/>
            </w:pPr>
            <w:r>
              <w:t>b)</w:t>
            </w:r>
            <w:r>
              <w:tab/>
            </w:r>
            <w:r>
              <w:t>är öppna för rekrytering av arbetssökande från tredjeländer.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arbetsgivare i EU:s medlemsstater vill offentliggöra på it-plattformen för EU:s talangreserv, med undantag för principen om företräde för unionsmedborgare inom ramen för ett påskyndat invandringsförfarande.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redan har offentliggjorts på Eures i minst sex veckor, men fortfarande är vakanta.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Arbetsgivare som deltar i EU:s talangreserv ska följa relevant unionsrätt och unionspraxis och nationell rätt och praxis för att säkerställa att tredjelandsmedborgare skyddas mot orättvis rekrytering, bristfälliga arbetsförhållanden och diskriminering. </w:t>
            </w:r>
            <w:r>
              <w:rPr>
                <w:b/>
                <w:i/>
              </w:rPr>
              <w:t>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Arbetsgivare som deltar i EU:s talangreserv ska följa relevant unionsrätt och unionspraxis och nationell rätt och praxis</w:t>
            </w:r>
            <w:r>
              <w:rPr>
                <w:b/>
                <w:i/>
              </w:rPr>
              <w:t>, inbegripet gällande kollektivavtal,</w:t>
            </w:r>
            <w:r>
              <w:t xml:space="preserve">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Arbetsgivare som deltar i EU:s talangreserv ska följa relevant unionsrätt och unionspraxis och nationell rätt och praxis</w:t>
            </w:r>
            <w:r>
              <w:rPr>
                <w:b/>
                <w:i/>
              </w:rPr>
              <w:t>, inbegripet gällande kollektivavtal,</w:t>
            </w:r>
            <w:r>
              <w:t xml:space="preserve"> för att säkerställa att tredjelandsmedborgare skyddas mot orättvis rekrytering, bristfälliga arbetsförhållanden och diskriminering. Deltagande medlemsstater får införa ytterligare villkor för arbetsgivarnas </w:t>
            </w:r>
            <w:r>
              <w:rPr>
                <w:b/>
                <w:i/>
              </w:rPr>
              <w:t>registrering och</w:t>
            </w:r>
            <w:r>
              <w:t xml:space="preserve"> deltagande i EU:s talangreserv för att säkerställa efterlevnad av annan relevant nationell praxis,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 xml:space="preserve">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w:t>
            </w:r>
            <w:r>
              <w:rPr>
                <w:b/>
                <w:i/>
              </w:rPr>
              <w:t>inbegripet andra nationella plattformar för jobbsökning,</w:t>
            </w:r>
            <w:r>
              <w:t xml:space="preserve">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Arbetsgivare som deltar i EU:s talangreserv ska följa relevant unionsrätt </w:t>
            </w:r>
            <w:r>
              <w:rPr>
                <w:b/>
                <w:i/>
              </w:rPr>
              <w:t>och unionspraxis</w:t>
            </w:r>
            <w:r>
              <w:t xml:space="preserve"> och nationell </w:t>
            </w:r>
            <w:r>
              <w:rPr>
                <w:b/>
                <w:i/>
              </w:rPr>
              <w:t>rätt</w:t>
            </w:r>
            <w:r>
              <w:t xml:space="preserve">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Arbetsgivare som deltar i EU:s talangreserv ska följa relevant unionsrätt</w:t>
            </w:r>
            <w:r>
              <w:rPr>
                <w:b/>
                <w:i/>
              </w:rPr>
              <w:t>, kollektivavtal</w:t>
            </w:r>
            <w:r>
              <w:t xml:space="preserve"> och nationell </w:t>
            </w:r>
            <w:r>
              <w:rPr>
                <w:b/>
                <w:i/>
              </w:rPr>
              <w:t>arbetsrätt</w:t>
            </w:r>
            <w:r>
              <w:t xml:space="preserve">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Arbetsgivare som deltar i EU:s talangreserv ska följa relevant unionsrätt och unionspraxis och nationell rätt och praxis för att säkerställa att tredjelandsmedborgare skyddas mot orättvis rekrytering, bristfälliga arbetsförhållanden och diskriminering. </w:t>
            </w:r>
            <w:r>
              <w:rPr>
                <w:b/>
                <w:i/>
              </w:rPr>
              <w:t>Deltagande</w:t>
            </w:r>
            <w:r>
              <w:t xml:space="preserv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 xml:space="preserve">Arbetsgivare </w:t>
            </w:r>
            <w:r>
              <w:rPr>
                <w:b/>
                <w:i/>
              </w:rPr>
              <w:t>och mellanhänder</w:t>
            </w:r>
            <w:r>
              <w:t xml:space="preserve"> som deltar i EU:s talangreserv ska följa relevant unionsrätt och unionspraxis och nationell rätt och praxis för att säkerställa att tredjelandsmedborgare skyddas mot orättvis rekrytering, bristfälliga arbetsförhållanden och diskriminering. Medlemsstater får införa ytterligare villkor för arbetsgivarnas </w:t>
            </w:r>
            <w:r>
              <w:rPr>
                <w:b/>
                <w:i/>
              </w:rPr>
              <w:t>och mellanhändernas</w:t>
            </w:r>
            <w:r>
              <w:t xml:space="preserve"> deltagande i EU:s talangreserv för att säkerställa efterlevnad av annan relevant nationell praxis,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c>
          <w:tcPr>
            <w:tcW w:w="4876" w:type="dxa"/>
            <w:tcBorders>
              <w:top w:val="nil"/>
              <w:left w:val="nil"/>
              <w:bottom w:val="nil"/>
              <w:right w:val="nil"/>
            </w:tcBorders>
          </w:tcPr>
          <w:p>
            <w:pPr>
              <w:pStyle w:val="Normal6a"/>
            </w:pPr>
            <w:r>
              <w:t>Arbetsgivare som deltar i EU:s talangreserv ska följa relevant unionsrätt och unionspraxis och nationell rätt och praxis för att säkerställa att tredjelandsmedborgare skyddas mot orättvis rekrytering, bristfälliga arbetsförhållanden och diskriminering. Deltagande medlemsstater får införa ytterligare villkor för arbetsgivarnas deltagande i EU:s talangreserv för att säkerställa efterlevnad av annan relevant nationell praxis, kollektivavtal och de principer och riktlinjer som fastställts av Internationella arbetsorganisationen, i enlighet med unionsrätten.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Arbetsgivare som deltar i EU:s talangreserv ska inte ta ut avgifter från registrerade arbetssökande från tredjeländer i samband med rekryteringen.</w:t>
            </w:r>
          </w:p>
        </w:tc>
        <w:tc>
          <w:tcPr>
            <w:tcW w:w="4876" w:type="dxa"/>
            <w:tcBorders>
              <w:top w:val="nil"/>
              <w:left w:val="nil"/>
              <w:bottom w:val="nil"/>
              <w:right w:val="nil"/>
            </w:tcBorders>
          </w:tcPr>
          <w:p>
            <w:pPr>
              <w:pStyle w:val="Normal6a"/>
            </w:pPr>
            <w:r>
              <w:rPr>
                <w:b/>
                <w:i/>
              </w:rPr>
              <w:t>Användningen av EU:s talangreserv ska vara kostnadsfri för arbetssökande från tredjeländer.</w:t>
            </w:r>
            <w:r>
              <w:t xml:space="preserve"> Arbetsgivare som deltar i EU:s talangreserv ska inte ta ut avgifter från registrerade arbetssökande från tredjeländer i samband med rekryteringen.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Arbetsgivare för arbetssökande från ett tredjeland som till följd av ett erbjudande om anställning via EU:s talangreserv därefter ansöker om tillstånd för högkvalificerad anställning i enlighet med direktiv (EU) 2021/1883 ska ansvara för de relevanta avgifter som avses i artikel 12 i det direktivet.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Arbetsgivare för arbetssökande från ett tredjeland som till följd av ett erbjudande om anställning via EU:s talangreserv därefter ansöker om ett kombinerat tillstånd i enlighet med direktiv (EU) 2024/1233 ska ansvara för de avgifter som avses i artikel 10 i det direktivet.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Arbetsgivare som deltar i EU:s talangreserv </w:t>
            </w:r>
            <w:r>
              <w:rPr>
                <w:b/>
                <w:i/>
              </w:rPr>
              <w:t>ska inte ta ut avgifter från</w:t>
            </w:r>
            <w:r>
              <w:t xml:space="preserve"> registrerade arbetssökande från tredjeländer </w:t>
            </w:r>
            <w:r>
              <w:rPr>
                <w:b/>
                <w:i/>
              </w:rPr>
              <w:t>i samband med rekryteringen</w:t>
            </w:r>
            <w:r>
              <w:t>.</w:t>
            </w:r>
          </w:p>
        </w:tc>
        <w:tc>
          <w:tcPr>
            <w:tcW w:w="4876" w:type="dxa"/>
            <w:tcBorders>
              <w:top w:val="nil"/>
              <w:left w:val="nil"/>
              <w:bottom w:val="nil"/>
              <w:right w:val="nil"/>
            </w:tcBorders>
          </w:tcPr>
          <w:p>
            <w:pPr>
              <w:pStyle w:val="Normal6a"/>
            </w:pPr>
            <w:r>
              <w:t xml:space="preserve">Arbetsgivare </w:t>
            </w:r>
            <w:r>
              <w:rPr>
                <w:b/>
                <w:i/>
              </w:rPr>
              <w:t>och mellanhänder</w:t>
            </w:r>
            <w:r>
              <w:t xml:space="preserve"> som deltar i EU:s talangreserv </w:t>
            </w:r>
            <w:r>
              <w:rPr>
                <w:b/>
                <w:i/>
              </w:rPr>
              <w:t>får inte debitera</w:t>
            </w:r>
            <w:r>
              <w:t xml:space="preserve"> registrerade arbetssökande från tredjeländer </w:t>
            </w:r>
            <w:r>
              <w:rPr>
                <w:b/>
                <w:i/>
              </w:rPr>
              <w:t>någon avgift eller relaterade kostnader för rekrytering.</w:t>
            </w:r>
            <w:r>
              <w:t xml:space="preserve"> </w:t>
            </w:r>
            <w:r>
              <w:rPr>
                <w:b/>
                <w:i/>
              </w:rPr>
              <w:t>Om en avgift betalas av den deltagande arbetsgivaren eller mellanhanden, ska de inte ha rätt att återkräva några betalningar från tredjelandsmedborgaren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Lediga platser hos arbetsgivare som deltar i EU:s talangreserv ska vara synliga för registrerade arbetssökande från tredjeländer på it-plattformen för EU:s talangreserv.</w:t>
            </w:r>
          </w:p>
        </w:tc>
        <w:tc>
          <w:tcPr>
            <w:tcW w:w="4876" w:type="dxa"/>
            <w:tcBorders>
              <w:top w:val="nil"/>
              <w:left w:val="nil"/>
              <w:bottom w:val="nil"/>
              <w:right w:val="nil"/>
            </w:tcBorders>
          </w:tcPr>
          <w:p>
            <w:pPr>
              <w:pStyle w:val="Normal6a"/>
            </w:pPr>
            <w:r>
              <w:t>4.</w:t>
            </w:r>
            <w:r>
              <w:tab/>
            </w:r>
            <w:r>
              <w:t xml:space="preserve">Lediga platser hos arbetsgivare som deltar i EU:s talangreserv ska vara synliga för registrerade arbetssökande från tredjeländer på it-plattformen för EU:s talangreserv. </w:t>
            </w:r>
            <w:r>
              <w:rPr>
                <w:b/>
                <w:i/>
              </w:rPr>
              <w:t>Lediga platser som är registrerade i EU:s talangreserv ska inkludera arbetsgivarens namn och kontaktuppgifter, företagets organisationsnummer, verksamhetssektor, en beskrivning av arbetsgivarens verksamhet och en detaljerad beskrivning av den lediga platsen, inbegripet information om lön, arbetsplats och typ av arbete, kvalifikationskrav, huvudsakliga uppgifter, kontraktets typ och varaktighet, arbetstider samt övriga tillämpliga arbets- och anställningsvillkor.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Lediga platser hos arbetsgivare som deltar i EU:s talangreserv ska vara synliga för registrerade arbetssökande från tredjeländer på it-plattformen för EU:s talangreserv.</w:t>
            </w:r>
          </w:p>
        </w:tc>
        <w:tc>
          <w:tcPr>
            <w:tcW w:w="4876" w:type="dxa"/>
            <w:tcBorders>
              <w:top w:val="nil"/>
              <w:left w:val="nil"/>
              <w:bottom w:val="nil"/>
              <w:right w:val="nil"/>
            </w:tcBorders>
          </w:tcPr>
          <w:p>
            <w:pPr>
              <w:pStyle w:val="Normal6a"/>
            </w:pPr>
            <w:r>
              <w:t>4.</w:t>
            </w:r>
            <w:r>
              <w:tab/>
            </w:r>
            <w:r>
              <w:t xml:space="preserve">Lediga platser hos arbetsgivare som deltar i EU:s talangreserv ska vara synliga för registrerade arbetssökande från tredjeländer på it-plattformen för EU:s talangreserv. </w:t>
            </w:r>
            <w:r>
              <w:rPr>
                <w:b/>
                <w:i/>
              </w:rPr>
              <w:t>Beskrivningen av varje ledig plats ska innehålla åtminstone den plats där arbetet vanligtvis utförs, verksamhetsområde, kvalifikationskrav, arbetets huvudsakliga uppgifter, anställningsform och anställningstid, lön, arbetstid och arbetstidsförläggning, all betald ledighet, begärd språkprofil och, i tillämpliga fall, andra relevanta arbets- och anställningsvillkor.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Lediga platser hos arbetsgivare som deltar i EU:s talangreserv ska vara synliga för registrerade arbetssökande från tredjeländer på it-plattformen för EU:s talangreserv.</w:t>
            </w:r>
          </w:p>
        </w:tc>
        <w:tc>
          <w:tcPr>
            <w:tcW w:w="4876" w:type="dxa"/>
            <w:tcBorders>
              <w:top w:val="nil"/>
              <w:left w:val="nil"/>
              <w:bottom w:val="nil"/>
              <w:right w:val="nil"/>
            </w:tcBorders>
          </w:tcPr>
          <w:p>
            <w:pPr>
              <w:pStyle w:val="Normal6a"/>
            </w:pPr>
            <w:r>
              <w:t>4.</w:t>
            </w:r>
            <w:r>
              <w:tab/>
            </w:r>
            <w:r>
              <w:t xml:space="preserve">Lediga platser hos arbetsgivare </w:t>
            </w:r>
            <w:r>
              <w:rPr>
                <w:b/>
                <w:i/>
              </w:rPr>
              <w:t>och mellanhänder</w:t>
            </w:r>
            <w:r>
              <w:t xml:space="preserve"> som deltar i EU:s talangreserv ska vara synliga för registrerade arbetssökande från tredjeländer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Arbetsmarknadsaktörerna ska få automatisk tillgång till plattformen så snart deras lediga platser har överförts till EU:s talangreserv av de nationella kontaktpunkterna.</w:t>
            </w:r>
            <w:r>
              <w:t xml:space="preserve"> </w:t>
            </w:r>
            <w:r>
              <w:rPr>
                <w:b/>
                <w:i/>
              </w:rPr>
              <w:t>När det gäller företagsgrupper ska ett bevisligen auktoriserat företag kunna få tillgång till poolen även för de andra företagen i den relevanta företagsgruppen.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Alla lediga platser ska vara tydligt kopplade till en arbetsgivare som är registrerad på it-plattformen för EU:s talangreserv och bör åtminstone omfatta plats och typ av arbete, anställningstid, arbetstid, lön, huvuduppgifter och andra relevanta arbetsvillkor.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Arbetsgivare som deltar i EU:s talangreserv ska utan onödigt dröjsmål ange på it-plattformen för EU:s talangreserv att de framgångsrikt har avslutat rekryteringen av registrerade arbetssökande från tredjeländer för den aktuella lediga platsen. </w:t>
            </w:r>
            <w:r>
              <w:rPr>
                <w:b/>
                <w:i/>
              </w:rPr>
              <w:t>Profilerna för dessa registrerade arbetssökande och de tillsatta platserna ska automatiskt upphöra att vara synliga på it-plattformen för EU:s talangreserv.</w:t>
            </w:r>
          </w:p>
        </w:tc>
        <w:tc>
          <w:tcPr>
            <w:tcW w:w="4876" w:type="dxa"/>
            <w:tcBorders>
              <w:top w:val="nil"/>
              <w:left w:val="nil"/>
              <w:bottom w:val="nil"/>
              <w:right w:val="nil"/>
            </w:tcBorders>
          </w:tcPr>
          <w:p>
            <w:pPr>
              <w:pStyle w:val="Normal6a"/>
            </w:pPr>
            <w:r>
              <w:t>5.</w:t>
            </w:r>
            <w:r>
              <w:tab/>
            </w:r>
            <w:r>
              <w:t>Arbetsgivare som deltar i EU:s talangreserv ska utan onödigt dröjsmål ange på it-plattformen för EU:s talangreserv att de framgångsrikt har avslutat rekryteringen av registrerade arbetssökande från tredjeländer för den aktuella lediga platsen.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Att ta bort registrerade arbetssökandes profiler förefaller helt onödigt, eftersom de fortfarande kan kontaktas av andra arbetsgivare.</w:t>
      </w:r>
      <w:r>
        <w:t xml:space="preserve"> </w:t>
      </w:r>
      <w:r>
        <w:t>Dessutom söker arbetsgivare ofta mer än en anställd för specifika roller så att de kan vilja behålla den lediga platsen online under en längre tid.</w:t>
      </w:r>
    </w:p>
    <w:p>
      <w:r>
        <w:rPr>
          <w:rStyle w:val="HideTWBExt"/>
        </w:rPr>
        <w:t>&lt;/Amend&gt;</w:t>
      </w:r>
    </w:p>
    <w:p>
      <w:pPr>
        <w:pStyle w:val="AmNumberTabs"/>
      </w:pPr>
      <w:r>
        <w:rPr>
          <w:rStyle w:val="HideTWBExt"/>
        </w:rPr>
        <w:t>&lt;Amend&gt;</w:t>
      </w:r>
      <w:r>
        <w:t>Ändringsförslag</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Arbetsgivare som deltar i EU:s talangreserv ska utan onödigt dröjsmål ange på it-plattformen för EU:s talangreserv </w:t>
            </w:r>
            <w:r>
              <w:rPr>
                <w:b/>
                <w:i/>
              </w:rPr>
              <w:t>att</w:t>
            </w:r>
            <w:r>
              <w:t xml:space="preserve"> de framgångsrikt har avslutat rekryteringen av registrerade arbetssökande från tredjeländer för den aktuella lediga platsen. Profilerna för dessa registrerade arbetssökande och de tillsatta platserna ska automatiskt upphöra att vara synliga på it-plattformen för EU:s talangreserv.</w:t>
            </w:r>
          </w:p>
        </w:tc>
        <w:tc>
          <w:tcPr>
            <w:tcW w:w="4876" w:type="dxa"/>
            <w:tcBorders>
              <w:top w:val="nil"/>
              <w:left w:val="nil"/>
              <w:bottom w:val="nil"/>
              <w:right w:val="nil"/>
            </w:tcBorders>
          </w:tcPr>
          <w:p>
            <w:pPr>
              <w:pStyle w:val="Normal6a"/>
            </w:pPr>
            <w:r>
              <w:t>5.</w:t>
            </w:r>
            <w:r>
              <w:tab/>
            </w:r>
            <w:r>
              <w:t xml:space="preserve">Arbetsgivare som deltar i EU:s talangreserv ska utan onödigt dröjsmål ange på it-plattformen för EU:s talangreserv </w:t>
            </w:r>
            <w:r>
              <w:rPr>
                <w:b/>
                <w:i/>
              </w:rPr>
              <w:t>när de har påbörjat en rekryteringsprocess med en arbetssökande som är registrerad på plattformen och när</w:t>
            </w:r>
            <w:r>
              <w:t xml:space="preserve"> de framgångsrikt har avslutat rekryteringen av registrerade arbetssökande från tredjeländer för den aktuella lediga platsen. Profilerna för dessa registrerade arbetssökande och de tillsatta platserna ska automatiskt upphöra att vara synliga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Arbetsgivare som deltar i EU:s talangreserv ska utan onödigt dröjsmål ange på it-plattformen för EU:s talangreserv att de framgångsrikt har avslutat rekryteringen </w:t>
            </w:r>
            <w:r>
              <w:rPr>
                <w:b/>
                <w:i/>
              </w:rPr>
              <w:t>av registrerade arbetssökande från tredjeländer</w:t>
            </w:r>
            <w:r>
              <w:t xml:space="preserve"> för den aktuella lediga platsen. </w:t>
            </w:r>
            <w:r>
              <w:rPr>
                <w:b/>
                <w:i/>
              </w:rPr>
              <w:t>Profilerna för dessa registrerade arbetssökande och</w:t>
            </w:r>
            <w:r>
              <w:t xml:space="preserve"> de tillsatta platserna ska automatiskt upphöra att vara synliga på it-plattformen för EU:s talangreserv.</w:t>
            </w:r>
          </w:p>
        </w:tc>
        <w:tc>
          <w:tcPr>
            <w:tcW w:w="4876" w:type="dxa"/>
            <w:tcBorders>
              <w:top w:val="nil"/>
              <w:left w:val="nil"/>
              <w:bottom w:val="nil"/>
              <w:right w:val="nil"/>
            </w:tcBorders>
          </w:tcPr>
          <w:p>
            <w:pPr>
              <w:pStyle w:val="Normal6a"/>
            </w:pPr>
            <w:r>
              <w:t>5.</w:t>
            </w:r>
            <w:r>
              <w:tab/>
            </w:r>
            <w:r>
              <w:t>Arbetsgivare som deltar i EU:s talangreserv ska utan onödigt dröjsmål ange på it-plattformen för EU:s talangreserv att de framgångsrikt har avslutat rekryteringen för den aktuella lediga platsen. De tillsatta platserna ska automatiskt upphöra att vara synliga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Arbetsgivare som deltar i EU:s talangreserv ska utan onödigt dröjsmål ange på it-plattformen för EU:s talangreserv att de framgångsrikt har avslutat rekryteringen av registrerade arbetssökande från tredjeländer för den aktuella lediga platsen. Profilerna för dessa registrerade arbetssökande och de tillsatta platserna ska automatiskt upphöra att vara synliga på it-plattformen för EU:s talangreserv.</w:t>
            </w:r>
          </w:p>
        </w:tc>
        <w:tc>
          <w:tcPr>
            <w:tcW w:w="4876" w:type="dxa"/>
            <w:tcBorders>
              <w:top w:val="nil"/>
              <w:left w:val="nil"/>
              <w:bottom w:val="nil"/>
              <w:right w:val="nil"/>
            </w:tcBorders>
          </w:tcPr>
          <w:p>
            <w:pPr>
              <w:pStyle w:val="Normal6a"/>
            </w:pPr>
            <w:r>
              <w:t>5.</w:t>
            </w:r>
            <w:r>
              <w:tab/>
            </w:r>
            <w:r>
              <w:t xml:space="preserve">Arbetsgivare </w:t>
            </w:r>
            <w:r>
              <w:rPr>
                <w:b/>
                <w:i/>
              </w:rPr>
              <w:t>och mellanhänder</w:t>
            </w:r>
            <w:r>
              <w:t xml:space="preserve"> som deltar i EU:s talangreserv ska utan onödigt dröjsmål ange på it-plattformen för EU:s talangreserv </w:t>
            </w:r>
            <w:r>
              <w:rPr>
                <w:b/>
                <w:i/>
              </w:rPr>
              <w:t>och till de nationella kontaktpunkterna</w:t>
            </w:r>
            <w:r>
              <w:t xml:space="preserve"> att de framgångsrikt har avslutat rekryteringen av registrerade arbetssökande från tredjeländer för den aktuella lediga platsen. Profilerna för dessa registrerade arbetssökande och de tillsatta platserna ska automatiskt upphöra att vara synliga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Arbetsgivare som deltar i</w:t>
            </w:r>
            <w:r>
              <w:t xml:space="preserve"> EU:s talangreserv ska utan onödigt dröjsmål ange på it-plattformen för EU:s talangreserv att de framgångsrikt har avslutat rekryteringen av registrerade arbetssökande från tredjeländer för den aktuella lediga platsen. Profilerna för dessa registrerade arbetssökande och de tillsatta platserna ska automatiskt upphöra att vara synliga på it-plattformen för EU:s talangreserv.</w:t>
            </w:r>
          </w:p>
        </w:tc>
        <w:tc>
          <w:tcPr>
            <w:tcW w:w="4876" w:type="dxa"/>
            <w:tcBorders>
              <w:top w:val="nil"/>
              <w:left w:val="nil"/>
              <w:bottom w:val="nil"/>
              <w:right w:val="nil"/>
            </w:tcBorders>
          </w:tcPr>
          <w:p>
            <w:pPr>
              <w:pStyle w:val="Normal6a"/>
            </w:pPr>
            <w:r>
              <w:t>5.</w:t>
            </w:r>
            <w:r>
              <w:tab/>
            </w:r>
            <w:r>
              <w:rPr>
                <w:b/>
                <w:i/>
              </w:rPr>
              <w:t>De nationella kontaktpunkterna för</w:t>
            </w:r>
            <w:r>
              <w:t xml:space="preserve"> EU:s talangreserv ska utan onödigt dröjsmål ange på it-plattformen för EU:s talangreserv att de framgångsrikt har avslutat rekryteringen av registrerade arbetssökande från tredjeländer för den aktuella lediga platsen. Profilerna för dessa registrerade arbetssökande och de tillsatta platserna ska </w:t>
            </w:r>
            <w:r>
              <w:rPr>
                <w:b/>
                <w:i/>
              </w:rPr>
              <w:t>därefter</w:t>
            </w:r>
            <w:r>
              <w:t xml:space="preserve"> automatiskt upphöra att vara synliga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5a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Om en ledig plats framgångsrikt har tillsatts av en registrerad arbetssökande från ett tredjeland ska denna arbetssökandes profil automatiskt upphöra att vara synlig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De nationella myndigheter som ansvarar för relevant rätt och praxis i de deltagande medlemsstaterna ska omedelbart informera de nationella kontaktpunkterna för EU:s talangreserv om eventuella överträdelser av bestämmelserna i relevant rätt och praxis enligt punkt 3 vid tillämpningen av artikel 10.2 e.</w:t>
            </w:r>
          </w:p>
        </w:tc>
        <w:tc>
          <w:tcPr>
            <w:tcW w:w="4876" w:type="dxa"/>
            <w:tcBorders>
              <w:top w:val="nil"/>
              <w:left w:val="nil"/>
              <w:bottom w:val="nil"/>
              <w:right w:val="nil"/>
            </w:tcBorders>
          </w:tcPr>
          <w:p>
            <w:pPr>
              <w:pStyle w:val="Normal6a"/>
            </w:pPr>
            <w:r>
              <w:t>6.</w:t>
            </w:r>
            <w:r>
              <w:tab/>
            </w:r>
            <w:r>
              <w:t xml:space="preserve">De nationella myndigheter som ansvarar för relevant rätt och praxis i de deltagande medlemsstaterna ska omedelbart informera de nationella kontaktpunkterna för EU:s talangreserv om eventuella överträdelser av bestämmelserna i relevant rätt och praxis enligt punkt 3 vid tillämpningen av artikel 10.2 e. </w:t>
            </w:r>
            <w:r>
              <w:rPr>
                <w:b/>
                <w:i/>
              </w:rPr>
              <w:t>De nationella kontaktpunkterna för EU:s talangreserv ska föra ett register över dessa överträdelser för att förhindra att de upprepas.</w:t>
            </w:r>
            <w:r>
              <w:t xml:space="preserve"> </w:t>
            </w:r>
            <w:r>
              <w:rPr>
                <w:b/>
                <w:i/>
              </w:rPr>
              <w:t>Arbetsgivare som har ålagts påföljder för brottslig verksamhet eller för överträdelser av tillämpliga arbetsnormer eller relevant unionsrätt och unionspraxis eller nationell rätt och praxis ska nekas tillträde till, eller stängas av från, EU:s talangreserv i fem år från och med den dag då beslutet om nekande av tillträde eller avstängning fattades.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De nationella myndigheter som ansvarar för relevant rätt och praxis i de deltagande medlemsstaterna ska omedelbart informera de nationella kontaktpunkterna för EU:s talangreserv om eventuella överträdelser av bestämmelserna i relevant rätt och praxis enligt punkt 3 vid tillämpningen av artikel 10.2 e.</w:t>
            </w:r>
          </w:p>
        </w:tc>
        <w:tc>
          <w:tcPr>
            <w:tcW w:w="4876" w:type="dxa"/>
            <w:tcBorders>
              <w:top w:val="nil"/>
              <w:left w:val="nil"/>
              <w:bottom w:val="nil"/>
              <w:right w:val="nil"/>
            </w:tcBorders>
          </w:tcPr>
          <w:p>
            <w:pPr>
              <w:pStyle w:val="Normal6a"/>
            </w:pPr>
            <w:r>
              <w:t>6.</w:t>
            </w:r>
            <w:r>
              <w:tab/>
            </w:r>
            <w:r>
              <w:t xml:space="preserve">De nationella myndigheter som ansvarar för relevant rätt och praxis i de deltagande medlemsstaterna ska omedelbart informera de nationella kontaktpunkterna för EU:s talangreserv om eventuella överträdelser av bestämmelserna i relevant rätt och praxis enligt punkt 3 vid tillämpningen av artikel 10.2 e. </w:t>
            </w:r>
            <w:r>
              <w:rPr>
                <w:b/>
                <w:i/>
              </w:rPr>
              <w:t>De nationella kontaktpunkterna för EU:s talangreserv ska också föra ett register över dessa överträdelser för att förebygga att det sker flera överträdelser av samma bestämmelser.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De nationella myndigheter som ansvarar för relevant rätt och praxis i </w:t>
            </w:r>
            <w:r>
              <w:rPr>
                <w:b/>
                <w:i/>
              </w:rPr>
              <w:t>de deltagande</w:t>
            </w:r>
            <w:r>
              <w:t xml:space="preserve"> medlemsstaterna ska omedelbart informera de nationella kontaktpunkterna för EU:s talangreserv om eventuella överträdelser av bestämmelserna i relevant rätt och praxis enligt punkt 3 vid tillämpningen av artikel 10.2 e.</w:t>
            </w:r>
          </w:p>
        </w:tc>
        <w:tc>
          <w:tcPr>
            <w:tcW w:w="4876" w:type="dxa"/>
            <w:tcBorders>
              <w:top w:val="nil"/>
              <w:left w:val="nil"/>
              <w:bottom w:val="nil"/>
              <w:right w:val="nil"/>
            </w:tcBorders>
          </w:tcPr>
          <w:p>
            <w:pPr>
              <w:pStyle w:val="Normal6a"/>
            </w:pPr>
            <w:r>
              <w:t>6.</w:t>
            </w:r>
            <w:r>
              <w:tab/>
            </w:r>
            <w:r>
              <w:t>De nationella myndigheter som ansvarar för relevant rätt och praxis i medlemsstaterna ska omedelbart informera de nationella kontaktpunkterna för EU:s talangreserv om eventuella överträdelser av bestämmelserna i relevant rätt och praxis enligt punkt 3 vid tillämpningen av artikel 10.2 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14</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Förteckning över bristyrken i hela EU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 bilagan till denna förordning fastställs en förteckning över bristyrken i hela EU enligt ISCO-08 på fyrsiffernivå.</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Kommissionen ska ges befogenhet att anta delegerade akter i enlighet med förfarandet i artikel 21 för att ändra bilagan i enlighet med följande kriterier: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Bristyrken som är gemensamma för ett betydande antal deltagande medlemsstater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Sekretariatet för EU:s talangreserv ska offentliggöra förteckningen över bristyrken i hela EU på it-plattformen för EU:s talangreserv.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14</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Förteckning över bristyrken i hela EU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 bilagan till denna förordning fastställs en förteckning över bristyrken i hela EU enligt ISCO-08 på fyrsiffernivå.</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Kommissionen ska ges befogenhet att anta delegerade akter i enlighet med förfarandet i artikel 21 för att ändra bilagan i enlighet med följande kriterier: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Bristyrken som är gemensamma för ett betydande antal deltagande medlemsstater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Sekretariatet för EU:s talangreserv ska offentliggöra förteckningen över bristyrken i hela EU på it-plattformen för EU:s talangreserv.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Article 14</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Förteckning över bristyrken i hela EU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 bilagan till denna förordning fastställs en förteckning över bristyrken i hela EU enligt ISCO-08 på fyrsiffernivå.</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Kommissionen ska ges befogenhet att anta delegerade akter i enlighet med förfarandet i artikel 21 för att ändra bilagan i enlighet med följande kriterier: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Bristyrken som är gemensamma för ett betydande antal deltagande medlemsstater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Sekretariatet för EU:s talangreserv ska offentliggöra förteckningen över bristyrken i hela EU på it-plattformen för EU:s talangreserv.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 bilagan till denna förordning fastställs en förteckning över bristyrken i hela EU enligt ISCO-08 på fyrsiffernivå.</w:t>
            </w:r>
          </w:p>
        </w:tc>
        <w:tc>
          <w:tcPr>
            <w:tcW w:w="4876" w:type="dxa"/>
            <w:tcBorders>
              <w:top w:val="nil"/>
              <w:left w:val="nil"/>
              <w:bottom w:val="nil"/>
              <w:right w:val="nil"/>
            </w:tcBorders>
          </w:tcPr>
          <w:p>
            <w:pPr>
              <w:pStyle w:val="Normal6a"/>
            </w:pPr>
            <w:r>
              <w:t xml:space="preserve">I bilagan till denna förordning fastställs en förteckning över bristyrken i hela EU enligt ISCO-08 på fyrsiffernivå. </w:t>
            </w:r>
            <w:r>
              <w:rPr>
                <w:b/>
                <w:i/>
              </w:rPr>
              <w:t>Den EU-omfattande förteckningen över bristyrken ska användas för att ge en översikt över bristen på arbetskraft och för att hjälpa arbetssökande att bedöma sannolikheten för en potentiell matchning och framgångsrik rekrytering.</w:t>
            </w:r>
            <w:r>
              <w:t xml:space="preserve"> </w:t>
            </w:r>
            <w:r>
              <w:rPr>
                <w:b/>
                <w:i/>
              </w:rPr>
              <w:t>Förteckningen får inte användas för att begränsa tredjelandsmedborgare eller arbetsgivare och mellanhänder från att gå in på och registrera sig på den gemensamma it-plattformen.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Kommissionen ska</w:t>
            </w:r>
            <w:r>
              <w:t xml:space="preserve"> ges befogenhet att anta delegerade akter i enlighet med förfarandet i artikel 21 för att ändra bilagan i enlighet med följande kriterier:</w:t>
            </w:r>
          </w:p>
        </w:tc>
        <w:tc>
          <w:tcPr>
            <w:tcW w:w="4876" w:type="dxa"/>
            <w:tcBorders>
              <w:top w:val="nil"/>
              <w:left w:val="nil"/>
              <w:bottom w:val="nil"/>
              <w:right w:val="nil"/>
            </w:tcBorders>
          </w:tcPr>
          <w:p>
            <w:pPr>
              <w:pStyle w:val="Normal6a"/>
            </w:pPr>
            <w:r>
              <w:rPr>
                <w:b/>
                <w:i/>
              </w:rPr>
              <w:t>Efter grundliga samråd med medlemsstaterna ska kommissionen</w:t>
            </w:r>
            <w:r>
              <w:t xml:space="preserve"> ges befogenhet att anta delegerade akter i enlighet med förfarandet i artikel 21 för att ändra bilagan i enlighet med följande kriterier: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Bristyrken som är gemensamma för ett betydande antal deltagande medlemsstater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Bristyrken som är gemensamma för </w:t>
            </w:r>
            <w:r>
              <w:rPr>
                <w:b/>
                <w:i/>
              </w:rPr>
              <w:t>ett betydande antal</w:t>
            </w:r>
            <w:r>
              <w:t xml:space="preserve"> deltagande </w:t>
            </w:r>
            <w:r>
              <w:rPr>
                <w:b/>
                <w:i/>
              </w:rPr>
              <w:t>medlemsstater</w:t>
            </w:r>
            <w:r>
              <w:t xml:space="preserve">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r>
              <w:t>a)</w:t>
            </w:r>
            <w:r>
              <w:tab/>
            </w:r>
            <w:r>
              <w:t xml:space="preserve">Bristyrken som är gemensamma för </w:t>
            </w:r>
            <w:r>
              <w:rPr>
                <w:b/>
                <w:i/>
              </w:rPr>
              <w:t>två tredjedelar av de</w:t>
            </w:r>
            <w:r>
              <w:t xml:space="preserve"> deltagande </w:t>
            </w:r>
            <w:r>
              <w:rPr>
                <w:b/>
                <w:i/>
              </w:rPr>
              <w:t>medlemsstaterna</w:t>
            </w:r>
            <w:r>
              <w:t xml:space="preserve"> och som anmälts till sekretariatet för EU:s talangreserv av de nationella kontaktpunkterna för EU:s talangreserv i enlighet med artikel 10.2 c.</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Bristyrken som är gemensamma för </w:t>
            </w:r>
            <w:r>
              <w:rPr>
                <w:b/>
                <w:i/>
              </w:rPr>
              <w:t>ett betydande antal</w:t>
            </w:r>
            <w:r>
              <w:t xml:space="preserve"> deltagande </w:t>
            </w:r>
            <w:r>
              <w:rPr>
                <w:b/>
                <w:i/>
              </w:rPr>
              <w:t>medlemsstater</w:t>
            </w:r>
            <w:r>
              <w:t xml:space="preserve">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r>
              <w:t>a)</w:t>
            </w:r>
            <w:r>
              <w:tab/>
            </w:r>
            <w:r>
              <w:t xml:space="preserve">Bristyrken som är gemensamma för </w:t>
            </w:r>
            <w:r>
              <w:rPr>
                <w:b/>
                <w:i/>
              </w:rPr>
              <w:t>fler än tre av de</w:t>
            </w:r>
            <w:r>
              <w:t xml:space="preserve"> deltagande </w:t>
            </w:r>
            <w:r>
              <w:rPr>
                <w:b/>
                <w:i/>
              </w:rPr>
              <w:t>medlemsstaterna</w:t>
            </w:r>
            <w:r>
              <w:t xml:space="preserve"> och som anmälts till sekretariatet för EU:s talangreserv av de nationella kontaktpunkterna för EU:s talangreserv i enlighet med artikel 10.2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Bristyrken som </w:t>
            </w:r>
            <w:r>
              <w:rPr>
                <w:b/>
                <w:i/>
              </w:rPr>
              <w:t>är gemensamma för ett betydande antal</w:t>
            </w:r>
            <w:r>
              <w:t xml:space="preserve"> deltagande </w:t>
            </w:r>
            <w:r>
              <w:rPr>
                <w:b/>
                <w:i/>
              </w:rPr>
              <w:t>medlemsstater</w:t>
            </w:r>
            <w:r>
              <w:t xml:space="preserve"> och som anmälts till sekretariatet för EU:s talangreserv av de nationella kontaktpunkterna för EU:s talangreserv i enlighet med artikel 10.2 c.</w:t>
            </w:r>
          </w:p>
        </w:tc>
        <w:tc>
          <w:tcPr>
            <w:tcW w:w="4876" w:type="dxa"/>
            <w:tcBorders>
              <w:top w:val="nil"/>
              <w:left w:val="nil"/>
              <w:bottom w:val="nil"/>
              <w:right w:val="nil"/>
            </w:tcBorders>
          </w:tcPr>
          <w:p>
            <w:pPr>
              <w:pStyle w:val="Normal6a"/>
            </w:pPr>
            <w:r>
              <w:t>a)</w:t>
            </w:r>
            <w:r>
              <w:tab/>
            </w:r>
            <w:r>
              <w:t xml:space="preserve">Bristyrken som </w:t>
            </w:r>
            <w:r>
              <w:rPr>
                <w:b/>
                <w:i/>
              </w:rPr>
              <w:t>har rapporterats in av minst två av de</w:t>
            </w:r>
            <w:r>
              <w:t xml:space="preserve"> deltagande </w:t>
            </w:r>
            <w:r>
              <w:rPr>
                <w:b/>
                <w:i/>
              </w:rPr>
              <w:t>medlemsstaterna</w:t>
            </w:r>
            <w:r>
              <w:t xml:space="preserve"> och som anmälts till sekretariatet för EU:s talangreserv av de nationella kontaktpunkterna för EU:s talangreserv i enlighet med artikel 10.2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Med beaktande av företagens behov.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EU:s talangreserv kommer att fungera mer effektivt om den inte styrs av (växlande) politiska prioriteringar, utan av EU-arbetsgivarnas dagliga behov.</w:t>
      </w:r>
    </w:p>
    <w:p>
      <w:r>
        <w:rPr>
          <w:rStyle w:val="HideTWBExt"/>
        </w:rPr>
        <w:t>&lt;/Amend&gt;</w:t>
      </w:r>
    </w:p>
    <w:p>
      <w:pPr>
        <w:pStyle w:val="AmNumberTabs"/>
      </w:pPr>
      <w:r>
        <w:rPr>
          <w:rStyle w:val="HideTWBExt"/>
        </w:rPr>
        <w:t>&lt;Amend&gt;</w:t>
      </w:r>
      <w:r>
        <w:t>Ändringsförslag</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Yrken som direkt bidrar till den gröna och den digitala omställningen i EU och som sannolikt kommer att bli allt viktigare.</w:t>
            </w:r>
          </w:p>
        </w:tc>
        <w:tc>
          <w:tcPr>
            <w:tcW w:w="4876" w:type="dxa"/>
            <w:tcBorders>
              <w:top w:val="nil"/>
              <w:left w:val="nil"/>
              <w:bottom w:val="nil"/>
              <w:right w:val="nil"/>
            </w:tcBorders>
          </w:tcPr>
          <w:p>
            <w:pPr>
              <w:pStyle w:val="Normal6a"/>
            </w:pPr>
            <w:r>
              <w:t>b)</w:t>
            </w:r>
            <w:r>
              <w:tab/>
            </w:r>
            <w:r>
              <w:t xml:space="preserve">Yrken som </w:t>
            </w:r>
            <w:r>
              <w:rPr>
                <w:b/>
                <w:i/>
              </w:rPr>
              <w:t>säkerställer ökad konkurrenskraft och</w:t>
            </w:r>
            <w:r>
              <w:t xml:space="preserve"> direkt bidrar till den gröna och den digitala omställningen i EU och som sannolikt kommer att bli allt viktigare.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 – stycke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Yrken som direkt bidrar till den </w:t>
            </w:r>
            <w:r>
              <w:rPr>
                <w:b/>
                <w:i/>
              </w:rPr>
              <w:t>gröna</w:t>
            </w:r>
            <w:r>
              <w:t xml:space="preserve"> och den digitala omställningen i EU och som sannolikt kommer att bli allt viktigare.</w:t>
            </w:r>
          </w:p>
        </w:tc>
        <w:tc>
          <w:tcPr>
            <w:tcW w:w="4876" w:type="dxa"/>
            <w:tcBorders>
              <w:top w:val="nil"/>
              <w:left w:val="nil"/>
              <w:bottom w:val="nil"/>
              <w:right w:val="nil"/>
            </w:tcBorders>
          </w:tcPr>
          <w:p>
            <w:pPr>
              <w:pStyle w:val="Normal6a"/>
            </w:pPr>
            <w:r>
              <w:t>b)</w:t>
            </w:r>
            <w:r>
              <w:tab/>
            </w:r>
            <w:r>
              <w:t xml:space="preserve">Yrken som direkt bidrar till den </w:t>
            </w:r>
            <w:r>
              <w:rPr>
                <w:b/>
                <w:i/>
              </w:rPr>
              <w:t>rena</w:t>
            </w:r>
            <w:r>
              <w:t xml:space="preserve"> och den digitala omställningen i EU och som sannolikt kommer att bli allt viktigare.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Sekretariatet för EU:s talangreserv ska offentliggöra förteckningen över bristyrken i hela EU på it-plattformen för EU:s talangreserv.</w:t>
            </w:r>
          </w:p>
        </w:tc>
        <w:tc>
          <w:tcPr>
            <w:tcW w:w="4876" w:type="dxa"/>
            <w:tcBorders>
              <w:top w:val="nil"/>
              <w:left w:val="nil"/>
              <w:bottom w:val="nil"/>
              <w:right w:val="nil"/>
            </w:tcBorders>
          </w:tcPr>
          <w:p>
            <w:pPr>
              <w:pStyle w:val="Normal6a"/>
            </w:pPr>
            <w:r>
              <w:t>2.</w:t>
            </w:r>
            <w:r>
              <w:tab/>
            </w:r>
            <w:r>
              <w:t xml:space="preserve">Sekretariatet för EU:s talangreserv ska offentliggöra förteckningen över bristyrken i hela EU på it-plattformen för EU:s talangreserv. </w:t>
            </w:r>
            <w:r>
              <w:rPr>
                <w:b/>
                <w:i/>
              </w:rPr>
              <w:t>Denna förteckning bör fungera som en indikation för arbetssökande om de specifika behoven på arbetsmarknaden på EU-nivå.</w:t>
            </w:r>
            <w:r>
              <w:t xml:space="preserve"> </w:t>
            </w:r>
            <w:r>
              <w:rPr>
                <w:b/>
                <w:i/>
              </w:rPr>
              <w:t>Detta får inte på något sätt begränsa vilka lediga platser som får laddas upp på it-plattformen och inte heller vilka arbetssökande som får skapa en profil och ansöka om lediga platser.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15</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Nationella justeringar av förteckningen över bristyrken i hela EU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Deltagande medlemsstater får besluta att lägga till bristyrken enligt ISCO-08 på fyrsiffernivå för att tillgodose sina särskilda arbetsmarknadsbehov.</w:t>
            </w:r>
            <w:r>
              <w:rPr>
                <w:b/>
                <w:i/>
              </w:rPr>
              <w:t xml:space="preserve"> </w:t>
            </w:r>
            <w:r>
              <w:rPr>
                <w:b/>
                <w:i/>
              </w:rPr>
              <w:t>De kan också besluta att ta bort bristyrken från den EU-omfattande förteckningen om de inte överensstämmer med deras särskilda arbetsmarknadsbehov.</w:t>
            </w:r>
            <w:r>
              <w:rPr>
                <w:b/>
                <w:i/>
              </w:rPr>
              <w:t xml:space="preserve"> </w:t>
            </w:r>
            <w:r>
              <w:rPr>
                <w:b/>
                <w:i/>
              </w:rPr>
              <w:t>De landsspecifika justeringarna ska endast påverka matchningen av lediga platser i den berörda medlemsstaten.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i de medlemsstater som anmäler sitt deltagande i EU:s talangreserv i enlighet med artikel 3 ska anmäla alla tillägg till eller strykningar från den EU-omfattande förteckningen över bristyrken senast tre månader innan de ansluter sig till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i de deltagande medlemsstaterna ska anmäla alla tillägg till eller strykningar från den EU-omfattande förteckningen över bristyrken inom tre månader efter ändringarna av bilagan.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får meddela sekretariatet för EU:s talangreserv ytterligare tillägg till och strykningar från den EU-omfattande förteckningen över bristyrken högst en gång om året.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Sekretariatet för EU:s talangreserv ska offentliggöra de justeringar av förteckningen över bristyrken i hela EU som anmälts av kontaktpunkterna för EU:s talangreserv på it-plattformen för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 nationella kontaktpunkterna för EU:s talangreserv ska till it-plattformen för EU:s talangreserv endast överföra de lediga platser som motsvarar den EU-omfattande förteckningen över bristyrken, med beaktande av de justeringar som avses i punkt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Nationella justeringar av förteckningen över bristyrken i hela EU</w:t>
            </w:r>
          </w:p>
        </w:tc>
        <w:tc>
          <w:tcPr>
            <w:tcW w:w="4876" w:type="dxa"/>
            <w:tcBorders>
              <w:top w:val="nil"/>
              <w:left w:val="nil"/>
              <w:bottom w:val="nil"/>
              <w:right w:val="nil"/>
            </w:tcBorders>
          </w:tcPr>
          <w:p>
            <w:pPr>
              <w:pStyle w:val="Normal6a"/>
            </w:pPr>
            <w:r>
              <w:rPr>
                <w:b/>
                <w:i/>
              </w:rPr>
              <w:t>Förteckning över nationella bristyrken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Deltagande medlemsstater får besluta att lägga till</w:t>
            </w:r>
            <w:r>
              <w:t xml:space="preserve"> bristyrken enligt ISCO-08 på fyrsiffernivå för att tillgodose sina särskilda arbetsmarknadsbehov. </w:t>
            </w:r>
            <w:r>
              <w:rPr>
                <w:b/>
                <w:i/>
              </w:rPr>
              <w:t>De kan också besluta att ta bort bristyrken från den EU-omfattande förteckningen om de inte överensstämmer med deras särskilda arbetsmarknadsbehov.</w:t>
            </w:r>
            <w:r>
              <w:t xml:space="preserve"> </w:t>
            </w:r>
            <w:r>
              <w:rPr>
                <w:b/>
                <w:i/>
              </w:rPr>
              <w:t>De landsspecifika justeringarna ska endast påverka matchningen av lediga platser i den berörda medlemsstaten.</w:t>
            </w:r>
          </w:p>
        </w:tc>
        <w:tc>
          <w:tcPr>
            <w:tcW w:w="4876" w:type="dxa"/>
            <w:tcBorders>
              <w:top w:val="nil"/>
              <w:left w:val="nil"/>
              <w:bottom w:val="nil"/>
              <w:right w:val="nil"/>
            </w:tcBorders>
          </w:tcPr>
          <w:p>
            <w:pPr>
              <w:pStyle w:val="Normal6a"/>
            </w:pPr>
            <w:r>
              <w:rPr>
                <w:b/>
                <w:i/>
              </w:rPr>
              <w:t>Varje medlemsstat ska ha en bilaga med högkvalificerade</w:t>
            </w:r>
            <w:r>
              <w:t xml:space="preserve"> bristyrken enligt ISCO-08 på fyrsiffernivå för att tillgodose sina särskilda arbetsmarknadsbehov.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Deltagande medlemsstater får besluta att lägga till bristyrken enligt ISCO-08 på fyrsiffernivå för att tillgodose sina särskilda arbetsmarknadsbehov. De kan också besluta att ta bort bristyrken från den EU-omfattande förteckningen om de inte överensstämmer med deras särskilda arbetsmarknadsbehov. De landsspecifika justeringarna ska endast påverka matchningen av lediga platser i den berörda medlemsstaten.</w:t>
            </w:r>
          </w:p>
        </w:tc>
        <w:tc>
          <w:tcPr>
            <w:tcW w:w="4876" w:type="dxa"/>
            <w:tcBorders>
              <w:top w:val="nil"/>
              <w:left w:val="nil"/>
              <w:bottom w:val="nil"/>
              <w:right w:val="nil"/>
            </w:tcBorders>
          </w:tcPr>
          <w:p>
            <w:pPr>
              <w:pStyle w:val="Normal6a"/>
            </w:pPr>
            <w:r>
              <w:t xml:space="preserve">Deltagande medlemsstater får besluta att lägga till bristyrken enligt ISCO-08 på fyrsiffernivå för att tillgodose sina särskilda arbetsmarknadsbehov </w:t>
            </w:r>
            <w:r>
              <w:rPr>
                <w:b/>
                <w:i/>
              </w:rPr>
              <w:t>på nationell nivå eller regional nivå eller sina migrationspolitiska mål</w:t>
            </w:r>
            <w:r>
              <w:t xml:space="preserve">. De kan också besluta att ta bort bristyrken från den EU-omfattande förteckningen om de inte överensstämmer med deras särskilda arbetsmarknadsbehov </w:t>
            </w:r>
            <w:r>
              <w:rPr>
                <w:b/>
                <w:i/>
              </w:rPr>
              <w:t>på nationell nivå eller regional nivå eller deras migrationspolitiska mål</w:t>
            </w:r>
            <w:r>
              <w:t>. De landsspecifika justeringarna ska endast påverka matchningen av lediga platser i den berörda medlemsstaten.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Deltagande medlemsstater</w:t>
            </w:r>
            <w:r>
              <w:t xml:space="preserve"> får besluta att lägga till bristyrken enligt ISCO-08 på fyrsiffernivå för att tillgodose sina särskilda arbetsmarknadsbehov. De kan också besluta att ta bort bristyrken från den EU-omfattande förteckningen om de inte överensstämmer med deras särskilda arbetsmarknadsbehov. </w:t>
            </w:r>
            <w:r>
              <w:rPr>
                <w:b/>
                <w:i/>
              </w:rPr>
              <w:t>De landsspecifika justeringarna ska endast påverka matchningen av lediga platser i den berörda medlemsstaten.</w:t>
            </w:r>
          </w:p>
        </w:tc>
        <w:tc>
          <w:tcPr>
            <w:tcW w:w="4876" w:type="dxa"/>
            <w:tcBorders>
              <w:top w:val="nil"/>
              <w:left w:val="nil"/>
              <w:bottom w:val="nil"/>
              <w:right w:val="nil"/>
            </w:tcBorders>
          </w:tcPr>
          <w:p>
            <w:pPr>
              <w:pStyle w:val="Normal6a"/>
            </w:pPr>
            <w:r>
              <w:rPr>
                <w:b/>
                <w:i/>
              </w:rPr>
              <w:t>Medlemsstaterna</w:t>
            </w:r>
            <w:r>
              <w:t xml:space="preserve"> får besluta att lägga till bristyrken enligt ISCO-08 på fyrsiffernivå för att tillgodose sina särskilda arbetsmarknadsbehov. De kan också besluta att ta bort bristyrken från den EU-omfattande förteckningen om de inte överensstämmer med deras särskilda arbetsmarknadsbehov.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Deltagande medlemsstater får besluta att lägga till bristyrken enligt ISCO-08 på fyrsiffernivå för att tillgodose sina särskilda arbetsmarknadsbehov. De kan också besluta att ta bort bristyrken från den EU-omfattande förteckningen om de inte överensstämmer med deras särskilda arbetsmarknadsbehov. De landsspecifika justeringarna ska </w:t>
            </w:r>
            <w:r>
              <w:rPr>
                <w:b/>
                <w:i/>
              </w:rPr>
              <w:t>endast påverka matchningen av lediga platser i</w:t>
            </w:r>
            <w:r>
              <w:t xml:space="preserve"> den berörda </w:t>
            </w:r>
            <w:r>
              <w:rPr>
                <w:b/>
                <w:i/>
              </w:rPr>
              <w:t>medlemsstaten</w:t>
            </w:r>
            <w:r>
              <w:t>.</w:t>
            </w:r>
          </w:p>
        </w:tc>
        <w:tc>
          <w:tcPr>
            <w:tcW w:w="4876" w:type="dxa"/>
            <w:tcBorders>
              <w:top w:val="nil"/>
              <w:left w:val="nil"/>
              <w:bottom w:val="nil"/>
              <w:right w:val="nil"/>
            </w:tcBorders>
          </w:tcPr>
          <w:p>
            <w:pPr>
              <w:pStyle w:val="Normal6a"/>
            </w:pPr>
            <w:r>
              <w:t xml:space="preserve">Deltagande medlemsstater får besluta att lägga till bristyrken enligt ISCO-08 på fyrsiffernivå för att tillgodose sina särskilda arbetsmarknadsbehov. De kan också besluta att ta bort bristyrken från den EU-omfattande förteckningen om de inte överensstämmer med deras särskilda arbetsmarknadsbehov. De landsspecifika justeringarna ska </w:t>
            </w:r>
            <w:r>
              <w:rPr>
                <w:b/>
                <w:i/>
              </w:rPr>
              <w:t>tjäna som en indikation för arbetssökande om</w:t>
            </w:r>
            <w:r>
              <w:t xml:space="preserve"> den berörda </w:t>
            </w:r>
            <w:r>
              <w:rPr>
                <w:b/>
                <w:i/>
              </w:rPr>
              <w:t>medlemsstatens särskilda arbetsmarknadsbehov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Deltagande medlemsstater får besluta att lägga till bristyrken enligt ISCO-08 på fyrsiffernivå för att tillgodose sina särskilda </w:t>
            </w:r>
            <w:r>
              <w:rPr>
                <w:b/>
                <w:i/>
              </w:rPr>
              <w:t>arbetsmarknadsbehov</w:t>
            </w:r>
            <w:r>
              <w:t xml:space="preserve">. De kan också besluta att ta bort bristyrken från den EU-omfattande förteckningen om de inte överensstämmer med deras särskilda </w:t>
            </w:r>
            <w:r>
              <w:rPr>
                <w:b/>
                <w:i/>
              </w:rPr>
              <w:t>arbetsmarknadsbehov</w:t>
            </w:r>
            <w:r>
              <w:t>. De landsspecifika justeringarna ska endast påverka matchningen av lediga platser i den berörda medlemsstaten.</w:t>
            </w:r>
          </w:p>
        </w:tc>
        <w:tc>
          <w:tcPr>
            <w:tcW w:w="4876" w:type="dxa"/>
            <w:tcBorders>
              <w:top w:val="nil"/>
              <w:left w:val="nil"/>
              <w:bottom w:val="nil"/>
              <w:right w:val="nil"/>
            </w:tcBorders>
          </w:tcPr>
          <w:p>
            <w:pPr>
              <w:pStyle w:val="Normal6a"/>
            </w:pPr>
            <w:r>
              <w:t xml:space="preserve">Deltagande medlemsstater får besluta att lägga till bristyrken enligt ISCO-08 på fyrsiffernivå för att tillgodose sina särskilda </w:t>
            </w:r>
            <w:r>
              <w:rPr>
                <w:b/>
                <w:i/>
              </w:rPr>
              <w:t>behov och mål</w:t>
            </w:r>
            <w:r>
              <w:t xml:space="preserve">. De kan också besluta att ta bort bristyrken från den EU-omfattande förteckningen om de inte överensstämmer med deras särskilda </w:t>
            </w:r>
            <w:r>
              <w:rPr>
                <w:b/>
                <w:i/>
              </w:rPr>
              <w:t>behov och mål</w:t>
            </w:r>
            <w:r>
              <w:t>. De landsspecifika justeringarna ska endast påverka matchningen av lediga platser i den berörda medlemsstaten.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i de medlemsstater som anmäler sitt deltagande i EU:s talangreserv i enlighet med artikel 3 ska anmäla alla tillägg till eller strykningar från den EU-omfattande förteckningen över bristyrken senast tre månader innan de ansluter sig till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i de medlemsstater som anmäler sitt deltagande i EU:s talangreserv i enlighet med artikel 3 ska anmäla alla tillägg till eller strykningar från den EU-omfattande förteckningen över bristyrken </w:t>
            </w:r>
            <w:r>
              <w:rPr>
                <w:b/>
                <w:i/>
              </w:rPr>
              <w:t>senast tre månader innan de ansluter sig till EU:s talangreserv</w:t>
            </w:r>
            <w:r>
              <w:t>.</w:t>
            </w:r>
          </w:p>
        </w:tc>
        <w:tc>
          <w:tcPr>
            <w:tcW w:w="4876" w:type="dxa"/>
            <w:tcBorders>
              <w:top w:val="nil"/>
              <w:left w:val="nil"/>
              <w:bottom w:val="nil"/>
              <w:right w:val="nil"/>
            </w:tcBorders>
          </w:tcPr>
          <w:p>
            <w:pPr>
              <w:pStyle w:val="Normal6a"/>
            </w:pPr>
            <w:r>
              <w:t>De nationella kontaktpunkterna för EU:s talangreserv i de medlemsstater som anmäler sitt deltagande i EU:s talangreserv i enlighet med artikel 3 ska anmäla alla tillägg till eller strykningar från den EU-omfattande förteckningen över bristyrken.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i de medlemsstater som </w:t>
            </w:r>
            <w:r>
              <w:rPr>
                <w:b/>
                <w:i/>
              </w:rPr>
              <w:t>anmäler sitt deltagande</w:t>
            </w:r>
            <w:r>
              <w:t xml:space="preserve"> i EU:s talangreserv </w:t>
            </w:r>
            <w:r>
              <w:rPr>
                <w:b/>
                <w:i/>
              </w:rPr>
              <w:t>i enlighet med artikel 3</w:t>
            </w:r>
            <w:r>
              <w:t xml:space="preserve"> ska anmäla alla tillägg till eller strykningar från </w:t>
            </w:r>
            <w:r>
              <w:rPr>
                <w:b/>
                <w:i/>
              </w:rPr>
              <w:t>den EU-omfattande</w:t>
            </w:r>
            <w:r>
              <w:t xml:space="preserve"> förteckningen över bristyrken </w:t>
            </w:r>
            <w:r>
              <w:rPr>
                <w:b/>
                <w:i/>
              </w:rPr>
              <w:t>senast tre månader innan de ansluter sig till EU:s talangreserv</w:t>
            </w:r>
            <w:r>
              <w:t>.</w:t>
            </w:r>
          </w:p>
        </w:tc>
        <w:tc>
          <w:tcPr>
            <w:tcW w:w="4876" w:type="dxa"/>
            <w:tcBorders>
              <w:top w:val="nil"/>
              <w:left w:val="nil"/>
              <w:bottom w:val="nil"/>
              <w:right w:val="nil"/>
            </w:tcBorders>
          </w:tcPr>
          <w:p>
            <w:pPr>
              <w:pStyle w:val="Normal6a"/>
            </w:pPr>
            <w:r>
              <w:t xml:space="preserve">De nationella kontaktpunkterna för EU:s talangreserv i de medlemsstater som </w:t>
            </w:r>
            <w:r>
              <w:rPr>
                <w:b/>
                <w:i/>
              </w:rPr>
              <w:t>deltar</w:t>
            </w:r>
            <w:r>
              <w:t xml:space="preserve"> i EU:s talangreserv ska anmäla alla tillägg till eller strykningar från förteckningen över bristyrken </w:t>
            </w:r>
            <w:r>
              <w:rPr>
                <w:b/>
                <w:i/>
              </w:rPr>
              <w:t>i syfte att ändra bilagan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i de deltagande medlemsstaterna ska anmäla alla tillägg till eller strykningar från den EU-omfattande förteckningen över bristyrken inom tre månader efter ändringarna av bilagan.</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i de deltagande medlemsstaterna ska anmäla alla tillägg till eller strykningar från den EU-omfattande förteckningen över bristyrken inom tre månader efter ändringarna av bilagan.</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i </w:t>
            </w:r>
            <w:r>
              <w:rPr>
                <w:b/>
                <w:i/>
              </w:rPr>
              <w:t>de deltagande</w:t>
            </w:r>
            <w:r>
              <w:t xml:space="preserve"> medlemsstaterna ska anmäla alla tillägg till eller strykningar från den EU-omfattande förteckningen över bristyrken inom tre månader efter ändringarna av bilagan.</w:t>
            </w:r>
          </w:p>
        </w:tc>
        <w:tc>
          <w:tcPr>
            <w:tcW w:w="4876" w:type="dxa"/>
            <w:tcBorders>
              <w:top w:val="nil"/>
              <w:left w:val="nil"/>
              <w:bottom w:val="nil"/>
              <w:right w:val="nil"/>
            </w:tcBorders>
          </w:tcPr>
          <w:p>
            <w:pPr>
              <w:pStyle w:val="Normal6a"/>
            </w:pPr>
            <w:r>
              <w:t>De nationella kontaktpunkterna för EU:s talangreserv i medlemsstaterna ska anmäla alla tillägg till eller strykningar från den EU-omfattande förteckningen över bristyrken inom tre månader efter ändringarna av bilagan.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får meddela sekretariatet för EU:s talangreserv ytterligare tillägg till och strykningar från den EU-omfattande förteckningen över bristyrken högst en gång om året.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nationella kontaktpunkterna för EU:s talangreserv får meddela sekretariatet för EU:s talangreserv ytterligare tillägg till och strykningar från den EU-omfattande förteckningen över bristyrken högst en gång om året.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för utskottet för medborgerliga fri- och rättigheter samt rättsliga och inrikes frågor</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De nationella kontaktpunkterna för EU:s talangreserv får meddela sekretariatet för EU:s talangreserv ytterligare tillägg till och strykningar från den EU-omfattande förteckningen över bristyrken högst en gång om året.</w:t>
            </w:r>
          </w:p>
        </w:tc>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högst en gång om året. </w:t>
            </w:r>
            <w:r>
              <w:rPr>
                <w:b/>
                <w:i/>
              </w:rPr>
              <w:t>Den tar hänsyn till den institutionella strukturen och fördelningen av befogenheter inom varje medlemsstat.</w:t>
            </w:r>
            <w:r>
              <w:t xml:space="preserve"> </w:t>
            </w:r>
            <w:r>
              <w:rPr>
                <w:b/>
                <w:i/>
              </w:rPr>
              <w:t>De nationella kontaktpunkterna säkerställer en effektiv samordning och en enhetlig anpassning av informationen från alla förvaltningsnivåer.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högst </w:t>
            </w:r>
            <w:r>
              <w:rPr>
                <w:b/>
                <w:i/>
              </w:rPr>
              <w:t>en gång om året</w:t>
            </w:r>
            <w:r>
              <w:t>.</w:t>
            </w:r>
          </w:p>
        </w:tc>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högst </w:t>
            </w:r>
            <w:r>
              <w:rPr>
                <w:b/>
                <w:i/>
              </w:rPr>
              <w:t>var sjätte månad</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w:t>
            </w:r>
            <w:r>
              <w:rPr>
                <w:b/>
                <w:i/>
              </w:rPr>
              <w:t>högst en gång om året</w:t>
            </w:r>
            <w:r>
              <w:t>.</w:t>
            </w:r>
          </w:p>
        </w:tc>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w:t>
            </w:r>
            <w:r>
              <w:rPr>
                <w:b/>
                <w:i/>
              </w:rPr>
              <w:t>var sjätte månad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1 – stycke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 nationella kontaktpunkterna för EU:s talangreserv får meddela sekretariatet för EU:s talangreserv ytterligare tillägg till och strykningar från den EU-omfattande förteckningen över bristyrken </w:t>
            </w:r>
            <w:r>
              <w:rPr>
                <w:b/>
                <w:i/>
              </w:rPr>
              <w:t>högst en gång om året</w:t>
            </w:r>
            <w:r>
              <w:t>.</w:t>
            </w:r>
          </w:p>
        </w:tc>
        <w:tc>
          <w:tcPr>
            <w:tcW w:w="4876" w:type="dxa"/>
            <w:tcBorders>
              <w:top w:val="nil"/>
              <w:left w:val="nil"/>
              <w:bottom w:val="nil"/>
              <w:right w:val="nil"/>
            </w:tcBorders>
          </w:tcPr>
          <w:p>
            <w:pPr>
              <w:pStyle w:val="Normal6a"/>
            </w:pPr>
            <w:r>
              <w:t>De nationella kontaktpunkterna för EU:s talangreserv får meddela sekretariatet för EU:s talangreserv ytterligare tillägg till och strykningar från den EU-omfattande förteckningen över bristyrken.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Sekretariatet för EU:s talangreserv ska offentliggöra de justeringar av förteckningen </w:t>
            </w:r>
            <w:r>
              <w:rPr>
                <w:b/>
                <w:i/>
              </w:rPr>
              <w:t>över bristyrken i hela EU</w:t>
            </w:r>
            <w:r>
              <w:t xml:space="preserve"> som anmälts av kontaktpunkterna för EU:s talangreserv på it-plattformen för EU:s talangreserv.</w:t>
            </w:r>
          </w:p>
        </w:tc>
        <w:tc>
          <w:tcPr>
            <w:tcW w:w="4876" w:type="dxa"/>
            <w:tcBorders>
              <w:top w:val="nil"/>
              <w:left w:val="nil"/>
              <w:bottom w:val="nil"/>
              <w:right w:val="nil"/>
            </w:tcBorders>
          </w:tcPr>
          <w:p>
            <w:pPr>
              <w:pStyle w:val="Normal6a"/>
            </w:pPr>
            <w:r>
              <w:t>2.</w:t>
            </w:r>
            <w:r>
              <w:tab/>
            </w:r>
            <w:r>
              <w:t>Sekretariatet för EU:s talangreserv ska offentliggöra de justeringar av förteckningen som anmälts av kontaktpunkterna för EU:s talangreserv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De nationella kontaktpunkterna för EU:s talangreserv ska till it-plattformen för EU:s talangreserv endast överföra de lediga platser som motsvarar den EU-omfattande förteckningen över bristyrken, med beaktande av de justeringar som avses i punkt 1.</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De nationella kontaktpunkterna för EU:s talangreserv ska till it-plattformen för EU:s talangreserv endast överföra de lediga platser som motsvarar den EU-omfattande förteckningen över bristyrken, med beaktande av de justeringar som avses i punkt 1.</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De nationella kontaktpunkterna för EU:s talangreserv ska till it-plattformen för EU:s talangreserv endast överföra de lediga platser som motsvarar den EU-omfattande förteckningen över bristyrken, med beaktande av de justeringar som avses i punkt 1.</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De nationella kontaktpunkterna för EU:s talangreserv ska till it-plattformen för EU:s talangreserv endast överföra de lediga platser som motsvarar den </w:t>
            </w:r>
            <w:r>
              <w:rPr>
                <w:b/>
                <w:i/>
              </w:rPr>
              <w:t>EU-omfattande</w:t>
            </w:r>
            <w:r>
              <w:t xml:space="preserve"> förteckningen över bristyrken</w:t>
            </w:r>
            <w:r>
              <w:rPr>
                <w:b/>
                <w:i/>
              </w:rPr>
              <w:t>, med beaktande av de justeringar som avses i punkt 1</w:t>
            </w:r>
            <w:r>
              <w:t>.</w:t>
            </w:r>
          </w:p>
        </w:tc>
        <w:tc>
          <w:tcPr>
            <w:tcW w:w="4876" w:type="dxa"/>
            <w:tcBorders>
              <w:top w:val="nil"/>
              <w:left w:val="nil"/>
              <w:bottom w:val="nil"/>
              <w:right w:val="nil"/>
            </w:tcBorders>
          </w:tcPr>
          <w:p>
            <w:pPr>
              <w:pStyle w:val="Normal6a"/>
            </w:pPr>
            <w:r>
              <w:t>3.</w:t>
            </w:r>
            <w:r>
              <w:tab/>
            </w:r>
            <w:r>
              <w:t xml:space="preserve">De nationella kontaktpunkterna för EU:s talangreserv ska till it-plattformen för EU:s talangreserv endast överföra de lediga platser som motsvarar den </w:t>
            </w:r>
            <w:r>
              <w:rPr>
                <w:b/>
                <w:i/>
              </w:rPr>
              <w:t>nationella</w:t>
            </w:r>
            <w:r>
              <w:t xml:space="preserve"> förteckningen över bristyrken.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De nationella kontaktpunkterna för EU:s talangreserv ska till it-plattformen för EU:s talangreserv endast överföra de lediga platser som motsvarar </w:t>
            </w:r>
            <w:r>
              <w:rPr>
                <w:b/>
                <w:i/>
              </w:rPr>
              <w:t>den EU-omfattande</w:t>
            </w:r>
            <w:r>
              <w:t xml:space="preserve"> förteckningen över bristyrken</w:t>
            </w:r>
            <w:r>
              <w:rPr>
                <w:b/>
                <w:i/>
              </w:rPr>
              <w:t>, med beaktande av de justeringar som avses i</w:t>
            </w:r>
            <w:r>
              <w:t xml:space="preserve"> punkt 1.</w:t>
            </w:r>
          </w:p>
        </w:tc>
        <w:tc>
          <w:tcPr>
            <w:tcW w:w="4876" w:type="dxa"/>
            <w:tcBorders>
              <w:top w:val="nil"/>
              <w:left w:val="nil"/>
              <w:bottom w:val="nil"/>
              <w:right w:val="nil"/>
            </w:tcBorders>
          </w:tcPr>
          <w:p>
            <w:pPr>
              <w:pStyle w:val="Normal6a"/>
            </w:pPr>
            <w:r>
              <w:t>3.</w:t>
            </w:r>
            <w:r>
              <w:tab/>
            </w:r>
            <w:r>
              <w:t xml:space="preserve">De nationella kontaktpunkterna för EU:s talangreserv ska till it-plattformen för EU:s talangreserv endast överföra de lediga platser som motsvarar förteckningen över bristyrken </w:t>
            </w:r>
            <w:r>
              <w:rPr>
                <w:b/>
                <w:i/>
              </w:rPr>
              <w:t>som fastställts på grundval av</w:t>
            </w:r>
            <w:r>
              <w:t xml:space="preserve"> punkt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för utskottet för medborgerliga fri- och rättigheter samt rättsliga och inrikes frågor</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3 – led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Kommissionen kommer att behöva se till att medlemsstaterna utbyter bästa praxis när det gäller utvecklingen av och innehållet i dessa förteckningar.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15a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Förhandsgranskning av kompetens och kvalifikationer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Arbetssökande kan begära en inledande, icke-bindande förhandsgranskning av kvalifikationer och kompetens.</w:t>
            </w:r>
            <w:r>
              <w:t xml:space="preserve"> </w:t>
            </w:r>
            <w:r>
              <w:rPr>
                <w:b/>
                <w:i/>
              </w:rPr>
              <w:t>De nationella kontaktpunkterna ska tillsammans med sekretariatet för EU:s talangreserv ansvara för att utföra uppgiften.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På begäran av den arbetssökande kan utvalda tredje parter, såsom kompetenskontrollörer, föreskriva icke-bindande förhandsgranskningar av kvalifikationer och kompetens.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Verktyg för kartläggning av kompetensen hos personer från länder utanför EU ska integreras i talangreserven för att stödja ytterligare bedömning, identifiera och anmäla behov och möjligheter till kompetenshöjning och omskolning samt stödja jobbmatchning.</w:t>
            </w:r>
            <w:r>
              <w:t xml:space="preserve"> </w:t>
            </w:r>
            <w:r>
              <w:rPr>
                <w:b/>
                <w:i/>
              </w:rPr>
              <w:t>Verktyget ska användas för att hjälpa arbetssökande att förbättra sin profil.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Nätverket Enic-Naric ska, på begäran av de arbetssökande, kunna tillhandahålla tjänster för arbetssökande, för att hjälpa dem att bedöma sina examensbevis för att jämföra dem med dem som utfärdats av utvalda EU-länder.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Inom tre år efter inrättandet av EU:s talangreserv ska styrgruppen utarbeta en icke-bindande bedömning av utbildningsbevis och kompetensbedömningar för alla yrken som nämns i de EU-omfattande och nationella förteckningarna över arbetsbrist fram till denna tidpunkt, för att bana väg för snabbare och effektivare förhandsgranskning, och anta den som en del av den standardiserade referensramen.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Det inrättas en mekanism för sökning och matchning.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Arbetsgivare som deltar i it-plattformen för EU:s talangreserv kan söka efter registrerade arbetssökande från tredjeländer på it-plattformen för EU:s talangreserv.</w:t>
            </w:r>
          </w:p>
        </w:tc>
        <w:tc>
          <w:tcPr>
            <w:tcW w:w="4876" w:type="dxa"/>
            <w:tcBorders>
              <w:top w:val="nil"/>
              <w:left w:val="nil"/>
              <w:bottom w:val="nil"/>
              <w:right w:val="nil"/>
            </w:tcBorders>
          </w:tcPr>
          <w:p>
            <w:pPr>
              <w:pStyle w:val="Normal6a"/>
            </w:pPr>
            <w:r>
              <w:t>1.</w:t>
            </w:r>
            <w:r>
              <w:tab/>
            </w:r>
            <w:r>
              <w:t xml:space="preserve">Arbetsgivare som deltar i it-plattformen för EU:s talangreserv kan söka efter </w:t>
            </w:r>
            <w:r>
              <w:rPr>
                <w:b/>
                <w:i/>
              </w:rPr>
              <w:t>och matcha med</w:t>
            </w:r>
            <w:r>
              <w:t xml:space="preserve"> registrerade arbetssökande från tredjeländer på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Kommissionens och tredjeparts plattformar för matchning kan tillhandahålla automatiska matchningsalgoritmer som ska köras på plattformen för EU:s talangreserv.</w:t>
            </w:r>
            <w:r>
              <w:t xml:space="preserve"> </w:t>
            </w:r>
            <w:r>
              <w:rPr>
                <w:b/>
                <w:i/>
              </w:rPr>
              <w:t>Innan algoritmerna används ska sekretariatet för talangreserven kontrollera dem mot kriterierna i punkt 7.</w:t>
            </w:r>
            <w:r>
              <w:t xml:space="preserve"> </w:t>
            </w:r>
            <w:r>
              <w:rPr>
                <w:b/>
                <w:i/>
              </w:rPr>
              <w:t>Driften av algoritmerna på plattformen för talangreserven sköts alltid av kommissionen i egenskap av personuppgiftsansvarig.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Arbetssökande och deltagande arbetsgivare ska på förhand ge sitt samtycke till att införa en viss automatisk matchningsalgoritm och dela sina personuppgifter i matchningssyfte.</w:t>
            </w:r>
            <w:r>
              <w:t xml:space="preserve"> </w:t>
            </w:r>
            <w:r>
              <w:rPr>
                <w:b/>
                <w:i/>
              </w:rPr>
              <w:t>Data som erhålls genom automatiska matchningsalgoritmer får inte lämna den tekniska ramen för EU:s talangreserv och får endast användas i matchningssyfte.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Alla matchningsmekanismer ska vara objektiva och icke-diskriminerande och regelbundet kontrolleras av utsedda experter för att säkerställa att de senaste kvalitets-, riskbedömnings- och cybersäkerhetsstandarderna uppfylls, särskilt när det gäller det rimligen förutsebara användningsområdet.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Arbetsgivare som deltar i EU:s talangreserv kan använda </w:t>
            </w:r>
            <w:r>
              <w:rPr>
                <w:b/>
                <w:i/>
              </w:rPr>
              <w:t>ett särskilt filter på it-portalen för EU:s talangreserv för att söka efter profiler för registrerade arbetssökande som har erhållit ett EU-talangpartnerskapspass.</w:t>
            </w:r>
          </w:p>
        </w:tc>
        <w:tc>
          <w:tcPr>
            <w:tcW w:w="4876" w:type="dxa"/>
            <w:tcBorders>
              <w:top w:val="nil"/>
              <w:left w:val="nil"/>
              <w:bottom w:val="nil"/>
              <w:right w:val="nil"/>
            </w:tcBorders>
          </w:tcPr>
          <w:p>
            <w:pPr>
              <w:pStyle w:val="Normal6a"/>
            </w:pPr>
            <w:r>
              <w:t>2.</w:t>
            </w:r>
            <w:r>
              <w:tab/>
            </w:r>
            <w:r>
              <w:t>Arbetsgivare som deltar i EU:s talangreserv kan använda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en manuell mekanism, med ett särskilt filter på it-portalen för EU:s talangreserv för att söka efter profiler för registrerade arbetssökande på grundval av intresse, sektor och andra relevanta indikatorer, samt registrerade arbetssökande som har erhållit ett EU-talangpartnerskapspass,</w:t>
            </w:r>
            <w:r>
              <w:t xml:space="preserve"> </w:t>
            </w:r>
            <w:r>
              <w:rPr>
                <w:b/>
                <w:i/>
              </w:rPr>
              <w:t>och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en förteckning över föreslagna registrerade arbetssökandes profiler, baserade på relevansen av deras kompetens, kvalifikationer och arbetslivserfarenhet för den lediga platsen, som genereras antingen av en standardalgoritm eller av någon annan automatisk matchningsalgoritm.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Arbetsgivare som deltar i EU:s talangreserv kan använda ett särskilt filter på it-portalen för EU:s talangreserv för att söka efter profiler för registrerade arbetssökande som har erhållit ett EU-talangpartnerskapspass.</w:t>
            </w:r>
          </w:p>
        </w:tc>
        <w:tc>
          <w:tcPr>
            <w:tcW w:w="4876" w:type="dxa"/>
            <w:tcBorders>
              <w:top w:val="nil"/>
              <w:left w:val="nil"/>
              <w:bottom w:val="nil"/>
              <w:right w:val="nil"/>
            </w:tcBorders>
          </w:tcPr>
          <w:p>
            <w:pPr>
              <w:pStyle w:val="Normal6a"/>
            </w:pPr>
            <w:r>
              <w:t>2.</w:t>
            </w:r>
            <w:r>
              <w:tab/>
            </w:r>
            <w:r>
              <w:t xml:space="preserve">Arbetsgivare som deltar i EU:s talangreserv kan använda ett särskilt filter på it-portalen för EU:s talangreserv för att söka efter profiler för registrerade arbetssökande som har erhållit ett EU-talangpartnerskapspass </w:t>
            </w:r>
            <w:r>
              <w:rPr>
                <w:b/>
                <w:i/>
              </w:rPr>
              <w:t>eller annat erkännande som grundar sig på bilaterala arrangemang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Arbetsgivare som deltar i EU:s talangreserv kan använda ett särskilt filter på it-portalen för EU:s talangreserv för att söka efter profiler för registrerade arbetssökande som har erhållit ett </w:t>
            </w:r>
            <w:r>
              <w:rPr>
                <w:b/>
                <w:i/>
              </w:rPr>
              <w:t>EU-talangpartnerskapspass</w:t>
            </w:r>
            <w:r>
              <w:t>.</w:t>
            </w:r>
          </w:p>
        </w:tc>
        <w:tc>
          <w:tcPr>
            <w:tcW w:w="4876" w:type="dxa"/>
            <w:tcBorders>
              <w:top w:val="nil"/>
              <w:left w:val="nil"/>
              <w:bottom w:val="nil"/>
              <w:right w:val="nil"/>
            </w:tcBorders>
          </w:tcPr>
          <w:p>
            <w:pPr>
              <w:pStyle w:val="Normal6a"/>
            </w:pPr>
            <w:r>
              <w:t>2.</w:t>
            </w:r>
            <w:r>
              <w:tab/>
            </w:r>
            <w:r>
              <w:t xml:space="preserve">Arbetsgivare som deltar i EU:s talangreserv kan använda ett särskilt filter på it-portalen för EU:s talangreserv för att söka efter profiler för registrerade arbetssökande som har erhållit ett </w:t>
            </w:r>
            <w:r>
              <w:rPr>
                <w:b/>
                <w:i/>
              </w:rPr>
              <w:t>talangpartnerskapspass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Arbetsgivare som deltar i EU:s talangreserv kan få en förteckning över föreslagna registrerade arbetssökarprofiler som genereras av det automatiska matchningsverktyget och baseras på relevansen av de arbetssökandes kompetens, kvalifikationer och arbetslivserfarenhet för den lediga platsen.</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Arbetsgivare som deltar i EU:s talangreserv kan få en förteckning över föreslagna registrerade arbetssökarprofiler som genereras av det automatiska matchningsverktyget och baseras på relevansen av de arbetssökandes kompetens, kvalifikationer </w:t>
            </w:r>
            <w:r>
              <w:rPr>
                <w:b/>
                <w:i/>
              </w:rPr>
              <w:t>och arbetslivserfarenhet</w:t>
            </w:r>
            <w:r>
              <w:t xml:space="preserve"> för den lediga platsen.</w:t>
            </w:r>
          </w:p>
        </w:tc>
        <w:tc>
          <w:tcPr>
            <w:tcW w:w="4876" w:type="dxa"/>
            <w:tcBorders>
              <w:top w:val="nil"/>
              <w:left w:val="nil"/>
              <w:bottom w:val="nil"/>
              <w:right w:val="nil"/>
            </w:tcBorders>
          </w:tcPr>
          <w:p>
            <w:pPr>
              <w:pStyle w:val="Normal6a"/>
            </w:pPr>
            <w:r>
              <w:t>3.</w:t>
            </w:r>
            <w:r>
              <w:tab/>
            </w:r>
            <w:r>
              <w:t>Arbetsgivare som deltar i EU:s talangreserv kan få en förteckning över föreslagna registrerade arbetssökarprofiler som genereras av det automatiska matchningsverktyget och baseras på relevansen av de arbetssökandes kompetens, kvalifikationer</w:t>
            </w:r>
            <w:r>
              <w:rPr>
                <w:b/>
                <w:i/>
              </w:rPr>
              <w:t>, arbetslivserfarenhet och andra aspekter som de anser vara relevanta</w:t>
            </w:r>
            <w:r>
              <w:t xml:space="preserve"> för den lediga platsen.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Arbetsgivare som deltar i EU:s talangreserv kan få en förteckning över föreslagna registrerade arbetssökarprofiler som genereras av det automatiska matchningsverktyget och baseras på relevansen av de arbetssökandes kompetens, kvalifikationer och arbetslivserfarenhet för den lediga platsen.</w:t>
            </w:r>
          </w:p>
        </w:tc>
        <w:tc>
          <w:tcPr>
            <w:tcW w:w="4876" w:type="dxa"/>
            <w:tcBorders>
              <w:top w:val="nil"/>
              <w:left w:val="nil"/>
              <w:bottom w:val="nil"/>
              <w:right w:val="nil"/>
            </w:tcBorders>
          </w:tcPr>
          <w:p>
            <w:pPr>
              <w:pStyle w:val="Normal6a"/>
            </w:pPr>
            <w:r>
              <w:t>3.</w:t>
            </w:r>
            <w:r>
              <w:tab/>
            </w:r>
            <w:r>
              <w:t>Arbetsgivare som deltar i EU:s talangreserv kan få en förteckning över föreslagna registrerade arbetssökarprofiler som genereras av det automatiska matchningsverktyget och baseras på relevansen av de arbetssökandes kompetens, kvalifikationer</w:t>
            </w:r>
            <w:r>
              <w:rPr>
                <w:b/>
                <w:i/>
              </w:rPr>
              <w:t>, tillgänglighet</w:t>
            </w:r>
            <w:r>
              <w:t xml:space="preserve"> och arbetslivserfarenhet för den lediga platsen.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Registrerade arbetssökande från tredjeländer kan söka efter lediga platser i EU:s talangreserv och få en förteckning över föreslagna relevanta lediga platser som genereras av det automatiska matchningsverktyget.</w:t>
            </w:r>
          </w:p>
        </w:tc>
        <w:tc>
          <w:tcPr>
            <w:tcW w:w="4876" w:type="dxa"/>
            <w:tcBorders>
              <w:top w:val="nil"/>
              <w:left w:val="nil"/>
              <w:bottom w:val="nil"/>
              <w:right w:val="nil"/>
            </w:tcBorders>
          </w:tcPr>
          <w:p>
            <w:pPr>
              <w:pStyle w:val="Normal6a"/>
            </w:pPr>
            <w:r>
              <w:t>4.</w:t>
            </w:r>
            <w:r>
              <w:tab/>
            </w:r>
            <w:r>
              <w:t xml:space="preserve">Registrerade arbetssökande från tredjeländer kan söka efter lediga platser i EU:s talangreserv och få en förteckning över föreslagna relevanta lediga platser som genereras av det automatiska matchningsverktyget. </w:t>
            </w:r>
            <w:r>
              <w:rPr>
                <w:b/>
                <w:i/>
              </w:rPr>
              <w:t>Arbetssökande från tredjeländer och arbetsgivare som deltar i EU:s talangreserv kan också söka fritt i talangreserven.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Registrerade arbetssökande från tredjeländer kan söka efter lediga platser i EU:s talangreserv och få en förteckning över föreslagna relevanta lediga platser som genereras av det automatiska matchningsverktyget.</w:t>
            </w:r>
          </w:p>
        </w:tc>
        <w:tc>
          <w:tcPr>
            <w:tcW w:w="4876" w:type="dxa"/>
            <w:tcBorders>
              <w:top w:val="nil"/>
              <w:left w:val="nil"/>
              <w:bottom w:val="nil"/>
              <w:right w:val="nil"/>
            </w:tcBorders>
          </w:tcPr>
          <w:p>
            <w:pPr>
              <w:pStyle w:val="Normal6a"/>
            </w:pPr>
            <w:r>
              <w:t>4.</w:t>
            </w:r>
            <w:r>
              <w:tab/>
            </w:r>
            <w:r>
              <w:t xml:space="preserve">Registrerade arbetssökande från tredjeländer kan söka efter </w:t>
            </w:r>
            <w:r>
              <w:rPr>
                <w:b/>
                <w:i/>
              </w:rPr>
              <w:t>och matcha med</w:t>
            </w:r>
            <w:r>
              <w:t xml:space="preserve"> lediga platser i EU:s talangreserv och få </w:t>
            </w:r>
            <w:r>
              <w:rPr>
                <w:b/>
                <w:i/>
              </w:rPr>
              <w:t>tillgång till</w:t>
            </w:r>
            <w:r>
              <w:t xml:space="preserve"> en förteckning över föreslagna relevanta lediga platser som genereras av </w:t>
            </w:r>
            <w:r>
              <w:rPr>
                <w:b/>
                <w:i/>
              </w:rPr>
              <w:t>den manuella filtreringsmekanismen,</w:t>
            </w:r>
            <w:r>
              <w:t xml:space="preserve"> det automatiska matchningsverktyget </w:t>
            </w:r>
            <w:r>
              <w:rPr>
                <w:b/>
                <w:i/>
              </w:rPr>
              <w:t>och andra algoritmer för automatisk matchning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It-plattformens utformning och funktion ska säkerställa att det automatiska matchningsverktyget inte leder till att befintliga snedvridningar eller diskriminerande förfaranden upprepas.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deltagande medlemsstaterna ska göra information om EU:s talangreserv och dess funktion lättillgänglig.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deltagande medlemsstaterna ska göra information om EU:s talangreserv och dess funktion lättillgänglig.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deltagande</w:t>
            </w:r>
            <w:r>
              <w:t xml:space="preserve"> medlemsstaterna ska göra information om EU:s talangreserv och dess funktion lättillgänglig.</w:t>
            </w:r>
          </w:p>
        </w:tc>
        <w:tc>
          <w:tcPr>
            <w:tcW w:w="4876" w:type="dxa"/>
            <w:tcBorders>
              <w:top w:val="nil"/>
              <w:left w:val="nil"/>
              <w:bottom w:val="nil"/>
              <w:right w:val="nil"/>
            </w:tcBorders>
          </w:tcPr>
          <w:p>
            <w:pPr>
              <w:pStyle w:val="Normal6a"/>
            </w:pPr>
            <w:r>
              <w:t>Medlemsstaterna ska göra information om EU:s talangreserv och dess funktion lättillgänglig</w:t>
            </w:r>
            <w:r>
              <w:rPr>
                <w:b/>
                <w:i/>
              </w:rPr>
              <w:t>, begriplig och icke-diskriminerande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All information som tillhandahålls av EU:s talangreserv ska vara tillgänglig på ett tydligt, heltäckande och användarvänligt sätt, inbegripet i sådana tillgängliga format för personer med funktionsnedsättning som uppfyller de tillämpliga tillgänglighetskraven i direktiv (EU) 2016/2102</w:t>
            </w:r>
            <w:r>
              <w:rPr>
                <w:b/>
                <w:i/>
                <w:vertAlign w:val="superscript"/>
              </w:rPr>
              <w:t>1a</w:t>
            </w:r>
            <w:r>
              <w:t xml:space="preserve"> </w:t>
            </w:r>
            <w:r>
              <w:rPr>
                <w:b/>
                <w:i/>
              </w:rPr>
              <w:t>och direktiv (EU) 2019/882</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Europaparlamentets och rådets direktiv (EU) 2016/2102 av den 26 oktober 2016 om tillgänglighet avseende offentliga myndigheters webbplatser och mobila applikationer.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Europaparlamentets och rådets direktiv (EU) 2019/882 av den 17 april 2019 om tillgänglighetskrav för produkter och tjänster.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Sekretariatet för EU:s talangreserv ska, med stöd av de nationella kontaktpunkterna för EU:s talangreserv, på it-plattformen för EU:s talangreserv tillhandahålla följande information:</w:t>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Information om rekryterings- och invandringsförfaranden, erkännande av kvalifikationer och validering av kompetens, tredjelandsmedborgares rättigheter, inbegripet tillgängliga prövningsmekanismer, samt levnads- och arbetsvillkoren i de deltagande medlemsstaterna.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En tydlig förklaring till arbetssökande från tredjeländer om att inresa till och vistelse på alla medlemsstaters territorium är förbjuden om de är föremål för ett rättsligt eller administrativt beslut om nekad inresa till eller vistelse i en medlemsstat eller ett inreseförbud i enlighet med Europaparlamentets och rådets direktiv 2008/115/EG.</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Sekretariatet för EU:s talangreserv ska, med stöd av de nationella kontaktpunkterna för EU:s talangreserv, på it-plattformen för EU:s talangreserv tillhandahålla följande information:</w:t>
            </w:r>
          </w:p>
        </w:tc>
        <w:tc>
          <w:tcPr>
            <w:tcW w:w="4876" w:type="dxa"/>
            <w:tcBorders>
              <w:top w:val="nil"/>
              <w:left w:val="nil"/>
              <w:bottom w:val="nil"/>
              <w:right w:val="nil"/>
            </w:tcBorders>
          </w:tcPr>
          <w:p>
            <w:pPr>
              <w:pStyle w:val="Normal6a"/>
            </w:pPr>
            <w:r>
              <w:t xml:space="preserve">Sekretariatet för EU:s talangreserv ska, med stöd av de nationella kontaktpunkterna för EU:s talangreserv </w:t>
            </w:r>
            <w:r>
              <w:rPr>
                <w:b/>
                <w:i/>
              </w:rPr>
              <w:t>och relevanta nationella myndigheter</w:t>
            </w:r>
            <w:r>
              <w:t xml:space="preserve">, på it-plattformen för EU:s talangreserv tillhandahålla följande information </w:t>
            </w:r>
            <w:r>
              <w:rPr>
                <w:b/>
                <w:i/>
              </w:rPr>
              <w:t>om varje medlemsstat avseende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Sekretariatet för EU:s talangreserv ska, med stöd av de nationella kontaktpunkterna för EU:s talangreserv, på it-plattformen för EU:s talangreserv tillhandahålla följande information:</w:t>
            </w:r>
          </w:p>
        </w:tc>
        <w:tc>
          <w:tcPr>
            <w:tcW w:w="4876" w:type="dxa"/>
            <w:tcBorders>
              <w:top w:val="nil"/>
              <w:left w:val="nil"/>
              <w:bottom w:val="nil"/>
              <w:right w:val="nil"/>
            </w:tcBorders>
          </w:tcPr>
          <w:p>
            <w:pPr>
              <w:pStyle w:val="Normal6a"/>
            </w:pPr>
            <w:r>
              <w:t xml:space="preserve">Sekretariatet för EU:s talangreserv ska, med stöd av de nationella kontaktpunkterna för EU:s talangreserv </w:t>
            </w:r>
            <w:r>
              <w:rPr>
                <w:b/>
                <w:i/>
              </w:rPr>
              <w:t>och efter samråd med arbetsmarknadens parter</w:t>
            </w:r>
            <w:r>
              <w:t>, på it-plattformen för EU:s talangreserv tillhandahålla följande information: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Information om rekryterings- och invandringsförfaranden, erkännande av kvalifikationer och validering av kompetens, </w:t>
            </w:r>
            <w:r>
              <w:rPr>
                <w:b/>
                <w:i/>
              </w:rPr>
              <w:t>tredjelandsmedborgares</w:t>
            </w:r>
            <w:r>
              <w:t xml:space="preserve"> rättigheter, inbegripet tillgängliga prövningsmekanismer, samt levnads- och arbetsvillkoren i de deltagande medlemsstaterna.</w:t>
            </w:r>
          </w:p>
        </w:tc>
        <w:tc>
          <w:tcPr>
            <w:tcW w:w="4876" w:type="dxa"/>
            <w:tcBorders>
              <w:top w:val="nil"/>
              <w:left w:val="nil"/>
              <w:bottom w:val="nil"/>
              <w:right w:val="nil"/>
            </w:tcBorders>
          </w:tcPr>
          <w:p>
            <w:pPr>
              <w:pStyle w:val="Normal6a"/>
            </w:pPr>
            <w:r>
              <w:rPr>
                <w:b/>
                <w:i/>
              </w:rPr>
              <w:t>a)</w:t>
            </w:r>
            <w:r>
              <w:tab/>
            </w:r>
            <w:r>
              <w:t>Information om rekryterings- och invandringsförfaranden</w:t>
            </w:r>
            <w:r>
              <w:rPr>
                <w:b/>
                <w:i/>
              </w:rPr>
              <w:t>, inbegripet säkerhetsförfaranden</w:t>
            </w:r>
            <w:r>
              <w:t xml:space="preserve">, erkännande av kvalifikationer och validering av </w:t>
            </w:r>
            <w:r>
              <w:rPr>
                <w:b/>
                <w:i/>
              </w:rPr>
              <w:t>tredjelandsmedborgares</w:t>
            </w:r>
            <w:r>
              <w:t xml:space="preserve"> kompetens, rättigheter </w:t>
            </w:r>
            <w:r>
              <w:rPr>
                <w:b/>
                <w:i/>
              </w:rPr>
              <w:t>och skyldigheter</w:t>
            </w:r>
            <w:r>
              <w:t xml:space="preserve">, inbegripet tillgängliga prövningsmekanismer, samt </w:t>
            </w:r>
            <w:r>
              <w:rPr>
                <w:b/>
                <w:i/>
              </w:rPr>
              <w:t>information om de sociala villkoren och</w:t>
            </w:r>
            <w:r>
              <w:t xml:space="preserve"> levnads- och arbetsvillkoren i de deltagande medlemsstaterna </w:t>
            </w:r>
            <w:r>
              <w:rPr>
                <w:b/>
                <w:i/>
              </w:rPr>
              <w:t>och skyldigheten att respektera och iaktta de värden som fastställs i artikel 2 i fördraget om Europeiska unionen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Information om rekryterings- och invandringsförfaranden</w:t>
            </w:r>
            <w:r>
              <w:rPr>
                <w:b/>
                <w:i/>
              </w:rPr>
              <w:t>,</w:t>
            </w:r>
            <w:r>
              <w:t xml:space="preserve"> erkännande av kvalifikationer och validering av kompetens, tredjelandsmedborgares rättigheter, inbegripet tillgängliga prövningsmekanismer, </w:t>
            </w:r>
            <w:r>
              <w:rPr>
                <w:b/>
                <w:i/>
              </w:rPr>
              <w:t>samt</w:t>
            </w:r>
            <w:r>
              <w:t xml:space="preserve"> levnads- och arbetsvillkoren i de deltagande medlemsstaterna.</w:t>
            </w:r>
          </w:p>
        </w:tc>
        <w:tc>
          <w:tcPr>
            <w:tcW w:w="4876" w:type="dxa"/>
            <w:tcBorders>
              <w:top w:val="nil"/>
              <w:left w:val="nil"/>
              <w:bottom w:val="nil"/>
              <w:right w:val="nil"/>
            </w:tcBorders>
          </w:tcPr>
          <w:p>
            <w:pPr>
              <w:pStyle w:val="Normal6a"/>
            </w:pPr>
            <w:r>
              <w:rPr>
                <w:b/>
                <w:i/>
              </w:rPr>
              <w:t>a)</w:t>
            </w:r>
            <w:r>
              <w:tab/>
            </w:r>
            <w:r>
              <w:t>Information om </w:t>
            </w:r>
            <w:r>
              <w:rPr>
                <w:b/>
                <w:i/>
              </w:rPr>
              <w:t>rättvisa </w:t>
            </w:r>
            <w:r>
              <w:t>rekryterings- och invandringsförfaranden</w:t>
            </w:r>
            <w:r>
              <w:rPr>
                <w:b/>
                <w:i/>
              </w:rPr>
              <w:t> , om</w:t>
            </w:r>
            <w:r>
              <w:t xml:space="preserve"> erkännande av kvalifikationer och validering av kompetens, </w:t>
            </w:r>
            <w:r>
              <w:rPr>
                <w:b/>
                <w:i/>
              </w:rPr>
              <w:t>om arbetstagares rättigheter och fackliga rättigheter, om</w:t>
            </w:r>
            <w:r>
              <w:t xml:space="preserve"> tredjelandsmedborgares rättigheter, inbegripet </w:t>
            </w:r>
            <w:r>
              <w:rPr>
                <w:b/>
                <w:i/>
              </w:rPr>
              <w:t>tillgång till rättslig prövning och</w:t>
            </w:r>
            <w:r>
              <w:t xml:space="preserve"> tillgängliga prövningsmekanismer, </w:t>
            </w:r>
            <w:r>
              <w:rPr>
                <w:b/>
                <w:i/>
              </w:rPr>
              <w:t>och om relevanta organisationer som stöder tredjelandsmedborgare samt information om</w:t>
            </w:r>
            <w:r>
              <w:t xml:space="preserve"> levnads- och arbetsvillkoren i de deltagande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Information om rekryterings- och invandringsförfaranden</w:t>
            </w:r>
            <w:r>
              <w:t xml:space="preserve">, erkännande av kvalifikationer </w:t>
            </w:r>
            <w:r>
              <w:rPr>
                <w:b/>
                <w:i/>
              </w:rPr>
              <w:t>och</w:t>
            </w:r>
            <w:r>
              <w:t xml:space="preserve"> validering av kompetens, </w:t>
            </w:r>
            <w:r>
              <w:rPr>
                <w:b/>
                <w:i/>
              </w:rPr>
              <w:t>tredjelandsmedborgares rättigheter, inbegripet tillgängliga prövningsmekanismer, samt levnads- och arbetsvillkoren i de deltagande medlemsstaterna</w:t>
            </w:r>
            <w:r>
              <w:t>.</w:t>
            </w:r>
          </w:p>
        </w:tc>
        <w:tc>
          <w:tcPr>
            <w:tcW w:w="4876" w:type="dxa"/>
            <w:tcBorders>
              <w:top w:val="nil"/>
              <w:left w:val="nil"/>
              <w:bottom w:val="nil"/>
              <w:right w:val="nil"/>
            </w:tcBorders>
          </w:tcPr>
          <w:p>
            <w:pPr>
              <w:pStyle w:val="Normal6a"/>
            </w:pPr>
            <w:r>
              <w:rPr>
                <w:b/>
                <w:i/>
              </w:rPr>
              <w:t>a)</w:t>
            </w:r>
            <w:r>
              <w:tab/>
            </w:r>
            <w:r>
              <w:rPr>
                <w:b/>
                <w:i/>
              </w:rPr>
              <w:t>Rekrytering, sysselsättning, anställning, invandringsförfaranden och administrativa förfaranden</w:t>
            </w:r>
            <w:r>
              <w:t>, erkännande av kvalifikationer</w:t>
            </w:r>
            <w:r>
              <w:rPr>
                <w:b/>
                <w:i/>
              </w:rPr>
              <w:t>,</w:t>
            </w:r>
            <w:r>
              <w:t xml:space="preserve"> validering av kompetens, </w:t>
            </w:r>
            <w:r>
              <w:rPr>
                <w:b/>
                <w:i/>
              </w:rPr>
              <w:t>program för omskolning och kompetenshöjning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Information om rekryterings- och invandringsförfaranden, erkännande av kvalifikationer och validering av kompetens, tredjelandsmedborgares rättigheter, inbegripet tillgängliga prövningsmekanismer, samt levnads- och arbetsvillkoren i de deltagande medlemsstaterna.</w:t>
            </w:r>
          </w:p>
        </w:tc>
        <w:tc>
          <w:tcPr>
            <w:tcW w:w="4876" w:type="dxa"/>
            <w:tcBorders>
              <w:top w:val="nil"/>
              <w:left w:val="nil"/>
              <w:bottom w:val="nil"/>
              <w:right w:val="nil"/>
            </w:tcBorders>
          </w:tcPr>
          <w:p>
            <w:pPr>
              <w:pStyle w:val="Normal6a"/>
            </w:pPr>
            <w:r>
              <w:t>(a)</w:t>
            </w:r>
            <w:r>
              <w:tab/>
            </w:r>
            <w:r>
              <w:t xml:space="preserve">Information om rekryterings- och invandringsförfaranden, erkännande av kvalifikationer och validering av kompetens, tredjelandsmedborgares rättigheter </w:t>
            </w:r>
            <w:r>
              <w:rPr>
                <w:b/>
                <w:i/>
              </w:rPr>
              <w:t>och skyldigheter</w:t>
            </w:r>
            <w:r>
              <w:t>, inbegripet tillgängliga prövningsmekanismer, samt levnads- och arbetsvillkoren i de deltagande medlemsstaterna.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Tredjelandsmedborgares rättigheter, inbegripet tillgång till rättslig prövning och tillgängliga effektiva rättsmedel.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Rättigheter och förfaranden som rör levnads- och arbetsvillkor i medlemsstaten enligt relevant arbetsrätt och praxis på unionsnivå och nationell nivå, inbegripet information som finns tillgänglig på nationell nivå för att stödja integrationen av tredjelandsmedborgare och deras familjer.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Beskattning, pensionsrättigheter, sjukförsäkring, aktiva arbetsmarknadsåtgärder, bostäder, språkkurser, yrkesutbildning, skolgång och annan relevant information för framgångsrik invandring och integration.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ad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Tillgängliga myndigheter och organ på arbetsmarknadsområdet i medlemsstaterna, med namn och kontaktuppgifter för de institutioner som ansvarar för att se till att arbetsrelaterade rättigheter och skyldigheter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 xml:space="preserve">En tydlig förklaring till arbetssökande från tredjeländer om att inresa till och vistelse på alla medlemsstaters territorium är förbjuden om de är föremål för ett rättsligt </w:t>
            </w:r>
            <w:r>
              <w:rPr>
                <w:b/>
                <w:i/>
              </w:rPr>
              <w:t>eller administrativt</w:t>
            </w:r>
            <w:r>
              <w:t xml:space="preserve"> beslut om nekad inresa till eller vistelse i en medlemsstat eller ett inreseförbud i enlighet med Europaparlamentets och rådets direktiv 2008/115/EG.</w:t>
            </w:r>
          </w:p>
        </w:tc>
        <w:tc>
          <w:tcPr>
            <w:tcW w:w="4876" w:type="dxa"/>
            <w:tcBorders>
              <w:top w:val="nil"/>
              <w:left w:val="nil"/>
              <w:bottom w:val="nil"/>
              <w:right w:val="nil"/>
            </w:tcBorders>
          </w:tcPr>
          <w:p>
            <w:pPr>
              <w:pStyle w:val="Normal6a"/>
            </w:pPr>
            <w:r>
              <w:rPr>
                <w:b/>
                <w:i/>
              </w:rPr>
              <w:t>b)</w:t>
            </w:r>
            <w:r>
              <w:tab/>
            </w:r>
            <w:r>
              <w:t>En tydlig förklaring till arbetssökande från tredjeländer om att inresa till och vistelse på alla medlemsstaters territorium är förbjuden om de är föremål för ett rättsligt beslut om nekad inresa till eller vistelse i en medlemsstat eller ett inreseförbud i enlighet med Europaparlamentets och rådets direktiv 2008/115/EG.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En tydlig förklaring om att användningen av EU:s talangreserv ska vara kostnadsfri för arbetssökande från tredjeländer och att arbetsgivare som deltar i EU:s talangreserv och den medlemsstat där den lediga platsen finns inte får ta ut avgifter av registrerade arbetssökande från tredjeländer för rekryteringen.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En tydlig förklaring till arbetssökande från tredjeländer om att ett erbjudande om anställning inte garanterar deras inresa till eller vistelse i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 – stycke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Sekretariatet för EU:s talangreserv ska, med stöd av de nationella kontaktpunkterna för EU:s talangreserv, ge arbetssökande som har fått ett jobberbjudande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särskild information om tredjelandsmedborgares rättigheter och skyldigheter, inbegripet tillgång till sociala förmåner, hälso- och sjukvård, utbildning, bostad, erkännande av kompetens och kvalifikationer samt den tillgängliga mekanismen för klagomål och effektiva rättsmedel enligt artikel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På begäran av registrerade arbetssökande från tredjeländer och arbetsgivare som deltar i EU:s talangreserv ska de nationella kontaktpunkterna för EU:s talangreserv erbjuda ytterligare stöd, och stöd efter rekrytering, till registrerade arbetssökande från tredjeländer och arbetsgivare som deltar i EU:s talangreserv, särskilt när det gäller</w:t>
            </w:r>
          </w:p>
        </w:tc>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ska de nationella kontaktpunkterna för EU:s talangreserv erbjuda ytterligare stöd, och stöd efter rekrytering, till registrerade arbetssökande från tredjeländer och arbetsgivare som deltar i EU:s talangreserv </w:t>
            </w:r>
            <w:r>
              <w:rPr>
                <w:b/>
                <w:i/>
              </w:rPr>
              <w:t>eller hänskjuta dessa begäranden till andra behöriga organ i enlighet med artikel 17.3</w:t>
            </w:r>
            <w:r>
              <w:t>, särskilt när det gäller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På begäran av registrerade arbetssökande från tredjeländer och arbetsgivare som deltar i EU:s talangreserv ska de nationella kontaktpunkterna för EU:s talangreserv erbjuda ytterligare stöd, och stöd efter rekrytering, till registrerade arbetssökande från tredjeländer och arbetsgivare som deltar i EU:s talangreserv, särskilt när det gäller</w:t>
            </w:r>
          </w:p>
        </w:tc>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ska de nationella kontaktpunkterna för EU:s talangreserv erbjuda </w:t>
            </w:r>
            <w:r>
              <w:rPr>
                <w:b/>
                <w:i/>
              </w:rPr>
              <w:t>särskild information,</w:t>
            </w:r>
            <w:r>
              <w:t xml:space="preserve"> ytterligare stöd, och stöd efter rekrytering, till registrerade arbetssökande från tredjeländer och arbetsgivare som deltar i EU:s talangreserv, särskilt när det gäller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ska de nationella kontaktpunkterna för EU:s talangreserv erbjuda ytterligare stöd, och stöd efter rekrytering, till registrerade arbetssökande från tredjeländer </w:t>
            </w:r>
            <w:r>
              <w:rPr>
                <w:b/>
                <w:i/>
              </w:rPr>
              <w:t>och arbetsgivare</w:t>
            </w:r>
            <w:r>
              <w:t xml:space="preserve"> som deltar i EU:s talangreserv, särskilt när det gäller</w:t>
            </w:r>
          </w:p>
        </w:tc>
        <w:tc>
          <w:tcPr>
            <w:tcW w:w="4876" w:type="dxa"/>
            <w:tcBorders>
              <w:top w:val="nil"/>
              <w:left w:val="nil"/>
              <w:bottom w:val="nil"/>
              <w:right w:val="nil"/>
            </w:tcBorders>
          </w:tcPr>
          <w:p>
            <w:pPr>
              <w:pStyle w:val="Normal6a"/>
            </w:pPr>
            <w:r>
              <w:t>2.</w:t>
            </w:r>
            <w:r>
              <w:tab/>
            </w:r>
            <w:r>
              <w:t>På begäran av registrerade arbetssökande från tredjeländer och arbetsgivare som deltar i EU:s talangreserv ska de nationella kontaktpunkterna för EU:s talangreserv erbjuda ytterligare stöd, och stöd efter rekrytering, till registrerade arbetssökande från tredjeländer</w:t>
            </w:r>
            <w:r>
              <w:rPr>
                <w:b/>
                <w:i/>
              </w:rPr>
              <w:t>, arbetsgivare och förmedlare</w:t>
            </w:r>
            <w:r>
              <w:t xml:space="preserve"> som deltar i EU:s talangreserv, särskilt när det gäller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På begäran av registrerade arbetssökande från tredjeländer och arbetsgivare som deltar i EU:s talangreserv ska de nationella kontaktpunkterna för EU:s talangreserv erbjuda ytterligare stöd, och stöd efter rekrytering, till registrerade arbetssökande från tredjeländer och arbetsgivare som deltar i EU:s talangreserv, särskilt när det gäller</w:t>
            </w:r>
          </w:p>
        </w:tc>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ska de nationella kontaktpunkterna för EU:s talangreserv erbjuda ytterligare stöd, </w:t>
            </w:r>
            <w:r>
              <w:rPr>
                <w:b/>
                <w:i/>
              </w:rPr>
              <w:t>rådgivning</w:t>
            </w:r>
            <w:r>
              <w:t xml:space="preserve"> och stöd efter rekrytering, till registrerade arbetssökande från tredjeländer och arbetsgivare som deltar i EU:s talangreserv, särskilt när det gäller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w:t>
            </w:r>
            <w:r>
              <w:rPr>
                <w:b/>
                <w:i/>
              </w:rPr>
              <w:t>ska</w:t>
            </w:r>
            <w:r>
              <w:t xml:space="preserve"> de nationella kontaktpunkterna för EU:s talangreserv erbjuda ytterligare stöd, och stöd efter rekrytering, till registrerade arbetssökande från tredjeländer och arbetsgivare som deltar i EU:s talangreserv, särskilt när det gäller</w:t>
            </w:r>
          </w:p>
        </w:tc>
        <w:tc>
          <w:tcPr>
            <w:tcW w:w="4876" w:type="dxa"/>
            <w:tcBorders>
              <w:top w:val="nil"/>
              <w:left w:val="nil"/>
              <w:bottom w:val="nil"/>
              <w:right w:val="nil"/>
            </w:tcBorders>
          </w:tcPr>
          <w:p>
            <w:pPr>
              <w:pStyle w:val="Normal6a"/>
            </w:pPr>
            <w:r>
              <w:t>2.</w:t>
            </w:r>
            <w:r>
              <w:tab/>
            </w:r>
            <w:r>
              <w:t xml:space="preserve">På begäran av registrerade arbetssökande från tredjeländer och arbetsgivare som deltar i EU:s talangreserv </w:t>
            </w:r>
            <w:r>
              <w:rPr>
                <w:b/>
                <w:i/>
              </w:rPr>
              <w:t>får</w:t>
            </w:r>
            <w:r>
              <w:t xml:space="preserve"> de nationella kontaktpunkterna för EU:s talangreserv erbjuda ytterligare stöd, och stöd efter rekrytering, till registrerade arbetssökande från tredjeländer och arbetsgivare som deltar i EU:s talangreserv, särskilt när det gäller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särskild information om</w:t>
            </w:r>
            <w:r>
              <w:t xml:space="preserve"> nationella invandringsförfaranden för att få visering och uppehållstillstånd för arbetsändamål efter urvalsförfarandet,</w:t>
            </w:r>
          </w:p>
        </w:tc>
        <w:tc>
          <w:tcPr>
            <w:tcW w:w="4876" w:type="dxa"/>
            <w:tcBorders>
              <w:top w:val="nil"/>
              <w:left w:val="nil"/>
              <w:bottom w:val="nil"/>
              <w:right w:val="nil"/>
            </w:tcBorders>
          </w:tcPr>
          <w:p>
            <w:pPr>
              <w:pStyle w:val="Normal6a"/>
            </w:pPr>
            <w:r>
              <w:t>a)</w:t>
            </w:r>
            <w:r>
              <w:tab/>
            </w:r>
            <w:r>
              <w:t>nationella invandringsförfaranden för att få visering och uppehållstillstånd för arbetsändamål efter urvalsförfarandet,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särskild vägledning och information om förfaranden för familjeåterförening och familjemedlemmars rättigheter,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särskild vägledning och information om förfaranden för familjeåterförening och familjemedlemmars rättigheter,</w:t>
            </w:r>
          </w:p>
        </w:tc>
        <w:tc>
          <w:tcPr>
            <w:tcW w:w="4876" w:type="dxa"/>
            <w:tcBorders>
              <w:top w:val="nil"/>
              <w:left w:val="nil"/>
              <w:bottom w:val="nil"/>
              <w:right w:val="nil"/>
            </w:tcBorders>
          </w:tcPr>
          <w:p>
            <w:pPr>
              <w:pStyle w:val="Normal6a"/>
            </w:pPr>
            <w:r>
              <w:t>b)</w:t>
            </w:r>
            <w:r>
              <w:tab/>
            </w:r>
            <w:r>
              <w:t xml:space="preserve">särskild vägledning och information om förfaranden för familjeåterförening och familjemedlemmars rättigheter </w:t>
            </w:r>
            <w:r>
              <w:rPr>
                <w:b/>
                <w:i/>
              </w:rPr>
              <w:t>och skyldigheter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särskild vägledning och</w:t>
            </w:r>
            <w:r>
              <w:t xml:space="preserve"> information om förfaranden för familjeåterförening och familjemedlemmars rättigheter,</w:t>
            </w:r>
          </w:p>
        </w:tc>
        <w:tc>
          <w:tcPr>
            <w:tcW w:w="4876" w:type="dxa"/>
            <w:tcBorders>
              <w:top w:val="nil"/>
              <w:left w:val="nil"/>
              <w:bottom w:val="nil"/>
              <w:right w:val="nil"/>
            </w:tcBorders>
          </w:tcPr>
          <w:p>
            <w:pPr>
              <w:pStyle w:val="Normal6a"/>
            </w:pPr>
            <w:r>
              <w:t>b)</w:t>
            </w:r>
            <w:r>
              <w:tab/>
            </w:r>
            <w:r>
              <w:t>information om förfaranden för familjeåterförening och familjemedlemmars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särskild vägledning och information om</w:t>
            </w:r>
            <w:r>
              <w:t xml:space="preserve"> förfaranden för familjeåterförening och familjemedlemmars rättigheter,</w:t>
            </w:r>
          </w:p>
        </w:tc>
        <w:tc>
          <w:tcPr>
            <w:tcW w:w="4876" w:type="dxa"/>
            <w:tcBorders>
              <w:top w:val="nil"/>
              <w:left w:val="nil"/>
              <w:bottom w:val="nil"/>
              <w:right w:val="nil"/>
            </w:tcBorders>
          </w:tcPr>
          <w:p>
            <w:pPr>
              <w:pStyle w:val="Normal6a"/>
            </w:pPr>
            <w:r>
              <w:t>b)</w:t>
            </w:r>
            <w:r>
              <w:tab/>
            </w:r>
            <w:r>
              <w:t xml:space="preserve">förfaranden för familjeåterförening och familjemedlemmars rättigheter </w:t>
            </w:r>
            <w:r>
              <w:rPr>
                <w:b/>
                <w:i/>
              </w:rPr>
              <w:t>och skyldigheter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särskild information om tredjelandsmedborgares rättigheter och skyldigheter, inbegripet tillgång till sociala förmåner, hälso- och sjukvård, utbildning, bostad, erkännande av kvalifikationer och klagomålsmekanismen enligt artikel 18,</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särskild information om tredjelandsmedborgares rättigheter och skyldigheter, inbegripet tillgång till sociala förmåner, hälso- och sjukvård, utbildning, bostad, erkännande av kvalifikationer </w:t>
            </w:r>
            <w:r>
              <w:rPr>
                <w:b/>
                <w:i/>
              </w:rPr>
              <w:t>och klagomålsmekanismen</w:t>
            </w:r>
            <w:r>
              <w:t xml:space="preserve"> enligt artikel 18,</w:t>
            </w:r>
          </w:p>
        </w:tc>
        <w:tc>
          <w:tcPr>
            <w:tcW w:w="4876" w:type="dxa"/>
            <w:tcBorders>
              <w:top w:val="nil"/>
              <w:left w:val="nil"/>
              <w:bottom w:val="nil"/>
              <w:right w:val="nil"/>
            </w:tcBorders>
          </w:tcPr>
          <w:p>
            <w:pPr>
              <w:pStyle w:val="Normal6a"/>
            </w:pPr>
            <w:r>
              <w:t>c)</w:t>
            </w:r>
            <w:r>
              <w:tab/>
            </w:r>
            <w:r>
              <w:t xml:space="preserve">särskild information om tredjelandsmedborgares rättigheter och skyldigheter, inbegripet </w:t>
            </w:r>
            <w:r>
              <w:rPr>
                <w:b/>
                <w:i/>
              </w:rPr>
              <w:t>arbetsvillkor,</w:t>
            </w:r>
            <w:r>
              <w:t xml:space="preserve"> tillgång till sociala förmåner, hälso- och sjukvård, utbildning, bostad, erkännande av </w:t>
            </w:r>
            <w:r>
              <w:rPr>
                <w:b/>
                <w:i/>
              </w:rPr>
              <w:t>kompetens och</w:t>
            </w:r>
            <w:r>
              <w:t xml:space="preserve"> kvalifikationer </w:t>
            </w:r>
            <w:r>
              <w:rPr>
                <w:b/>
                <w:i/>
              </w:rPr>
              <w:t>samt klagomåls- och prövningsmekanismen</w:t>
            </w:r>
            <w:r>
              <w:t xml:space="preserve"> enligt artikel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särskild information om tredjelandsmedborgares </w:t>
            </w:r>
            <w:r>
              <w:rPr>
                <w:b/>
                <w:i/>
              </w:rPr>
              <w:t>rättigheter och</w:t>
            </w:r>
            <w:r>
              <w:t xml:space="preserve"> skyldigheter, </w:t>
            </w:r>
            <w:r>
              <w:rPr>
                <w:b/>
                <w:i/>
              </w:rPr>
              <w:t>inbegripet tillgång till sociala förmåner, hälso- och sjukvård, utbildning, bostad, erkännande av kvalifikationer och klagomålsmekanismen enligt artikel 18,</w:t>
            </w:r>
          </w:p>
        </w:tc>
        <w:tc>
          <w:tcPr>
            <w:tcW w:w="4876" w:type="dxa"/>
            <w:tcBorders>
              <w:top w:val="nil"/>
              <w:left w:val="nil"/>
              <w:bottom w:val="nil"/>
              <w:right w:val="nil"/>
            </w:tcBorders>
          </w:tcPr>
          <w:p>
            <w:pPr>
              <w:pStyle w:val="Normal6a"/>
            </w:pPr>
            <w:r>
              <w:t>c)</w:t>
            </w:r>
            <w:r>
              <w:tab/>
            </w:r>
            <w:r>
              <w:t>särskild information om tredjelandsmedborgares skyldigheter,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särskild information om</w:t>
            </w:r>
            <w:r>
              <w:t xml:space="preserve"> tredjelandsmedborgares rättigheter och skyldigheter, inbegripet tillgång till sociala förmåner, hälso- och sjukvård, utbildning, bostad, erkännande av kvalifikationer och klagomålsmekanismen enligt artikel 18,</w:t>
            </w:r>
          </w:p>
        </w:tc>
        <w:tc>
          <w:tcPr>
            <w:tcW w:w="4876" w:type="dxa"/>
            <w:tcBorders>
              <w:top w:val="nil"/>
              <w:left w:val="nil"/>
              <w:bottom w:val="nil"/>
              <w:right w:val="nil"/>
            </w:tcBorders>
          </w:tcPr>
          <w:p>
            <w:pPr>
              <w:pStyle w:val="Normal6a"/>
            </w:pPr>
            <w:r>
              <w:t>c)</w:t>
            </w:r>
            <w:r>
              <w:tab/>
            </w:r>
            <w:r>
              <w:t xml:space="preserve">tredjelandsmedborgares rättigheter och skyldigheter, inbegripet </w:t>
            </w:r>
            <w:r>
              <w:rPr>
                <w:b/>
                <w:i/>
              </w:rPr>
              <w:t>att iaktta och respektera nationella lagar,</w:t>
            </w:r>
            <w:r>
              <w:t xml:space="preserve"> tillgång till sociala förmåner, hälso- och sjukvård, utbildning, bostad, erkännande av kvalifikationer och klagomålsmekanismen enligt artikel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information som finns tillgänglig på nationell nivå för att underlätta tredjelandsmedborgares integration i den mottagande medlemsstaten, såsom språkkurser, yrkesutbildning och annan utbildning samt andra integrationsåtgärder,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rPr>
                <w:b/>
                <w:i/>
              </w:rPr>
              <w:t>information som finns tillgänglig på nationell nivå för att underlätta tredjelandsmedborgares integration</w:t>
            </w:r>
            <w:r>
              <w:t xml:space="preserve"> i den mottagande medlemsstaten, såsom språkkurser, yrkesutbildning och annan utbildning samt andra integrationsåtgärder,</w:t>
            </w:r>
          </w:p>
        </w:tc>
        <w:tc>
          <w:tcPr>
            <w:tcW w:w="4876" w:type="dxa"/>
            <w:tcBorders>
              <w:top w:val="nil"/>
              <w:left w:val="nil"/>
              <w:bottom w:val="nil"/>
              <w:right w:val="nil"/>
            </w:tcBorders>
          </w:tcPr>
          <w:p>
            <w:pPr>
              <w:pStyle w:val="Normal6a"/>
            </w:pPr>
            <w:r>
              <w:t>d)</w:t>
            </w:r>
            <w:r>
              <w:tab/>
            </w:r>
            <w:r>
              <w:rPr>
                <w:b/>
                <w:i/>
              </w:rPr>
              <w:t>integrationsverksamhet</w:t>
            </w:r>
            <w:r>
              <w:t xml:space="preserve"> i den mottagande medlemsstaten, såsom språkkurser, yrkesutbildning och annan utbildning samt andra integrationsåtgärder,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i förekommande fall, kontaktuppgifter till organisationer som erbjuder stöd efter rekrytering för tredjelandsmedborgare.</w:t>
            </w:r>
          </w:p>
        </w:tc>
        <w:tc>
          <w:tcPr>
            <w:tcW w:w="4876" w:type="dxa"/>
            <w:tcBorders>
              <w:top w:val="nil"/>
              <w:left w:val="nil"/>
              <w:bottom w:val="nil"/>
              <w:right w:val="nil"/>
            </w:tcBorders>
          </w:tcPr>
          <w:p>
            <w:pPr>
              <w:pStyle w:val="Normal6a"/>
            </w:pPr>
            <w:r>
              <w:t>e)</w:t>
            </w:r>
            <w:r>
              <w:tab/>
            </w:r>
            <w:r>
              <w:t xml:space="preserve">i förekommande fall, kontaktuppgifter till organisationer som erbjuder stöd </w:t>
            </w:r>
            <w:r>
              <w:rPr>
                <w:b/>
                <w:i/>
              </w:rPr>
              <w:t>och hjälp</w:t>
            </w:r>
            <w:r>
              <w:t xml:space="preserve"> efter rekrytering för tredjelandsmedborgare</w:t>
            </w:r>
            <w:r>
              <w:rPr>
                <w:b/>
                <w:i/>
              </w:rPr>
              <w:t>, såsom fackföreningar, arbetsgivarorganisationer och handelskamrar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i förekommande fall, kontaktuppgifter till organisationer</w:t>
            </w:r>
            <w:r>
              <w:t xml:space="preserve"> som erbjuder stöd efter rekrytering för tredjelandsmedborgare.</w:t>
            </w:r>
          </w:p>
        </w:tc>
        <w:tc>
          <w:tcPr>
            <w:tcW w:w="4876" w:type="dxa"/>
            <w:tcBorders>
              <w:top w:val="nil"/>
              <w:left w:val="nil"/>
              <w:bottom w:val="nil"/>
              <w:right w:val="nil"/>
            </w:tcBorders>
          </w:tcPr>
          <w:p>
            <w:pPr>
              <w:pStyle w:val="Normal6a"/>
            </w:pPr>
            <w:r>
              <w:t>e)</w:t>
            </w:r>
            <w:r>
              <w:tab/>
            </w:r>
            <w:r>
              <w:rPr>
                <w:b/>
                <w:i/>
              </w:rPr>
              <w:t>kontaktuppgifter till organisationer, inbegripet fackföreningar,</w:t>
            </w:r>
            <w:r>
              <w:t xml:space="preserve"> som erbjuder stöd efter rekrytering för tredjelandsmedborgare.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i förekommande fall,</w:t>
            </w:r>
            <w:r>
              <w:t xml:space="preserve"> kontaktuppgifter till organisationer som erbjuder stöd efter rekrytering för tredjelandsmedborgare.</w:t>
            </w:r>
          </w:p>
        </w:tc>
        <w:tc>
          <w:tcPr>
            <w:tcW w:w="4876" w:type="dxa"/>
            <w:tcBorders>
              <w:top w:val="nil"/>
              <w:left w:val="nil"/>
              <w:bottom w:val="nil"/>
              <w:right w:val="nil"/>
            </w:tcBorders>
          </w:tcPr>
          <w:p>
            <w:pPr>
              <w:pStyle w:val="Normal6a"/>
            </w:pPr>
            <w:r>
              <w:t>e)</w:t>
            </w:r>
            <w:r>
              <w:tab/>
            </w:r>
            <w:r>
              <w:t>kontaktuppgifter till organisationer som erbjuder stöd efter rekrytering för tredjelandsmedborgare.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i förekommande fall,</w:t>
            </w:r>
            <w:r>
              <w:t xml:space="preserve"> kontaktuppgifter till organisationer som erbjuder stöd efter rekrytering för tredjelandsmedborgare.</w:t>
            </w:r>
          </w:p>
        </w:tc>
        <w:tc>
          <w:tcPr>
            <w:tcW w:w="4876" w:type="dxa"/>
            <w:tcBorders>
              <w:top w:val="nil"/>
              <w:left w:val="nil"/>
              <w:bottom w:val="nil"/>
              <w:right w:val="nil"/>
            </w:tcBorders>
          </w:tcPr>
          <w:p>
            <w:pPr>
              <w:pStyle w:val="Normal6a"/>
            </w:pPr>
            <w:r>
              <w:t>e)</w:t>
            </w:r>
            <w:r>
              <w:tab/>
            </w:r>
            <w:r>
              <w:t>kontaktuppgifter till organisationer som erbjuder stöd efter rekrytering för tredjelandsmedborgare.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information till tredjelandsmedborgare om laglig vistelse i den mottagande medlemsstaten vid avslutande av eller en övergång mellan anställningar på grundval av direktiv (EU) 2024/1233 eller nationella arbets- och uppehållstillstånd samt information om stöd som finns tillgängligt för tredjelandsmedborgare som vill återvända till sina hemländer, inbegripet stöd för återanpassning inom ramen för talangpartnerskap med utvecklingsländer,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2 – led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i förekommande fall, information om möjligheter till utveckling av färdigheter och kompetenser, utbildning och yrkesutbildning som ges genom program för utvecklingssamarbete.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I förekommande fall ska de nationella kontaktpunkterna för EU:s talangreserv hänskjuta förfrågningar om information, vägledning och stöd till andra nationella behöriga myndigheter och, i tillämpliga fall, andra lämpliga organ på nationell nivå som stöder tredjelandsmedborgares integration på arbetsmarknaden.</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3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Sekretariatet för EU:s talangreserv ska i samarbete med styrgruppen genomföra informationskampanjer riktade till arbetsgivare, särskilt små och medelstora företag, för att öka allmänhetens kännedom om och därmed också användningen av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Sekretariatet för EU:s talangreserv ska, i samarbete med medlemsstaterna, genomföra informationskampanjer online och offline för att främja EU:s talangreserv på både nationell nivå och EU-nivå.</w:t>
            </w:r>
            <w:r>
              <w:t xml:space="preserve"> </w:t>
            </w:r>
            <w:r>
              <w:rPr>
                <w:b/>
                <w:i/>
              </w:rPr>
              <w:t>Insatser ska också inriktas på tredjeländer, med fokus på viktiga målregioner, bland annat genom partnerskap med EU-delegationer och nationella ambassader.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Förenklade klagomålsförfaranden</w:t>
            </w:r>
          </w:p>
        </w:tc>
        <w:tc>
          <w:tcPr>
            <w:tcW w:w="4876" w:type="dxa"/>
            <w:tcBorders>
              <w:top w:val="nil"/>
              <w:left w:val="nil"/>
              <w:bottom w:val="nil"/>
              <w:right w:val="nil"/>
            </w:tcBorders>
          </w:tcPr>
          <w:p>
            <w:pPr>
              <w:pStyle w:val="Normal6a"/>
            </w:pPr>
            <w:r>
              <w:t xml:space="preserve">Förenklade klagomålsförfaranden </w:t>
            </w:r>
            <w:r>
              <w:rPr>
                <w:b/>
                <w:i/>
              </w:rPr>
              <w:t>mot deltagande arbetsgivare och förmedlare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Förenklade </w:t>
            </w:r>
            <w:r>
              <w:rPr>
                <w:b/>
                <w:i/>
              </w:rPr>
              <w:t>klagomålsförfaranden</w:t>
            </w:r>
          </w:p>
        </w:tc>
        <w:tc>
          <w:tcPr>
            <w:tcW w:w="4876" w:type="dxa"/>
            <w:tcBorders>
              <w:top w:val="nil"/>
              <w:left w:val="nil"/>
              <w:bottom w:val="nil"/>
              <w:right w:val="nil"/>
            </w:tcBorders>
          </w:tcPr>
          <w:p>
            <w:pPr>
              <w:pStyle w:val="Normal6a"/>
            </w:pPr>
            <w:r>
              <w:t>Förenklade </w:t>
            </w:r>
            <w:r>
              <w:rPr>
                <w:b/>
                <w:i/>
              </w:rPr>
              <w:t>förfaranden för klagomål och rättslig prövning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Förenklade </w:t>
            </w:r>
            <w:r>
              <w:rPr>
                <w:b/>
                <w:i/>
              </w:rPr>
              <w:t>klagomålsförfaranden</w:t>
            </w:r>
          </w:p>
        </w:tc>
        <w:tc>
          <w:tcPr>
            <w:tcW w:w="4876" w:type="dxa"/>
            <w:tcBorders>
              <w:top w:val="nil"/>
              <w:left w:val="nil"/>
              <w:bottom w:val="nil"/>
              <w:right w:val="nil"/>
            </w:tcBorders>
          </w:tcPr>
          <w:p>
            <w:pPr>
              <w:pStyle w:val="Normal6a"/>
            </w:pPr>
            <w:r>
              <w:t xml:space="preserve">Förenklade </w:t>
            </w:r>
            <w:r>
              <w:rPr>
                <w:b/>
                <w:i/>
              </w:rPr>
              <w:t>klagomåls- och prövningsförfaranden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Deltagande medlemsstater ska säkerställa att det finns effektiva mekanismer genom vilka registrerade arbetssökande från tredjeländer kan lämna in klagomål om arbetsgivare som deltar i EU:s talangreserv bryter mot de skyldigheter och villkor som fastställs i artikel 13.3.</w:t>
            </w:r>
          </w:p>
        </w:tc>
        <w:tc>
          <w:tcPr>
            <w:tcW w:w="4876" w:type="dxa"/>
            <w:tcBorders>
              <w:top w:val="nil"/>
              <w:left w:val="nil"/>
              <w:bottom w:val="nil"/>
              <w:right w:val="nil"/>
            </w:tcBorders>
          </w:tcPr>
          <w:p>
            <w:pPr>
              <w:pStyle w:val="Normal6a"/>
            </w:pPr>
            <w:r>
              <w:t>1.</w:t>
            </w:r>
            <w:r>
              <w:tab/>
            </w:r>
            <w:r>
              <w:t xml:space="preserve">Deltagande medlemsstater ska säkerställa att det finns </w:t>
            </w:r>
            <w:r>
              <w:rPr>
                <w:b/>
                <w:i/>
              </w:rPr>
              <w:t>tillgängliga och</w:t>
            </w:r>
            <w:r>
              <w:t xml:space="preserve"> effektiva mekanismer genom vilka registrerade arbetssökande </w:t>
            </w:r>
            <w:r>
              <w:rPr>
                <w:b/>
                <w:i/>
              </w:rPr>
              <w:t>och arbetstagare</w:t>
            </w:r>
            <w:r>
              <w:t xml:space="preserve"> från tredjeländer </w:t>
            </w:r>
            <w:r>
              <w:rPr>
                <w:b/>
                <w:i/>
              </w:rPr>
              <w:t>i tid</w:t>
            </w:r>
            <w:r>
              <w:t xml:space="preserve"> kan lämna in klagomål </w:t>
            </w:r>
            <w:r>
              <w:rPr>
                <w:b/>
                <w:i/>
              </w:rPr>
              <w:t>direkt, via tredje parter som, i enlighet med de kriterier som fastställs i deras nationella rätt, har ett berättigat intresse av att säkerställa efterlevnaden av denna förordning, eller genom en behörig myndighet i den deltagande medlemsstaten, när så föreskrivs i nationell rätt,</w:t>
            </w:r>
            <w:r>
              <w:t xml:space="preserve"> om arbetsgivare som deltar i EU:s talangreserv bryter mot de skyldigheter och villkor som fastställs i artikel 13.3 </w:t>
            </w:r>
            <w:r>
              <w:rPr>
                <w:b/>
                <w:i/>
              </w:rPr>
              <w:t>eller andra relevanta bestämmelser.</w:t>
            </w:r>
            <w:r>
              <w:t xml:space="preserve"> </w:t>
            </w:r>
            <w:r>
              <w:rPr>
                <w:b/>
                <w:i/>
              </w:rPr>
              <w:t>Registrerade arbetssökande och arbetstagare som lämnar in ett klagomål ska skyddas från repressalier eller andra negativa konsekvenser av ett klagomål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Deltagande medlemsstater ska säkerställa att det finns effektiva mekanismer genom vilka registrerade arbetssökande från tredjeländer kan lämna in klagomål om arbetsgivare som deltar i EU:s talangreserv bryter mot de skyldigheter och villkor som fastställs i artikel 13.3.</w:t>
            </w:r>
          </w:p>
        </w:tc>
        <w:tc>
          <w:tcPr>
            <w:tcW w:w="4876" w:type="dxa"/>
            <w:tcBorders>
              <w:top w:val="nil"/>
              <w:left w:val="nil"/>
              <w:bottom w:val="nil"/>
              <w:right w:val="nil"/>
            </w:tcBorders>
          </w:tcPr>
          <w:p>
            <w:pPr>
              <w:pStyle w:val="Normal6a"/>
            </w:pPr>
            <w:r>
              <w:t>1.</w:t>
            </w:r>
            <w:r>
              <w:tab/>
            </w:r>
            <w:r>
              <w:t xml:space="preserve">Deltagande medlemsstater ska säkerställa att det finns </w:t>
            </w:r>
            <w:r>
              <w:rPr>
                <w:b/>
                <w:i/>
              </w:rPr>
              <w:t>tillgängliga och</w:t>
            </w:r>
            <w:r>
              <w:t xml:space="preserve"> effektiva mekanismer genom vilka registrerade arbetssökande från tredjeländer</w:t>
            </w:r>
            <w:r>
              <w:rPr>
                <w:b/>
                <w:i/>
              </w:rPr>
              <w:t>, deras företrädare eller arbetsmarknadens parter i tid</w:t>
            </w:r>
            <w:r>
              <w:t xml:space="preserve"> kan lämna in klagomål om arbetsgivare som deltar i EU:s talangreserv bryter mot de skyldigheter och villkor som fastställs i artikel 13.3. </w:t>
            </w:r>
            <w:r>
              <w:rPr>
                <w:b/>
                <w:i/>
              </w:rPr>
              <w:t>Klaganden ska skyddas från repressalier eller andra negativa konsekvenser av ett klagomål.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Deltagande medlemsstater</w:t>
            </w:r>
            <w:r>
              <w:t xml:space="preserve"> ska säkerställa att det finns effektiva mekanismer genom vilka registrerade arbetssökande från tredjeländer kan lämna in klagomål om arbetsgivare som deltar i EU:s talangreserv bryter mot de skyldigheter och villkor som fastställs i artikel 13.3.</w:t>
            </w:r>
          </w:p>
        </w:tc>
        <w:tc>
          <w:tcPr>
            <w:tcW w:w="4876" w:type="dxa"/>
            <w:tcBorders>
              <w:top w:val="nil"/>
              <w:left w:val="nil"/>
              <w:bottom w:val="nil"/>
              <w:right w:val="nil"/>
            </w:tcBorders>
          </w:tcPr>
          <w:p>
            <w:pPr>
              <w:pStyle w:val="Normal6a"/>
            </w:pPr>
            <w:r>
              <w:t>1.</w:t>
            </w:r>
            <w:r>
              <w:tab/>
            </w:r>
            <w:r>
              <w:rPr>
                <w:b/>
                <w:i/>
              </w:rPr>
              <w:t>Medlemsstaterna</w:t>
            </w:r>
            <w:r>
              <w:t xml:space="preserve"> ska säkerställa att det finns </w:t>
            </w:r>
            <w:r>
              <w:rPr>
                <w:b/>
                <w:i/>
              </w:rPr>
              <w:t>tillgängliga, rättvisa, jämställdhetsorienterade och</w:t>
            </w:r>
            <w:r>
              <w:t xml:space="preserve"> effektiva mekanismer genom vilka registrerade arbetssökande </w:t>
            </w:r>
            <w:r>
              <w:rPr>
                <w:b/>
                <w:i/>
              </w:rPr>
              <w:t>och arbetstagare</w:t>
            </w:r>
            <w:r>
              <w:t xml:space="preserve"> från tredjeländer </w:t>
            </w:r>
            <w:r>
              <w:rPr>
                <w:b/>
                <w:i/>
              </w:rPr>
              <w:t>som rekryterats via talangreserven</w:t>
            </w:r>
            <w:r>
              <w:t xml:space="preserve"> kan lämna in klagomål om </w:t>
            </w:r>
            <w:r>
              <w:rPr>
                <w:b/>
                <w:i/>
              </w:rPr>
              <w:t>de</w:t>
            </w:r>
            <w:r>
              <w:t xml:space="preserve"> arbetsgivare </w:t>
            </w:r>
            <w:r>
              <w:rPr>
                <w:b/>
                <w:i/>
              </w:rPr>
              <w:t>och förmedlare</w:t>
            </w:r>
            <w:r>
              <w:t xml:space="preserve"> som deltar i EU:s talangreserv bryter mot de skyldigheter och villkor som fastställs i artikel 13.3.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ska säkerställa att det finns effektiva mekanismer genom vilka registrerade arbetssökande från tredjeländer kan lämna in klagomål om arbetsgivare som deltar i EU:s talangreserv </w:t>
            </w:r>
            <w:r>
              <w:rPr>
                <w:b/>
                <w:i/>
              </w:rPr>
              <w:t>bryter mot</w:t>
            </w:r>
            <w:r>
              <w:t xml:space="preserve"> de skyldigheter och villkor som fastställs i artikel 13.3.</w:t>
            </w:r>
          </w:p>
        </w:tc>
        <w:tc>
          <w:tcPr>
            <w:tcW w:w="4876" w:type="dxa"/>
            <w:tcBorders>
              <w:top w:val="nil"/>
              <w:left w:val="nil"/>
              <w:bottom w:val="nil"/>
              <w:right w:val="nil"/>
            </w:tcBorders>
          </w:tcPr>
          <w:p>
            <w:pPr>
              <w:pStyle w:val="Normal6a"/>
            </w:pPr>
            <w:r>
              <w:t>1.</w:t>
            </w:r>
            <w:r>
              <w:tab/>
            </w:r>
            <w:r>
              <w:t xml:space="preserve">Deltagande medlemsstater ska säkerställa att det finns effektiva mekanismer genom vilka registrerade arbetssökande från tredjeländer kan lämna in klagomål om arbetsgivare som deltar i EU:s talangreserv </w:t>
            </w:r>
            <w:r>
              <w:rPr>
                <w:b/>
                <w:i/>
              </w:rPr>
              <w:t>gör sig skyldiga till överträdelser enligt gällande nationell lagstiftning av</w:t>
            </w:r>
            <w:r>
              <w:t xml:space="preserve"> de skyldigheter och villkor som fastställs i artikel 13.3.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w:t>
            </w:r>
            <w:r>
              <w:rPr>
                <w:b/>
                <w:i/>
              </w:rPr>
              <w:t>medlemsstater</w:t>
            </w:r>
            <w:r>
              <w:t xml:space="preserve"> ska säkerställa att det finns effektiva mekanismer genom vilka registrerade arbetssökande från tredjeländer kan lämna in klagomål </w:t>
            </w:r>
            <w:r>
              <w:rPr>
                <w:b/>
                <w:i/>
              </w:rPr>
              <w:t>om arbetsgivare som deltar i EU:s talangreserv bryter mot</w:t>
            </w:r>
            <w:r>
              <w:t xml:space="preserve"> de skyldigheter och villkor som </w:t>
            </w:r>
            <w:r>
              <w:rPr>
                <w:b/>
                <w:i/>
              </w:rPr>
              <w:t>fastställs i artikel 13.3</w:t>
            </w:r>
            <w:r>
              <w:t>.</w:t>
            </w:r>
          </w:p>
        </w:tc>
        <w:tc>
          <w:tcPr>
            <w:tcW w:w="4876" w:type="dxa"/>
            <w:tcBorders>
              <w:top w:val="nil"/>
              <w:left w:val="nil"/>
              <w:bottom w:val="nil"/>
              <w:right w:val="nil"/>
            </w:tcBorders>
          </w:tcPr>
          <w:p>
            <w:pPr>
              <w:pStyle w:val="Normal6a"/>
            </w:pPr>
            <w:r>
              <w:t>1.</w:t>
            </w:r>
            <w:r>
              <w:tab/>
            </w:r>
            <w:r>
              <w:rPr>
                <w:b/>
                <w:i/>
              </w:rPr>
              <w:t>De</w:t>
            </w:r>
            <w:r>
              <w:t xml:space="preserve"> deltagande </w:t>
            </w:r>
            <w:r>
              <w:rPr>
                <w:b/>
                <w:i/>
              </w:rPr>
              <w:t>medlemsstaterna</w:t>
            </w:r>
            <w:r>
              <w:t xml:space="preserve"> ska säkerställa att det finns effektiva mekanismer genom vilka registrerade arbetssökande från tredjeländer </w:t>
            </w:r>
            <w:r>
              <w:rPr>
                <w:b/>
                <w:i/>
              </w:rPr>
              <w:t>och arbetsgivare</w:t>
            </w:r>
            <w:r>
              <w:t xml:space="preserve"> kan lämna in klagomål </w:t>
            </w:r>
            <w:r>
              <w:rPr>
                <w:b/>
                <w:i/>
              </w:rPr>
              <w:t>vid överträdelser av</w:t>
            </w:r>
            <w:r>
              <w:t xml:space="preserve"> de skyldigheter och villkor som </w:t>
            </w:r>
            <w:r>
              <w:rPr>
                <w:b/>
                <w:i/>
              </w:rPr>
              <w:t>gällde för anställningen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It-plattformen för EU:s talangreserv ska ha en direkt tillgänglig klagomålsmekanism för registrerade arbetssökande mot olaglig rekrytering samt oegentliga anställningsmetoder.</w:t>
            </w:r>
            <w:r>
              <w:t xml:space="preserve"> </w:t>
            </w:r>
            <w:r>
              <w:rPr>
                <w:b/>
                <w:i/>
              </w:rPr>
              <w:t>Vid mottagandet av ett klagomål ska den nationella kontaktpunkten hänskjuta ärendet till de relevanta nationella myndigheterna för inspektion.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De deltagande medlemsstaterna ska från fall till fall, i enlighet med de kriterier som fastställs i deras nationella lagstiftning, bevilja ett tidsbegränsat tillstånd till en arbetstagare från tredjeland om hans eller hennes rättigheter enligt artikel 13.3 har kränkts.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Om de relevanta nationella myndigheterna vid en inspektion konstaterar att det förekommer exploaterande praxis eller att de villkor och skyldigheter som fastställs i artikel 13.3 har åsidosatts, ska arbetsgivaren eller förmedlaren och alla lediga platser som har samband med detta omedelbart avlägsnas från it-plattformen för EU:s talangreserv.</w:t>
            </w:r>
            <w:r>
              <w:t xml:space="preserve"> </w:t>
            </w:r>
            <w:r>
              <w:rPr>
                <w:b/>
                <w:i/>
              </w:rPr>
              <w:t>Under de nationella myndigheternas utredning ska arbetsgivaren eller förmedlaren och alla lediga platser som har samband med detta dras tillbaka från talangreserven.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Medlemsstaterna ska föreskriva sanktioner mot arbetsgivare som inte har fullgjort sina skyldigheter enligt relevant unionslagstiftning och nationell lagstiftning.</w:t>
            </w:r>
            <w:r>
              <w:t xml:space="preserve"> </w:t>
            </w:r>
            <w:r>
              <w:rPr>
                <w:b/>
                <w:i/>
              </w:rPr>
              <w:t>Dessa sanktioner ska vara effektiva, proportionella och avskräckande.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Deltagande medlemsstater ska göra information om tillgängliga prövningsmekanismer lättillgänglig.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Deltagande medlemsstater ska göra information om tillgängliga prövningsmekanismer lättillgänglig.</w:t>
            </w:r>
          </w:p>
        </w:tc>
        <w:tc>
          <w:tcPr>
            <w:tcW w:w="4876" w:type="dxa"/>
            <w:tcBorders>
              <w:top w:val="nil"/>
              <w:left w:val="nil"/>
              <w:bottom w:val="nil"/>
              <w:right w:val="nil"/>
            </w:tcBorders>
          </w:tcPr>
          <w:p>
            <w:pPr>
              <w:pStyle w:val="Normal6a"/>
            </w:pPr>
            <w:r>
              <w:t>2.</w:t>
            </w:r>
            <w:r>
              <w:tab/>
            </w:r>
            <w:r>
              <w:t xml:space="preserve">Deltagande medlemsstater ska göra information om tillgängliga </w:t>
            </w:r>
            <w:r>
              <w:rPr>
                <w:b/>
                <w:i/>
              </w:rPr>
              <w:t>klagomåls- och</w:t>
            </w:r>
            <w:r>
              <w:t xml:space="preserve"> prövningsmekanismer lättillgänglig </w:t>
            </w:r>
            <w:r>
              <w:rPr>
                <w:b/>
                <w:i/>
              </w:rPr>
              <w:t>och informationen ska finnas tillgänglig på ett språk som tredjelandsmedborgaren kan förstå eller rimligen kan förväntas förstå</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18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Så snart de nationella kontaktpunkterna för EU:s talangreserv får kännedom om att en arbetsgivare som deltar i EU:s talangreserv åsidosätter de skyldigheter och villkor som anges i artikel 13.3 ska kontaktpunkterna stänga av arbetsgivaren och ta bort dess lediga platser från it-plattformen för EU:s talangreserv.</w:t>
            </w:r>
            <w:r>
              <w:t xml:space="preserve"> </w:t>
            </w:r>
            <w:r>
              <w:rPr>
                <w:b/>
                <w:i/>
              </w:rPr>
              <w:t>De nationella kontaktpunkterna för EU:s talangreserv ska också underrätta styrgruppen för EU:s talangreserv om sådana åsidosättanden och om de relevanta åtgärder som vidtagits.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19</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Påskyndade invandringsförfaranden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Deltagande medlemsstater får besluta att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Det förfarande som avses i punkt 1 kan omfatta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erhållande av viseringar och uppehållstillstånd för arbetsändamål,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19</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Påskyndade invandringsförfaranden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Deltagande medlemsstater får besluta att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Det förfarande som avses i punkt 1 kan omfatta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erhållande av viseringar och uppehållstillstånd för arbetsändamål,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Påskyndade</w:t>
            </w:r>
            <w:r>
              <w:t xml:space="preserve"> invandringsförfaranden</w:t>
            </w:r>
          </w:p>
        </w:tc>
        <w:tc>
          <w:tcPr>
            <w:tcW w:w="4876" w:type="dxa"/>
            <w:tcBorders>
              <w:top w:val="nil"/>
              <w:left w:val="nil"/>
              <w:bottom w:val="nil"/>
              <w:right w:val="nil"/>
            </w:tcBorders>
          </w:tcPr>
          <w:p>
            <w:pPr>
              <w:pStyle w:val="Normal6a"/>
            </w:pPr>
            <w:r>
              <w:t>Invandringsförfaranden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får besluta </w:t>
            </w:r>
            <w:r>
              <w:rPr>
                <w:b/>
                <w:i/>
              </w:rPr>
              <w:t>att införa påskyndade invandringsförfaranden för att möjliggöra snabbare rekrytering av registrerade arbetssökande från tredjeländer som har valts ut för en ledig plats i</w:t>
            </w:r>
            <w:r>
              <w:t xml:space="preserve"> EU:s talangreserv.</w:t>
            </w:r>
          </w:p>
        </w:tc>
        <w:tc>
          <w:tcPr>
            <w:tcW w:w="4876" w:type="dxa"/>
            <w:tcBorders>
              <w:top w:val="nil"/>
              <w:left w:val="nil"/>
              <w:bottom w:val="nil"/>
              <w:right w:val="nil"/>
            </w:tcBorders>
          </w:tcPr>
          <w:p>
            <w:pPr>
              <w:pStyle w:val="Normal6a"/>
            </w:pPr>
            <w:r>
              <w:t>1.</w:t>
            </w:r>
            <w:r>
              <w:tab/>
            </w:r>
            <w:r>
              <w:t xml:space="preserve">Deltagande medlemsstater får </w:t>
            </w:r>
            <w:r>
              <w:rPr>
                <w:b/>
                <w:i/>
              </w:rPr>
              <w:t>fritt</w:t>
            </w:r>
            <w:r>
              <w:t xml:space="preserve"> besluta </w:t>
            </w:r>
            <w:r>
              <w:rPr>
                <w:b/>
                <w:i/>
              </w:rPr>
              <w:t>om hur tillståd skall ges till arbetssökanden med undantagen att:</w:t>
            </w:r>
            <w:r>
              <w:t xml:space="preserve"> </w:t>
            </w:r>
            <w:r>
              <w:rPr>
                <w:b/>
                <w:i/>
              </w:rPr>
              <w:t>tredjelands medborgare som fått arbete via</w:t>
            </w:r>
            <w:r>
              <w:t xml:space="preserve"> EU:s talangreserv </w:t>
            </w:r>
            <w:r>
              <w:rPr>
                <w:b/>
                <w:i/>
              </w:rPr>
              <w:t>får ej kvarvara innom EU i mer än 3 år efter de fått tillträde genom EUs talngreserv samt har ej rätt att därefetr återvända innom 5 år, de har ingen rätt till permanentbosättning innom EU, de har ingen rätt till familjeåterförening innom EU</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Deltagande medlemsstater får besluta att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t xml:space="preserve">Deltagande medlemsstater får besluta att införa påskyndade invandringsförfaranden för att möjliggöra snabbare rekrytering av registrerade arbetssökande från tredjeländer som har valts ut för en ledig plats i EU:s talangreserv. </w:t>
            </w:r>
            <w:r>
              <w:rPr>
                <w:b/>
                <w:i/>
              </w:rPr>
              <w:t>Påskyndade invandringsförfaranden påverkar inte genomförandet av säkerhetskontroller i enlighet med nationell lagstiftning.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Deltagande medlemsstater får besluta att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t xml:space="preserve">Deltagande medlemsstater får </w:t>
            </w:r>
            <w:r>
              <w:rPr>
                <w:b/>
                <w:i/>
              </w:rPr>
              <w:t>på individuell basis</w:t>
            </w:r>
            <w:r>
              <w:t xml:space="preserve"> besluta att införa påskyndade invandringsförfaranden för att möjliggöra snabbare rekrytering av registrerade arbetssökande från tredjeländer som har valts ut för en ledig plats i EU:s talangreserv. </w:t>
            </w:r>
            <w:r>
              <w:rPr>
                <w:b/>
                <w:i/>
              </w:rPr>
              <w:t>Andra deltagande medlemsstater ska inte vara skyldiga eller förväntas göra detsamma.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får besluta att införa </w:t>
            </w:r>
            <w:r>
              <w:rPr>
                <w:b/>
                <w:i/>
              </w:rPr>
              <w:t>påskyndade invandringsförfaranden</w:t>
            </w:r>
            <w:r>
              <w:t xml:space="preserve"> för att </w:t>
            </w:r>
            <w:r>
              <w:rPr>
                <w:b/>
                <w:i/>
              </w:rPr>
              <w:t>möjliggöra snabbare rekrytering av registrerade arbetssökande från tredjeländer som har valts ut för en ledig plats i EU:s talangreserv</w:t>
            </w:r>
            <w:r>
              <w:t>.</w:t>
            </w:r>
          </w:p>
        </w:tc>
        <w:tc>
          <w:tcPr>
            <w:tcW w:w="4876" w:type="dxa"/>
            <w:tcBorders>
              <w:top w:val="nil"/>
              <w:left w:val="nil"/>
              <w:bottom w:val="nil"/>
              <w:right w:val="nil"/>
            </w:tcBorders>
          </w:tcPr>
          <w:p>
            <w:pPr>
              <w:pStyle w:val="Normal6a"/>
            </w:pPr>
            <w:r>
              <w:t>1.</w:t>
            </w:r>
            <w:r>
              <w:tab/>
            </w:r>
            <w:r>
              <w:t xml:space="preserve">Deltagande medlemsstater får besluta att införa </w:t>
            </w:r>
            <w:r>
              <w:rPr>
                <w:b/>
                <w:i/>
              </w:rPr>
              <w:t>åtgärder</w:t>
            </w:r>
            <w:r>
              <w:t xml:space="preserve"> för att </w:t>
            </w:r>
            <w:r>
              <w:rPr>
                <w:b/>
                <w:i/>
              </w:rPr>
              <w:t>säkerställa att arbetssökande utanför EU kan hitta ett arbete endast när det finns påvisade och motiverade brådskande skäl till detta och står i proportion till de särskilda sociala, ekonomiska och sysselsättningsmässiga behoven och särdragen i varje medlemsstat</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w:t>
            </w:r>
            <w:r>
              <w:rPr>
                <w:b/>
                <w:i/>
              </w:rPr>
              <w:t>medlemsstater får besluta att</w:t>
            </w:r>
            <w:r>
              <w:t xml:space="preserve"> införa </w:t>
            </w:r>
            <w:r>
              <w:rPr>
                <w:b/>
                <w:i/>
              </w:rPr>
              <w:t>påskyndade</w:t>
            </w:r>
            <w:r>
              <w:t xml:space="preserve"> invandringsförfaranden för att möjliggöra </w:t>
            </w:r>
            <w:r>
              <w:rPr>
                <w:b/>
                <w:i/>
              </w:rPr>
              <w:t>snabbare</w:t>
            </w:r>
            <w:r>
              <w:t xml:space="preserv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rPr>
                <w:b/>
                <w:i/>
              </w:rPr>
              <w:t>Varje</w:t>
            </w:r>
            <w:r>
              <w:t xml:space="preserve"> deltagande </w:t>
            </w:r>
            <w:r>
              <w:rPr>
                <w:b/>
                <w:i/>
              </w:rPr>
              <w:t>medlemsstat får</w:t>
            </w:r>
            <w:r>
              <w:t xml:space="preserve"> införa </w:t>
            </w:r>
            <w:r>
              <w:rPr>
                <w:b/>
                <w:i/>
              </w:rPr>
              <w:t>de</w:t>
            </w:r>
            <w:r>
              <w:t xml:space="preserve"> invandringsförfaranden </w:t>
            </w:r>
            <w:r>
              <w:rPr>
                <w:b/>
                <w:i/>
              </w:rPr>
              <w:t>som föreskrivs i deras respektive nationella lagstiftning</w:t>
            </w:r>
            <w:r>
              <w:t xml:space="preserve"> för att möjliggöra rekrytering av registrerade arbetssökande från tredjeländer som har valts ut för en ledig plats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Deltagande medlemsstater får besluta</w:t>
            </w:r>
            <w:r>
              <w:t xml:space="preserve"> att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rPr>
                <w:b/>
                <w:i/>
              </w:rPr>
              <w:t>Medlemsstaterna ska överväga alternativet</w:t>
            </w:r>
            <w:r>
              <w:t xml:space="preserve"> att införa påskyndade invandringsförfaranden för att möjliggöra snabbare rekrytering av registrerade arbetssökande från tredjeländer som har valts ut för en ledig plats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w:t>
            </w:r>
            <w:r>
              <w:rPr>
                <w:b/>
                <w:i/>
              </w:rPr>
              <w:t>får besluta att</w:t>
            </w:r>
            <w:r>
              <w:t xml:space="preserve">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t xml:space="preserve">Deltagande medlemsstater </w:t>
            </w:r>
            <w:r>
              <w:rPr>
                <w:b/>
                <w:i/>
              </w:rPr>
              <w:t>ska</w:t>
            </w:r>
            <w:r>
              <w:t xml:space="preserve"> införa påskyndade invandringsförfaranden för att möjliggöra snabbare rekrytering av registrerade arbetssökande från tredjeländer som har valts ut för en ledig plats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Deltagande medlemsstater </w:t>
            </w:r>
            <w:r>
              <w:rPr>
                <w:b/>
                <w:i/>
              </w:rPr>
              <w:t>får besluta att</w:t>
            </w:r>
            <w:r>
              <w:t xml:space="preserve"> införa påskyndade invandringsförfaranden för att möjliggöra snabbare rekrytering av registrerade arbetssökande från tredjeländer som har valts ut för en ledig plats i EU:s talangreserv.</w:t>
            </w:r>
          </w:p>
        </w:tc>
        <w:tc>
          <w:tcPr>
            <w:tcW w:w="4876" w:type="dxa"/>
            <w:tcBorders>
              <w:top w:val="nil"/>
              <w:left w:val="nil"/>
              <w:bottom w:val="nil"/>
              <w:right w:val="nil"/>
            </w:tcBorders>
          </w:tcPr>
          <w:p>
            <w:pPr>
              <w:pStyle w:val="Normal6a"/>
            </w:pPr>
            <w:r>
              <w:t>1.</w:t>
            </w:r>
            <w:r>
              <w:tab/>
            </w:r>
            <w:r>
              <w:t xml:space="preserve">Deltagande medlemsstater </w:t>
            </w:r>
            <w:r>
              <w:rPr>
                <w:b/>
                <w:i/>
              </w:rPr>
              <w:t>ska</w:t>
            </w:r>
            <w:r>
              <w:t xml:space="preserve"> införa påskyndade invandringsförfaranden för att möjliggöra snabbare rekrytering av registrerade arbetssökande från tredjeländer som har valts ut för en ledig plats i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Det förfarande som avses i punkt 1 </w:t>
            </w:r>
            <w:r>
              <w:rPr>
                <w:b/>
                <w:i/>
              </w:rPr>
              <w:t>kan</w:t>
            </w:r>
            <w:r>
              <w:t xml:space="preserve"> omfatta</w:t>
            </w:r>
          </w:p>
        </w:tc>
        <w:tc>
          <w:tcPr>
            <w:tcW w:w="4876" w:type="dxa"/>
            <w:tcBorders>
              <w:top w:val="nil"/>
              <w:left w:val="nil"/>
              <w:bottom w:val="nil"/>
              <w:right w:val="nil"/>
            </w:tcBorders>
          </w:tcPr>
          <w:p>
            <w:pPr>
              <w:pStyle w:val="Normal6a"/>
            </w:pPr>
            <w:r>
              <w:t>2.</w:t>
            </w:r>
            <w:r>
              <w:tab/>
            </w:r>
            <w:r>
              <w:t xml:space="preserve">Det förfarande som avses i punkt 1 </w:t>
            </w:r>
            <w:r>
              <w:rPr>
                <w:b/>
                <w:i/>
              </w:rPr>
              <w:t>ska</w:t>
            </w:r>
            <w:r>
              <w:t xml:space="preserve"> omfatta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underlåtenhet att tillämpa arbetsmarknadsprövningen för lediga platser som lagts ut på plattformen för EU:s talangreserv,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erkännande av kvalifikationer och kompetens hos arbetssökande från ett tredjeland där dessa arbetssökandes kompetens har utvecklats eller validerats inom ramen för ett EU-talangpartnerskap eller en nationell ram och intygats genom ett ”talangpartnerskapspass”.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Det förfarande</w:t>
            </w:r>
            <w:r>
              <w:t xml:space="preserve"> som avses i punkt 1 </w:t>
            </w:r>
            <w:r>
              <w:rPr>
                <w:b/>
                <w:i/>
              </w:rPr>
              <w:t>kan omfatta</w:t>
            </w:r>
          </w:p>
        </w:tc>
        <w:tc>
          <w:tcPr>
            <w:tcW w:w="4876" w:type="dxa"/>
            <w:tcBorders>
              <w:top w:val="nil"/>
              <w:left w:val="nil"/>
              <w:bottom w:val="nil"/>
              <w:right w:val="nil"/>
            </w:tcBorders>
          </w:tcPr>
          <w:p>
            <w:pPr>
              <w:pStyle w:val="Normal6a"/>
            </w:pPr>
            <w:r>
              <w:t>2.</w:t>
            </w:r>
            <w:r>
              <w:tab/>
            </w:r>
            <w:r>
              <w:rPr>
                <w:b/>
                <w:i/>
              </w:rPr>
              <w:t>De förfaranden</w:t>
            </w:r>
            <w:r>
              <w:t xml:space="preserve"> som avses i punkt 1 </w:t>
            </w:r>
            <w:r>
              <w:rPr>
                <w:b/>
                <w:i/>
              </w:rPr>
              <w:t>ska inbegripa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Det förfarande som avses i punkt 1 </w:t>
            </w:r>
            <w:r>
              <w:rPr>
                <w:b/>
                <w:i/>
              </w:rPr>
              <w:t>kan</w:t>
            </w:r>
            <w:r>
              <w:t xml:space="preserve"> omfatta</w:t>
            </w:r>
          </w:p>
        </w:tc>
        <w:tc>
          <w:tcPr>
            <w:tcW w:w="4876" w:type="dxa"/>
            <w:tcBorders>
              <w:top w:val="nil"/>
              <w:left w:val="nil"/>
              <w:bottom w:val="nil"/>
              <w:right w:val="nil"/>
            </w:tcBorders>
          </w:tcPr>
          <w:p>
            <w:pPr>
              <w:pStyle w:val="Normal6a"/>
            </w:pPr>
            <w:r>
              <w:t>2.</w:t>
            </w:r>
            <w:r>
              <w:tab/>
            </w:r>
            <w:r>
              <w:t xml:space="preserve">Det förfarande som avses i punkt 1 </w:t>
            </w:r>
            <w:r>
              <w:rPr>
                <w:b/>
                <w:i/>
              </w:rPr>
              <w:t>ska</w:t>
            </w:r>
            <w:r>
              <w:t xml:space="preserve"> omfatta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erhållande av viseringar och uppehållstillstånd för arbetsändamål</w:t>
            </w:r>
            <w:r>
              <w:rPr>
                <w:b/>
                <w:i/>
              </w:rPr>
              <w:t>,</w:t>
            </w:r>
          </w:p>
        </w:tc>
        <w:tc>
          <w:tcPr>
            <w:tcW w:w="4876" w:type="dxa"/>
            <w:tcBorders>
              <w:top w:val="nil"/>
              <w:left w:val="nil"/>
              <w:bottom w:val="nil"/>
              <w:right w:val="nil"/>
            </w:tcBorders>
          </w:tcPr>
          <w:p>
            <w:pPr>
              <w:pStyle w:val="Normal6a"/>
            </w:pPr>
            <w:r>
              <w:t>a)</w:t>
            </w:r>
            <w:r>
              <w:tab/>
            </w:r>
            <w:r>
              <w:t>erhållande av viseringar och uppehållstillstånd för arbetsändamål</w:t>
            </w:r>
            <w:r>
              <w:rPr>
                <w:b/>
                <w:i/>
              </w:rPr>
              <w:t>.</w:t>
            </w:r>
            <w:r>
              <w:t xml:space="preserve"> </w:t>
            </w:r>
            <w:r>
              <w:rPr>
                <w:b/>
                <w:i/>
              </w:rPr>
              <w:t>En visering till ett medlemsland ger ej rätt till fri rörlighet inom Schengenområdet för denna typ av temporäraarbetare från tredjeländer som tagit sig in till EU via Talangreserven.</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erhållande av viseringar och uppehållstillstånd för arbetsändamål,</w:t>
            </w:r>
          </w:p>
        </w:tc>
        <w:tc>
          <w:tcPr>
            <w:tcW w:w="4876" w:type="dxa"/>
            <w:tcBorders>
              <w:top w:val="nil"/>
              <w:left w:val="nil"/>
              <w:bottom w:val="nil"/>
              <w:right w:val="nil"/>
            </w:tcBorders>
          </w:tcPr>
          <w:p>
            <w:pPr>
              <w:pStyle w:val="Normal6a"/>
            </w:pPr>
            <w:r>
              <w:t>a)</w:t>
            </w:r>
            <w:r>
              <w:tab/>
            </w:r>
            <w:r>
              <w:rPr>
                <w:b/>
                <w:i/>
              </w:rPr>
              <w:t>Det förfarande som avses i punkt 1 kan också omfatta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erhållande av viseringar och uppehållstillstånd för arbetsändamål,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erhållande av viseringar och uppehållstillstånd för arbetsändamål,</w:t>
            </w:r>
          </w:p>
        </w:tc>
        <w:tc>
          <w:tcPr>
            <w:tcW w:w="4876" w:type="dxa"/>
            <w:tcBorders>
              <w:top w:val="nil"/>
              <w:left w:val="nil"/>
              <w:bottom w:val="nil"/>
              <w:right w:val="nil"/>
            </w:tcBorders>
          </w:tcPr>
          <w:p>
            <w:pPr>
              <w:pStyle w:val="Normal6a"/>
            </w:pPr>
            <w:r>
              <w:t>a)</w:t>
            </w:r>
            <w:r>
              <w:tab/>
            </w:r>
            <w:r>
              <w:t xml:space="preserve">erhållande av viseringar och </w:t>
            </w:r>
            <w:r>
              <w:rPr>
                <w:b/>
                <w:i/>
              </w:rPr>
              <w:t>nationella</w:t>
            </w:r>
            <w:r>
              <w:t xml:space="preserve"> uppehållstillstånd för arbetsändamål,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I enlighet med det som anges i skälen 5 och 23 bör EU:s talangreserv förbli ett verktyg som används som en sista utväg när arbetsgivare inte lyckas rekrytera en sökande från EU till en tjänst.</w:t>
      </w:r>
    </w:p>
    <w:p>
      <w:r>
        <w:rPr>
          <w:rStyle w:val="HideTWBExt"/>
        </w:rPr>
        <w:t>&lt;/Amend&gt;</w:t>
      </w:r>
    </w:p>
    <w:p>
      <w:pPr>
        <w:pStyle w:val="AmNumberTabs"/>
      </w:pPr>
      <w:r>
        <w:rPr>
          <w:rStyle w:val="HideTWBExt"/>
        </w:rPr>
        <w:t>&lt;Amend&gt;</w:t>
      </w:r>
      <w:r>
        <w:t>Ändringsförslag</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undantag från principen om företräde för unionsmedborgare för lediga platser som överförs till it-plattformen för EU:s talangreserv.</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undantag från principen om företräde för unionsmedborgare för lediga platser som överförs till it-plattformen för EU:s talangreserv</w:t>
            </w:r>
            <w:r>
              <w:t>.</w:t>
            </w:r>
          </w:p>
        </w:tc>
        <w:tc>
          <w:tcPr>
            <w:tcW w:w="4876" w:type="dxa"/>
            <w:tcBorders>
              <w:top w:val="nil"/>
              <w:left w:val="nil"/>
              <w:bottom w:val="nil"/>
              <w:right w:val="nil"/>
            </w:tcBorders>
          </w:tcPr>
          <w:p>
            <w:pPr>
              <w:pStyle w:val="Normal6a"/>
            </w:pPr>
            <w:r>
              <w:t>b)</w:t>
            </w:r>
            <w:r>
              <w:tab/>
            </w:r>
            <w:r>
              <w:rPr>
                <w:b/>
                <w:i/>
              </w:rPr>
              <w:t>nödvändiga säkerhetskontroller enligt nationell lagstiftning och med relevanta EU-databaser, inbegripet Schengens informationssystem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Om det påskyndade invandringsförfarandet inte tillämpas ska medlemsstaterna utfärda arbets- och uppehållstillstånd enligt direktiv (EU) 2024/1233 för att säkerställa ett smidigt och harmoniserat invandringsförfarande och öka flexibiliteten på den europeiska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19a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Avgifter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Tjänster för arbetssökande, deltagande arbetsgivare och förmedlare enligt artiklarna 12, 13, 15a (ny), 16, 17, 18 och 19 ska vara kostnadsfria.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Ytterligare tjänster som tillhandahålls av utvalda tredje parter för deltagande arbetsgivare och förmedlare kan omfattas av en avgift som ska betalas av arbetsgivaren eller förmedlaren.</w:t>
            </w:r>
            <w:r>
              <w:t xml:space="preserve"> </w:t>
            </w:r>
            <w:r>
              <w:rPr>
                <w:b/>
                <w:i/>
              </w:rPr>
              <w:t>Avgift ska endast tas ut när matchningen har varit framgångsrik, och intäkterna ska användas för att kompensera för ytterligare funktioner och tjänster som tillhandahålls på it-plattformen för EU:s talangreserv, såsom matchnings-, omskolnings- och kompetenshöjningstjänster för medborgare från tredjeländer.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Avgiftsnivåerna får inte vara oproportionerliga eller oskäliga.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Övervakning</w:t>
            </w:r>
          </w:p>
        </w:tc>
        <w:tc>
          <w:tcPr>
            <w:tcW w:w="4876" w:type="dxa"/>
            <w:tcBorders>
              <w:top w:val="nil"/>
              <w:left w:val="nil"/>
              <w:bottom w:val="nil"/>
              <w:right w:val="nil"/>
            </w:tcBorders>
          </w:tcPr>
          <w:p>
            <w:pPr>
              <w:pStyle w:val="Normal6a"/>
            </w:pPr>
            <w:r>
              <w:t xml:space="preserve">Övervakning </w:t>
            </w:r>
            <w:r>
              <w:rPr>
                <w:b/>
                <w:i/>
              </w:rPr>
              <w:t>och återkoppling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Resultatet av EU:s talangreserv ska regelbundet övervakas av sekretariatet för EU:s talangreserv i enlighet med artikel 8.2 e. Uppgifter ska särskilt samlas in om</w:t>
            </w:r>
          </w:p>
        </w:tc>
        <w:tc>
          <w:tcPr>
            <w:tcW w:w="4876" w:type="dxa"/>
            <w:tcBorders>
              <w:top w:val="nil"/>
              <w:left w:val="nil"/>
              <w:bottom w:val="nil"/>
              <w:right w:val="nil"/>
            </w:tcBorders>
          </w:tcPr>
          <w:p>
            <w:pPr>
              <w:pStyle w:val="Normal6a"/>
            </w:pPr>
            <w:r>
              <w:t>1.</w:t>
            </w:r>
            <w:r>
              <w:tab/>
            </w:r>
            <w:r>
              <w:t xml:space="preserve">Resultatet av EU:s talangreserv ska regelbundet övervakas av sekretariatet för EU:s talangreserv i enlighet med artikel 8.2 e </w:t>
            </w:r>
            <w:r>
              <w:rPr>
                <w:b/>
                <w:i/>
              </w:rPr>
              <w:t>och viktiga iakttagelser ska regelbundet rapporteras till styrgruppen för EU:s talangreserv</w:t>
            </w:r>
            <w:r>
              <w:t>. Uppgifter ska särskilt samlas in 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Resultatet av EU:s talangreserv ska regelbundet övervakas av sekretariatet för EU:s talangreserv i enlighet med artikel 8.2 e. Uppgifter ska särskilt samlas in om</w:t>
            </w:r>
          </w:p>
        </w:tc>
        <w:tc>
          <w:tcPr>
            <w:tcW w:w="4876" w:type="dxa"/>
            <w:tcBorders>
              <w:top w:val="nil"/>
              <w:left w:val="nil"/>
              <w:bottom w:val="nil"/>
              <w:right w:val="nil"/>
            </w:tcBorders>
          </w:tcPr>
          <w:p>
            <w:pPr>
              <w:pStyle w:val="Normal6a"/>
            </w:pPr>
            <w:r>
              <w:t>1.</w:t>
            </w:r>
            <w:r>
              <w:tab/>
            </w:r>
            <w:r>
              <w:t>Resultatet av EU:s talangreserv ska regelbundet övervakas av sekretariatet för EU:s talangreserv i enlighet med artikel 8.2 e. Uppgifter ska särskilt</w:t>
            </w:r>
            <w:r>
              <w:rPr>
                <w:b/>
                <w:i/>
              </w:rPr>
              <w:t>, på frivillig och anonym grund,</w:t>
            </w:r>
            <w:r>
              <w:t xml:space="preserve"> samlas in 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Resultatet av EU:s talangreserv ska regelbundet övervakas av sekretariatet för EU:s talangreserv i enlighet med artikel 8.2 e. Uppgifter ska särskilt samlas in om</w:t>
            </w:r>
          </w:p>
        </w:tc>
        <w:tc>
          <w:tcPr>
            <w:tcW w:w="4876" w:type="dxa"/>
            <w:tcBorders>
              <w:top w:val="nil"/>
              <w:left w:val="nil"/>
              <w:bottom w:val="nil"/>
              <w:right w:val="nil"/>
            </w:tcBorders>
          </w:tcPr>
          <w:p>
            <w:pPr>
              <w:pStyle w:val="Normal6a"/>
            </w:pPr>
            <w:r>
              <w:t>1.</w:t>
            </w:r>
            <w:r>
              <w:tab/>
            </w:r>
            <w:r>
              <w:t xml:space="preserve">Resultatet av EU:s talangreserv </w:t>
            </w:r>
            <w:r>
              <w:rPr>
                <w:b/>
                <w:i/>
              </w:rPr>
              <w:t>och dess kostnadseffektivitet</w:t>
            </w:r>
            <w:r>
              <w:t xml:space="preserve"> ska regelbundet övervakas av sekretariatet för EU:s talangreserv i enlighet med artikel 8.2 e. Uppgifter ska särskilt samlas in 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Resultatet av EU:s talangreserv ska regelbundet övervakas av sekretariatet för EU:s talangreserv i enlighet med artikel 8.2 e. Uppgifter ska särskilt samlas in om</w:t>
            </w:r>
          </w:p>
        </w:tc>
        <w:tc>
          <w:tcPr>
            <w:tcW w:w="4876" w:type="dxa"/>
            <w:tcBorders>
              <w:top w:val="nil"/>
              <w:left w:val="nil"/>
              <w:bottom w:val="nil"/>
              <w:right w:val="nil"/>
            </w:tcBorders>
          </w:tcPr>
          <w:p>
            <w:pPr>
              <w:pStyle w:val="Normal6a"/>
            </w:pPr>
            <w:r>
              <w:t>1.</w:t>
            </w:r>
            <w:r>
              <w:tab/>
            </w:r>
            <w:r>
              <w:t xml:space="preserve">Resultatet av EU:s talangreserv </w:t>
            </w:r>
            <w:r>
              <w:rPr>
                <w:b/>
                <w:i/>
              </w:rPr>
              <w:t>och dess kostnadseffektivitet</w:t>
            </w:r>
            <w:r>
              <w:t xml:space="preserve"> ska regelbundet övervakas av sekretariatet för EU:s talangreserv i enlighet med artikel 8.2 e. Uppgifter ska särskilt samlas in 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Resultatet av EU:s talangreserv ska regelbundet övervakas av </w:t>
            </w:r>
            <w:r>
              <w:rPr>
                <w:b/>
                <w:i/>
              </w:rPr>
              <w:t>sekretariatet för EU:s talangreserv i enlighet med artikel 8.2 e.</w:t>
            </w:r>
            <w:r>
              <w:t xml:space="preserve"> Uppgifter ska särskilt samlas in om</w:t>
            </w:r>
          </w:p>
        </w:tc>
        <w:tc>
          <w:tcPr>
            <w:tcW w:w="4876" w:type="dxa"/>
            <w:tcBorders>
              <w:top w:val="nil"/>
              <w:left w:val="nil"/>
              <w:bottom w:val="nil"/>
              <w:right w:val="nil"/>
            </w:tcBorders>
          </w:tcPr>
          <w:p>
            <w:pPr>
              <w:pStyle w:val="Normal6a"/>
            </w:pPr>
            <w:r>
              <w:t>1.</w:t>
            </w:r>
            <w:r>
              <w:tab/>
            </w:r>
            <w:r>
              <w:t xml:space="preserve">Resultatet av EU:s talangreserv ska regelbundet övervakas </w:t>
            </w:r>
            <w:r>
              <w:rPr>
                <w:b/>
                <w:i/>
              </w:rPr>
              <w:t>och redovisas till media samt Europaparlamentet</w:t>
            </w:r>
            <w:r>
              <w:t xml:space="preserve"> av </w:t>
            </w:r>
            <w:r>
              <w:rPr>
                <w:b/>
                <w:i/>
              </w:rPr>
              <w:t>EU Kommissionen</w:t>
            </w:r>
            <w:r>
              <w:t xml:space="preserve"> Uppgifter ska särskilt samlas in om</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antalet och typen av lediga platser som överförts till it-plattformen för EU:s talangreserv,</w:t>
            </w:r>
          </w:p>
        </w:tc>
        <w:tc>
          <w:tcPr>
            <w:tcW w:w="4876" w:type="dxa"/>
            <w:tcBorders>
              <w:top w:val="nil"/>
              <w:left w:val="nil"/>
              <w:bottom w:val="nil"/>
              <w:right w:val="nil"/>
            </w:tcBorders>
          </w:tcPr>
          <w:p>
            <w:pPr>
              <w:pStyle w:val="Normal6a"/>
            </w:pPr>
            <w:r>
              <w:t>b)</w:t>
            </w:r>
            <w:r>
              <w:tab/>
            </w:r>
            <w:r>
              <w:t xml:space="preserve">antalet </w:t>
            </w:r>
            <w:r>
              <w:rPr>
                <w:b/>
                <w:i/>
              </w:rPr>
              <w:t>arbetsgivare och förmedlare som är registrerade på it-plattformen för EU:s talangreserv och antalet</w:t>
            </w:r>
            <w:r>
              <w:t xml:space="preserve"> och typen av lediga platser som överförts till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antalet och typen av arbeten som förmedlats genom EU:s talangreserv,</w:t>
            </w:r>
          </w:p>
        </w:tc>
        <w:tc>
          <w:tcPr>
            <w:tcW w:w="4876" w:type="dxa"/>
            <w:tcBorders>
              <w:top w:val="nil"/>
              <w:left w:val="nil"/>
              <w:bottom w:val="nil"/>
              <w:right w:val="nil"/>
            </w:tcBorders>
          </w:tcPr>
          <w:p>
            <w:pPr>
              <w:pStyle w:val="Normal6a"/>
            </w:pPr>
            <w:r>
              <w:t>d)</w:t>
            </w:r>
            <w:r>
              <w:tab/>
            </w:r>
            <w:r>
              <w:t xml:space="preserve">antalet och typen av arbeten </w:t>
            </w:r>
            <w:r>
              <w:rPr>
                <w:b/>
                <w:i/>
              </w:rPr>
              <w:t>och matchningar</w:t>
            </w:r>
            <w:r>
              <w:t xml:space="preserve"> som förmedlats genom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antalet urval som genomförts via EU:s talangreserv och som inte lett till en anställning, samt anledningen till att rekryteringsprocessen avslutats,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antalet och typen av tillstånd som utfärdats till arbetstagare från tredjeland som rekryteras via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antalet talangpartnerskapspass som utfärdats,</w:t>
            </w:r>
          </w:p>
        </w:tc>
        <w:tc>
          <w:tcPr>
            <w:tcW w:w="4876" w:type="dxa"/>
            <w:tcBorders>
              <w:top w:val="nil"/>
              <w:left w:val="nil"/>
              <w:bottom w:val="nil"/>
              <w:right w:val="nil"/>
            </w:tcBorders>
          </w:tcPr>
          <w:p>
            <w:pPr>
              <w:pStyle w:val="Normal6a"/>
            </w:pPr>
            <w:r>
              <w:t>e)</w:t>
            </w:r>
            <w:r>
              <w:tab/>
            </w:r>
            <w:r>
              <w:t xml:space="preserve">antalet talangpartnerskapspass som utfärdats, </w:t>
            </w:r>
            <w:r>
              <w:rPr>
                <w:b/>
                <w:i/>
              </w:rPr>
              <w:t>antalet bedrägerier, antalet felaktigt utfärdade tillstånd, alla fall av bedrägeri och felkvalificeringar av påstådda utbildningar samt fall där indvider helt enklet försvinner och övergår till illegal status.</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antalet arbeten som förmedlats genom EU:s talangreserv inom ramen för talangpartnerskapen.</w:t>
            </w:r>
          </w:p>
        </w:tc>
        <w:tc>
          <w:tcPr>
            <w:tcW w:w="4876" w:type="dxa"/>
            <w:tcBorders>
              <w:top w:val="nil"/>
              <w:left w:val="nil"/>
              <w:bottom w:val="nil"/>
              <w:right w:val="nil"/>
            </w:tcBorders>
          </w:tcPr>
          <w:p>
            <w:pPr>
              <w:pStyle w:val="Normal6a"/>
            </w:pPr>
            <w:r>
              <w:t>f)</w:t>
            </w:r>
            <w:r>
              <w:tab/>
            </w:r>
            <w:r>
              <w:t xml:space="preserve">antalet arbeten som förmedlats genom EU:s talangreserv inom ramen för talangpartnerskapen </w:t>
            </w:r>
            <w:r>
              <w:rPr>
                <w:b/>
                <w:i/>
              </w:rPr>
              <w:t>eller de nationella ramarna för utveckling och validering av kompetens i ett tredjeland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antalet arbetsgivare som stängts av från it-plattformen för EU:s talangreserv efter att ha åsidosatt de skyldigheter och villkor som fastställs i artikel 13.3 och en offentlig förteckning över dessa arbetsgivare.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antalet och typen av registrerade arbetssökande och rekryteringar från utvecklingsländer i syfte att övervaka förordningens inverkan på utvecklingsländerna med hjälp av tydliga indikatorer baserade på målen för hållbar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antalet klagomål mot registrerade arbetsgivare,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aktuella uppgifter om bristsektorer,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återkoppling från registrerade arbetsgivare, förmedlare och arbetssökande om deras användarupplevelse och rekryteringsprocess med it-plattformen för EU:s talangreserv,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antalet registrerade arbetsgivare som avlägsnats från EU:s talangreserv på grund av överträdelser,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1 – led fc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rekryteringsupplevelsen för registrerade arbetssökande och arbetstagare från tredjeland.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Sekretariatet för EU:s talangreserv ska i samarbete med de nationella kontaktpunkterna för EU:s talangreserv skicka ut anonyma enkäter till arbetsgivare och arbetssökande om deras bedömning av matchningsmekanismens lämplighet, antalet rekryteringar som förmedlats genom EU:s talangreserv, den övergripande tillfredsställelsen med informationen och stödet under processen samt plattformens tillgänglighet.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Med beaktande av den information som samlats in i enlighet med detta kapitel ska styrgruppen för EU:s talangreserv vartannat år, i samarbete med de nationella kontaktpunkterna, lägga fram en rapport om verksamheten i EU:s talangreserv för Europaparlamentet, rådet, Europeiska ekonomiska och sociala kommittén och Regionkommittén.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Sekretariatet för EU:s talangreserv ska inleda en omfattande marknadsföringskampanj och utåtriktad verksamhet i tredjeländer för att etablera EU:s talangreserv som ett globalt varumärke.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De statistiskt aggregerade uppgifter som samlas in i EU:s talangreserv ska vara allmänt tillgängliga, utan att personuppgifter som rör profilen eller den lediga platsen avslöjas.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Sekretariatet för EU:s talangreserv ska upprätthålla databasen på it-plattformen för EU:s talangreserv och kontinuerligt förbättra plattformens funktion.</w:t>
            </w:r>
            <w:r>
              <w:t xml:space="preserve"> </w:t>
            </w:r>
            <w:r>
              <w:rPr>
                <w:b/>
                <w:i/>
              </w:rPr>
              <w:t>Föråldrade lediga platser och profiler för arbetssökande som framgångsrikt har hittat ett arbete eller begärt att tas bort från it-plattformen för EU:s talangreserv ska avlägsnas så snart som möjligt.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21</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Utövande av delegeringen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Befogenheten att anta delegerade akter ges till kommissionen med förbehåll för de villkor som anges i denna artikel.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Den befogenhet att anta delegerade akter som avses i artikel 14 ges till kommissionen för en period på fem år från och med den dag då denna förordning träder i kraft.</w:t>
            </w:r>
            <w:r>
              <w:rPr>
                <w:b/>
                <w:i/>
              </w:rPr>
              <w:t xml:space="preserve"> </w:t>
            </w:r>
            <w:r>
              <w:rPr>
                <w:b/>
                <w:i/>
              </w:rPr>
              <w:t>Kommissionen ska utarbeta en rapport om delegeringen av befogenhet senast nio månader före utgången av perioden på fem år.</w:t>
            </w:r>
            <w:r>
              <w:rPr>
                <w:b/>
                <w:i/>
              </w:rPr>
              <w:t xml:space="preserve"> </w:t>
            </w:r>
            <w:r>
              <w:rPr>
                <w:b/>
                <w:i/>
              </w:rPr>
              <w:t>Delegeringen av befogenhet ska genom tyst medgivande förlängas med perioder av samma längd, såvida inte Europaparlamentet eller rådet motsätter sig en sådan förlängning senast tre månader före utgången av perioden i fråga.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Den delegering av befogenhet som avses i artikel 14 får när som helst återkallas av Europaparlamentet eller rådet.</w:t>
            </w:r>
            <w:r>
              <w:rPr>
                <w:b/>
                <w:i/>
              </w:rPr>
              <w:t xml:space="preserve"> </w:t>
            </w:r>
            <w:r>
              <w:rPr>
                <w:b/>
                <w:i/>
              </w:rPr>
              <w:t>Ett beslut om återkallelse innebär att delegeringen av den befogenhet som anges i beslutet upphör att gälla.</w:t>
            </w:r>
            <w:r>
              <w:rPr>
                <w:b/>
                <w:i/>
              </w:rPr>
              <w:t xml:space="preserve"> </w:t>
            </w:r>
            <w:r>
              <w:rPr>
                <w:b/>
                <w:i/>
              </w:rPr>
              <w:t>Beslutet får verkan dagen efter det att det offentliggörs i Europeiska unionens officiella tidning, eller vid ett senare i beslutet angivet datum.</w:t>
            </w:r>
            <w:r>
              <w:rPr>
                <w:b/>
                <w:i/>
              </w:rPr>
              <w:t xml:space="preserve"> </w:t>
            </w:r>
            <w:r>
              <w:rPr>
                <w:b/>
                <w:i/>
              </w:rPr>
              <w:t>Det påverkar inte giltigheten av delegerade akter som redan har trätt i kraft.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Innan kommissionen antar en delegerad akt ska den samråda med experter som utsetts av varje medlemsstat i enlighet med principerna i det interinstitutionella avtalet av den 13 april 2016 om bättre lagstiftning.</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Så snart kommissionen antar en delegerad akt ska den samtidigt delge Europaparlamentet och rådet denna.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En delegerad akt som antas enligt artikel 14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w:t>
            </w:r>
            <w:r>
              <w:rPr>
                <w:b/>
                <w:i/>
              </w:rPr>
              <w:t xml:space="preserve"> </w:t>
            </w:r>
            <w:r>
              <w:rPr>
                <w:b/>
                <w:i/>
              </w:rPr>
              <w:t>Denna period ska förlängas med två månader på Europaparlamentets eller rådets initiativ.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21</w:t>
            </w:r>
            <w:r>
              <w:tab/>
            </w:r>
          </w:p>
        </w:tc>
        <w:tc>
          <w:tcPr>
            <w:tcW w:w="4876" w:type="dxa"/>
            <w:tcBorders>
              <w:top w:val="nil"/>
              <w:left w:val="nil"/>
              <w:bottom w:val="nil"/>
              <w:right w:val="nil"/>
            </w:tcBorders>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Utövande av delegeringen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Befogenheten att anta delegerade akter ges till kommissionen med förbehåll för de villkor som anges i denna artikel.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Den befogenhet att anta delegerade akter som avses i artikel 14 ges till kommissionen för en period på fem år från och med den dag då denna förordning träder i kraft.</w:t>
            </w:r>
            <w:r>
              <w:rPr>
                <w:b/>
                <w:i/>
              </w:rPr>
              <w:t xml:space="preserve"> </w:t>
            </w:r>
            <w:r>
              <w:rPr>
                <w:b/>
                <w:i/>
              </w:rPr>
              <w:t>Kommissionen ska utarbeta en rapport om delegeringen av befogenhet senast nio månader före utgången av perioden på fem år.</w:t>
            </w:r>
            <w:r>
              <w:rPr>
                <w:b/>
                <w:i/>
              </w:rPr>
              <w:t xml:space="preserve"> </w:t>
            </w:r>
            <w:r>
              <w:rPr>
                <w:b/>
                <w:i/>
              </w:rPr>
              <w:t>Delegeringen av befogenhet ska genom tyst medgivande förlängas med perioder av samma längd, såvida inte Europaparlamentet eller rådet motsätter sig en sådan förlängning senast tre månader före utgången av perioden i fråga.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Den delegering av befogenhet som avses i artikel 14 får när som helst återkallas av Europaparlamentet eller rådet.</w:t>
            </w:r>
            <w:r>
              <w:rPr>
                <w:b/>
                <w:i/>
              </w:rPr>
              <w:t xml:space="preserve"> </w:t>
            </w:r>
            <w:r>
              <w:rPr>
                <w:b/>
                <w:i/>
              </w:rPr>
              <w:t>Ett beslut om återkallelse innebär att delegeringen av den befogenhet som anges i beslutet upphör att gälla.</w:t>
            </w:r>
            <w:r>
              <w:rPr>
                <w:b/>
                <w:i/>
              </w:rPr>
              <w:t xml:space="preserve"> </w:t>
            </w:r>
            <w:r>
              <w:rPr>
                <w:b/>
                <w:i/>
              </w:rPr>
              <w:t>Beslutet får verkan dagen efter det att det offentliggörs i Europeiska unionens officiella tidning, eller vid ett senare i beslutet angivet datum.</w:t>
            </w:r>
            <w:r>
              <w:rPr>
                <w:b/>
                <w:i/>
              </w:rPr>
              <w:t xml:space="preserve"> </w:t>
            </w:r>
            <w:r>
              <w:rPr>
                <w:b/>
                <w:i/>
              </w:rPr>
              <w:t>Det påverkar inte giltigheten av delegerade akter som redan har trätt i kraft.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Innan kommissionen antar en delegerad akt ska den samråda med experter som utsetts av varje medlemsstat i enlighet med principerna i det interinstitutionella avtalet av den 13 april 2016 om bättre lagstiftning.</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Så snart kommissionen antar en delegerad akt ska den samtidigt delge Europaparlamentet och rådet denna.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En delegerad akt som antas enligt artikel 14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w:t>
            </w:r>
            <w:r>
              <w:rPr>
                <w:b/>
                <w:i/>
              </w:rPr>
              <w:t xml:space="preserve"> </w:t>
            </w:r>
            <w:r>
              <w:rPr>
                <w:b/>
                <w:i/>
              </w:rPr>
              <w:t>Denna period ska förlängas med två månader på Europaparlamentets eller rådets initiativ.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Befogenheten att anta delegerade akter ges till kommissionen med förbehåll för de villkor som anges i denna artikel.</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768.051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182</w:t>
    </w:r>
    <w:r>
      <w:fldChar w:fldCharType="end"/>
    </w:r>
    <w:r>
      <w:t>/</w:t>
    </w:r>
    <w:r>
      <w:fldChar w:fldCharType="begin"/>
    </w:r>
    <w:r>
      <w:instrText xml:space="preserve"> NUMPAGES </w:instrText>
    </w:r>
    <w:r>
      <w:fldChar w:fldCharType="separate"/>
    </w:r>
    <w:r>
      <w:t>182</w:t>
    </w:r>
    <w:r>
      <w:fldChar w:fldCharType="end"/>
    </w:r>
    <w:r>
      <w:tab/>
    </w:r>
    <w:r>
      <w:rPr>
        <w:rStyle w:val="HideTWBExt"/>
      </w:rPr>
      <w:t>&lt;PathFdR&gt;</w:t>
    </w:r>
    <w:r>
      <w:t>AM\1314143SV.docx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AM\1314143SV.docx</w:t>
    </w:r>
    <w:r>
      <w:rPr>
        <w:rStyle w:val="HideTWBExt"/>
      </w:rPr>
      <w:t>&lt;/PathFdR&gt;</w:t>
    </w:r>
    <w:r>
      <w:tab/>
    </w:r>
    <w:r>
      <w:fldChar w:fldCharType="begin"/>
    </w:r>
    <w:r>
      <w:instrText xml:space="preserve"> PAGE </w:instrText>
    </w:r>
    <w:r>
      <w:fldChar w:fldCharType="separate"/>
    </w:r>
    <w:r>
      <w:t>181</w:t>
    </w:r>
    <w:r>
      <w:fldChar w:fldCharType="end"/>
    </w:r>
    <w:r>
      <w:t>/</w:t>
    </w:r>
    <w:r>
      <w:fldChar w:fldCharType="begin"/>
    </w:r>
    <w:r>
      <w:instrText xml:space="preserve"> NUMPAGES </w:instrText>
    </w:r>
    <w:r>
      <w:fldChar w:fldCharType="separate"/>
    </w:r>
    <w:r>
      <w:t>182</w:t>
    </w:r>
    <w:r>
      <w:fldChar w:fldCharType="end"/>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AM\1314143SV.docx</w:t>
    </w:r>
    <w:r>
      <w:rPr>
        <w:rStyle w:val="HideTWBExt"/>
      </w:rPr>
      <w:t>&lt;/PathFdR&gt;</w:t>
    </w:r>
    <w:r>
      <w:tab/>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182</Pages>
  <Words>33325</Words>
  <Characters>219608</Characters>
  <Application>Microsoft Office Word</Application>
  <DocSecurity>0</DocSecurity>
  <Lines>1</Lines>
  <Paragraphs>3662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136153</vt:lpwstr>
  </property>
  <property fmtid="{D5CDD505-2E9C-101B-9397-08002B2CF9AE}" pid="7" name="dmxml.render.traceId">
    <vt:lpwstr>67c0839deee7b88cb936f4d827a8a8b3</vt:lpwstr>
  </property>
  <property fmtid="{D5CDD505-2E9C-101B-9397-08002B2CF9AE}" pid="8" name="FooterPath">
    <vt:lpwstr>AM\1314143SV.docx</vt:lpwstr>
  </property>
  <property fmtid="{D5CDD505-2E9C-101B-9397-08002B2CF9AE}" pid="9" name="PE Number">
    <vt:lpwstr>768.051</vt:lpwstr>
  </property>
  <property fmtid="{D5CDD505-2E9C-101B-9397-08002B2CF9AE}" pid="10" name="UID">
    <vt:lpwstr>eu.europa.europarl-DIN1-2025-0000011133_02.00-sv-01.00_text-xml</vt:lpwstr>
  </property>
</Properties>
</file>