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Europäisches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Ausschuss für bürgerliche Freiheiten, Justiz und Inneres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ÄNDERUNGSANTRÄGE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Entwurf einer Stellungnahme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Einrichtung eines EU-Talentpools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21 – Absatz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</w:t>
            </w:r>
            <w:r>
              <w:tab/>
            </w:r>
            <w:r>
              <w:rPr>
                <w:b/>
                <w:i/>
              </w:rPr>
              <w:t>Die Befugnis zum Erlass delegierter Rechtsakte gemäß Artikel 14 wird der Kommission für einen Zeitraum von fünf Jahren ab dem Datum des Inkrafttretens dieser Verordnung übertragen.</w:t>
            </w:r>
            <w:r>
              <w:t xml:space="preserve"> </w:t>
            </w:r>
            <w:r>
              <w:rPr>
                <w:b/>
                <w:i/>
              </w:rPr>
              <w:t>Die Kommission erstellt spätestens neun Monate vor Ablauf des Zeitraums von fünf Jahren einen Bericht über die Befugnisübertragung.</w:t>
            </w:r>
            <w:r>
              <w:t xml:space="preserve"> </w:t>
            </w:r>
            <w:r>
              <w:rPr>
                <w:b/>
                <w:i/>
              </w:rPr>
              <w:t>Die Befugnisübertragung verlängert sich stillschweigend um Zeiträume gleicher Länge, es sei denn, das Europäische Parlament oder der Rat widersprechen einer solchen Verlängerung spätestens drei Monate vor Ablauf des jeweiligen Zeitraums.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entfällt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Absatz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31.12.2031 und danach alle fünf Jahre legt die Kommission dem Europäischen Parlament, dem Rat, dem Europäischen Wirtschafts- und Sozialausschuss und dem Ausschuss der Regionen einen Bericht über die Anwendung dieser Richtlinie </w:t>
            </w:r>
            <w:r>
              <w:rPr>
                <w:b/>
                <w:i/>
              </w:rPr>
              <w:t>vor.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31.12.2031 und danach alle fünf Jahre legt die Kommission dem Europäischen Parlament, dem Rat, dem Europäischen Wirtschafts- und Sozialausschuss und dem Ausschuss der Regionen einen Bericht über die Anwendung dieser Richtlinie </w:t>
            </w:r>
            <w:r>
              <w:rPr>
                <w:b/>
                <w:i/>
              </w:rPr>
              <w:t>und ihre Wirksamkeit bezüglich der Erreichung ihrer Ziele vor.</w:t>
            </w:r>
            <w:r>
              <w:t xml:space="preserve"> </w:t>
            </w:r>
            <w:r>
              <w:rPr>
                <w:b/>
                <w:i/>
              </w:rPr>
              <w:t>In dem Bericht wird unter anderem Folgendes bewertet: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die Auswirkungen des EU-Talentpools auf den EU-Arbeitsmarkt, einschließlich einer Bewertung der Wirksamkeit des EU-Talentpools bei der Behebung des Arbeitskräftemangels,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die Auswirkungen des EU-Talentpools auf die Arbeitsmärkte und die Entwicklung von Drittländern,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die Einhaltung der Anforderungen für die Registrierung und die Teilnahme am EU-Talentpool sowie der Arbeitsnormen, Rechtsvorschriften und Gepflogenheiten durch die Teilnehmer.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Absatz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Bis zum 31.12.2031 und danach alle fünf Jahre legt die Kommission dem Europäischen Parlament, dem Rat, dem Europäischen Wirtschafts- und Sozialausschuss und dem Ausschuss der Regionen einen Bericht über die Anwendung dieser Richtlinie vor.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31.12.2031 und danach alle fünf Jahre legt die Kommission dem Europäischen Parlament, dem Rat, dem Europäischen Wirtschafts- und Sozialausschuss und dem Ausschuss der Regionen einen Bericht über die Anwendung dieser Richtlinie vor. </w:t>
            </w:r>
            <w:r>
              <w:rPr>
                <w:b/>
                <w:i/>
              </w:rPr>
              <w:t>Bei der Evaluierung wird die Wirksamkeit der Verordnung bei der Behebung des Fachkräftemangels, bei der Anwerbung von Talenten aus Drittländern und bei der Erleichterung der legalen Arbeitsmigration bewertet.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Absatz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</w:t>
            </w:r>
            <w:r>
              <w:rPr>
                <w:b/>
                <w:i/>
              </w:rPr>
              <w:t>31.12.2031</w:t>
            </w:r>
            <w:r>
              <w:t xml:space="preserve"> und danach </w:t>
            </w:r>
            <w:r>
              <w:rPr>
                <w:b/>
                <w:i/>
              </w:rPr>
              <w:t>alle fünf Jahre</w:t>
            </w:r>
            <w:r>
              <w:t xml:space="preserve"> legt die Kommission dem Europäischen Parlament, dem Rat, dem Europäischen Wirtschafts- und Sozialausschuss und dem Ausschuss der Regionen einen Bericht über die Anwendung dieser Richtlinie vor.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</w:t>
            </w:r>
            <w:r>
              <w:rPr>
                <w:b/>
                <w:i/>
              </w:rPr>
              <w:t>31.12. des Jahres der Einrichtung des Talentpools</w:t>
            </w:r>
            <w:r>
              <w:t xml:space="preserve"> und danach </w:t>
            </w:r>
            <w:r>
              <w:rPr>
                <w:b/>
                <w:i/>
              </w:rPr>
              <w:t>jedes Jahr</w:t>
            </w:r>
            <w:r>
              <w:t xml:space="preserve"> legt die Kommission dem Europäischen Parlament, dem Rat, dem Europäischen Wirtschafts- und Sozialausschuss und dem Ausschuss der Regionen einen Bericht über die Anwendung dieser Richtlinie vor.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Absatz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</w:t>
            </w:r>
            <w:r>
              <w:rPr>
                <w:b/>
                <w:i/>
              </w:rPr>
              <w:t>31.12.2031</w:t>
            </w:r>
            <w:r>
              <w:t xml:space="preserve"> und danach alle fünf Jahre legt die Kommission dem Europäischen Parlament, dem Rat, dem Europäischen Wirtschafts- und Sozialausschuss und dem Ausschuss der Regionen einen Bericht über die Anwendung dieser Richtlinie vor.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Bis zum </w:t>
            </w:r>
            <w:r>
              <w:rPr>
                <w:b/>
                <w:i/>
              </w:rPr>
              <w:t>31.6.2029</w:t>
            </w:r>
            <w:r>
              <w:t xml:space="preserve"> und danach alle fünf Jahre legt die Kommission dem Europäischen Parlament, dem Rat, dem Europäischen Wirtschafts- und Sozialausschuss und dem Ausschuss der Regionen einen Bericht über die Anwendung dieser Richtlinie vor.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Absatz 1 a (neu)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In dem Bericht sollte festgestellt werden, ob und inwieweit die Ziele der Verordnung erreicht werden, die Kosten sollten mit dem Nutzen des EU-Talentpools für die teilnehmenden Mitgliedstaaten und bis zu einem gewissen Grad für die Union insgesamt verglichen werden und es sollten Empfehlungen zur Verbesserung seiner Wirksamkeit abgegeben werden.</w:t>
            </w:r>
            <w:r>
              <w:t xml:space="preserve"> </w:t>
            </w:r>
            <w:r>
              <w:rPr>
                <w:b/>
                <w:i/>
              </w:rPr>
              <w:t>Anhand der Ergebnisse des Berichts sollte entschieden werden, ob die Kommission einen Vorschlag zur Einstellung des EU-Talentpools gemäß Artikel 3 vorlegen sollte.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Absatz 1 a (neu)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Dem Bericht über die Anwendung können Legislativvorschläge beigefügt werden, insbesondere zur Verlängerung der Geltungsdauer dieser Verordnung.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24 – Absatz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Diese Verordnung ist in allen ihren Teilen verbindlich und gilt gemäß den Verträgen unmittelbar in den Mitgliedstaaten.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(Betrifft nicht die deutsche Fassung.)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24 – Absatz 2 a (neu)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Diese Verordnung gilt vom [Datum des Inkrafttretens] bis zum 31. Dezember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Anhang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Liste der EU-weiten Mangelberufe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entfällt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ISCO-Code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Anhang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Liste der EU-weiten Mangelberufe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entfällt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ISCO-Code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Anhang I – Überschrift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Vorschlag der Kommission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Geänderter Text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Liste der EU-weiten Mangelberufe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Indikative</w:t>
            </w:r>
            <w:r>
              <w:t xml:space="preserve"> Liste der EU-weiten Mangelberufe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AM\1314149DE.docx</w:t>
    </w:r>
    <w:r>
      <w:rPr>
        <w:rStyle w:val="HideTWBExt"/>
      </w:rPr>
      <w:t>&lt;/PathFdR&gt;</w:t>
    </w:r>
  </w:p>
  <w:p>
    <w:pPr>
      <w:pStyle w:val="EPFooter2"/>
    </w:pPr>
    <w:r>
      <w:t>DE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AM\1314149DE.docx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DE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AM\1314149DE.docx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DE</w:t>
    </w:r>
    <w:r>
      <w:tab/>
    </w:r>
    <w:r>
      <w:rPr>
        <w:rStyle w:val="EPFooter2Motto"/>
      </w:rPr>
      <w:t>In Vielfalt geeint</w:t>
    </w:r>
    <w:r>
      <w:tab/>
    </w:r>
    <w:r>
      <w:t>DE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926</Words>
  <Characters>5897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134868</vt:lpwstr>
  </property>
  <property fmtid="{D5CDD505-2E9C-101B-9397-08002B2CF9AE}" pid="7" name="dmxml.render.traceId">
    <vt:lpwstr>67bedf1de6b85c46cf8fe4bd9c5f013c</vt:lpwstr>
  </property>
  <property fmtid="{D5CDD505-2E9C-101B-9397-08002B2CF9AE}" pid="8" name="FooterPath">
    <vt:lpwstr>AM\1314149DE.docx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eu.europa.europarl-DIN1-2025-0000011134_02.00-de-01.00_text-xml</vt:lpwstr>
  </property>
</Properties>
</file>