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Σχέδιο γνωμοδότησης</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Δημιουργία δεξαμενής ταλέντων της ΕΕ</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21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Η προβλεπόμενη στο άρθρο 14 εξουσία έκδοσης κατ’ εξουσιοδότηση πράξεων ανατίθεται στην Επιτροπή για περίοδο πέντε ετών από την έναρξη ισχύος του παρόντος κανονισμού.</w:t>
            </w:r>
            <w:r>
              <w:t xml:space="preserve"> </w:t>
            </w:r>
            <w:r>
              <w:rPr>
                <w:b/>
                <w:i/>
              </w:rPr>
              <w:t>Η Επιτροπή υποβάλλει έκθεση σχετικά με τις εξουσίες που της έχουν ανατεθεί το αργότερο εννέα μήνες πριν από τη λήξη της περιόδου των πέντε ετών.</w:t>
            </w:r>
            <w:r>
              <w:t xml:space="preserve"> </w:t>
            </w:r>
            <w:r>
              <w:rPr>
                <w:b/>
                <w:i/>
              </w:rPr>
              <w:t>Η εξουσιοδότηση ανανεώνεται σιωπηρά για περιόδους ίδιας διάρκειας, εκτός αν το Ευρωπαϊκό Κοινοβούλιο ή το Συμβούλιο προβάλουν αντιρρήσεις το αργότερο εντός τριών μηνών πριν από τη λήξη της κάθε περιόδου.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Μέχρι τις 31.12.2031 και κάθε πέντε έτη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tc>
        <w:tc>
          <w:tcPr>
            <w:tcW w:w="4876" w:type="dxa"/>
            <w:tcBorders>
              <w:top w:val="nil"/>
              <w:left w:val="nil"/>
              <w:bottom w:val="nil"/>
              <w:right w:val="nil"/>
            </w:tcBorders>
          </w:tcPr>
          <w:p>
            <w:pPr>
              <w:pStyle w:val="Normal6a"/>
            </w:pPr>
            <w:r>
              <w:t>1.</w:t>
            </w:r>
            <w:r>
              <w:tab/>
            </w:r>
            <w:r>
              <w:t xml:space="preserve">Μέχρι τις 31.12.2031 και κάθε πέντε έτη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 </w:t>
            </w:r>
            <w:r>
              <w:rPr>
                <w:b/>
                <w:i/>
              </w:rPr>
              <w:t>και την αποτελεσματικότητά του ως προς την εκπλήρωση των στόχων του</w:t>
            </w:r>
            <w:r>
              <w:t xml:space="preserve">. </w:t>
            </w:r>
            <w:r>
              <w:rPr>
                <w:b/>
                <w:i/>
              </w:rPr>
              <w:t>Η έκθεση αξιολογεί, μεταξύ άλλων, τα ακόλουθα ζητήματα: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τις επιπτώσεις της δεξαμενής ταλέντων της ΕΕ στην αγορά εργασίας της ΕΕ, συμπεριλαμβανομένης αξιολόγησης της αποτελεσματικότητας της δεξαμενής ταλέντων της ΕΕ όσον αφορά την αντιμετώπιση των ελλείψεων εργατικού δυναμικού·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τον αντίκτυπο της δεξαμενής ταλέντων της ΕΕ στις αγορές εργασίας και την ανάπτυξη τρίτων χωρών·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τη συμμόρφωση των συμμετεχόντων με τις απαιτήσεις εγγραφής και συμμετοχής στην δεξαμενή ταλέντων της ΕΕ, τα εργασιακά πρότυπα, καθώς και την εργασιακή νομοθεσία και πρακτική.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Μέχρι τις 31.12.2031 και κάθε πέντε έτη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tc>
        <w:tc>
          <w:tcPr>
            <w:tcW w:w="4876" w:type="dxa"/>
            <w:tcBorders>
              <w:top w:val="nil"/>
              <w:left w:val="nil"/>
              <w:bottom w:val="nil"/>
              <w:right w:val="nil"/>
            </w:tcBorders>
          </w:tcPr>
          <w:p>
            <w:pPr>
              <w:pStyle w:val="Normal6a"/>
            </w:pPr>
            <w:r>
              <w:t>1.</w:t>
            </w:r>
            <w:r>
              <w:tab/>
            </w:r>
            <w:r>
              <w:t xml:space="preserve">Μέχρι τις 31.12.2031 και κάθε πέντε έτη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 </w:t>
            </w:r>
            <w:r>
              <w:rPr>
                <w:b/>
                <w:i/>
              </w:rPr>
              <w:t>Η αξιολόγηση εκτιμά την αποτελεσματικότητα του κανονισμού όσον αφορά την αντιμετώπιση των δεξιοτήτων σε έλλειψη, την προσέλκυση ταλέντων από τρίτες χώρες και τη διευκόλυνση της νόμιμης μετανάστευσης εργατικού δυναμικού.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Μέχρι τις </w:t>
            </w:r>
            <w:r>
              <w:rPr>
                <w:b/>
                <w:i/>
              </w:rPr>
              <w:t>31.12.2031 και κάθε πέντε έτη</w:t>
            </w:r>
            <w:r>
              <w:t xml:space="preserve">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tc>
        <w:tc>
          <w:tcPr>
            <w:tcW w:w="4876" w:type="dxa"/>
            <w:tcBorders>
              <w:top w:val="nil"/>
              <w:left w:val="nil"/>
              <w:bottom w:val="nil"/>
              <w:right w:val="nil"/>
            </w:tcBorders>
          </w:tcPr>
          <w:p>
            <w:pPr>
              <w:pStyle w:val="Normal6a"/>
            </w:pPr>
            <w:r>
              <w:t>1.</w:t>
            </w:r>
            <w:r>
              <w:tab/>
            </w:r>
            <w:r>
              <w:t xml:space="preserve">Μέχρι τις </w:t>
            </w:r>
            <w:r>
              <w:rPr>
                <w:b/>
                <w:i/>
              </w:rPr>
              <w:t>31 Δεκεμβρίου του έτους κατά το οποίο δημιουργήθηκε η δεξαμενή ταλέντων και σε ετήσια βάση</w:t>
            </w:r>
            <w:r>
              <w:t xml:space="preserve">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Μέχρι τις </w:t>
            </w:r>
            <w:r>
              <w:rPr>
                <w:b/>
                <w:i/>
              </w:rPr>
              <w:t>31.12.2031</w:t>
            </w:r>
            <w:r>
              <w:t xml:space="preserve"> και κάθε πέντε έτη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tc>
        <w:tc>
          <w:tcPr>
            <w:tcW w:w="4876" w:type="dxa"/>
            <w:tcBorders>
              <w:top w:val="nil"/>
              <w:left w:val="nil"/>
              <w:bottom w:val="nil"/>
              <w:right w:val="nil"/>
            </w:tcBorders>
          </w:tcPr>
          <w:p>
            <w:pPr>
              <w:pStyle w:val="Normal6a"/>
            </w:pPr>
            <w:r>
              <w:t>1.</w:t>
            </w:r>
            <w:r>
              <w:tab/>
            </w:r>
            <w:r>
              <w:t xml:space="preserve">Μέχρι τις </w:t>
            </w:r>
            <w:r>
              <w:rPr>
                <w:b/>
                <w:i/>
              </w:rPr>
              <w:t>31.06.2029</w:t>
            </w:r>
            <w:r>
              <w:t xml:space="preserve"> και κάθε πέντε έτη στη συνέχεια, 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την εφαρμογή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εδάφιο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Η έκθεση θα πρέπει να προσδιορίζει κατά πόσον και σε ποιο βαθμό επιτυγχάνονται οι στόχοι του κανονισμού, να συγκρίνει το κόστος με τα οφέλη της δεξαμενής ταλέντων της ΕΕ για τα συμμετέχοντα κράτη μέλη και ως έναν βαθμό για την Ένωση στο σύνολό της, καθώς και να διατυπώνει συστάσεις σχετικά με τον τρόπο βελτίωσης της αποτελεσματικότητάς της.</w:t>
            </w:r>
            <w:r>
              <w:t xml:space="preserve"> </w:t>
            </w:r>
            <w:r>
              <w:rPr>
                <w:b/>
                <w:i/>
              </w:rPr>
              <w:t>Τα πορίσματα της έκθεσης θα πρέπει να καθορίζουν εάν η Επιτροπή θα πρέπει να υποβάλει πρόταση για τη διακοπή λειτουργίας της δεξαμενής ταλέντων της ΕΕ σύμφωνα με το άρθρο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εδάφιο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Η έκθεση εφαρμογής μπορεί να συνοδεύεται από νομοθετικές προτάσεις, ιδίως για την παράταση της περιόδου εφαρμογής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Ο παρών κανονισμός είναι δεσμευτικός ως προς όλα τα μέρη του και ισχύει άμεσα στα </w:t>
            </w:r>
            <w:r>
              <w:rPr>
                <w:b/>
                <w:i/>
              </w:rPr>
              <w:t>συμμετέχοντα</w:t>
            </w:r>
            <w:r>
              <w:t xml:space="preserve"> κράτη μέλη σύμφωνα με τις Συνθήκες.</w:t>
            </w:r>
          </w:p>
        </w:tc>
        <w:tc>
          <w:tcPr>
            <w:tcW w:w="4876" w:type="dxa"/>
            <w:tcBorders>
              <w:top w:val="nil"/>
              <w:left w:val="nil"/>
              <w:bottom w:val="nil"/>
              <w:right w:val="nil"/>
            </w:tcBorders>
          </w:tcPr>
          <w:p>
            <w:pPr>
              <w:pStyle w:val="Normal6a"/>
            </w:pPr>
            <w:r>
              <w:t>2.</w:t>
            </w:r>
            <w:r>
              <w:tab/>
            </w:r>
            <w:r>
              <w:t>Ο παρών κανονισμός είναι δεσμευτικός ως προς όλα τα μέρη του και ισχύει άμεσα στα κράτη μέλη σύμφωνα με τις Συνθήκες.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24 – εδάφιο 2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Ο παρών κανονισμός εφαρμόζεται από την [ημερομηνία έναρξης ισχύος] έως τις 31 Δεκεμβρίου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Κατάλογος επαγγελμάτων στα οποία διαπιστώνονται ελλείψεις σε ολόκληρη την ΕΕ</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Κωδικός ISCO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Κατάλογος επαγγελμάτων στα οποία διαπιστώνονται ελλείψεις σε ολόκληρη την ΕΕ</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Κωδικός ISCO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Κατάλογος επαγγελμάτων στα οποία διαπιστώνονται ελλείψεις σε ολόκληρη την ΕΕ</w:t>
            </w:r>
          </w:p>
        </w:tc>
        <w:tc>
          <w:tcPr>
            <w:tcW w:w="4876" w:type="dxa"/>
            <w:tcBorders>
              <w:top w:val="nil"/>
              <w:left w:val="nil"/>
              <w:bottom w:val="nil"/>
              <w:right w:val="nil"/>
            </w:tcBorders>
          </w:tcPr>
          <w:p>
            <w:pPr>
              <w:pStyle w:val="Normal6a"/>
            </w:pPr>
            <w:r>
              <w:rPr>
                <w:b/>
                <w:i/>
              </w:rPr>
              <w:t>Ενδεικτικός</w:t>
            </w:r>
            <w:r>
              <w:t xml:space="preserve"> κατάλογος επαγγελμάτων στα οποία διαπιστώνονται ελλείψεις σε ολόκληρη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AM\1314149EL.docx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AM\1314149EL.docx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AM\1314149EL.docx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1032</Words>
  <Characters>6098</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135600</vt:lpwstr>
  </property>
  <property fmtid="{D5CDD505-2E9C-101B-9397-08002B2CF9AE}" pid="7" name="dmxml.render.traceId">
    <vt:lpwstr>67c02bb36200c494179d2ff1f3224b70</vt:lpwstr>
  </property>
  <property fmtid="{D5CDD505-2E9C-101B-9397-08002B2CF9AE}" pid="8" name="FooterPath">
    <vt:lpwstr>AM\1314149EL.docx</vt:lpwstr>
  </property>
  <property fmtid="{D5CDD505-2E9C-101B-9397-08002B2CF9AE}" pid="9" name="PE Number">
    <vt:lpwstr>768.053</vt:lpwstr>
  </property>
  <property fmtid="{D5CDD505-2E9C-101B-9397-08002B2CF9AE}" pid="10" name="UID">
    <vt:lpwstr>eu.europa.europarl-DIN1-2025-0000011134_02.00-el-01.00_text-xml</vt:lpwstr>
  </property>
</Properties>
</file>