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Arvamuse projekt</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ELi talendireservi loomine</w:t>
      </w:r>
      <w:r>
        <w:rPr>
          <w:rStyle w:val="HideTWBExt"/>
        </w:rPr>
        <w:t>&lt;/Titre&gt;</w:t>
      </w:r>
    </w:p>
    <w:p>
      <w:pPr>
        <w:pStyle w:val="CoverNormal"/>
      </w:pPr>
      <w:r>
        <w:rPr>
          <w:rStyle w:val="HideTWBExt"/>
        </w:rPr>
        <w:t>&lt;DocAmend&gt;</w:t>
      </w:r>
      <w:r>
        <w:t>Ettepanek võtta vastu määrus</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21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Artiklis 14 osutatud õigus võtta vastu delegeeritud õigusakte antakse komisjonile viieks aastaks alates käesoleva määruse jõustumisest.</w:t>
            </w:r>
            <w:r>
              <w:t xml:space="preserve"> </w:t>
            </w:r>
            <w:r>
              <w:rPr>
                <w:b/>
                <w:i/>
              </w:rPr>
              <w:t>Komisjon esitab delegeeritud volituste kohta aruande hiljemalt üheksa kuud enne viieaastase tähtaja möödumist.</w:t>
            </w:r>
            <w:r>
              <w:t xml:space="preserve"> </w:t>
            </w:r>
            <w:r>
              <w:rPr>
                <w:b/>
                <w:i/>
              </w:rPr>
              <w:t>Volituste delegeerimist pikendatakse automaatselt samaks ajavahemikuks, välja arvatud juhul, kui Euroopa Parlament või nõukogu esitab selle suhtes vastuväite hiljemalt kolm kuud enne iga ajavahemiku lõppemist.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31. detsembriks 2031 ja seejärel iga viie aasta järel esitab komisjon Euroopa Parlamendile, nõukogule, Euroopa Majandus- ja Sotsiaalkomiteele ning Euroopa Regioonide Komiteele aruande käesoleva määruse kohaldamise kohta.</w:t>
            </w:r>
          </w:p>
        </w:tc>
        <w:tc>
          <w:tcPr>
            <w:tcW w:w="4876" w:type="dxa"/>
            <w:tcBorders>
              <w:top w:val="nil"/>
              <w:left w:val="nil"/>
              <w:bottom w:val="nil"/>
              <w:right w:val="nil"/>
            </w:tcBorders>
          </w:tcPr>
          <w:p>
            <w:pPr>
              <w:pStyle w:val="Normal6a"/>
            </w:pPr>
            <w:r>
              <w:t>1.</w:t>
            </w:r>
            <w:r>
              <w:tab/>
            </w:r>
            <w:r>
              <w:t xml:space="preserve">31. detsembriks 2031 ja seejärel iga viie aasta järel esitab komisjon Euroopa Parlamendile, nõukogule, Euroopa Majandus- ja Sotsiaalkomiteele ning Euroopa Regioonide Komiteele aruande käesoleva määruse kohaldamise </w:t>
            </w:r>
            <w:r>
              <w:rPr>
                <w:b/>
                <w:i/>
              </w:rPr>
              <w:t>ja selle tulemuslikkuse</w:t>
            </w:r>
            <w:r>
              <w:t xml:space="preserve"> kohta </w:t>
            </w:r>
            <w:r>
              <w:rPr>
                <w:b/>
                <w:i/>
              </w:rPr>
              <w:t>eesmärkide saavutamisel</w:t>
            </w:r>
            <w:r>
              <w:t xml:space="preserve">. </w:t>
            </w:r>
            <w:r>
              <w:rPr>
                <w:b/>
                <w:i/>
              </w:rPr>
              <w:t>Aruandes hinnatakse muu hulgas järgmist: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ELi talendireservi mõju ELi tööturule, sealhulgas hinnang ELi talendireservi tulemuslikkuse kohta tööjõupuuduse vähendamisel;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ELi talendireservi mõju tööturgudele ja kolmandate riikide arengule;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osalejate vastavus ELi talendireservi registreerimise ja selles osalemise nõuetele ning tööstandarditele, õigusaktidele ja tavadele.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31. detsembriks 2031 ja seejärel iga viie aasta järel esitab komisjon Euroopa Parlamendile, nõukogule, Euroopa Majandus- ja Sotsiaalkomiteele ning Euroopa Regioonide Komiteele aruande käesoleva määruse kohaldamise kohta.</w:t>
            </w:r>
          </w:p>
        </w:tc>
        <w:tc>
          <w:tcPr>
            <w:tcW w:w="4876" w:type="dxa"/>
            <w:tcBorders>
              <w:top w:val="nil"/>
              <w:left w:val="nil"/>
              <w:bottom w:val="nil"/>
              <w:right w:val="nil"/>
            </w:tcBorders>
          </w:tcPr>
          <w:p>
            <w:pPr>
              <w:pStyle w:val="Normal6a"/>
            </w:pPr>
            <w:r>
              <w:t>1.</w:t>
            </w:r>
            <w:r>
              <w:tab/>
            </w:r>
            <w:r>
              <w:t xml:space="preserve">31. detsembriks 2031 ja seejärel iga viie aasta järel esitab komisjon Euroopa Parlamendile, nõukogule, Euroopa Majandus- ja Sotsiaalkomiteele ning Euroopa Regioonide Komiteele aruande käesoleva määruse kohaldamise kohta. </w:t>
            </w:r>
            <w:r>
              <w:rPr>
                <w:b/>
                <w:i/>
              </w:rPr>
              <w:t>Hindamise käigus hinnatakse määruse tulemuslikkust oskuste nappusega tegelemisel, kolmandatest riikidest pärit talentide ligimeelitamisel ja seadusliku tööjõurände hõlbustamisel.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31. detsembriks </w:t>
            </w:r>
            <w:r>
              <w:rPr>
                <w:b/>
                <w:i/>
              </w:rPr>
              <w:t>2031</w:t>
            </w:r>
            <w:r>
              <w:t xml:space="preserve"> ja seejärel </w:t>
            </w:r>
            <w:r>
              <w:rPr>
                <w:b/>
                <w:i/>
              </w:rPr>
              <w:t>iga viie aasta järel</w:t>
            </w:r>
            <w:r>
              <w:t xml:space="preserve"> esitab komisjon Euroopa Parlamendile, nõukogule, Euroopa Majandus- ja Sotsiaalkomiteele ning Euroopa Regioonide Komiteele aruande käesoleva määruse kohaldamise kohta.</w:t>
            </w:r>
          </w:p>
        </w:tc>
        <w:tc>
          <w:tcPr>
            <w:tcW w:w="4876" w:type="dxa"/>
            <w:tcBorders>
              <w:top w:val="nil"/>
              <w:left w:val="nil"/>
              <w:bottom w:val="nil"/>
              <w:right w:val="nil"/>
            </w:tcBorders>
          </w:tcPr>
          <w:p>
            <w:pPr>
              <w:pStyle w:val="Normal6a"/>
            </w:pPr>
            <w:r>
              <w:t>1.</w:t>
            </w:r>
            <w:r>
              <w:tab/>
            </w:r>
            <w:r>
              <w:rPr>
                <w:b/>
                <w:i/>
              </w:rPr>
              <w:t>Talendireservi loomise aasta</w:t>
            </w:r>
            <w:r>
              <w:t xml:space="preserve"> 31. detsembriks ja seejärel </w:t>
            </w:r>
            <w:r>
              <w:rPr>
                <w:b/>
                <w:i/>
              </w:rPr>
              <w:t>igal aastal</w:t>
            </w:r>
            <w:r>
              <w:t xml:space="preserve"> esitab komisjon Euroopa Parlamendile, nõukogule, Euroopa Majandus- ja Sotsiaalkomiteele ning Euroopa Regioonide Komiteele aruande käesoleva määruse kohaldamise kohta.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31. </w:t>
            </w:r>
            <w:r>
              <w:rPr>
                <w:b/>
                <w:i/>
              </w:rPr>
              <w:t>detsembriks 2031</w:t>
            </w:r>
            <w:r>
              <w:t xml:space="preserve"> ja seejärel iga viie aasta järel esitab komisjon Euroopa Parlamendile, nõukogule, Euroopa Majandus- ja Sotsiaalkomiteele ning Euroopa Regioonide Komiteele aruande käesoleva määruse kohaldamise kohta.</w:t>
            </w:r>
          </w:p>
        </w:tc>
        <w:tc>
          <w:tcPr>
            <w:tcW w:w="4876" w:type="dxa"/>
            <w:tcBorders>
              <w:top w:val="nil"/>
              <w:left w:val="nil"/>
              <w:bottom w:val="nil"/>
              <w:right w:val="nil"/>
            </w:tcBorders>
          </w:tcPr>
          <w:p>
            <w:pPr>
              <w:pStyle w:val="Normal6a"/>
            </w:pPr>
            <w:r>
              <w:t>1.</w:t>
            </w:r>
            <w:r>
              <w:tab/>
            </w:r>
            <w:r>
              <w:t>31. </w:t>
            </w:r>
            <w:r>
              <w:rPr>
                <w:b/>
                <w:i/>
              </w:rPr>
              <w:t>juuniks 2029</w:t>
            </w:r>
            <w:r>
              <w:t xml:space="preserve"> ja seejärel iga viie aasta järel esitab komisjon Euroopa Parlamendile, nõukogule, Euroopa Majandus- ja Sotsiaalkomiteele ning Euroopa Regioonide Komiteele aruande käesoleva määruse kohaldamise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Aruandes tuleks kindlaks määrata, kas ja mil määral on määruse eesmärgid saavutatud, võrrelda kulusid ELi talendireservist saadava kasuga osalevatele liikmesriikidele ja teataval määral kogu liidule ning anda soovitusi selle kohta, kuidas selle tulemuslikkust parandada.</w:t>
            </w:r>
            <w:r>
              <w:t xml:space="preserve"> </w:t>
            </w:r>
            <w:r>
              <w:rPr>
                <w:b/>
                <w:i/>
              </w:rPr>
              <w:t>Aruande järelduste põhjal tuleks kindlaks määrata, kas komisjon peaks esitama ettepaneku ELi talendireservi peatamiseks vastavalt artiklile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23 – lõige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Kohaldamist käsitlevale aruandele võib lisada seadusandlikud ettepanekud, eelkõige käesoleva määruse kohaldamisaja pikendamiseks.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24 – lõige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Käesolev määrus on tervikuna siduv ja </w:t>
            </w:r>
            <w:r>
              <w:rPr>
                <w:b/>
                <w:i/>
              </w:rPr>
              <w:t>osalevates</w:t>
            </w:r>
            <w:r>
              <w:t xml:space="preserve"> liikmesriikides vahetult kohaldatav kooskõlas aluslepingutega.</w:t>
            </w:r>
          </w:p>
        </w:tc>
        <w:tc>
          <w:tcPr>
            <w:tcW w:w="4876" w:type="dxa"/>
            <w:tcBorders>
              <w:top w:val="nil"/>
              <w:left w:val="nil"/>
              <w:bottom w:val="nil"/>
              <w:right w:val="nil"/>
            </w:tcBorders>
          </w:tcPr>
          <w:p>
            <w:pPr>
              <w:pStyle w:val="Normal6a"/>
            </w:pPr>
            <w:r>
              <w:t>2.</w:t>
            </w:r>
            <w:r>
              <w:tab/>
            </w:r>
            <w:r>
              <w:t>Käesolev määrus on tervikuna siduv ja liikmesriikides vahetult kohaldatav kooskõlas aluslepingutega.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Artikkel 24 – lõige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Käesolevat määrust kohaldatakse alates [jõustumise kuupäev] kuni 31. detsembrini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I lisa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Kogu ELi hõlmava tööjõupuudusega kutsealade loetelu</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 kood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I lisa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Kogu ELi hõlmava tööjõupuudusega kutsealade loetelu</w:t>
            </w:r>
          </w:p>
        </w:tc>
        <w:tc>
          <w:tcPr>
            <w:tcW w:w="4876" w:type="dxa"/>
            <w:tcBorders>
              <w:top w:val="nil"/>
              <w:left w:val="nil"/>
              <w:bottom w:val="nil"/>
              <w:right w:val="nil"/>
            </w:tcBorders>
          </w:tcPr>
          <w:p>
            <w:pPr>
              <w:pStyle w:val="Normal6a"/>
            </w:pPr>
            <w:r>
              <w:rPr>
                <w:b/>
                <w:i/>
              </w:rPr>
              <w:t>välja jäetud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ISCO kood</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määrus</w:t>
      </w:r>
      <w:r>
        <w:rPr>
          <w:rStyle w:val="HideTWBExt"/>
        </w:rPr>
        <w:t>&lt;/DocAmend&gt;</w:t>
      </w:r>
    </w:p>
    <w:p>
      <w:pPr>
        <w:pStyle w:val="NormalBold"/>
      </w:pPr>
      <w:r>
        <w:rPr>
          <w:rStyle w:val="HideTWBExt"/>
        </w:rPr>
        <w:t>&lt;Article&gt;</w:t>
      </w:r>
      <w:r>
        <w:t>I lisa – pealkiri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Komisjoni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Kogu ELi hõlmava tööjõupuudusega kutsealade loetelu</w:t>
            </w:r>
          </w:p>
        </w:tc>
        <w:tc>
          <w:tcPr>
            <w:tcW w:w="4876" w:type="dxa"/>
            <w:tcBorders>
              <w:top w:val="nil"/>
              <w:left w:val="nil"/>
              <w:bottom w:val="nil"/>
              <w:right w:val="nil"/>
            </w:tcBorders>
          </w:tcPr>
          <w:p>
            <w:pPr>
              <w:pStyle w:val="Normal6a"/>
            </w:pPr>
            <w:r>
              <w:t xml:space="preserve">Kogu ELi hõlmava tööjõupuudusega kutsealade </w:t>
            </w:r>
            <w:r>
              <w:rPr>
                <w:b/>
                <w:i/>
              </w:rPr>
              <w:t>soovituslik</w:t>
            </w:r>
            <w:r>
              <w:t xml:space="preserve"> loetelu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7</w:t>
    </w:r>
    <w:r>
      <w:fldChar w:fldCharType="end"/>
    </w:r>
    <w:r>
      <w:tab/>
    </w:r>
    <w:r>
      <w:rPr>
        <w:rStyle w:val="HideTWBExt"/>
      </w:rPr>
      <w:t>&lt;PathFdR&gt;</w:t>
    </w:r>
    <w:r>
      <w:t>AM\1314149ET.docx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AM\1314149ET.docx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7</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AM\1314149ET.docx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Pages>
  <Words>773</Words>
  <Characters>5585</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135502</vt:lpwstr>
  </property>
  <property fmtid="{D5CDD505-2E9C-101B-9397-08002B2CF9AE}" pid="7" name="dmxml.render.traceId">
    <vt:lpwstr>67c01b0f293663c2d7b8fc5e6b8b686f</vt:lpwstr>
  </property>
  <property fmtid="{D5CDD505-2E9C-101B-9397-08002B2CF9AE}" pid="8" name="FooterPath">
    <vt:lpwstr>AM\1314149ET.docx</vt:lpwstr>
  </property>
  <property fmtid="{D5CDD505-2E9C-101B-9397-08002B2CF9AE}" pid="9" name="PE Number">
    <vt:lpwstr>768.053</vt:lpwstr>
  </property>
  <property fmtid="{D5CDD505-2E9C-101B-9397-08002B2CF9AE}" pid="10" name="UID">
    <vt:lpwstr>eu.europa.europarl-DIN1-2025-0000011134_02.00-et-02.00_text-xml</vt:lpwstr>
  </property>
</Properties>
</file>