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Commission des libertés civiles, de la justice et des affaires intérieures</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Projet d’avis</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Création d'un réservoir européen de talents</w:t>
      </w:r>
      <w:r>
        <w:rPr>
          <w:rStyle w:val="HideTWBExt"/>
        </w:rPr>
        <w:t>&lt;/Titre&gt;</w:t>
      </w:r>
    </w:p>
    <w:p>
      <w:pPr>
        <w:pStyle w:val="CoverNormal"/>
      </w:pPr>
      <w:r>
        <w:rPr>
          <w:rStyle w:val="HideTWBExt"/>
        </w:rPr>
        <w:t>&lt;DocAmend&gt;</w:t>
      </w:r>
      <w:r>
        <w:t>Proposition de règlement</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21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Le pouvoir d’adopter des actes délégués visé à l’article 14 est conféré à la Commission pour une période de cinq ans à compter de la date d’entrée en vigueur du présent règlement.</w:t>
            </w:r>
            <w:r>
              <w:t xml:space="preserve"> </w:t>
            </w:r>
            <w:r>
              <w:rPr>
                <w:b/>
                <w:i/>
              </w:rPr>
              <w:t>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 plus tard le 31 décembre 2031 puis tous les cinq ans, la Commission soumet au Parlement européen, au Conseil, au Comité économique et social européen et au Comité des régions un rapport sur l’application du présent règlement.</w:t>
            </w:r>
          </w:p>
        </w:tc>
        <w:tc>
          <w:tcPr>
            <w:tcW w:w="4876" w:type="dxa"/>
            <w:tcBorders>
              <w:top w:val="nil"/>
              <w:left w:val="nil"/>
              <w:bottom w:val="nil"/>
              <w:right w:val="nil"/>
            </w:tcBorders>
          </w:tcPr>
          <w:p>
            <w:pPr>
              <w:pStyle w:val="Normal6a"/>
            </w:pPr>
            <w:r>
              <w:t>1.</w:t>
            </w:r>
            <w:r>
              <w:tab/>
            </w:r>
            <w:r>
              <w:t xml:space="preserve">Au plus tard le 31 décembre 2031 puis tous les cinq ans, la Commission soumet au Parlement européen, au Conseil, au Comité économique et social européen et au Comité des régions un rapport sur l’application du présent règlement </w:t>
            </w:r>
            <w:r>
              <w:rPr>
                <w:b/>
                <w:i/>
              </w:rPr>
              <w:t>et son efficacité dans la réalisation de ses objectifs</w:t>
            </w:r>
            <w:r>
              <w:t xml:space="preserve">. </w:t>
            </w:r>
            <w:r>
              <w:rPr>
                <w:b/>
                <w:i/>
              </w:rPr>
              <w:t>Le rapport évalue, entre autres, les points suivants: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les effets du réservoir européen de talents sur le marché du travail de l’Union, y compris une évaluation de l’efficacité du réservoir européen de talents pour remédier aux pénuries de main-d’œuvre;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l’incidence du réservoir européen de talents sur les marchés du travail et le développement des pays tiers;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le respect, par les participants, des exigences applicables à l’inscription et à la participation au réservoir européen de talents, ainsi que des normes, du droit et des pratiques en matière de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 plus tard le 31 décembre 2031 puis tous les cinq ans, la Commission soumet au Parlement européen, au Conseil, au Comité économique et social européen et au Comité des régions un rapport sur l’application du présent règlement.</w:t>
            </w:r>
          </w:p>
        </w:tc>
        <w:tc>
          <w:tcPr>
            <w:tcW w:w="4876" w:type="dxa"/>
            <w:tcBorders>
              <w:top w:val="nil"/>
              <w:left w:val="nil"/>
              <w:bottom w:val="nil"/>
              <w:right w:val="nil"/>
            </w:tcBorders>
          </w:tcPr>
          <w:p>
            <w:pPr>
              <w:pStyle w:val="Normal6a"/>
            </w:pPr>
            <w:r>
              <w:t>1.</w:t>
            </w:r>
            <w:r>
              <w:tab/>
            </w:r>
            <w:r>
              <w:t xml:space="preserve">Au plus tard le 31 décembre 2031 puis tous les cinq ans, la Commission soumet au Parlement européen, au Conseil, au Comité économique et social européen et au Comité des régions un rapport sur l’application du présent règlement. </w:t>
            </w:r>
            <w:r>
              <w:rPr>
                <w:b/>
                <w:i/>
              </w:rPr>
              <w:t>L’évaluation porte sur l’efficacité du règlement pour ce qui est de remédier aux pénuries de compétences, d'attirer les talents de pays tiers et de faciliter la migration légale de la main-d’œuvre.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 plus tard le 31 décembre </w:t>
            </w:r>
            <w:r>
              <w:rPr>
                <w:b/>
                <w:i/>
              </w:rPr>
              <w:t>2031 puis tous les cinq ans</w:t>
            </w:r>
            <w:r>
              <w:t>, la Commission soumet au Parlement européen, au Conseil, au Comité économique et social européen et au Comité des régions un rapport sur l’application du présent règlement.</w:t>
            </w:r>
          </w:p>
        </w:tc>
        <w:tc>
          <w:tcPr>
            <w:tcW w:w="4876" w:type="dxa"/>
            <w:tcBorders>
              <w:top w:val="nil"/>
              <w:left w:val="nil"/>
              <w:bottom w:val="nil"/>
              <w:right w:val="nil"/>
            </w:tcBorders>
          </w:tcPr>
          <w:p>
            <w:pPr>
              <w:pStyle w:val="Normal6a"/>
            </w:pPr>
            <w:r>
              <w:t>1.</w:t>
            </w:r>
            <w:r>
              <w:tab/>
            </w:r>
            <w:r>
              <w:t xml:space="preserve">Au plus tard le 31 décembre </w:t>
            </w:r>
            <w:r>
              <w:rPr>
                <w:b/>
                <w:i/>
              </w:rPr>
              <w:t>de l'année de création du réservoir de talents puis chaque année</w:t>
            </w:r>
            <w:r>
              <w:t>, la Commission soumet au Parlement européen, au Conseil, au Comité économique et social européen et au Comité des régions un rapport sur l’application du présent règlement.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23 – 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 plus tard le 31 </w:t>
            </w:r>
            <w:r>
              <w:rPr>
                <w:b/>
                <w:i/>
              </w:rPr>
              <w:t>décembre 2031</w:t>
            </w:r>
            <w:r>
              <w:t xml:space="preserve"> puis tous les cinq ans, la Commission soumet au Parlement européen, au Conseil, au Comité économique et social européen et au Comité des régions un rapport sur l’application du présent règlement.</w:t>
            </w:r>
          </w:p>
        </w:tc>
        <w:tc>
          <w:tcPr>
            <w:tcW w:w="4876" w:type="dxa"/>
            <w:tcBorders>
              <w:top w:val="nil"/>
              <w:left w:val="nil"/>
              <w:bottom w:val="nil"/>
              <w:right w:val="nil"/>
            </w:tcBorders>
          </w:tcPr>
          <w:p>
            <w:pPr>
              <w:pStyle w:val="Normal6a"/>
            </w:pPr>
            <w:r>
              <w:t>1.</w:t>
            </w:r>
            <w:r>
              <w:tab/>
            </w:r>
            <w:r>
              <w:t xml:space="preserve">Au plus tard le 31 </w:t>
            </w:r>
            <w:r>
              <w:rPr>
                <w:b/>
                <w:i/>
              </w:rPr>
              <w:t>juin 2029</w:t>
            </w:r>
            <w:r>
              <w:t xml:space="preserve"> puis tous les cinq ans, la Commission soumet au Parlement européen, au Conseil, au Comité économique et social européen et au Comité des régions un rapport sur l’application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23 – 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Le rapport devrait déterminer si, et dans quelle mesure, les objectifs du règlement sont atteints, comparer les coûts par rapport aux avantages du réservoir européen de talents pour les États membres participants et, dans une certaine mesure, l’Union dans son ensemble, et formuler des recommandations sur la manière d’améliorer son efficacité.</w:t>
            </w:r>
            <w:r>
              <w:t xml:space="preserve"> </w:t>
            </w:r>
            <w:r>
              <w:rPr>
                <w:b/>
                <w:i/>
              </w:rPr>
              <w:t>Les conclusions du rapport devraient déterminer s'il y a lieu ou non pour la Commission de présenter une proposition visant à mettre fin au réservoir européen de talents conformément à l’article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23 – paragraphe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Le rapport d'application peut être assorti de propositions législatives visant notamment à prolonger la période d’application du présent règlement.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24 – 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 présent règlement est obligatoire dans tous ses éléments et directement applicable dans les États membres </w:t>
            </w:r>
            <w:r>
              <w:rPr>
                <w:b/>
                <w:i/>
              </w:rPr>
              <w:t>participants</w:t>
            </w:r>
            <w:r>
              <w:t xml:space="preserve"> conformément aux traités.</w:t>
            </w:r>
          </w:p>
        </w:tc>
        <w:tc>
          <w:tcPr>
            <w:tcW w:w="4876" w:type="dxa"/>
            <w:tcBorders>
              <w:top w:val="nil"/>
              <w:left w:val="nil"/>
              <w:bottom w:val="nil"/>
              <w:right w:val="nil"/>
            </w:tcBorders>
          </w:tcPr>
          <w:p>
            <w:pPr>
              <w:pStyle w:val="Normal6a"/>
            </w:pPr>
            <w:r>
              <w:t>2.</w:t>
            </w:r>
            <w:r>
              <w:tab/>
            </w:r>
            <w:r>
              <w:t>Le présent règlement est obligatoire dans tous ses éléments et directement applicable dans les États membres conformément aux traités.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Article 24 – 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Le présent règlement s'applique du [date d’entrée en vigueur] au 31 décembre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Annexe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Liste des professions en pénurie à l’échelle de l’Union</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Code CITP</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Annexe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Liste des professions en pénurie à l’échelle de l’Union</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Code CITP</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règlement</w:t>
      </w:r>
      <w:r>
        <w:rPr>
          <w:rStyle w:val="HideTWBExt"/>
        </w:rPr>
        <w:t>&lt;/DocAmend&gt;</w:t>
      </w:r>
    </w:p>
    <w:p>
      <w:pPr>
        <w:pStyle w:val="NormalBold"/>
      </w:pPr>
      <w:r>
        <w:rPr>
          <w:rStyle w:val="HideTWBExt"/>
        </w:rPr>
        <w:t>&lt;Article&gt;</w:t>
      </w:r>
      <w:r>
        <w:t>Annexe I – titre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Texte proposé par la Commission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Liste des professions en pénurie à l’échelle de l’Union</w:t>
            </w:r>
          </w:p>
        </w:tc>
        <w:tc>
          <w:tcPr>
            <w:tcW w:w="4876" w:type="dxa"/>
            <w:tcBorders>
              <w:top w:val="nil"/>
              <w:left w:val="nil"/>
              <w:bottom w:val="nil"/>
              <w:right w:val="nil"/>
            </w:tcBorders>
          </w:tcPr>
          <w:p>
            <w:pPr>
              <w:pStyle w:val="Normal6a"/>
            </w:pPr>
            <w:r>
              <w:t xml:space="preserve">Liste </w:t>
            </w:r>
            <w:r>
              <w:rPr>
                <w:b/>
                <w:i/>
              </w:rPr>
              <w:t>indicative</w:t>
            </w:r>
            <w:r>
              <w:t xml:space="preserve"> des professions en pénurie à l'échelle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AM\1314149FR.docx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AM\1314149FR.docx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AM\1314149FR.docx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1073</Words>
  <Characters>5901</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134796</vt:lpwstr>
  </property>
  <property fmtid="{D5CDD505-2E9C-101B-9397-08002B2CF9AE}" pid="7" name="dmxml.render.traceId">
    <vt:lpwstr>67bed5ff79b38b40e73c8cc5784a9fb2</vt:lpwstr>
  </property>
  <property fmtid="{D5CDD505-2E9C-101B-9397-08002B2CF9AE}" pid="8" name="FooterPath">
    <vt:lpwstr>AM\1314149FR.docx</vt:lpwstr>
  </property>
  <property fmtid="{D5CDD505-2E9C-101B-9397-08002B2CF9AE}" pid="9" name="PE Number">
    <vt:lpwstr>768.053</vt:lpwstr>
  </property>
  <property fmtid="{D5CDD505-2E9C-101B-9397-08002B2CF9AE}" pid="10" name="UID">
    <vt:lpwstr>eu.europa.europarl-DIN1-2025-0000011134_02.00-fr-01.00_text-xml</vt:lpwstr>
  </property>
</Properties>
</file>