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Projekt opinii</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Ustanowienie unijnej puli talentów</w:t>
      </w:r>
      <w:r>
        <w:rPr>
          <w:rStyle w:val="HideTWBExt"/>
        </w:rPr>
        <w:t>&lt;/Titre&gt;</w:t>
      </w:r>
    </w:p>
    <w:p>
      <w:pPr>
        <w:pStyle w:val="CoverNormal"/>
      </w:pPr>
      <w:r>
        <w:rPr>
          <w:rStyle w:val="HideTWBExt"/>
        </w:rPr>
        <w:t>&lt;DocAmend&gt;</w:t>
      </w:r>
      <w:r>
        <w:t>Wniosek dotyczący rozporządzenia</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21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Uprawnienia do przyjmowania aktów delegowanych, o których mowa w art. 14, powierza się Komisji na okres pięciu lat od wejścia w życie niniejszego rozporządzenia.</w:t>
            </w:r>
            <w:r>
              <w:t xml:space="preserve"> </w:t>
            </w:r>
            <w:r>
              <w:rPr>
                <w:b/>
                <w:i/>
              </w:rPr>
              <w:t>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Do dnia 31 grudnia 2031 r., a następnie co pięć lat, Komisja przedkłada Parlamentowi Europejskiemu, Radzie, Europejskiemu Komitetowi Ekonomiczno-Społecznemu i Komitetowi Regionów sprawozdanie ze stosowania niniejszego rozporządzenia.</w:t>
            </w:r>
          </w:p>
        </w:tc>
        <w:tc>
          <w:tcPr>
            <w:tcW w:w="4876" w:type="dxa"/>
            <w:tcBorders>
              <w:top w:val="nil"/>
              <w:left w:val="nil"/>
              <w:bottom w:val="nil"/>
              <w:right w:val="nil"/>
            </w:tcBorders>
          </w:tcPr>
          <w:p>
            <w:pPr>
              <w:pStyle w:val="Normal6a"/>
            </w:pPr>
            <w:r>
              <w:t>1.</w:t>
            </w:r>
            <w:r>
              <w:tab/>
            </w:r>
            <w:r>
              <w:t xml:space="preserve">Do dnia 31 grudnia 2031 r., a następnie co pięć lat, Komisja przedkłada Parlamentowi Europejskiemu, Radzie, Europejskiemu Komitetowi Ekonomiczno-Społecznemu i Komitetowi Regionów sprawozdanie ze stosowania niniejszego rozporządzenia </w:t>
            </w:r>
            <w:r>
              <w:rPr>
                <w:b/>
                <w:i/>
              </w:rPr>
              <w:t>i jego skuteczności w osiąganiu założonych celów</w:t>
            </w:r>
            <w:r>
              <w:t xml:space="preserve">. </w:t>
            </w:r>
            <w:r>
              <w:rPr>
                <w:b/>
                <w:i/>
              </w:rPr>
              <w:t>W sprawozdaniu ocenia się m.in. następujące kwestie: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wpływ unijnej puli talentów na unijny rynek pracy, w tym ocenę skuteczności unijnej puli talentów w rozwiązywaniu problemu niedoborów siły roboczej;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wpływ unijnej puli talentów na rynki pracy i rozwój państw trzecich;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spełnianie przez uczestników wymogów dotyczących rejestracji i uczestnictwa w unijnej puli talentów, a także przestrzeganie norm pracy oraz prawa i praktyki.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Do dnia 31 grudnia 2031 r., a następnie co pięć lat, Komisja przedkłada Parlamentowi Europejskiemu, Radzie, Europejskiemu Komitetowi Ekonomiczno-Społecznemu i Komitetowi Regionów sprawozdanie ze stosowania niniejszego rozporządzenia.</w:t>
            </w:r>
          </w:p>
        </w:tc>
        <w:tc>
          <w:tcPr>
            <w:tcW w:w="4876" w:type="dxa"/>
            <w:tcBorders>
              <w:top w:val="nil"/>
              <w:left w:val="nil"/>
              <w:bottom w:val="nil"/>
              <w:right w:val="nil"/>
            </w:tcBorders>
          </w:tcPr>
          <w:p>
            <w:pPr>
              <w:pStyle w:val="Normal6a"/>
            </w:pPr>
            <w:r>
              <w:t>1.</w:t>
            </w:r>
            <w:r>
              <w:tab/>
            </w:r>
            <w:r>
              <w:t xml:space="preserve">Do dnia 31 grudnia 2031 r., a następnie co pięć lat, Komisja przedkłada Parlamentowi Europejskiemu, Radzie, Europejskiemu Komitetowi Ekonomiczno-Społecznemu i Komitetowi Regionów sprawozdanie ze stosowania niniejszego rozporządzenia. </w:t>
            </w:r>
            <w:r>
              <w:rPr>
                <w:b/>
                <w:i/>
              </w:rPr>
              <w:t>Przedmiotem oceny jest skuteczność rozporządzenia w rozwiązywaniu problemu niedoboru wykwalifikowanej siły roboczej, w przyciąganiu talentów z państw trzecich oraz w ułatwianiu legalnej migracji zarobkowej.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 dnia 31 grudnia </w:t>
            </w:r>
            <w:r>
              <w:rPr>
                <w:b/>
                <w:i/>
              </w:rPr>
              <w:t>2031 r.</w:t>
            </w:r>
            <w:r>
              <w:t xml:space="preserve">, a następnie co </w:t>
            </w:r>
            <w:r>
              <w:rPr>
                <w:b/>
                <w:i/>
              </w:rPr>
              <w:t>pięć lat</w:t>
            </w:r>
            <w:r>
              <w:t>, Komisja przedkłada Parlamentowi Europejskiemu, Radzie, Europejskiemu Komitetowi Ekonomiczno-Społecznemu i Komitetowi Regionów sprawozdanie ze stosowania niniejszego rozporządzenia.</w:t>
            </w:r>
          </w:p>
        </w:tc>
        <w:tc>
          <w:tcPr>
            <w:tcW w:w="4876" w:type="dxa"/>
            <w:tcBorders>
              <w:top w:val="nil"/>
              <w:left w:val="nil"/>
              <w:bottom w:val="nil"/>
              <w:right w:val="nil"/>
            </w:tcBorders>
          </w:tcPr>
          <w:p>
            <w:pPr>
              <w:pStyle w:val="Normal6a"/>
            </w:pPr>
            <w:r>
              <w:t>1.</w:t>
            </w:r>
            <w:r>
              <w:tab/>
            </w:r>
            <w:r>
              <w:t xml:space="preserve">Do dnia 31 grudnia </w:t>
            </w:r>
            <w:r>
              <w:rPr>
                <w:b/>
                <w:i/>
              </w:rPr>
              <w:t>roku, w którym ustanowiono pulę talentów</w:t>
            </w:r>
            <w:r>
              <w:t xml:space="preserve">, a następnie co </w:t>
            </w:r>
            <w:r>
              <w:rPr>
                <w:b/>
                <w:i/>
              </w:rPr>
              <w:t>rok</w:t>
            </w:r>
            <w:r>
              <w:t>, Komisja przedkłada Parlamentowi Europejskiemu, Radzie, Europejskiemu Komitetowi Ekonomiczno-Społecznemu i Komitetowi Regionów sprawozdanie ze stosowania niniejszego rozporządzenia.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 dnia 31 </w:t>
            </w:r>
            <w:r>
              <w:rPr>
                <w:b/>
                <w:i/>
              </w:rPr>
              <w:t>grudnia 2031</w:t>
            </w:r>
            <w:r>
              <w:t xml:space="preserve"> r., a następnie co pięć lat, Komisja przedkłada Parlamentowi Europejskiemu, Radzie, Europejskiemu Komitetowi Ekonomiczno-Społecznemu i Komitetowi Regionów sprawozdanie ze stosowania niniejszego rozporządzenia.</w:t>
            </w:r>
          </w:p>
        </w:tc>
        <w:tc>
          <w:tcPr>
            <w:tcW w:w="4876" w:type="dxa"/>
            <w:tcBorders>
              <w:top w:val="nil"/>
              <w:left w:val="nil"/>
              <w:bottom w:val="nil"/>
              <w:right w:val="nil"/>
            </w:tcBorders>
          </w:tcPr>
          <w:p>
            <w:pPr>
              <w:pStyle w:val="Normal6a"/>
            </w:pPr>
            <w:r>
              <w:t>1.</w:t>
            </w:r>
            <w:r>
              <w:tab/>
            </w:r>
            <w:r>
              <w:t xml:space="preserve">Do dnia 31 </w:t>
            </w:r>
            <w:r>
              <w:rPr>
                <w:b/>
                <w:i/>
              </w:rPr>
              <w:t>czerwca 2029</w:t>
            </w:r>
            <w:r>
              <w:t xml:space="preserve"> r., a następnie co pięć lat, Komisja przedkłada Parlamentowi Europejskiemu, Radzie, Europejskiemu Komitetowi Ekonomiczno-Społecznemu i Komitetowi Regionów sprawozdanie ze stosowania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23 – 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 sprawozdaniu należy określić, czy i w jakim stopniu cele rozporządzenia są osiągane, zestawić koszty z korzyściami płynącymi z unijnej puli talentów dla uczestniczących państw członkowskich oraz – w pewnym stopniu – całej Unii, a także przedstawić zalecenia dotyczące sposobów poprawy jej skuteczności.</w:t>
            </w:r>
            <w:r>
              <w:t xml:space="preserve"> </w:t>
            </w:r>
            <w:r>
              <w:rPr>
                <w:b/>
                <w:i/>
              </w:rPr>
              <w:t>Ustalenia zawarte w sprawozdaniu powinny określać, czy Komisja ma przedstawić wniosek w sprawie zaprzestania unijnej puli talentów zgodnie z art.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23 – 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Sprawozdaniu ze stosowania mogą towarzyszyć wnioski ustawodawcze, w szczególności w celu wydłużenia okresu stosowania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24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Niniejsze rozporządzenie wiąże w całości i jest bezpośrednio stosowane w </w:t>
            </w:r>
            <w:r>
              <w:rPr>
                <w:b/>
                <w:i/>
              </w:rPr>
              <w:t>uczestniczących</w:t>
            </w:r>
            <w:r>
              <w:t xml:space="preserve"> państwach członkowskich zgodnie z Traktatami.</w:t>
            </w:r>
          </w:p>
        </w:tc>
        <w:tc>
          <w:tcPr>
            <w:tcW w:w="4876" w:type="dxa"/>
            <w:tcBorders>
              <w:top w:val="nil"/>
              <w:left w:val="nil"/>
              <w:bottom w:val="nil"/>
              <w:right w:val="nil"/>
            </w:tcBorders>
          </w:tcPr>
          <w:p>
            <w:pPr>
              <w:pStyle w:val="Normal6a"/>
            </w:pPr>
            <w:r>
              <w:t>2.</w:t>
            </w:r>
            <w:r>
              <w:tab/>
            </w:r>
            <w:r>
              <w:t>Niniejsze rozporządzenie wiąże w całości i jest bezpośrednio stosowane w państwach członkowskich zgodnie z Traktatami.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24 – 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Niniejsze rozporządzenie stosuje się od dnia [data wejścia w życie] do dnia 31 grudnia 2029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Załącznik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Wykaz zawodów deficytowych w całej UE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Kod ISCO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Załącznik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Wykaz zawodów deficytowych w całej UE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Kod ISCO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Załącznik I – tytuł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Wykaz zawodów deficytowych w całej UE</w:t>
            </w:r>
          </w:p>
        </w:tc>
        <w:tc>
          <w:tcPr>
            <w:tcW w:w="4876" w:type="dxa"/>
            <w:tcBorders>
              <w:top w:val="nil"/>
              <w:left w:val="nil"/>
              <w:bottom w:val="nil"/>
              <w:right w:val="nil"/>
            </w:tcBorders>
          </w:tcPr>
          <w:p>
            <w:pPr>
              <w:pStyle w:val="Normal6a"/>
            </w:pPr>
            <w:r>
              <w:rPr>
                <w:b/>
                <w:i/>
              </w:rPr>
              <w:t>Orientacyjny</w:t>
            </w:r>
            <w:r>
              <w:t xml:space="preserve"> wykaz zawodów deficytowych w całej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AM\1314149PL.docx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AM\1314149PL.docx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AM\1314149PL.docx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862</Words>
  <Characters>5796</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134540</vt:lpwstr>
  </property>
  <property fmtid="{D5CDD505-2E9C-101B-9397-08002B2CF9AE}" pid="7" name="dmxml.render.traceId">
    <vt:lpwstr>67bdddc3fa52adc7fddb4777e5653055</vt:lpwstr>
  </property>
  <property fmtid="{D5CDD505-2E9C-101B-9397-08002B2CF9AE}" pid="8" name="FooterPath">
    <vt:lpwstr>AM\1314149PL.docx</vt:lpwstr>
  </property>
  <property fmtid="{D5CDD505-2E9C-101B-9397-08002B2CF9AE}" pid="9" name="PE Number">
    <vt:lpwstr>768.053</vt:lpwstr>
  </property>
  <property fmtid="{D5CDD505-2E9C-101B-9397-08002B2CF9AE}" pid="10" name="UID">
    <vt:lpwstr>eu.europa.europarl-DIN1-2025-0000011134_02.00-pl-01.00_text-xml</vt:lpwstr>
  </property>
</Properties>
</file>