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762</w:t>
      </w:r>
      <w:r>
        <w:t xml:space="preserve"> - </w:t>
      </w:r>
      <w:r>
        <w:t>773</w:t>
      </w:r>
      <w:r>
        <w:rPr>
          <w:rStyle w:val="HideTWBExt"/>
        </w:rPr>
        <w:t>&lt;/RangeAM&gt;</w:t>
      </w:r>
    </w:p>
    <w:p>
      <w:pPr>
        <w:pStyle w:val="CoverBold"/>
      </w:pPr>
      <w:r>
        <w:rPr>
          <w:rStyle w:val="HideTWBExt"/>
        </w:rPr>
        <w:t>&lt;TitreType&gt;</w:t>
      </w:r>
      <w:r>
        <w:t>Proiect de aviz</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Instituirea unei Rezerve de talente la nivelul UE</w:t>
      </w:r>
      <w:r>
        <w:rPr>
          <w:rStyle w:val="HideTWBExt"/>
        </w:rPr>
        <w:t>&lt;/Titre&gt;</w:t>
      </w:r>
    </w:p>
    <w:p>
      <w:pPr>
        <w:pStyle w:val="CoverNormal"/>
      </w:pPr>
      <w:r>
        <w:rPr>
          <w:rStyle w:val="HideTWBExt"/>
        </w:rPr>
        <w:t>&lt;DocAmend&gt;</w:t>
      </w:r>
      <w:r>
        <w:t>Propunere de regulament</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21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Competența de a adopta acte delegate menționată la articolul 14 este conferită Comisiei pe o perioadă de cinci ani de la intrarea în vigoare a prezentului regulament.</w:t>
            </w:r>
            <w:r>
              <w:t xml:space="preserve"> </w:t>
            </w:r>
            <w:r>
              <w:rPr>
                <w:b/>
                <w:i/>
              </w:rPr>
              <w:t>Comisia elaborează un raport privind delegarea de competențe cu cel puțin nouă luni înainte de încheierea perioadei de cinci ani.</w:t>
            </w:r>
            <w:r>
              <w:t xml:space="preserve"> </w:t>
            </w:r>
            <w:r>
              <w:rPr>
                <w:b/>
                <w:i/>
              </w:rPr>
              <w:t>Delegarea de competențe se prelungește tacit cu perioade de timp identice, cu excepția cazului în care Parlamentul European sau Consiliul se opune prelungirii respective cu cel puțin trei luni înainte de încheierea fiecărei perioade.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Până la 31.12.2031 și ulterior o dată la cinci ani, Comisia transmite Parlamentului European, Consiliului, Comitetului Economic și Social European și Comitetului Regiunilor un raport privind aplicarea prezentului regulament.</w:t>
            </w:r>
          </w:p>
        </w:tc>
        <w:tc>
          <w:tcPr>
            <w:tcW w:w="4876" w:type="dxa"/>
            <w:tcBorders>
              <w:top w:val="nil"/>
              <w:left w:val="nil"/>
              <w:bottom w:val="nil"/>
              <w:right w:val="nil"/>
            </w:tcBorders>
          </w:tcPr>
          <w:p>
            <w:pPr>
              <w:pStyle w:val="Normal6a"/>
            </w:pPr>
            <w:r>
              <w:rPr>
                <w:b/>
                <w:i/>
              </w:rPr>
              <w:t>1.</w:t>
            </w:r>
            <w:r>
              <w:tab/>
            </w:r>
            <w:r>
              <w:t xml:space="preserve">Până la 31.12.2031 și ulterior o dată la cinci ani, Comisia transmite Parlamentului European, Consiliului, Comitetului Economic și Social European și Comitetului Regiunilor un raport privind aplicarea prezentului regulament </w:t>
            </w:r>
            <w:r>
              <w:rPr>
                <w:b/>
                <w:i/>
              </w:rPr>
              <w:t>și eficiența acestuia în atingerea obiectivelor sale</w:t>
            </w:r>
            <w:r>
              <w:t xml:space="preserve">. </w:t>
            </w:r>
            <w:r>
              <w:rPr>
                <w:b/>
                <w:i/>
              </w:rPr>
              <w:t>Primul raport evaluează, printre altele, următoarele aspecte: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impactul Rezervei de talente la nivelul UE asupra pieței forței de muncă din UE, inclusiv o evaluare a eficacității Rezervei de talente la nivelul UE în abordarea deficitului de forță de muncă;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impactul Rezervei de talente la nivelul UE asupra piețelor forței de muncă și a dezvoltării țărilor terțe;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respectarea de către participanți a cerințelor de înregistrare și de participare la Rezerva de talente la nivelul UE, precum și a standardelor de muncă și a legislației și practicilor din domeniul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Până la 31.12.2031 și ulterior o dată la cinci ani, Comisia transmite Parlamentului European, Consiliului, Comitetului Economic și Social European și Comitetului Regiunilor un raport privind aplicarea prezentului regulament.</w:t>
            </w:r>
          </w:p>
        </w:tc>
        <w:tc>
          <w:tcPr>
            <w:tcW w:w="4876" w:type="dxa"/>
            <w:tcBorders>
              <w:top w:val="nil"/>
              <w:left w:val="nil"/>
              <w:bottom w:val="nil"/>
              <w:right w:val="nil"/>
            </w:tcBorders>
          </w:tcPr>
          <w:p>
            <w:pPr>
              <w:pStyle w:val="Normal6a"/>
            </w:pPr>
            <w:r>
              <w:rPr>
                <w:b/>
                <w:i/>
              </w:rPr>
              <w:t>1.</w:t>
            </w:r>
            <w:r>
              <w:tab/>
            </w:r>
            <w:r>
              <w:t xml:space="preserve">Până la 31.12.2031 și ulterior o dată la cinci ani, Comisia transmite Parlamentului European, Consiliului, Comitetului Economic și Social European și Comitetului Regiunilor un raport privind aplicarea prezentului regulament. </w:t>
            </w:r>
            <w:r>
              <w:rPr>
                <w:b/>
                <w:i/>
              </w:rPr>
              <w:t>Evaluarea analizează eficacitatea regulamentului în abordarea deficitului de competențe, atragerea de talente din țări terțe și facilitarea migrației legale a forței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Până la </w:t>
            </w:r>
            <w:r>
              <w:rPr>
                <w:b/>
                <w:i/>
              </w:rPr>
              <w:t>31.12.2031 și ulterior o dată la cinci ani</w:t>
            </w:r>
            <w:r>
              <w:t>, Comisia transmite Parlamentului European, Consiliului, Comitetului Economic și Social European și Comitetului Regiunilor un raport privind aplicarea prezentului regulament.</w:t>
            </w:r>
          </w:p>
        </w:tc>
        <w:tc>
          <w:tcPr>
            <w:tcW w:w="4876" w:type="dxa"/>
            <w:tcBorders>
              <w:top w:val="nil"/>
              <w:left w:val="nil"/>
              <w:bottom w:val="nil"/>
              <w:right w:val="nil"/>
            </w:tcBorders>
          </w:tcPr>
          <w:p>
            <w:pPr>
              <w:pStyle w:val="Normal6a"/>
            </w:pPr>
            <w:r>
              <w:rPr>
                <w:b/>
                <w:i/>
              </w:rPr>
              <w:t>1.</w:t>
            </w:r>
            <w:r>
              <w:tab/>
            </w:r>
            <w:r>
              <w:t xml:space="preserve">Până la </w:t>
            </w:r>
            <w:r>
              <w:rPr>
                <w:b/>
                <w:i/>
              </w:rPr>
              <w:t>data de 31 decembrie a anului în care s-a înființat Rezerva de talente și în fiecare an după aceea</w:t>
            </w:r>
            <w:r>
              <w:t>, Comisia transmite Parlamentului European, Consiliului, Comitetului Economic și Social European și Comitetului Regiunilor un raport privind aplicarea prezentului regulament.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Până la </w:t>
            </w:r>
            <w:r>
              <w:rPr>
                <w:b/>
                <w:i/>
              </w:rPr>
              <w:t>31.12.2031</w:t>
            </w:r>
            <w:r>
              <w:t xml:space="preserve"> și ulterior o dată la cinci ani, Comisia transmite Parlamentului European, Consiliului, Comitetului Economic și Social European și Comitetului Regiunilor un raport privind aplicarea prezentului regulament.</w:t>
            </w:r>
          </w:p>
        </w:tc>
        <w:tc>
          <w:tcPr>
            <w:tcW w:w="4876" w:type="dxa"/>
            <w:tcBorders>
              <w:top w:val="nil"/>
              <w:left w:val="nil"/>
              <w:bottom w:val="nil"/>
              <w:right w:val="nil"/>
            </w:tcBorders>
          </w:tcPr>
          <w:p>
            <w:pPr>
              <w:pStyle w:val="Normal6a"/>
            </w:pPr>
            <w:r>
              <w:rPr>
                <w:b/>
                <w:i/>
              </w:rPr>
              <w:t>1.</w:t>
            </w:r>
            <w:r>
              <w:tab/>
            </w:r>
            <w:r>
              <w:t xml:space="preserve">Până la </w:t>
            </w:r>
            <w:r>
              <w:rPr>
                <w:b/>
                <w:i/>
              </w:rPr>
              <w:t>31.06.2029</w:t>
            </w:r>
            <w:r>
              <w:t xml:space="preserve"> și ulterior o dată la cinci ani, Comisia transmite Parlamentului European, Consiliului, Comitetului Economic și Social European și Comitetului Regiunilor un raport privind aplicarea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Raportul ar trebui să stabilească dacă și în ce măsură sunt îndeplinite obiectivele regulamentului, să compare costurile cu beneficiile Rezervei de talente la nivelul UE pentru statele membre participante și, într-o anumită măsură, pentru Uniune în ansamblu, precum și să formuleze recomandări cu privire la modalitățile de îmbunătățire a eficacității acesteia.</w:t>
            </w:r>
            <w:r>
              <w:t xml:space="preserve"> </w:t>
            </w:r>
            <w:r>
              <w:rPr>
                <w:b/>
                <w:i/>
              </w:rPr>
              <w:t>Constatările raportului ar trebui să stabilească dacă Comisia ar trebui sau nu să prezinte o propunere de a pune capăt Rezervei de talente la nivelul UE în temeiul articolului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Raportul privind aplicarea poate fi însoțit de propuneri legislative, în special pentru a prelungi perioada de aplicare a prezentului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24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t>Prezentul regulament este obligatoriu în toate elementele sale și se aplică direct în statele membre în conformitate cu tratatele.</w:t>
            </w:r>
          </w:p>
        </w:tc>
        <w:tc>
          <w:tcPr>
            <w:tcW w:w="4876" w:type="dxa"/>
            <w:tcBorders>
              <w:top w:val="nil"/>
              <w:left w:val="nil"/>
              <w:bottom w:val="nil"/>
              <w:right w:val="nil"/>
            </w:tcBorders>
          </w:tcPr>
          <w:p>
            <w:pPr>
              <w:pStyle w:val="Normal6a"/>
            </w:pPr>
            <w:r>
              <w:rPr>
                <w:b/>
                <w:i/>
              </w:rPr>
              <w:t>2.</w:t>
            </w:r>
            <w:r>
              <w:tab/>
            </w:r>
            <w:r>
              <w:t>Prezentul regulament este obligatoriu în toate elementele sale și se aplică direct în statele membre în conformitate cu tratatele.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24 – alineatul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Prezentul regulament se aplică de la [data intrării în vigoare] până la 31 decembrie 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Lista ocupațiilor cu deficit de forță de muncă de la nivelul UE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Codul ISCO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Lista ocupațiilor cu deficit de forță de muncă de la nivelul UE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Codul ISCO</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Anexa I – titlu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Lista ocupațiilor cu deficit de forță de muncă de la nivelul UE</w:t>
            </w:r>
          </w:p>
        </w:tc>
        <w:tc>
          <w:tcPr>
            <w:tcW w:w="4876" w:type="dxa"/>
            <w:tcBorders>
              <w:top w:val="nil"/>
              <w:left w:val="nil"/>
              <w:bottom w:val="nil"/>
              <w:right w:val="nil"/>
            </w:tcBorders>
          </w:tcPr>
          <w:p>
            <w:pPr>
              <w:pStyle w:val="Normal6a"/>
            </w:pPr>
            <w:r>
              <w:t xml:space="preserve">Lista </w:t>
            </w:r>
            <w:r>
              <w:rPr>
                <w:b/>
                <w:i/>
              </w:rPr>
              <w:t>indicativă a</w:t>
            </w:r>
            <w:r>
              <w:t xml:space="preserve"> ocupațiilor cu deficit de forță de muncă de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w:t>
    </w:r>
    <w:r>
      <w:fldChar w:fldCharType="end"/>
    </w:r>
    <w:r>
      <w:t>/</w:t>
    </w:r>
    <w:r>
      <w:fldChar w:fldCharType="begin"/>
    </w:r>
    <w:r>
      <w:instrText xml:space="preserve"> NUMPAGES </w:instrText>
    </w:r>
    <w:r>
      <w:fldChar w:fldCharType="separate"/>
    </w:r>
    <w:r>
      <w:t>8</w:t>
    </w:r>
    <w:r>
      <w:fldChar w:fldCharType="end"/>
    </w:r>
    <w:r>
      <w:tab/>
    </w:r>
    <w:r>
      <w:rPr>
        <w:rStyle w:val="HideTWBExt"/>
      </w:rPr>
      <w:t>&lt;PathFdR&gt;</w:t>
    </w:r>
    <w:r>
      <w:t>AM\1314149RO.docx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AM\1314149RO.docx</w:t>
    </w:r>
    <w:r>
      <w:rPr>
        <w:rStyle w:val="HideTWBExt"/>
      </w:rPr>
      <w:t>&lt;/PathFdR&gt;</w:t>
    </w:r>
    <w:r>
      <w:tab/>
    </w:r>
    <w:r>
      <w:fldChar w:fldCharType="begin"/>
    </w:r>
    <w:r>
      <w:instrText xml:space="preserve"> PAGE </w:instrText>
    </w:r>
    <w:r>
      <w:fldChar w:fldCharType="separate"/>
    </w:r>
    <w:r>
      <w:t>7</w:t>
    </w:r>
    <w:r>
      <w:fldChar w:fldCharType="end"/>
    </w:r>
    <w:r>
      <w:t>/</w:t>
    </w:r>
    <w:r>
      <w:fldChar w:fldCharType="begin"/>
    </w:r>
    <w:r>
      <w:instrText xml:space="preserve"> NUMPAGES </w:instrText>
    </w:r>
    <w:r>
      <w:fldChar w:fldCharType="separate"/>
    </w:r>
    <w:r>
      <w:t>8</w:t>
    </w:r>
    <w:r>
      <w:fldChar w:fldCharType="end"/>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AM\1314149RO.docx</w:t>
    </w:r>
    <w:r>
      <w:rPr>
        <w:rStyle w:val="HideTWBExt"/>
      </w:rPr>
      <w:t>&lt;/PathFdR&gt;</w:t>
    </w:r>
    <w:r>
      <w:tab/>
    </w:r>
    <w:r>
      <w:tab/>
    </w:r>
    <w:r>
      <w:t>PE</w:t>
    </w:r>
    <w:r>
      <w:rPr>
        <w:rStyle w:val="HideTWBExt"/>
      </w:rPr>
      <w:t>&lt;NoPE&gt;</w:t>
    </w:r>
    <w:r>
      <w:t>768.053</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983</Words>
  <Characters>5916</Characters>
  <Application>Microsoft Office Word</Application>
  <DocSecurity>0</DocSecurity>
  <Lines>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1314149</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135861</vt:lpwstr>
  </property>
  <property fmtid="{D5CDD505-2E9C-101B-9397-08002B2CF9AE}" pid="7" name="dmxml.render.traceId">
    <vt:lpwstr>67c06a8319e64360200d00be78f3db62</vt:lpwstr>
  </property>
  <property fmtid="{D5CDD505-2E9C-101B-9397-08002B2CF9AE}" pid="8" name="FooterPath">
    <vt:lpwstr>AM\1314149RO.docx</vt:lpwstr>
  </property>
  <property fmtid="{D5CDD505-2E9C-101B-9397-08002B2CF9AE}" pid="9" name="PE Number">
    <vt:lpwstr>768.053</vt:lpwstr>
  </property>
  <property fmtid="{D5CDD505-2E9C-101B-9397-08002B2CF9AE}" pid="10" name="UID">
    <vt:lpwstr>eu.europa.europarl-DIN1-2025-0000011134_02.00-ro-01.00_text-xml</vt:lpwstr>
  </property>
</Properties>
</file>