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Europaparlamentet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Utskottet för medborgerliga fri- och rättigheter samt rättsliga och inrikes frågor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ÄNDRINGSFÖRSLAG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Förslag till yttrande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Inrättande av EU:s talangreserv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21 – punkt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Den befogenhet att anta delegerade akter som avses i artikel 14 ges till kommissionen för en period på fem år från och med den dag då denna förordning träder i kraft.</w:t>
            </w:r>
            <w:r>
              <w:t xml:space="preserve"> </w:t>
            </w:r>
            <w:r>
              <w:rPr>
                <w:b/>
                <w:i/>
              </w:rPr>
              <w:t>Kommissionen ska utarbeta en rapport om delegeringen av befogenhet senast nio månader före utgången av perioden på fem år.</w:t>
            </w:r>
            <w:r>
              <w:t xml:space="preserve"> </w:t>
            </w:r>
            <w:r>
              <w:rPr>
                <w:b/>
                <w:i/>
              </w:rPr>
              <w:t>Delegeringen av befogenhet ska genom tyst medgivande förlängas med perioder av samma längd, såvida inte Europaparlamentet eller rådet motsätter sig en sådan förlängning senast tre månader före utgången av perioden i fråga.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utgår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Senast den 31 december 2031 och därefter vart femte år ska kommissionen överlämna en rapport till Europaparlamentet, rådet, Europeiska ekonomiska och sociala kommittén och Regionkommittén om tillämpningen av denna förordning.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december 2031 och därefter vart femte år ska kommissionen överlämna en rapport till Europaparlamentet, rådet, Europeiska ekonomiska och sociala kommittén och Regionkommittén om tillämpningen av denna förordning </w:t>
            </w:r>
            <w:r>
              <w:rPr>
                <w:b/>
                <w:i/>
              </w:rPr>
              <w:t>och dess ändamålsenlighet när det gäller att nå dess mål</w:t>
            </w:r>
            <w:r>
              <w:t xml:space="preserve">. </w:t>
            </w:r>
            <w:r>
              <w:rPr>
                <w:b/>
                <w:i/>
              </w:rPr>
              <w:t>Rapporten ska bland annat innehålla en bedömning av följande frågor: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EU-talangreservens inverkan på EU:s arbetsmarknad, inbegripet en bedömning av EU-talangreservens ändamålsenlighet när det gäller att avhjälpa bristen på arbetskraft.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EU-talangreservens inverkan på arbetsmarknaderna och utvecklingen i tredjeländer.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Deltagarnas efterlevnad av kraven för registrering och deltagande i EU:s talangreserv samt arbetsnormer, lagstiftning och praxis.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Senast den 31 december 2031 och därefter vart femte år ska kommissionen överlämna en rapport till Europaparlamentet, rådet, Europeiska ekonomiska och sociala kommittén och Regionkommittén om tillämpningen av denna förordning.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december 2031 och därefter vart femte år ska kommissionen överlämna en rapport till Europaparlamentet, rådet, Europeiska ekonomiska och sociala kommittén och Regionkommittén om tillämpningen av denna förordning. </w:t>
            </w:r>
            <w:r>
              <w:rPr>
                <w:b/>
                <w:i/>
              </w:rPr>
              <w:t>Utvärderingen ska omfatta förordningens ändamålsenlighet när det gäller att avhjälpa kompetensbrist, locka talanger från tredjeländer och underlätta laglig arbetskraftsmigration.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december </w:t>
            </w:r>
            <w:r>
              <w:rPr>
                <w:b/>
                <w:i/>
              </w:rPr>
              <w:t>2031</w:t>
            </w:r>
            <w:r>
              <w:t xml:space="preserve"> och därefter </w:t>
            </w:r>
            <w:r>
              <w:rPr>
                <w:b/>
                <w:i/>
              </w:rPr>
              <w:t>vart femte</w:t>
            </w:r>
            <w:r>
              <w:t xml:space="preserve"> år ska kommissionen överlämna en rapport till Europaparlamentet, rådet, Europeiska ekonomiska och sociala kommittén och Regionkommittén om tillämpningen av denna förordning.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december </w:t>
            </w:r>
            <w:r>
              <w:rPr>
                <w:b/>
                <w:i/>
              </w:rPr>
              <w:t>samma år som talangreserven upprättas</w:t>
            </w:r>
            <w:r>
              <w:t xml:space="preserve"> och därefter </w:t>
            </w:r>
            <w:r>
              <w:rPr>
                <w:b/>
                <w:i/>
              </w:rPr>
              <w:t>varje</w:t>
            </w:r>
            <w:r>
              <w:t xml:space="preserve"> år ska kommissionen överlämna en rapport till Europaparlamentet, rådet, Europeiska ekonomiska och sociala kommittén och Regionkommittén om tillämpningen av denna förordning.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</w:t>
            </w:r>
            <w:r>
              <w:rPr>
                <w:b/>
                <w:i/>
              </w:rPr>
              <w:t>december 2031</w:t>
            </w:r>
            <w:r>
              <w:t xml:space="preserve"> och därefter vart femte år ska kommissionen överlämna en rapport till Europaparlamentet, rådet, Europeiska ekonomiska och sociala kommittén och Regionkommittén om tillämpningen av denna förordning.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Senast den 31 </w:t>
            </w:r>
            <w:r>
              <w:rPr>
                <w:b/>
                <w:i/>
              </w:rPr>
              <w:t>juni 2029</w:t>
            </w:r>
            <w:r>
              <w:t xml:space="preserve"> och därefter vart femte år ska kommissionen överlämna en rapport till Europaparlamentet, rådet, Europeiska ekonomiska och sociala kommittén och Regionkommittén om tillämpningen av denna förordning.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1a (ny)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 rapporten bör det fastställas huruvida och i vilken utsträckning förordningens mål uppnås, kostnaderna jämföras med fördelarna med EU:s talangreserv för de deltagande medlemsstaterna, och i viss utsträckning unionen som helhet, samt rekommendationer ges om hur förordningens ändamålsenlighet kan förbättras.</w:t>
            </w:r>
            <w:r>
              <w:t xml:space="preserve"> </w:t>
            </w:r>
            <w:r>
              <w:rPr>
                <w:b/>
                <w:i/>
              </w:rPr>
              <w:t>I rapportens slutsatser bör det fastställas huruvida kommissionen bör lägga fram ett förslag om att avbryta EU:s talangreserv i enlighet med artikel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23 – punkt 1a (ny)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Rapporten om tillämpningen får åtföljas av lagstiftningsförslag, särskilt för att förlänga tillämpningsperioden för denna förordning.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punkt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Denna förordning är till alla delar bindande och direkt tillämplig i </w:t>
            </w:r>
            <w:r>
              <w:rPr>
                <w:b/>
                <w:i/>
              </w:rPr>
              <w:t>de deltagande</w:t>
            </w:r>
            <w:r>
              <w:t xml:space="preserve"> medlemsstaterna i enlighet med fördragen.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Denna förordning är till alla delar bindande och direkt tillämplig i medlemsstaterna i enlighet med fördragen.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Artikel 24 – punkt 2a (ny)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Denna förordning ska tillämpas från och med den [dagen för ikraftträdandet] till och med den 31 december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Förteckning över bristyrken i hela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utgår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ISCO-kod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Förteckning över bristyrken i hela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utgår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Ändringsförslag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Förslag till förordning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Bilaga I – titeln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Kommissionens förslag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Ändringsförslag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Förteckning över bristyrken i hela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Vägledande</w:t>
            </w:r>
            <w:r>
              <w:t xml:space="preserve"> förteckning över bristyrken i hela EU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AM\1314149SV.docx</w:t>
    </w:r>
    <w:r>
      <w:rPr>
        <w:rStyle w:val="HideTWBExt"/>
      </w:rPr>
      <w:t>&lt;/PathFdR&gt;</w:t>
    </w:r>
  </w:p>
  <w:p>
    <w:pPr>
      <w:pStyle w:val="EPFooter2"/>
    </w:pPr>
    <w:r>
      <w:t>SV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AM\1314149SV.docx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SV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AM\1314149SV.docx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SV</w:t>
    </w:r>
    <w:r>
      <w:tab/>
    </w:r>
    <w:r>
      <w:rPr>
        <w:rStyle w:val="EPFooter2Motto"/>
      </w:rPr>
      <w:t>Förenade i mångfalden</w:t>
    </w:r>
    <w:r>
      <w:tab/>
    </w:r>
    <w:r>
      <w:t>SV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868</Words>
  <Characters>5639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136319</vt:lpwstr>
  </property>
  <property fmtid="{D5CDD505-2E9C-101B-9397-08002B2CF9AE}" pid="7" name="dmxml.render.traceId">
    <vt:lpwstr>67c0b1891ac6aba319254936faed6700</vt:lpwstr>
  </property>
  <property fmtid="{D5CDD505-2E9C-101B-9397-08002B2CF9AE}" pid="8" name="FooterPath">
    <vt:lpwstr>AM\1314149SV.docx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eu.europa.europarl-DIN1-2025-0000011134_02.00-sv-01.00_text-xml</vt:lpwstr>
  </property>
</Properties>
</file>