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7511E" w:rsidRPr="00901CFC" w:rsidTr="00C85D0F">
        <w:trPr>
          <w:trHeight w:hRule="exact" w:val="1418"/>
        </w:trPr>
        <w:tc>
          <w:tcPr>
            <w:tcW w:w="6804" w:type="dxa"/>
            <w:shd w:val="clear" w:color="auto" w:fill="auto"/>
            <w:vAlign w:val="center"/>
          </w:tcPr>
          <w:p w:rsidR="00FF31EC" w:rsidRPr="00901CFC" w:rsidRDefault="00673BC1" w:rsidP="00C85D0F">
            <w:pPr>
              <w:pStyle w:val="EPName"/>
            </w:pPr>
            <w:bookmarkStart w:id="0" w:name="_GoBack"/>
            <w:bookmarkEnd w:id="0"/>
            <w:r w:rsidRPr="00901CFC">
              <w:t>Parlamento Europeo</w:t>
            </w:r>
          </w:p>
          <w:p w:rsidR="00FF31EC" w:rsidRPr="00901CFC" w:rsidRDefault="00673BC1" w:rsidP="0057155B">
            <w:pPr>
              <w:pStyle w:val="EPTerm"/>
            </w:pPr>
            <w:r w:rsidRPr="00901CFC">
              <w:t>2024-2029</w:t>
            </w:r>
          </w:p>
        </w:tc>
        <w:tc>
          <w:tcPr>
            <w:tcW w:w="2268" w:type="dxa"/>
            <w:shd w:val="clear" w:color="auto" w:fill="auto"/>
          </w:tcPr>
          <w:p w:rsidR="00FF31EC" w:rsidRPr="00901CFC" w:rsidRDefault="00673BC1" w:rsidP="00C85D0F">
            <w:pPr>
              <w:pStyle w:val="EPLogo"/>
            </w:pPr>
            <w:r w:rsidRPr="00901CF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01CFC" w:rsidRDefault="000E7234" w:rsidP="000E7234">
      <w:pPr>
        <w:pStyle w:val="LineTop"/>
      </w:pPr>
    </w:p>
    <w:p w:rsidR="000E7234" w:rsidRPr="00901CFC" w:rsidRDefault="00673BC1" w:rsidP="000E7234">
      <w:pPr>
        <w:pStyle w:val="EPBody"/>
      </w:pPr>
      <w:r w:rsidRPr="00901CFC">
        <w:rPr>
          <w:rStyle w:val="HideTWBExt"/>
        </w:rPr>
        <w:t>&lt;</w:t>
      </w:r>
      <w:r w:rsidRPr="00901CFC">
        <w:rPr>
          <w:rStyle w:val="HideTWBExt"/>
          <w:i w:val="0"/>
        </w:rPr>
        <w:t>Commission</w:t>
      </w:r>
      <w:r w:rsidRPr="00901CFC">
        <w:rPr>
          <w:rStyle w:val="HideTWBExt"/>
        </w:rPr>
        <w:t>&gt;</w:t>
      </w:r>
      <w:r w:rsidRPr="00901CFC">
        <w:rPr>
          <w:rStyle w:val="HideTWBInt"/>
          <w:color w:val="auto"/>
        </w:rPr>
        <w:t>{LIBE}</w:t>
      </w:r>
      <w:r w:rsidRPr="00901CFC">
        <w:t>Comisión de Libertades Civiles, Justicia y Asuntos de Interior</w:t>
      </w:r>
      <w:r w:rsidRPr="00901CFC">
        <w:rPr>
          <w:rStyle w:val="HideTWBExt"/>
        </w:rPr>
        <w:t>&lt;/</w:t>
      </w:r>
      <w:r w:rsidRPr="00901CFC">
        <w:rPr>
          <w:rStyle w:val="HideTWBExt"/>
          <w:i w:val="0"/>
        </w:rPr>
        <w:t>Commission</w:t>
      </w:r>
      <w:r w:rsidRPr="00901CFC">
        <w:rPr>
          <w:rStyle w:val="HideTWBExt"/>
        </w:rPr>
        <w:t>&gt;</w:t>
      </w:r>
    </w:p>
    <w:p w:rsidR="000E7234" w:rsidRPr="00901CFC" w:rsidRDefault="000E7234" w:rsidP="000E7234">
      <w:pPr>
        <w:pStyle w:val="LineBottom"/>
      </w:pPr>
    </w:p>
    <w:p w:rsidR="00B85286" w:rsidRPr="00901CFC" w:rsidRDefault="00673BC1">
      <w:pPr>
        <w:pStyle w:val="CoverReference"/>
      </w:pPr>
      <w:r w:rsidRPr="00901CFC">
        <w:rPr>
          <w:rStyle w:val="HideTWBExt"/>
          <w:b w:val="0"/>
        </w:rPr>
        <w:t>&lt;RefProc&gt;</w:t>
      </w:r>
      <w:r w:rsidRPr="00901CFC">
        <w:t>2024/0051</w:t>
      </w:r>
      <w:r w:rsidRPr="00901CFC">
        <w:rPr>
          <w:rStyle w:val="HideTWBExt"/>
          <w:b w:val="0"/>
        </w:rPr>
        <w:t>&lt;/RefProc&gt;&lt;RefTypeProc&gt;</w:t>
      </w:r>
      <w:r w:rsidRPr="00901CFC">
        <w:t>(NLE)</w:t>
      </w:r>
      <w:r w:rsidRPr="00901CFC">
        <w:rPr>
          <w:rStyle w:val="HideTWBExt"/>
          <w:b w:val="0"/>
        </w:rPr>
        <w:t>&lt;/RefTypeProc&gt;</w:t>
      </w:r>
    </w:p>
    <w:p w:rsidR="00B85286" w:rsidRPr="00901CFC" w:rsidRDefault="00673BC1">
      <w:pPr>
        <w:pStyle w:val="CoverDate"/>
      </w:pPr>
      <w:r w:rsidRPr="00901CFC">
        <w:rPr>
          <w:rStyle w:val="HideTWBExt"/>
        </w:rPr>
        <w:t>&lt;Date&gt;</w:t>
      </w:r>
      <w:r w:rsidRPr="00901CFC">
        <w:rPr>
          <w:rStyle w:val="HideTWBInt"/>
          <w:color w:val="auto"/>
        </w:rPr>
        <w:t>{30/01/2025}</w:t>
      </w:r>
      <w:r w:rsidRPr="00901CFC">
        <w:t>3.2.2025</w:t>
      </w:r>
      <w:r w:rsidRPr="00901CFC">
        <w:rPr>
          <w:rStyle w:val="HideTWBExt"/>
        </w:rPr>
        <w:t>&lt;/Date&gt;</w:t>
      </w:r>
    </w:p>
    <w:p w:rsidR="009B0305" w:rsidRPr="00901CFC" w:rsidRDefault="00673BC1" w:rsidP="009B0305">
      <w:pPr>
        <w:pStyle w:val="CoverDocType"/>
      </w:pPr>
      <w:r w:rsidRPr="00901CFC">
        <w:rPr>
          <w:rStyle w:val="HideTWBExt"/>
          <w:b w:val="0"/>
        </w:rPr>
        <w:t>&lt;TypeAM&gt;</w:t>
      </w:r>
      <w:r w:rsidRPr="00901CFC">
        <w:t>ENMIENDA</w:t>
      </w:r>
      <w:r w:rsidRPr="00901CFC">
        <w:rPr>
          <w:rStyle w:val="HideTWBExt"/>
          <w:b w:val="0"/>
        </w:rPr>
        <w:t>&lt;/TypeAM&gt;</w:t>
      </w:r>
    </w:p>
    <w:p w:rsidR="00B85286" w:rsidRPr="00901CFC" w:rsidRDefault="00673BC1" w:rsidP="001C2054">
      <w:pPr>
        <w:pStyle w:val="CoverDocType24a"/>
      </w:pPr>
      <w:r w:rsidRPr="00901CFC">
        <w:rPr>
          <w:rStyle w:val="HideTWBExt"/>
          <w:b w:val="0"/>
        </w:rPr>
        <w:t>&lt;RangeAM&gt;</w:t>
      </w:r>
      <w:r w:rsidRPr="00901CFC">
        <w:t>1</w:t>
      </w:r>
      <w:r w:rsidRPr="00901CFC">
        <w:rPr>
          <w:rStyle w:val="HideTWBExt"/>
          <w:b w:val="0"/>
        </w:rPr>
        <w:t>&lt;/RangeAM&gt;</w:t>
      </w:r>
    </w:p>
    <w:p w:rsidR="001C2054" w:rsidRPr="00901CFC" w:rsidRDefault="00673BC1" w:rsidP="00A93F8C">
      <w:pPr>
        <w:pStyle w:val="CoverBold"/>
      </w:pPr>
      <w:r w:rsidRPr="00901CFC">
        <w:rPr>
          <w:rStyle w:val="HideTWBExt"/>
          <w:b w:val="0"/>
        </w:rPr>
        <w:t>&lt;TitreType&gt;</w:t>
      </w:r>
      <w:r w:rsidRPr="00901CFC">
        <w:t>Proyecto de Recomendación</w:t>
      </w:r>
      <w:r w:rsidRPr="00901CFC">
        <w:rPr>
          <w:rStyle w:val="HideTWBExt"/>
          <w:b w:val="0"/>
        </w:rPr>
        <w:t>&lt;/TitreType&gt;</w:t>
      </w:r>
    </w:p>
    <w:p w:rsidR="00B85286" w:rsidRPr="00901CFC" w:rsidRDefault="00673BC1" w:rsidP="00A93F8C">
      <w:pPr>
        <w:pStyle w:val="CoverBold"/>
      </w:pPr>
      <w:r w:rsidRPr="00901CFC">
        <w:rPr>
          <w:rStyle w:val="HideTWBExt"/>
          <w:b w:val="0"/>
        </w:rPr>
        <w:t>&lt;Rapporteur&gt;</w:t>
      </w:r>
      <w:r w:rsidRPr="00901CFC">
        <w:t>Nikola Minchev</w:t>
      </w:r>
      <w:r w:rsidRPr="00901CFC">
        <w:rPr>
          <w:rStyle w:val="HideTWBExt"/>
          <w:b w:val="0"/>
        </w:rPr>
        <w:t>&lt;/Rapporteur&gt;</w:t>
      </w:r>
    </w:p>
    <w:p w:rsidR="00B85286" w:rsidRPr="00901CFC" w:rsidRDefault="00673BC1">
      <w:pPr>
        <w:pStyle w:val="CoverNormal24a"/>
      </w:pPr>
      <w:r w:rsidRPr="00901CFC">
        <w:rPr>
          <w:rStyle w:val="HideTWBExt"/>
        </w:rPr>
        <w:t>&lt;DocRefPE&gt;</w:t>
      </w:r>
      <w:r w:rsidRPr="00901CFC">
        <w:t>(PE767.911v01-00)</w:t>
      </w:r>
      <w:r w:rsidRPr="00901CFC">
        <w:rPr>
          <w:rStyle w:val="HideTWBExt"/>
        </w:rPr>
        <w:t>&lt;/DocRefPE&gt;</w:t>
      </w:r>
    </w:p>
    <w:p w:rsidR="0057155B" w:rsidRPr="00901CFC" w:rsidRDefault="00673BC1" w:rsidP="0057155B">
      <w:pPr>
        <w:pStyle w:val="CoverNormal"/>
      </w:pPr>
      <w:r w:rsidRPr="00901CFC">
        <w:rPr>
          <w:rStyle w:val="HideTWBExt"/>
        </w:rPr>
        <w:t>&lt;Titre&gt;</w:t>
      </w:r>
      <w:r w:rsidRPr="00901CFC">
        <w:t xml:space="preserve">sobre el proyecto de Decisión del Consejo relativa a la celebración, en nombre de la Unión, del </w:t>
      </w:r>
      <w:r w:rsidRPr="00901CFC">
        <w:t>Acuerdo entre Canadá y la Unión Europea sobre la transferencia y el tratamiento de datos del registro de nombres de los pasajeros</w:t>
      </w:r>
    </w:p>
    <w:p w:rsidR="00B85286" w:rsidRPr="00901CFC" w:rsidRDefault="00673BC1">
      <w:pPr>
        <w:pStyle w:val="CoverNormal24a"/>
      </w:pPr>
      <w:r w:rsidRPr="00901CFC">
        <w:rPr>
          <w:rStyle w:val="HideTWBExt"/>
        </w:rPr>
        <w:t>&lt;/Titre&gt;</w:t>
      </w:r>
    </w:p>
    <w:p w:rsidR="006337D4" w:rsidRPr="00901CFC" w:rsidRDefault="00673BC1" w:rsidP="006337D4">
      <w:pPr>
        <w:pStyle w:val="CoverNormal"/>
      </w:pPr>
      <w:r w:rsidRPr="00901CFC">
        <w:rPr>
          <w:rStyle w:val="HideTWBExt"/>
        </w:rPr>
        <w:t>&lt;DocAmend&gt;</w:t>
      </w:r>
      <w:r w:rsidRPr="00901CFC">
        <w:t>Proyecto de Decisión</w:t>
      </w:r>
      <w:r w:rsidRPr="00901CFC">
        <w:rPr>
          <w:rStyle w:val="HideTWBExt"/>
        </w:rPr>
        <w:t>&lt;/DocAmend&gt;</w:t>
      </w:r>
    </w:p>
    <w:p w:rsidR="00B85286" w:rsidRPr="00901CFC" w:rsidRDefault="00673BC1">
      <w:pPr>
        <w:pStyle w:val="CoverNormal24a"/>
      </w:pPr>
      <w:r w:rsidRPr="00901CFC">
        <w:rPr>
          <w:rStyle w:val="HideTWBExt"/>
        </w:rPr>
        <w:t>&lt;DocRef&gt;</w:t>
      </w:r>
      <w:r w:rsidRPr="00901CFC">
        <w:t>(08897/2024 – C10</w:t>
      </w:r>
      <w:r w:rsidRPr="00901CFC">
        <w:noBreakHyphen/>
        <w:t>0125/2024 – 2024/0051(NLE))</w:t>
      </w:r>
      <w:r w:rsidRPr="00901CFC">
        <w:rPr>
          <w:rStyle w:val="HideTWBExt"/>
        </w:rPr>
        <w:t>&lt;/DocRef&gt;</w:t>
      </w:r>
    </w:p>
    <w:p w:rsidR="00B85286" w:rsidRPr="00901CFC" w:rsidRDefault="00673BC1" w:rsidP="005D3DD1">
      <w:pPr>
        <w:widowControl/>
        <w:tabs>
          <w:tab w:val="center" w:pos="4677"/>
        </w:tabs>
      </w:pPr>
      <w:r w:rsidRPr="00901CFC">
        <w:br w:type="page"/>
      </w:r>
      <w:r w:rsidRPr="00901CFC">
        <w:lastRenderedPageBreak/>
        <w:t>AM_Com_LegC</w:t>
      </w:r>
      <w:r w:rsidRPr="00901CFC">
        <w:t>onsent</w:t>
      </w:r>
    </w:p>
    <w:p w:rsidR="003E43AC" w:rsidRPr="00901CFC" w:rsidRDefault="00673BC1" w:rsidP="00695CC1">
      <w:pPr>
        <w:pStyle w:val="AmNumberTabs"/>
        <w:keepNext/>
      </w:pPr>
      <w:r w:rsidRPr="00901CFC">
        <w:br w:type="page"/>
      </w:r>
      <w:r w:rsidRPr="00901CFC">
        <w:rPr>
          <w:rStyle w:val="HideTWBExt"/>
          <w:b w:val="0"/>
        </w:rPr>
        <w:lastRenderedPageBreak/>
        <w:t>&lt;RepeatBlock-Amend&gt;</w:t>
      </w:r>
      <w:bookmarkStart w:id="1" w:name="restart"/>
      <w:r w:rsidRPr="00901CFC">
        <w:rPr>
          <w:rStyle w:val="HideTWBExt"/>
          <w:b w:val="0"/>
        </w:rPr>
        <w:t>&lt;Amend&gt;</w:t>
      </w:r>
      <w:r w:rsidRPr="00901CFC">
        <w:t>Enmienda</w:t>
      </w:r>
      <w:r w:rsidRPr="00901CFC">
        <w:tab/>
      </w:r>
      <w:r w:rsidRPr="00901CFC">
        <w:tab/>
      </w:r>
      <w:r w:rsidRPr="00901CFC">
        <w:rPr>
          <w:rStyle w:val="HideTWBExt"/>
          <w:b w:val="0"/>
        </w:rPr>
        <w:t>&lt;NumAm&gt;</w:t>
      </w:r>
      <w:r w:rsidRPr="00901CFC">
        <w:t>1</w:t>
      </w:r>
      <w:r w:rsidRPr="00901CFC">
        <w:rPr>
          <w:rStyle w:val="HideTWBExt"/>
          <w:b w:val="0"/>
        </w:rPr>
        <w:t>&lt;/NumAm&gt;</w:t>
      </w:r>
    </w:p>
    <w:p w:rsidR="005B32E3" w:rsidRPr="00901CFC" w:rsidRDefault="00673BC1" w:rsidP="005B32E3">
      <w:pPr>
        <w:pStyle w:val="NormalBold"/>
      </w:pPr>
      <w:r w:rsidRPr="00901CFC">
        <w:rPr>
          <w:rStyle w:val="HideTWBExt"/>
          <w:b w:val="0"/>
        </w:rPr>
        <w:t>&lt;RepeatBlock-By&gt;&lt;Members&gt;</w:t>
      </w:r>
      <w:r w:rsidRPr="00901CFC">
        <w:t>Özlem Demirel</w:t>
      </w:r>
      <w:r w:rsidRPr="00901CFC">
        <w:rPr>
          <w:rStyle w:val="HideTWBExt"/>
          <w:b w:val="0"/>
        </w:rPr>
        <w:t>&lt;/Members&gt;</w:t>
      </w:r>
    </w:p>
    <w:p w:rsidR="005B32E3" w:rsidRPr="00901CFC" w:rsidRDefault="00673BC1" w:rsidP="005B32E3">
      <w:r w:rsidRPr="00901CFC">
        <w:rPr>
          <w:rStyle w:val="HideTWBExt"/>
        </w:rPr>
        <w:t>&lt;/RepeatBlock-By&gt;</w:t>
      </w:r>
    </w:p>
    <w:p w:rsidR="009B0305" w:rsidRPr="00901CFC" w:rsidRDefault="00673BC1" w:rsidP="005B32E3">
      <w:pPr>
        <w:pStyle w:val="NormalBold"/>
      </w:pPr>
      <w:r w:rsidRPr="00901CFC">
        <w:rPr>
          <w:rStyle w:val="HideTWBExt"/>
          <w:b w:val="0"/>
        </w:rPr>
        <w:t>&lt;DocAmend&gt;</w:t>
      </w:r>
      <w:r w:rsidRPr="00901CFC">
        <w:t>Proyecto de Resolución legislativa</w:t>
      </w:r>
      <w:r w:rsidRPr="00901CFC">
        <w:rPr>
          <w:rStyle w:val="HideTWBExt"/>
          <w:b w:val="0"/>
        </w:rPr>
        <w:t>&lt;/DocAmend&gt;</w:t>
      </w:r>
    </w:p>
    <w:p w:rsidR="008F0DDD" w:rsidRPr="00901CFC" w:rsidRDefault="00673BC1" w:rsidP="00F459F7">
      <w:pPr>
        <w:pStyle w:val="NormalBold"/>
      </w:pPr>
      <w:r w:rsidRPr="00901CFC">
        <w:rPr>
          <w:rStyle w:val="HideTWBExt"/>
          <w:b w:val="0"/>
        </w:rPr>
        <w:t>&lt;Article&gt;</w:t>
      </w:r>
      <w:r w:rsidRPr="00901CFC">
        <w:t>Apartado 1</w:t>
      </w:r>
      <w:r w:rsidRPr="00901CF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7511E" w:rsidRPr="00901CFC">
        <w:trPr>
          <w:jc w:val="center"/>
        </w:trPr>
        <w:tc>
          <w:tcPr>
            <w:tcW w:w="9752" w:type="dxa"/>
            <w:gridSpan w:val="2"/>
          </w:tcPr>
          <w:p w:rsidR="00FA192C" w:rsidRPr="00901CFC" w:rsidRDefault="00FA192C" w:rsidP="00A233E9">
            <w:pPr>
              <w:keepNext/>
            </w:pPr>
          </w:p>
        </w:tc>
      </w:tr>
      <w:tr w:rsidR="00B7511E" w:rsidRPr="00901CFC">
        <w:trPr>
          <w:jc w:val="center"/>
        </w:trPr>
        <w:tc>
          <w:tcPr>
            <w:tcW w:w="4876" w:type="dxa"/>
          </w:tcPr>
          <w:p w:rsidR="00FA192C" w:rsidRPr="00901CFC" w:rsidRDefault="00673BC1" w:rsidP="00CB2746">
            <w:pPr>
              <w:pStyle w:val="AmColumnHeading"/>
              <w:keepNext/>
            </w:pPr>
            <w:r w:rsidRPr="00901CFC">
              <w:t>Proyecto de Resolución legislativa</w:t>
            </w:r>
          </w:p>
        </w:tc>
        <w:tc>
          <w:tcPr>
            <w:tcW w:w="4876" w:type="dxa"/>
          </w:tcPr>
          <w:p w:rsidR="00FA192C" w:rsidRPr="00901CFC" w:rsidRDefault="00673BC1" w:rsidP="00A233E9">
            <w:pPr>
              <w:pStyle w:val="AmColumnHeading"/>
              <w:keepNext/>
            </w:pPr>
            <w:r w:rsidRPr="00901CFC">
              <w:t>Enmienda</w:t>
            </w:r>
          </w:p>
        </w:tc>
      </w:tr>
      <w:tr w:rsidR="00B7511E" w:rsidRPr="00901CFC">
        <w:trPr>
          <w:jc w:val="center"/>
        </w:trPr>
        <w:tc>
          <w:tcPr>
            <w:tcW w:w="4876" w:type="dxa"/>
          </w:tcPr>
          <w:p w:rsidR="00FA192C" w:rsidRPr="00901CFC" w:rsidRDefault="00673BC1" w:rsidP="0057155B">
            <w:pPr>
              <w:pStyle w:val="Normal6a"/>
            </w:pPr>
            <w:r w:rsidRPr="00901CFC">
              <w:t xml:space="preserve">1. </w:t>
            </w:r>
            <w:r w:rsidRPr="00901CFC">
              <w:rPr>
                <w:b/>
                <w:bCs/>
                <w:i/>
                <w:iCs/>
              </w:rPr>
              <w:t>Concede</w:t>
            </w:r>
            <w:r w:rsidRPr="00901CFC">
              <w:t xml:space="preserve"> su aprobación a la celebración del Acuerdo;</w:t>
            </w:r>
          </w:p>
        </w:tc>
        <w:tc>
          <w:tcPr>
            <w:tcW w:w="4876" w:type="dxa"/>
          </w:tcPr>
          <w:p w:rsidR="00FA192C" w:rsidRPr="00901CFC" w:rsidRDefault="00673BC1" w:rsidP="0057155B">
            <w:pPr>
              <w:pStyle w:val="Normal6a"/>
              <w:rPr>
                <w:szCs w:val="24"/>
              </w:rPr>
            </w:pPr>
            <w:r w:rsidRPr="00901CFC">
              <w:t xml:space="preserve">1. </w:t>
            </w:r>
            <w:r w:rsidRPr="00901CFC">
              <w:rPr>
                <w:b/>
                <w:bCs/>
                <w:i/>
                <w:iCs/>
              </w:rPr>
              <w:t>Deniega</w:t>
            </w:r>
            <w:r w:rsidRPr="00901CFC">
              <w:t xml:space="preserve"> su aprobación a la celebración del Acuerdo;</w:t>
            </w:r>
          </w:p>
        </w:tc>
      </w:tr>
    </w:tbl>
    <w:p w:rsidR="00FA192C" w:rsidRPr="00901CFC" w:rsidRDefault="00673BC1" w:rsidP="009A65D8">
      <w:pPr>
        <w:pStyle w:val="AmOrLang"/>
      </w:pPr>
      <w:r w:rsidRPr="00901CFC">
        <w:t xml:space="preserve">Or. </w:t>
      </w:r>
      <w:r w:rsidRPr="00901CFC">
        <w:rPr>
          <w:rStyle w:val="HideTWBExt"/>
          <w:noProof w:val="0"/>
        </w:rPr>
        <w:t>&lt;Original&gt;</w:t>
      </w:r>
      <w:r w:rsidR="0057155B" w:rsidRPr="00901CFC">
        <w:rPr>
          <w:rStyle w:val="HideTWBInt"/>
        </w:rPr>
        <w:t>{EN}</w:t>
      </w:r>
      <w:r w:rsidR="0057155B" w:rsidRPr="00901CFC">
        <w:t>en</w:t>
      </w:r>
      <w:r w:rsidRPr="00901CFC">
        <w:rPr>
          <w:rStyle w:val="HideTWBExt"/>
          <w:noProof w:val="0"/>
        </w:rPr>
        <w:t>&lt;/Original&gt;</w:t>
      </w:r>
    </w:p>
    <w:p w:rsidR="00FA192C" w:rsidRPr="00901CFC" w:rsidRDefault="00673BC1" w:rsidP="00FA192C">
      <w:pPr>
        <w:pStyle w:val="AmJustTitle"/>
      </w:pPr>
      <w:r w:rsidRPr="00901CFC">
        <w:rPr>
          <w:rStyle w:val="HideTWBExt"/>
          <w:i w:val="0"/>
        </w:rPr>
        <w:t>&lt;TitreJust&gt;</w:t>
      </w:r>
      <w:r w:rsidRPr="00901CFC">
        <w:t>Justificación</w:t>
      </w:r>
      <w:r w:rsidRPr="00901CFC">
        <w:rPr>
          <w:rStyle w:val="HideTWBExt"/>
          <w:i w:val="0"/>
        </w:rPr>
        <w:t>&lt;/TitreJust&gt;</w:t>
      </w:r>
    </w:p>
    <w:p w:rsidR="0057155B" w:rsidRPr="00901CFC" w:rsidRDefault="00673BC1" w:rsidP="0057155B">
      <w:pPr>
        <w:pStyle w:val="AmJustText"/>
        <w:jc w:val="both"/>
        <w:rPr>
          <w:szCs w:val="24"/>
        </w:rPr>
      </w:pPr>
      <w:r w:rsidRPr="00901CFC">
        <w:t xml:space="preserve"> El nuevo proyecto de Acuerdo PNR UE-Canadá, negociado por la </w:t>
      </w:r>
      <w:r w:rsidRPr="00901CFC">
        <w:t xml:space="preserve">Comisión, incumple la sentencia del Tribunal de Justicia de la Unión Europea, que ya invalidó el Acuerdo PNR de la UE con Canadá en 2019. En particular, el nuevo proyecto de Acuerdo resulta insuficiente en varios ámbitos clave cuando se evalúa con arreglo </w:t>
      </w:r>
      <w:r w:rsidRPr="00901CFC">
        <w:t>a las normas establecidas en la legislación de la UE en materia de protección de datos. El amplio alcance de la recogida de datos del Acuerdo, los largos períodos de conservación (aún de cinco años, en algunos casos), la limitada transparencia y las insufi</w:t>
      </w:r>
      <w:r w:rsidRPr="00901CFC">
        <w:t>cientes garantías para las transferencias internacionales de datos suscitan importantes preocupaciones desde el punto de vista de la protección de datos. Para ajustarse plenamente a la legislación de la UE en materia de protección de datos, el Acuerdo debe</w:t>
      </w:r>
      <w:r w:rsidRPr="00901CFC">
        <w:t xml:space="preserve">ría incorporar limitaciones más estrictas a la recogida y conservación de datos, mejorar la transparencia y los derechos individuales y garantizar mecanismos sólidos de supervisión y rendición de cuentas. Además, a pesar de estos riesgos y preocupaciones, </w:t>
      </w:r>
      <w:r w:rsidRPr="00901CFC">
        <w:t>la Comisión no solicitó un dictamen del SEPD y no facilitó el proyecto al Parlamento hasta una vez concluidas las negociaciones, lo que demuestra una clara falta de transparencia.</w:t>
      </w:r>
    </w:p>
    <w:p w:rsidR="00FA192C" w:rsidRPr="00901CFC" w:rsidRDefault="00FA192C" w:rsidP="00FA192C">
      <w:pPr>
        <w:pStyle w:val="AmJustText"/>
      </w:pPr>
    </w:p>
    <w:p w:rsidR="00166CCB" w:rsidRPr="00901CFC" w:rsidRDefault="00673BC1" w:rsidP="00A5426B">
      <w:r w:rsidRPr="00901CFC">
        <w:rPr>
          <w:rStyle w:val="HideTWBExt"/>
        </w:rPr>
        <w:t>&lt;/Amend&gt;</w:t>
      </w:r>
      <w:bookmarkEnd w:id="1"/>
    </w:p>
    <w:p w:rsidR="00FA192C" w:rsidRPr="00901CFC" w:rsidRDefault="00673BC1" w:rsidP="00FA192C">
      <w:r w:rsidRPr="00901CFC">
        <w:rPr>
          <w:rStyle w:val="HideTWBExt"/>
        </w:rPr>
        <w:t>&lt;/RepeatBlock-Amend&gt;</w:t>
      </w:r>
    </w:p>
    <w:p w:rsidR="008363E4" w:rsidRPr="00901CFC" w:rsidRDefault="008363E4" w:rsidP="00FA192C"/>
    <w:sectPr w:rsidR="008363E4" w:rsidRPr="00901CFC" w:rsidSect="00901C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01CFC" w:rsidRDefault="00673BC1">
      <w:r w:rsidRPr="00901CFC">
        <w:separator/>
      </w:r>
    </w:p>
  </w:endnote>
  <w:endnote w:type="continuationSeparator" w:id="0">
    <w:p w:rsidR="00000000" w:rsidRPr="00901CFC" w:rsidRDefault="00673BC1">
      <w:r w:rsidRPr="00901C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CFC" w:rsidRPr="00901CFC" w:rsidRDefault="00901CFC" w:rsidP="00901CFC">
    <w:pPr>
      <w:pStyle w:val="EPFooter"/>
    </w:pPr>
    <w:r w:rsidRPr="00901CFC">
      <w:t>PE</w:t>
    </w:r>
    <w:r w:rsidRPr="00901CFC">
      <w:rPr>
        <w:rStyle w:val="HideTWBExt"/>
      </w:rPr>
      <w:t>&lt;NoPE&gt;</w:t>
    </w:r>
    <w:r w:rsidRPr="00901CFC">
      <w:t>768.080</w:t>
    </w:r>
    <w:r w:rsidRPr="00901CFC">
      <w:rPr>
        <w:rStyle w:val="HideTWBExt"/>
      </w:rPr>
      <w:t>&lt;/NoPE&gt;&lt;Version&gt;</w:t>
    </w:r>
    <w:r w:rsidRPr="00901CFC">
      <w:t>v01-00</w:t>
    </w:r>
    <w:r w:rsidRPr="00901CFC">
      <w:rPr>
        <w:rStyle w:val="HideTWBExt"/>
      </w:rPr>
      <w:t>&lt;/Version&gt;</w:t>
    </w:r>
    <w:r w:rsidRPr="00901CFC">
      <w:tab/>
    </w:r>
    <w:r w:rsidRPr="00901CFC">
      <w:fldChar w:fldCharType="begin"/>
    </w:r>
    <w:r w:rsidRPr="00901CFC">
      <w:instrText xml:space="preserve"> PAGE  \* MERGEFORMAT </w:instrText>
    </w:r>
    <w:r w:rsidRPr="00901CFC">
      <w:fldChar w:fldCharType="separate"/>
    </w:r>
    <w:r w:rsidR="00673BC1">
      <w:rPr>
        <w:noProof/>
      </w:rPr>
      <w:t>2</w:t>
    </w:r>
    <w:r w:rsidRPr="00901CFC">
      <w:fldChar w:fldCharType="end"/>
    </w:r>
    <w:r w:rsidRPr="00901CFC">
      <w:t>/</w:t>
    </w:r>
    <w:fldSimple w:instr=" NUMPAGES  \* MERGEFORMAT ">
      <w:r w:rsidR="00673BC1">
        <w:rPr>
          <w:noProof/>
        </w:rPr>
        <w:t>3</w:t>
      </w:r>
    </w:fldSimple>
    <w:r w:rsidRPr="00901CFC">
      <w:tab/>
    </w:r>
    <w:r w:rsidRPr="00901CFC">
      <w:rPr>
        <w:rStyle w:val="HideTWBExt"/>
      </w:rPr>
      <w:t>&lt;PathFdR&gt;</w:t>
    </w:r>
    <w:r w:rsidRPr="00901CFC">
      <w:t>AM\1314265ES.docx</w:t>
    </w:r>
    <w:r w:rsidRPr="00901CFC">
      <w:rPr>
        <w:rStyle w:val="HideTWBExt"/>
      </w:rPr>
      <w:t>&lt;/PathFdR&gt;</w:t>
    </w:r>
  </w:p>
  <w:p w:rsidR="00D82FCC" w:rsidRPr="00901CFC" w:rsidRDefault="00901CFC" w:rsidP="00901CFC">
    <w:pPr>
      <w:pStyle w:val="EPFooter2"/>
    </w:pPr>
    <w:r w:rsidRPr="00901CF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CFC" w:rsidRPr="00901CFC" w:rsidRDefault="00901CFC" w:rsidP="00901CFC">
    <w:pPr>
      <w:pStyle w:val="EPFooter"/>
    </w:pPr>
    <w:r w:rsidRPr="00901CFC">
      <w:rPr>
        <w:rStyle w:val="HideTWBExt"/>
      </w:rPr>
      <w:t>&lt;PathFdR&gt;</w:t>
    </w:r>
    <w:r w:rsidRPr="00901CFC">
      <w:t>AM\1314265ES.docx</w:t>
    </w:r>
    <w:r w:rsidRPr="00901CFC">
      <w:rPr>
        <w:rStyle w:val="HideTWBExt"/>
      </w:rPr>
      <w:t>&lt;/PathFdR&gt;</w:t>
    </w:r>
    <w:r w:rsidRPr="00901CFC">
      <w:tab/>
    </w:r>
    <w:r w:rsidRPr="00901CFC">
      <w:fldChar w:fldCharType="begin"/>
    </w:r>
    <w:r w:rsidRPr="00901CFC">
      <w:instrText xml:space="preserve"> PAGE  \* MERGEFORMAT </w:instrText>
    </w:r>
    <w:r w:rsidRPr="00901CFC">
      <w:fldChar w:fldCharType="separate"/>
    </w:r>
    <w:r w:rsidR="00673BC1">
      <w:rPr>
        <w:noProof/>
      </w:rPr>
      <w:t>3</w:t>
    </w:r>
    <w:r w:rsidRPr="00901CFC">
      <w:fldChar w:fldCharType="end"/>
    </w:r>
    <w:r w:rsidRPr="00901CFC">
      <w:t>/</w:t>
    </w:r>
    <w:fldSimple w:instr=" NUMPAGES  \* MERGEFORMAT ">
      <w:r w:rsidR="00673BC1">
        <w:rPr>
          <w:noProof/>
        </w:rPr>
        <w:t>3</w:t>
      </w:r>
    </w:fldSimple>
    <w:r w:rsidRPr="00901CFC">
      <w:tab/>
      <w:t>PE</w:t>
    </w:r>
    <w:r w:rsidRPr="00901CFC">
      <w:rPr>
        <w:rStyle w:val="HideTWBExt"/>
      </w:rPr>
      <w:t>&lt;NoPE&gt;</w:t>
    </w:r>
    <w:r w:rsidRPr="00901CFC">
      <w:t>768.080</w:t>
    </w:r>
    <w:r w:rsidRPr="00901CFC">
      <w:rPr>
        <w:rStyle w:val="HideTWBExt"/>
      </w:rPr>
      <w:t>&lt;/NoPE&gt;&lt;Version&gt;</w:t>
    </w:r>
    <w:r w:rsidRPr="00901CFC">
      <w:t>v01-00</w:t>
    </w:r>
    <w:r w:rsidRPr="00901CFC">
      <w:rPr>
        <w:rStyle w:val="HideTWBExt"/>
      </w:rPr>
      <w:t>&lt;/Version&gt;</w:t>
    </w:r>
  </w:p>
  <w:p w:rsidR="00D82FCC" w:rsidRPr="00901CFC" w:rsidRDefault="00901CFC" w:rsidP="00901CFC">
    <w:pPr>
      <w:pStyle w:val="EPFooter2"/>
    </w:pPr>
    <w:r w:rsidRPr="00901CFC">
      <w:tab/>
    </w:r>
    <w:r w:rsidRPr="00901CF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1CFC" w:rsidRPr="00901CFC" w:rsidRDefault="00901CFC" w:rsidP="00901CFC">
    <w:pPr>
      <w:pStyle w:val="EPFooter"/>
    </w:pPr>
    <w:r w:rsidRPr="00901CFC">
      <w:rPr>
        <w:rStyle w:val="HideTWBExt"/>
      </w:rPr>
      <w:t>&lt;PathFdR&gt;</w:t>
    </w:r>
    <w:r w:rsidRPr="00901CFC">
      <w:t>AM\1314265ES.docx</w:t>
    </w:r>
    <w:r w:rsidRPr="00901CFC">
      <w:rPr>
        <w:rStyle w:val="HideTWBExt"/>
      </w:rPr>
      <w:t>&lt;/PathFdR&gt;</w:t>
    </w:r>
    <w:r w:rsidRPr="00901CFC">
      <w:tab/>
    </w:r>
    <w:r w:rsidRPr="00901CFC">
      <w:tab/>
      <w:t>PE</w:t>
    </w:r>
    <w:r w:rsidRPr="00901CFC">
      <w:rPr>
        <w:rStyle w:val="HideTWBExt"/>
      </w:rPr>
      <w:t>&lt;NoPE&gt;</w:t>
    </w:r>
    <w:r w:rsidRPr="00901CFC">
      <w:t>768.080</w:t>
    </w:r>
    <w:r w:rsidRPr="00901CFC">
      <w:rPr>
        <w:rStyle w:val="HideTWBExt"/>
      </w:rPr>
      <w:t>&lt;/NoPE&gt;&lt;Version&gt;</w:t>
    </w:r>
    <w:r w:rsidRPr="00901CFC">
      <w:t>v01-00</w:t>
    </w:r>
    <w:r w:rsidRPr="00901CFC">
      <w:rPr>
        <w:rStyle w:val="HideTWBExt"/>
      </w:rPr>
      <w:t>&lt;/Version&gt;</w:t>
    </w:r>
  </w:p>
  <w:p w:rsidR="00D82FCC" w:rsidRPr="00901CFC" w:rsidRDefault="00901CFC" w:rsidP="00901CFC">
    <w:pPr>
      <w:pStyle w:val="EPFooter2"/>
    </w:pPr>
    <w:r w:rsidRPr="00901CFC">
      <w:t>ES</w:t>
    </w:r>
    <w:r w:rsidRPr="00901CFC">
      <w:tab/>
    </w:r>
    <w:r w:rsidRPr="00901CFC">
      <w:rPr>
        <w:b w:val="0"/>
        <w:i/>
        <w:color w:val="C0C0C0"/>
        <w:sz w:val="22"/>
      </w:rPr>
      <w:t>Unida en la diversidad</w:t>
    </w:r>
    <w:r w:rsidRPr="00901CF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01CFC" w:rsidRDefault="00673BC1">
      <w:r w:rsidRPr="00901CFC">
        <w:separator/>
      </w:r>
    </w:p>
  </w:footnote>
  <w:footnote w:type="continuationSeparator" w:id="0">
    <w:p w:rsidR="00000000" w:rsidRPr="00901CFC" w:rsidRDefault="00673BC1">
      <w:r w:rsidRPr="00901C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BC1" w:rsidRDefault="00673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BC1" w:rsidRDefault="00673B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BC1" w:rsidRDefault="00673B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73BC1"/>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1CFC"/>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511E"/>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AD9D6"/>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117F2-6C05-4A57-AE0A-DC6ECB904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304</Words>
  <Characters>1702</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2025-02-07T09:33:00Z</dcterms:created>
  <dcterms:modified xsi:type="dcterms:W3CDTF">2025-02-07T09:33:00Z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AM\1314265ES.docx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- 2025/02/07 10:32</vt:lpwstr>
  </property>
</Properties>
</file>