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30AB" w:rsidRPr="00D71BD5" w:rsidTr="00C85D0F">
        <w:trPr>
          <w:trHeight w:hRule="exact" w:val="1418"/>
        </w:trPr>
        <w:tc>
          <w:tcPr>
            <w:tcW w:w="6804" w:type="dxa"/>
            <w:shd w:val="clear" w:color="auto" w:fill="auto"/>
            <w:vAlign w:val="center"/>
          </w:tcPr>
          <w:p w:rsidR="00FF31EC" w:rsidRPr="00D71BD5" w:rsidRDefault="008C26A9" w:rsidP="00C85D0F">
            <w:pPr>
              <w:pStyle w:val="EPName"/>
            </w:pPr>
            <w:r w:rsidRPr="00D71BD5">
              <w:t>Euroopan parlamentti</w:t>
            </w:r>
          </w:p>
          <w:p w:rsidR="00FF31EC" w:rsidRPr="00D71BD5" w:rsidRDefault="008C26A9" w:rsidP="0057155B">
            <w:pPr>
              <w:pStyle w:val="EPTerm"/>
            </w:pPr>
            <w:r w:rsidRPr="00D71BD5">
              <w:t>2024-2029</w:t>
            </w:r>
          </w:p>
        </w:tc>
        <w:tc>
          <w:tcPr>
            <w:tcW w:w="2268" w:type="dxa"/>
            <w:shd w:val="clear" w:color="auto" w:fill="auto"/>
          </w:tcPr>
          <w:p w:rsidR="00FF31EC" w:rsidRPr="00D71BD5" w:rsidRDefault="008C26A9" w:rsidP="00C85D0F">
            <w:pPr>
              <w:pStyle w:val="EPLogo"/>
            </w:pPr>
            <w:r w:rsidRPr="00D71BD5">
              <w:rPr>
                <w:noProof/>
                <w:lang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71BD5" w:rsidRDefault="000E7234" w:rsidP="000E7234">
      <w:pPr>
        <w:pStyle w:val="LineTop"/>
      </w:pPr>
    </w:p>
    <w:p w:rsidR="000E7234" w:rsidRPr="00D71BD5" w:rsidRDefault="008C26A9" w:rsidP="000E7234">
      <w:pPr>
        <w:pStyle w:val="EPBody"/>
      </w:pPr>
      <w:r w:rsidRPr="00D71BD5">
        <w:rPr>
          <w:rStyle w:val="HideTWBExt"/>
        </w:rPr>
        <w:t>&lt;</w:t>
      </w:r>
      <w:r w:rsidRPr="00D71BD5">
        <w:rPr>
          <w:rStyle w:val="HideTWBExt"/>
          <w:i w:val="0"/>
        </w:rPr>
        <w:t>Commission</w:t>
      </w:r>
      <w:r w:rsidRPr="00D71BD5">
        <w:rPr>
          <w:rStyle w:val="HideTWBExt"/>
        </w:rPr>
        <w:t>&gt;</w:t>
      </w:r>
      <w:r w:rsidRPr="00D71BD5">
        <w:rPr>
          <w:rStyle w:val="HideTWBInt"/>
          <w:color w:val="auto"/>
        </w:rPr>
        <w:t>{LIBE}</w:t>
      </w:r>
      <w:r w:rsidRPr="00D71BD5">
        <w:t>Kansalaisvapauksien sekä oikeus- ja sisäasioiden valiokunta</w:t>
      </w:r>
      <w:r w:rsidRPr="00D71BD5">
        <w:rPr>
          <w:rStyle w:val="HideTWBExt"/>
        </w:rPr>
        <w:t>&lt;/</w:t>
      </w:r>
      <w:r w:rsidRPr="00D71BD5">
        <w:rPr>
          <w:rStyle w:val="HideTWBExt"/>
          <w:i w:val="0"/>
        </w:rPr>
        <w:t>Commission</w:t>
      </w:r>
      <w:r w:rsidRPr="00D71BD5">
        <w:rPr>
          <w:rStyle w:val="HideTWBExt"/>
        </w:rPr>
        <w:t>&gt;</w:t>
      </w:r>
    </w:p>
    <w:p w:rsidR="000E7234" w:rsidRPr="00D71BD5" w:rsidRDefault="000E7234" w:rsidP="000E7234">
      <w:pPr>
        <w:pStyle w:val="LineBottom"/>
      </w:pPr>
    </w:p>
    <w:p w:rsidR="00B85286" w:rsidRPr="00D71BD5" w:rsidRDefault="008C26A9">
      <w:pPr>
        <w:pStyle w:val="CoverReference"/>
      </w:pPr>
      <w:r w:rsidRPr="00D71BD5">
        <w:rPr>
          <w:rStyle w:val="HideTWBExt"/>
          <w:b w:val="0"/>
        </w:rPr>
        <w:t>&lt;RefProc&gt;</w:t>
      </w:r>
      <w:r w:rsidRPr="00D71BD5">
        <w:t>2024/0051</w:t>
      </w:r>
      <w:r w:rsidRPr="00D71BD5">
        <w:rPr>
          <w:rStyle w:val="HideTWBExt"/>
          <w:b w:val="0"/>
        </w:rPr>
        <w:t>&lt;/RefProc&gt;&lt;RefTypeProc&gt;</w:t>
      </w:r>
      <w:r w:rsidRPr="00D71BD5">
        <w:t>(NLE)</w:t>
      </w:r>
      <w:r w:rsidRPr="00D71BD5">
        <w:rPr>
          <w:rStyle w:val="HideTWBExt"/>
          <w:b w:val="0"/>
        </w:rPr>
        <w:t>&lt;/RefTypeProc&gt;</w:t>
      </w:r>
    </w:p>
    <w:p w:rsidR="00B85286" w:rsidRPr="00D71BD5" w:rsidRDefault="008C26A9">
      <w:pPr>
        <w:pStyle w:val="CoverDate"/>
      </w:pPr>
      <w:r w:rsidRPr="00D71BD5">
        <w:rPr>
          <w:rStyle w:val="HideTWBExt"/>
        </w:rPr>
        <w:t>&lt;Date&gt;</w:t>
      </w:r>
      <w:r w:rsidRPr="00D71BD5">
        <w:rPr>
          <w:rStyle w:val="HideTWBInt"/>
          <w:color w:val="auto"/>
        </w:rPr>
        <w:t>{30/01/2025}</w:t>
      </w:r>
      <w:r w:rsidRPr="00D71BD5">
        <w:t>3.2.2025</w:t>
      </w:r>
      <w:r w:rsidRPr="00D71BD5">
        <w:rPr>
          <w:rStyle w:val="HideTWBExt"/>
        </w:rPr>
        <w:t>&lt;/Date&gt;</w:t>
      </w:r>
    </w:p>
    <w:p w:rsidR="009B0305" w:rsidRPr="00D71BD5" w:rsidRDefault="008C26A9" w:rsidP="009B0305">
      <w:pPr>
        <w:pStyle w:val="CoverDocType"/>
      </w:pPr>
      <w:r w:rsidRPr="00D71BD5">
        <w:rPr>
          <w:rStyle w:val="HideTWBExt"/>
          <w:b w:val="0"/>
        </w:rPr>
        <w:t>&lt;TypeAM&gt;</w:t>
      </w:r>
      <w:r w:rsidRPr="00D71BD5">
        <w:t>TARKISTUS</w:t>
      </w:r>
      <w:r w:rsidRPr="00D71BD5">
        <w:rPr>
          <w:rStyle w:val="HideTWBExt"/>
          <w:b w:val="0"/>
        </w:rPr>
        <w:t>&lt;/TypeAM&gt;</w:t>
      </w:r>
    </w:p>
    <w:p w:rsidR="00B85286" w:rsidRPr="00D71BD5" w:rsidRDefault="008C26A9" w:rsidP="001C2054">
      <w:pPr>
        <w:pStyle w:val="CoverDocType24a"/>
      </w:pPr>
      <w:r w:rsidRPr="00D71BD5">
        <w:rPr>
          <w:rStyle w:val="HideTWBExt"/>
          <w:b w:val="0"/>
        </w:rPr>
        <w:t>&lt;RangeAM&gt;</w:t>
      </w:r>
      <w:r w:rsidRPr="00D71BD5">
        <w:t>1</w:t>
      </w:r>
      <w:r w:rsidRPr="00D71BD5">
        <w:rPr>
          <w:rStyle w:val="HideTWBExt"/>
          <w:b w:val="0"/>
        </w:rPr>
        <w:t>&lt;/RangeAM&gt;</w:t>
      </w:r>
    </w:p>
    <w:p w:rsidR="001C2054" w:rsidRPr="00D71BD5" w:rsidRDefault="008C26A9" w:rsidP="00A93F8C">
      <w:pPr>
        <w:pStyle w:val="CoverBold"/>
      </w:pPr>
      <w:r w:rsidRPr="00D71BD5">
        <w:rPr>
          <w:rStyle w:val="HideTWBExt"/>
          <w:b w:val="0"/>
        </w:rPr>
        <w:t>&lt;TitreType&gt;</w:t>
      </w:r>
      <w:r w:rsidRPr="00D71BD5">
        <w:t>Suositusluonnos</w:t>
      </w:r>
      <w:r w:rsidRPr="00D71BD5">
        <w:rPr>
          <w:rStyle w:val="HideTWBExt"/>
          <w:b w:val="0"/>
        </w:rPr>
        <w:t>&lt;/TitreType&gt;</w:t>
      </w:r>
    </w:p>
    <w:p w:rsidR="00B85286" w:rsidRPr="00D71BD5" w:rsidRDefault="008C26A9" w:rsidP="00A93F8C">
      <w:pPr>
        <w:pStyle w:val="CoverBold"/>
      </w:pPr>
      <w:r w:rsidRPr="00D71BD5">
        <w:rPr>
          <w:rStyle w:val="HideTWBExt"/>
          <w:b w:val="0"/>
        </w:rPr>
        <w:t>&lt;Rapporteur&gt;</w:t>
      </w:r>
      <w:r w:rsidRPr="00D71BD5">
        <w:t>Nikola Minchev</w:t>
      </w:r>
      <w:r w:rsidRPr="00D71BD5">
        <w:rPr>
          <w:rStyle w:val="HideTWBExt"/>
          <w:b w:val="0"/>
        </w:rPr>
        <w:t>&lt;/Rapporteur&gt;</w:t>
      </w:r>
    </w:p>
    <w:p w:rsidR="00B85286" w:rsidRPr="00D71BD5" w:rsidRDefault="008C26A9">
      <w:pPr>
        <w:pStyle w:val="CoverNormal24a"/>
      </w:pPr>
      <w:r w:rsidRPr="00D71BD5">
        <w:rPr>
          <w:rStyle w:val="HideTWBExt"/>
        </w:rPr>
        <w:t>&lt;DocRefPE&gt;</w:t>
      </w:r>
      <w:r w:rsidRPr="00D71BD5">
        <w:t>(PE767.911v01-00)</w:t>
      </w:r>
      <w:r w:rsidRPr="00D71BD5">
        <w:rPr>
          <w:rStyle w:val="HideTWBExt"/>
        </w:rPr>
        <w:t>&lt;/DocRefPE&gt;</w:t>
      </w:r>
    </w:p>
    <w:p w:rsidR="0057155B" w:rsidRPr="00D71BD5" w:rsidRDefault="008C26A9" w:rsidP="0057155B">
      <w:pPr>
        <w:pStyle w:val="CoverNormal"/>
      </w:pPr>
      <w:r w:rsidRPr="00D71BD5">
        <w:rPr>
          <w:rStyle w:val="HideTWBExt"/>
        </w:rPr>
        <w:t>&lt;Titre&gt;</w:t>
      </w:r>
      <w:r w:rsidRPr="00D71BD5">
        <w:t xml:space="preserve">esityksestä neuvoston päätökseksi matkustajarekisteritietojen siirtämistä ja käsittelyä koskevan Kanadan ja </w:t>
      </w:r>
      <w:r w:rsidRPr="00D71BD5">
        <w:t>Euroopan unionin välisen sopimuksen tekemisestä unionin puolesta</w:t>
      </w:r>
    </w:p>
    <w:p w:rsidR="00B85286" w:rsidRPr="00D71BD5" w:rsidRDefault="008C26A9">
      <w:pPr>
        <w:pStyle w:val="CoverNormal24a"/>
      </w:pPr>
      <w:r w:rsidRPr="00D71BD5">
        <w:rPr>
          <w:rStyle w:val="HideTWBExt"/>
        </w:rPr>
        <w:t>&lt;/Titre&gt;</w:t>
      </w:r>
    </w:p>
    <w:p w:rsidR="006337D4" w:rsidRPr="00D71BD5" w:rsidRDefault="008C26A9" w:rsidP="006337D4">
      <w:pPr>
        <w:pStyle w:val="CoverNormal"/>
      </w:pPr>
      <w:r w:rsidRPr="00D71BD5">
        <w:rPr>
          <w:rStyle w:val="HideTWBExt"/>
        </w:rPr>
        <w:t>&lt;DocAmend&gt;</w:t>
      </w:r>
      <w:r w:rsidRPr="00D71BD5">
        <w:t>Esitys päätökseksi</w:t>
      </w:r>
      <w:r w:rsidRPr="00D71BD5">
        <w:rPr>
          <w:rStyle w:val="HideTWBExt"/>
        </w:rPr>
        <w:t>&lt;/DocAmend&gt;</w:t>
      </w:r>
    </w:p>
    <w:p w:rsidR="00B85286" w:rsidRPr="00D71BD5" w:rsidRDefault="008C26A9">
      <w:pPr>
        <w:pStyle w:val="CoverNormal24a"/>
      </w:pPr>
      <w:r w:rsidRPr="00D71BD5">
        <w:rPr>
          <w:rStyle w:val="HideTWBExt"/>
        </w:rPr>
        <w:t>&lt;DocRef&gt;</w:t>
      </w:r>
      <w:r w:rsidRPr="00D71BD5">
        <w:t>(08897/2024 – C10</w:t>
      </w:r>
      <w:r w:rsidRPr="00D71BD5">
        <w:noBreakHyphen/>
        <w:t>0125/2024 – 2024/0051(NLE))</w:t>
      </w:r>
      <w:r w:rsidRPr="00D71BD5">
        <w:rPr>
          <w:rStyle w:val="HideTWBExt"/>
        </w:rPr>
        <w:t>&lt;/DocRef&gt;</w:t>
      </w:r>
    </w:p>
    <w:p w:rsidR="00B85286" w:rsidRPr="00D71BD5" w:rsidRDefault="008C26A9" w:rsidP="005D3DD1">
      <w:pPr>
        <w:widowControl/>
        <w:tabs>
          <w:tab w:val="center" w:pos="4677"/>
        </w:tabs>
      </w:pPr>
      <w:r w:rsidRPr="00D71BD5">
        <w:br w:type="page"/>
      </w:r>
      <w:r w:rsidRPr="00D71BD5">
        <w:lastRenderedPageBreak/>
        <w:t>AM_Com_LegConsent</w:t>
      </w:r>
    </w:p>
    <w:p w:rsidR="003E43AC" w:rsidRPr="00D71BD5" w:rsidRDefault="008C26A9" w:rsidP="00695CC1">
      <w:pPr>
        <w:pStyle w:val="AmNumberTabs"/>
        <w:keepNext/>
      </w:pPr>
      <w:r w:rsidRPr="00D71BD5">
        <w:br w:type="page"/>
      </w:r>
      <w:r w:rsidRPr="00D71BD5">
        <w:rPr>
          <w:rStyle w:val="HideTWBExt"/>
          <w:b w:val="0"/>
        </w:rPr>
        <w:lastRenderedPageBreak/>
        <w:t>&lt;RepeatBlock-Amend&gt;</w:t>
      </w:r>
      <w:bookmarkStart w:id="0" w:name="restart"/>
      <w:r w:rsidRPr="00D71BD5">
        <w:rPr>
          <w:rStyle w:val="HideTWBExt"/>
          <w:b w:val="0"/>
        </w:rPr>
        <w:t>&lt;Amend&gt;</w:t>
      </w:r>
      <w:r w:rsidRPr="00D71BD5">
        <w:t>Tarkistus</w:t>
      </w:r>
      <w:r w:rsidRPr="00D71BD5">
        <w:tab/>
      </w:r>
      <w:r w:rsidRPr="00D71BD5">
        <w:tab/>
      </w:r>
      <w:r w:rsidRPr="00D71BD5">
        <w:rPr>
          <w:rStyle w:val="HideTWBExt"/>
          <w:b w:val="0"/>
        </w:rPr>
        <w:t>&lt;NumAm&gt;</w:t>
      </w:r>
      <w:r w:rsidRPr="00D71BD5">
        <w:t>1</w:t>
      </w:r>
      <w:r w:rsidRPr="00D71BD5">
        <w:rPr>
          <w:rStyle w:val="HideTWBExt"/>
          <w:b w:val="0"/>
        </w:rPr>
        <w:t>&lt;/NumAm&gt;</w:t>
      </w:r>
    </w:p>
    <w:p w:rsidR="005B32E3" w:rsidRPr="00D71BD5" w:rsidRDefault="008C26A9" w:rsidP="005B32E3">
      <w:pPr>
        <w:pStyle w:val="NormalBold"/>
      </w:pPr>
      <w:r w:rsidRPr="00D71BD5">
        <w:rPr>
          <w:rStyle w:val="HideTWBExt"/>
          <w:b w:val="0"/>
        </w:rPr>
        <w:t>&lt;RepeatBlock-By&gt;&lt;Members&gt;</w:t>
      </w:r>
      <w:r w:rsidRPr="00D71BD5">
        <w:t>Özlem Demirel</w:t>
      </w:r>
      <w:r w:rsidRPr="00D71BD5">
        <w:rPr>
          <w:rStyle w:val="HideTWBExt"/>
          <w:b w:val="0"/>
        </w:rPr>
        <w:t>&lt;/Members&gt;</w:t>
      </w:r>
    </w:p>
    <w:p w:rsidR="005B32E3" w:rsidRPr="00D71BD5" w:rsidRDefault="008C26A9" w:rsidP="005B32E3">
      <w:r w:rsidRPr="00D71BD5">
        <w:rPr>
          <w:rStyle w:val="HideTWBExt"/>
        </w:rPr>
        <w:t>&lt;/RepeatBlock-By&gt;</w:t>
      </w:r>
    </w:p>
    <w:p w:rsidR="009B0305" w:rsidRPr="00D71BD5" w:rsidRDefault="008C26A9" w:rsidP="005B32E3">
      <w:pPr>
        <w:pStyle w:val="NormalBold"/>
      </w:pPr>
      <w:r w:rsidRPr="00D71BD5">
        <w:rPr>
          <w:rStyle w:val="HideTWBExt"/>
          <w:b w:val="0"/>
        </w:rPr>
        <w:t>&lt;DocAmend&gt;</w:t>
      </w:r>
      <w:r w:rsidRPr="00D71BD5">
        <w:t>Luonnos lainsäädäntöpäätöslauselmaksi</w:t>
      </w:r>
      <w:r w:rsidRPr="00D71BD5">
        <w:rPr>
          <w:rStyle w:val="HideTWBExt"/>
          <w:b w:val="0"/>
        </w:rPr>
        <w:t>&lt;/DocAmend&gt;</w:t>
      </w:r>
    </w:p>
    <w:p w:rsidR="008F0DDD" w:rsidRPr="00D71BD5" w:rsidRDefault="008C26A9" w:rsidP="00F459F7">
      <w:pPr>
        <w:pStyle w:val="NormalBold"/>
      </w:pPr>
      <w:r w:rsidRPr="00D71BD5">
        <w:rPr>
          <w:rStyle w:val="HideTWBExt"/>
          <w:b w:val="0"/>
        </w:rPr>
        <w:t>&lt;Article&gt;</w:t>
      </w:r>
      <w:r w:rsidRPr="00D71BD5">
        <w:t>1 kohta</w:t>
      </w:r>
      <w:r w:rsidRPr="00D71BD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30AB" w:rsidRPr="00D71BD5">
        <w:trPr>
          <w:jc w:val="center"/>
        </w:trPr>
        <w:tc>
          <w:tcPr>
            <w:tcW w:w="9752" w:type="dxa"/>
            <w:gridSpan w:val="2"/>
          </w:tcPr>
          <w:p w:rsidR="00FA192C" w:rsidRPr="00D71BD5" w:rsidRDefault="00FA192C" w:rsidP="00A233E9">
            <w:pPr>
              <w:keepNext/>
            </w:pPr>
          </w:p>
        </w:tc>
      </w:tr>
      <w:tr w:rsidR="005230AB" w:rsidRPr="00D71BD5">
        <w:trPr>
          <w:jc w:val="center"/>
        </w:trPr>
        <w:tc>
          <w:tcPr>
            <w:tcW w:w="4876" w:type="dxa"/>
          </w:tcPr>
          <w:p w:rsidR="00FA192C" w:rsidRPr="00D71BD5" w:rsidRDefault="008C26A9" w:rsidP="00CB2746">
            <w:pPr>
              <w:pStyle w:val="AmColumnHeading"/>
              <w:keepNext/>
            </w:pPr>
            <w:r w:rsidRPr="00D71BD5">
              <w:t>Luonnos lainsäädäntöpäätöslauselmaksi</w:t>
            </w:r>
          </w:p>
        </w:tc>
        <w:tc>
          <w:tcPr>
            <w:tcW w:w="4876" w:type="dxa"/>
          </w:tcPr>
          <w:p w:rsidR="00FA192C" w:rsidRPr="00D71BD5" w:rsidRDefault="008C26A9" w:rsidP="00A233E9">
            <w:pPr>
              <w:pStyle w:val="AmColumnHeading"/>
              <w:keepNext/>
            </w:pPr>
            <w:r w:rsidRPr="00D71BD5">
              <w:t>Tarkistus</w:t>
            </w:r>
          </w:p>
        </w:tc>
      </w:tr>
      <w:tr w:rsidR="005230AB" w:rsidRPr="00D71BD5">
        <w:trPr>
          <w:jc w:val="center"/>
        </w:trPr>
        <w:tc>
          <w:tcPr>
            <w:tcW w:w="4876" w:type="dxa"/>
          </w:tcPr>
          <w:p w:rsidR="00FA192C" w:rsidRPr="00D71BD5" w:rsidRDefault="008C26A9" w:rsidP="0057155B">
            <w:pPr>
              <w:pStyle w:val="Normal6a"/>
            </w:pPr>
            <w:r w:rsidRPr="00D71BD5">
              <w:t xml:space="preserve">1. </w:t>
            </w:r>
            <w:r w:rsidRPr="00D71BD5">
              <w:rPr>
                <w:b/>
                <w:i/>
              </w:rPr>
              <w:t>antaa hyväksyntänsä</w:t>
            </w:r>
            <w:r w:rsidRPr="00D71BD5">
              <w:t xml:space="preserve"> sopimuksen tekemiselle;</w:t>
            </w:r>
          </w:p>
        </w:tc>
        <w:tc>
          <w:tcPr>
            <w:tcW w:w="4876" w:type="dxa"/>
          </w:tcPr>
          <w:p w:rsidR="00FA192C" w:rsidRPr="00D71BD5" w:rsidRDefault="008C26A9" w:rsidP="0057155B">
            <w:pPr>
              <w:pStyle w:val="Normal6a"/>
              <w:rPr>
                <w:szCs w:val="24"/>
              </w:rPr>
            </w:pPr>
            <w:r w:rsidRPr="00D71BD5">
              <w:t xml:space="preserve">1. </w:t>
            </w:r>
            <w:r w:rsidRPr="00D71BD5">
              <w:rPr>
                <w:b/>
                <w:i/>
              </w:rPr>
              <w:t>ei</w:t>
            </w:r>
            <w:r w:rsidRPr="00D71BD5">
              <w:rPr>
                <w:b/>
                <w:i/>
              </w:rPr>
              <w:t xml:space="preserve"> anna hyväksyntäänsä</w:t>
            </w:r>
            <w:r w:rsidRPr="00D71BD5">
              <w:t xml:space="preserve"> sopimuksen tekemiselle;</w:t>
            </w:r>
          </w:p>
        </w:tc>
      </w:tr>
    </w:tbl>
    <w:p w:rsidR="00FA192C" w:rsidRPr="00D71BD5" w:rsidRDefault="008C26A9" w:rsidP="009A65D8">
      <w:pPr>
        <w:pStyle w:val="AmOrLang"/>
      </w:pPr>
      <w:r w:rsidRPr="00D71BD5">
        <w:t xml:space="preserve">Or. </w:t>
      </w:r>
      <w:r w:rsidRPr="00D71BD5">
        <w:rPr>
          <w:rStyle w:val="HideTWBExt"/>
          <w:noProof w:val="0"/>
        </w:rPr>
        <w:t>&lt;Original&gt;</w:t>
      </w:r>
      <w:r w:rsidR="0057155B" w:rsidRPr="00D71BD5">
        <w:rPr>
          <w:rStyle w:val="HideTWBInt"/>
        </w:rPr>
        <w:t>{EN}</w:t>
      </w:r>
      <w:r w:rsidR="0057155B" w:rsidRPr="00D71BD5">
        <w:t>en</w:t>
      </w:r>
      <w:r w:rsidRPr="00D71BD5">
        <w:rPr>
          <w:rStyle w:val="HideTWBExt"/>
          <w:noProof w:val="0"/>
        </w:rPr>
        <w:t>&lt;/Original&gt;</w:t>
      </w:r>
    </w:p>
    <w:p w:rsidR="00FA192C" w:rsidRPr="00D71BD5" w:rsidRDefault="008C26A9" w:rsidP="00FA192C">
      <w:pPr>
        <w:pStyle w:val="AmJustTitle"/>
      </w:pPr>
      <w:r w:rsidRPr="00D71BD5">
        <w:rPr>
          <w:rStyle w:val="HideTWBExt"/>
          <w:i w:val="0"/>
        </w:rPr>
        <w:t>&lt;TitreJust&gt;</w:t>
      </w:r>
      <w:r w:rsidRPr="00D71BD5">
        <w:t>Perustelu</w:t>
      </w:r>
      <w:r w:rsidRPr="00D71BD5">
        <w:rPr>
          <w:rStyle w:val="HideTWBExt"/>
          <w:i w:val="0"/>
        </w:rPr>
        <w:t>&lt;/TitreJust&gt;</w:t>
      </w:r>
    </w:p>
    <w:p w:rsidR="0057155B" w:rsidRPr="00D71BD5" w:rsidRDefault="008C26A9" w:rsidP="0057155B">
      <w:pPr>
        <w:pStyle w:val="AmJustText"/>
        <w:jc w:val="both"/>
        <w:rPr>
          <w:szCs w:val="24"/>
        </w:rPr>
      </w:pPr>
      <w:r w:rsidRPr="00D71BD5">
        <w:t>Komission neuvottelemassa uudessa luonnoksessa EU:n ja Kanadan PNR-sopimukseksi ei noudateta Euroopan unionin tuomioistuimen tuomiota, jolla EU:</w:t>
      </w:r>
      <w:r w:rsidRPr="00D71BD5">
        <w:t>n ja Kanadan välinen PNR-sopimus julistettiin mitättömäksi jo vuonna 2019. Uuteen sopimusluonnokseen</w:t>
      </w:r>
      <w:bookmarkStart w:id="1" w:name="_GoBack"/>
      <w:bookmarkEnd w:id="1"/>
      <w:r w:rsidRPr="00D71BD5">
        <w:t xml:space="preserve"> liittyy ongelmia useilla keskeisillä aloilla, kun sitä arvioidaan suhteessa EU:n tietosuojalainsäädännössä vahvistettuihin normeihin. Sopimuksessa tietojen</w:t>
      </w:r>
      <w:r w:rsidRPr="00D71BD5">
        <w:t xml:space="preserve"> keruu on laajaa, säilytysajat pitkiä (joissakin tapauksissa edelleen viisi vuotta), läpinäkyvyys vähäistä ja tietojen kansainvälisiä siirtoja koskevat suojatoimet riittämättömiä. Tämä herättää merkittävää huolta tietosuojan näkökulmasta. Jotta sopimus oli</w:t>
      </w:r>
      <w:r w:rsidRPr="00D71BD5">
        <w:t>si täysin EU:n tietosuojalainsäädännön mukainen, siihen olisi sisällytettävä tiukempia tietojen keräämistä ja säilyttämistä koskevia rajoituksia. Lisäksi siinä olisi parannettava läpinäkyvyyttä ja yksilön oikeuksia ja varmistettava tiukat valvonta- ja vast</w:t>
      </w:r>
      <w:r w:rsidRPr="00D71BD5">
        <w:t>uuvelvollisuusmekanismit. Näistä riskeistä ja huolenaiheista huolimatta komissio ei ollut pyytänyt Euroopan tietosuojavaltuutetulta lausuntoa. Se myös antoi luonnoksen parlamentille vasta sen jälkeen, kun neuvottelut oli saatu päätökseen, mikä on selvä oso</w:t>
      </w:r>
      <w:r w:rsidRPr="00D71BD5">
        <w:t>itus avoimuuden puutteesta.</w:t>
      </w:r>
    </w:p>
    <w:p w:rsidR="00FA192C" w:rsidRPr="00D71BD5" w:rsidRDefault="00FA192C" w:rsidP="00FA192C">
      <w:pPr>
        <w:pStyle w:val="AmJustText"/>
      </w:pPr>
    </w:p>
    <w:p w:rsidR="00166CCB" w:rsidRPr="00D71BD5" w:rsidRDefault="008C26A9" w:rsidP="00A5426B">
      <w:r w:rsidRPr="00D71BD5">
        <w:rPr>
          <w:rStyle w:val="HideTWBExt"/>
        </w:rPr>
        <w:t>&lt;/Amend&gt;</w:t>
      </w:r>
      <w:bookmarkEnd w:id="0"/>
    </w:p>
    <w:p w:rsidR="00FA192C" w:rsidRPr="00D71BD5" w:rsidRDefault="008C26A9" w:rsidP="00FA192C">
      <w:r w:rsidRPr="00D71BD5">
        <w:rPr>
          <w:rStyle w:val="HideTWBExt"/>
        </w:rPr>
        <w:t>&lt;/RepeatBlock-Amend&gt;</w:t>
      </w:r>
    </w:p>
    <w:p w:rsidR="008363E4" w:rsidRPr="00D71BD5" w:rsidRDefault="008363E4" w:rsidP="00FA192C"/>
    <w:sectPr w:rsidR="008363E4" w:rsidRPr="00D71BD5" w:rsidSect="00D71B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71BD5" w:rsidRDefault="008C26A9">
      <w:r w:rsidRPr="00D71BD5">
        <w:separator/>
      </w:r>
    </w:p>
  </w:endnote>
  <w:endnote w:type="continuationSeparator" w:id="0">
    <w:p w:rsidR="00000000" w:rsidRPr="00D71BD5" w:rsidRDefault="008C26A9">
      <w:r w:rsidRPr="00D71B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BD5" w:rsidRPr="00D71BD5" w:rsidRDefault="00D71BD5" w:rsidP="00D71BD5">
    <w:pPr>
      <w:pStyle w:val="EPFooter"/>
    </w:pPr>
    <w:r w:rsidRPr="00D71BD5">
      <w:t>PE</w:t>
    </w:r>
    <w:r w:rsidRPr="00D71BD5">
      <w:rPr>
        <w:rStyle w:val="HideTWBExt"/>
      </w:rPr>
      <w:t>&lt;NoPE&gt;</w:t>
    </w:r>
    <w:r w:rsidRPr="00D71BD5">
      <w:t>768.080</w:t>
    </w:r>
    <w:r w:rsidRPr="00D71BD5">
      <w:rPr>
        <w:rStyle w:val="HideTWBExt"/>
      </w:rPr>
      <w:t>&lt;/NoPE&gt;&lt;Version&gt;</w:t>
    </w:r>
    <w:r w:rsidRPr="00D71BD5">
      <w:t>v01-00</w:t>
    </w:r>
    <w:r w:rsidRPr="00D71BD5">
      <w:rPr>
        <w:rStyle w:val="HideTWBExt"/>
      </w:rPr>
      <w:t>&lt;/Version&gt;</w:t>
    </w:r>
    <w:r w:rsidRPr="00D71BD5">
      <w:tab/>
    </w:r>
    <w:r w:rsidRPr="00D71BD5">
      <w:fldChar w:fldCharType="begin"/>
    </w:r>
    <w:r w:rsidRPr="00D71BD5">
      <w:instrText xml:space="preserve"> PAGE  \* MERGEFORMAT </w:instrText>
    </w:r>
    <w:r w:rsidRPr="00D71BD5">
      <w:fldChar w:fldCharType="separate"/>
    </w:r>
    <w:r w:rsidR="008C26A9">
      <w:rPr>
        <w:noProof/>
      </w:rPr>
      <w:t>2</w:t>
    </w:r>
    <w:r w:rsidRPr="00D71BD5">
      <w:fldChar w:fldCharType="end"/>
    </w:r>
    <w:r w:rsidRPr="00D71BD5">
      <w:t>/</w:t>
    </w:r>
    <w:fldSimple w:instr=" NUMPAGES  \* MERGEFORMAT ">
      <w:r w:rsidR="008C26A9">
        <w:rPr>
          <w:noProof/>
        </w:rPr>
        <w:t>3</w:t>
      </w:r>
    </w:fldSimple>
    <w:r w:rsidRPr="00D71BD5">
      <w:tab/>
    </w:r>
    <w:r w:rsidRPr="00D71BD5">
      <w:rPr>
        <w:rStyle w:val="HideTWBExt"/>
      </w:rPr>
      <w:t>&lt;PathFdR&gt;</w:t>
    </w:r>
    <w:r w:rsidRPr="00D71BD5">
      <w:t>AM\1314265FI.docx</w:t>
    </w:r>
    <w:r w:rsidRPr="00D71BD5">
      <w:rPr>
        <w:rStyle w:val="HideTWBExt"/>
      </w:rPr>
      <w:t>&lt;/PathFdR&gt;</w:t>
    </w:r>
  </w:p>
  <w:p w:rsidR="00D82FCC" w:rsidRPr="00D71BD5" w:rsidRDefault="00D71BD5" w:rsidP="00D71BD5">
    <w:pPr>
      <w:pStyle w:val="EPFooter2"/>
    </w:pPr>
    <w:r w:rsidRPr="00D71BD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BD5" w:rsidRPr="00D71BD5" w:rsidRDefault="00D71BD5" w:rsidP="00D71BD5">
    <w:pPr>
      <w:pStyle w:val="EPFooter"/>
    </w:pPr>
    <w:r w:rsidRPr="00D71BD5">
      <w:rPr>
        <w:rStyle w:val="HideTWBExt"/>
      </w:rPr>
      <w:t>&lt;PathFdR&gt;</w:t>
    </w:r>
    <w:r w:rsidRPr="00D71BD5">
      <w:t>AM\1314265FI.docx</w:t>
    </w:r>
    <w:r w:rsidRPr="00D71BD5">
      <w:rPr>
        <w:rStyle w:val="HideTWBExt"/>
      </w:rPr>
      <w:t>&lt;/PathFdR&gt;</w:t>
    </w:r>
    <w:r w:rsidRPr="00D71BD5">
      <w:tab/>
    </w:r>
    <w:r w:rsidRPr="00D71BD5">
      <w:fldChar w:fldCharType="begin"/>
    </w:r>
    <w:r w:rsidRPr="00D71BD5">
      <w:instrText xml:space="preserve"> PAGE  \* MERGEFORMAT </w:instrText>
    </w:r>
    <w:r w:rsidRPr="00D71BD5">
      <w:fldChar w:fldCharType="separate"/>
    </w:r>
    <w:r w:rsidR="008C26A9">
      <w:rPr>
        <w:noProof/>
      </w:rPr>
      <w:t>3</w:t>
    </w:r>
    <w:r w:rsidRPr="00D71BD5">
      <w:fldChar w:fldCharType="end"/>
    </w:r>
    <w:r w:rsidRPr="00D71BD5">
      <w:t>/</w:t>
    </w:r>
    <w:fldSimple w:instr=" NUMPAGES  \* MERGEFORMAT ">
      <w:r w:rsidR="008C26A9">
        <w:rPr>
          <w:noProof/>
        </w:rPr>
        <w:t>3</w:t>
      </w:r>
    </w:fldSimple>
    <w:r w:rsidRPr="00D71BD5">
      <w:tab/>
      <w:t>PE</w:t>
    </w:r>
    <w:r w:rsidRPr="00D71BD5">
      <w:rPr>
        <w:rStyle w:val="HideTWBExt"/>
      </w:rPr>
      <w:t>&lt;NoPE&gt;</w:t>
    </w:r>
    <w:r w:rsidRPr="00D71BD5">
      <w:t>768.080</w:t>
    </w:r>
    <w:r w:rsidRPr="00D71BD5">
      <w:rPr>
        <w:rStyle w:val="HideTWBExt"/>
      </w:rPr>
      <w:t>&lt;/NoPE&gt;&lt;Version&gt;</w:t>
    </w:r>
    <w:r w:rsidRPr="00D71BD5">
      <w:t>v01-00</w:t>
    </w:r>
    <w:r w:rsidRPr="00D71BD5">
      <w:rPr>
        <w:rStyle w:val="HideTWBExt"/>
      </w:rPr>
      <w:t>&lt;/Version&gt;</w:t>
    </w:r>
  </w:p>
  <w:p w:rsidR="00D82FCC" w:rsidRPr="00D71BD5" w:rsidRDefault="00D71BD5" w:rsidP="00D71BD5">
    <w:pPr>
      <w:pStyle w:val="EPFooter2"/>
    </w:pPr>
    <w:r w:rsidRPr="00D71BD5">
      <w:tab/>
    </w:r>
    <w:r w:rsidRPr="00D71BD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BD5" w:rsidRPr="00D71BD5" w:rsidRDefault="00D71BD5" w:rsidP="00D71BD5">
    <w:pPr>
      <w:pStyle w:val="EPFooter"/>
    </w:pPr>
    <w:r w:rsidRPr="00D71BD5">
      <w:rPr>
        <w:rStyle w:val="HideTWBExt"/>
      </w:rPr>
      <w:t>&lt;PathFdR&gt;</w:t>
    </w:r>
    <w:r w:rsidRPr="00D71BD5">
      <w:t>AM\1314265FI.docx</w:t>
    </w:r>
    <w:r w:rsidRPr="00D71BD5">
      <w:rPr>
        <w:rStyle w:val="HideTWBExt"/>
      </w:rPr>
      <w:t>&lt;/PathFdR&gt;</w:t>
    </w:r>
    <w:r w:rsidRPr="00D71BD5">
      <w:tab/>
    </w:r>
    <w:r w:rsidRPr="00D71BD5">
      <w:tab/>
      <w:t>PE</w:t>
    </w:r>
    <w:r w:rsidRPr="00D71BD5">
      <w:rPr>
        <w:rStyle w:val="HideTWBExt"/>
      </w:rPr>
      <w:t>&lt;NoPE&gt;</w:t>
    </w:r>
    <w:r w:rsidRPr="00D71BD5">
      <w:t>768.080</w:t>
    </w:r>
    <w:r w:rsidRPr="00D71BD5">
      <w:rPr>
        <w:rStyle w:val="HideTWBExt"/>
      </w:rPr>
      <w:t>&lt;/NoPE&gt;&lt;Version&gt;</w:t>
    </w:r>
    <w:r w:rsidRPr="00D71BD5">
      <w:t>v01-00</w:t>
    </w:r>
    <w:r w:rsidRPr="00D71BD5">
      <w:rPr>
        <w:rStyle w:val="HideTWBExt"/>
      </w:rPr>
      <w:t>&lt;/Version&gt;</w:t>
    </w:r>
  </w:p>
  <w:p w:rsidR="00D82FCC" w:rsidRPr="00D71BD5" w:rsidRDefault="00D71BD5" w:rsidP="00D71BD5">
    <w:pPr>
      <w:pStyle w:val="EPFooter2"/>
    </w:pPr>
    <w:r w:rsidRPr="00D71BD5">
      <w:t>FI</w:t>
    </w:r>
    <w:r w:rsidRPr="00D71BD5">
      <w:tab/>
    </w:r>
    <w:r w:rsidRPr="00D71BD5">
      <w:rPr>
        <w:b w:val="0"/>
        <w:i/>
        <w:color w:val="C0C0C0"/>
        <w:sz w:val="22"/>
      </w:rPr>
      <w:t>Moninaisuudessaan yhtenäinen</w:t>
    </w:r>
    <w:r w:rsidRPr="00D71BD5">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71BD5" w:rsidRDefault="008C26A9">
      <w:r w:rsidRPr="00D71BD5">
        <w:separator/>
      </w:r>
    </w:p>
  </w:footnote>
  <w:footnote w:type="continuationSeparator" w:id="0">
    <w:p w:rsidR="00000000" w:rsidRPr="00D71BD5" w:rsidRDefault="008C26A9">
      <w:r w:rsidRPr="00D71B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6A9" w:rsidRDefault="008C2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6A9" w:rsidRDefault="008C2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6A9" w:rsidRDefault="008C26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30AB"/>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C26A9"/>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1B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9269E"/>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E14C5-CB63-4D2E-9C28-D72FDD426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Words>
  <Characters>1666</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2025-02-11T09:08:00Z</dcterms:created>
  <dcterms:modified xsi:type="dcterms:W3CDTF">2025-02-11T09:08:00Z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AM\1314265FI.docx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- 2025/02/11 10:08</vt:lpwstr>
  </property>
</Properties>
</file>