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1801" w:rsidRPr="00A06FDC" w:rsidTr="00C85D0F">
        <w:trPr>
          <w:trHeight w:hRule="exact" w:val="1418"/>
        </w:trPr>
        <w:tc>
          <w:tcPr>
            <w:tcW w:w="6804" w:type="dxa"/>
            <w:shd w:val="clear" w:color="auto" w:fill="auto"/>
            <w:vAlign w:val="center"/>
          </w:tcPr>
          <w:p w:rsidR="00FF31EC" w:rsidRPr="00A06FDC" w:rsidRDefault="00A06FDC" w:rsidP="00C85D0F">
            <w:pPr>
              <w:pStyle w:val="EPName"/>
            </w:pPr>
            <w:r w:rsidRPr="00A06FDC">
              <w:t>Eiropas Parlaments</w:t>
            </w:r>
          </w:p>
          <w:p w:rsidR="00FF31EC" w:rsidRPr="00A06FDC" w:rsidRDefault="00A06FDC" w:rsidP="0057155B">
            <w:pPr>
              <w:pStyle w:val="EPTerm"/>
            </w:pPr>
            <w:r w:rsidRPr="00A06FDC">
              <w:t>2024-2029</w:t>
            </w:r>
          </w:p>
        </w:tc>
        <w:tc>
          <w:tcPr>
            <w:tcW w:w="2268" w:type="dxa"/>
            <w:shd w:val="clear" w:color="auto" w:fill="auto"/>
          </w:tcPr>
          <w:p w:rsidR="00FF31EC" w:rsidRPr="00A06FDC" w:rsidRDefault="00A06FDC" w:rsidP="00C85D0F">
            <w:pPr>
              <w:pStyle w:val="EPLogo"/>
            </w:pPr>
            <w:r w:rsidRPr="00A06F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06FDC" w:rsidRDefault="000E7234" w:rsidP="000E7234">
      <w:pPr>
        <w:pStyle w:val="LineTop"/>
      </w:pPr>
    </w:p>
    <w:p w:rsidR="000E7234" w:rsidRPr="00A06FDC" w:rsidRDefault="00A06FDC" w:rsidP="000E7234">
      <w:pPr>
        <w:pStyle w:val="EPBody"/>
      </w:pPr>
      <w:r w:rsidRPr="00A06FDC">
        <w:rPr>
          <w:rStyle w:val="HideTWBExt"/>
          <w:color w:val="auto"/>
        </w:rPr>
        <w:t>&lt;</w:t>
      </w:r>
      <w:r w:rsidRPr="00A06FDC">
        <w:rPr>
          <w:rStyle w:val="HideTWBExt"/>
          <w:i w:val="0"/>
          <w:color w:val="auto"/>
        </w:rPr>
        <w:t>Commission</w:t>
      </w:r>
      <w:r w:rsidRPr="00A06FDC">
        <w:rPr>
          <w:rStyle w:val="HideTWBExt"/>
          <w:color w:val="auto"/>
        </w:rPr>
        <w:t>&gt;</w:t>
      </w:r>
      <w:r w:rsidRPr="00A06FDC">
        <w:rPr>
          <w:rStyle w:val="HideTWBInt"/>
          <w:color w:val="auto"/>
        </w:rPr>
        <w:t>{LIBE}</w:t>
      </w:r>
      <w:r w:rsidRPr="00A06FDC">
        <w:t>Pilsoņu brīvību, tieslietu un iekšlietu komiteja</w:t>
      </w:r>
      <w:r w:rsidRPr="00A06FDC">
        <w:rPr>
          <w:rStyle w:val="HideTWBExt"/>
          <w:color w:val="auto"/>
        </w:rPr>
        <w:t>&lt;/</w:t>
      </w:r>
      <w:r w:rsidRPr="00A06FDC">
        <w:rPr>
          <w:rStyle w:val="HideTWBExt"/>
          <w:i w:val="0"/>
          <w:color w:val="auto"/>
        </w:rPr>
        <w:t>Commission</w:t>
      </w:r>
      <w:r w:rsidRPr="00A06FDC">
        <w:rPr>
          <w:rStyle w:val="HideTWBExt"/>
          <w:color w:val="auto"/>
        </w:rPr>
        <w:t>&gt;</w:t>
      </w:r>
    </w:p>
    <w:p w:rsidR="000E7234" w:rsidRPr="00A06FDC" w:rsidRDefault="000E7234" w:rsidP="000E7234">
      <w:pPr>
        <w:pStyle w:val="LineBottom"/>
      </w:pPr>
    </w:p>
    <w:p w:rsidR="00B85286" w:rsidRPr="00A06FDC" w:rsidRDefault="00A06FDC">
      <w:pPr>
        <w:pStyle w:val="CoverReference"/>
      </w:pPr>
      <w:r w:rsidRPr="00A06FDC">
        <w:rPr>
          <w:rStyle w:val="HideTWBExt"/>
          <w:b w:val="0"/>
          <w:color w:val="auto"/>
        </w:rPr>
        <w:t>&lt;RefProc&gt;</w:t>
      </w:r>
      <w:r w:rsidRPr="00A06FDC">
        <w:t>2024/0051</w:t>
      </w:r>
      <w:r w:rsidRPr="00A06FDC">
        <w:rPr>
          <w:rStyle w:val="HideTWBExt"/>
          <w:b w:val="0"/>
          <w:color w:val="auto"/>
        </w:rPr>
        <w:t>&lt;/RefProc&gt;&lt;RefTypeProc&gt;</w:t>
      </w:r>
      <w:r w:rsidRPr="00A06FDC">
        <w:t>(NLE)</w:t>
      </w:r>
      <w:r w:rsidRPr="00A06FDC">
        <w:rPr>
          <w:rStyle w:val="HideTWBExt"/>
          <w:b w:val="0"/>
          <w:color w:val="auto"/>
        </w:rPr>
        <w:t>&lt;/RefTypeProc&gt;</w:t>
      </w:r>
    </w:p>
    <w:p w:rsidR="00B85286" w:rsidRPr="00A06FDC" w:rsidRDefault="00A06FDC">
      <w:pPr>
        <w:pStyle w:val="CoverDate"/>
      </w:pPr>
      <w:r w:rsidRPr="00A06FDC">
        <w:rPr>
          <w:rStyle w:val="HideTWBExt"/>
          <w:color w:val="auto"/>
        </w:rPr>
        <w:t>&lt;Date&gt;</w:t>
      </w:r>
      <w:r w:rsidRPr="00A06FDC">
        <w:rPr>
          <w:rStyle w:val="HideTWBInt"/>
          <w:color w:val="auto"/>
        </w:rPr>
        <w:t>{30/01/2025}</w:t>
      </w:r>
      <w:r w:rsidRPr="00A06FDC">
        <w:t>3.2.2025</w:t>
      </w:r>
      <w:r w:rsidRPr="00A06FDC">
        <w:rPr>
          <w:rStyle w:val="HideTWBExt"/>
          <w:color w:val="auto"/>
        </w:rPr>
        <w:t>&lt;/Date&gt;</w:t>
      </w:r>
    </w:p>
    <w:p w:rsidR="009B0305" w:rsidRPr="00A06FDC" w:rsidRDefault="00A06FDC" w:rsidP="009B0305">
      <w:pPr>
        <w:pStyle w:val="CoverDocType"/>
      </w:pPr>
      <w:r w:rsidRPr="00A06FDC">
        <w:rPr>
          <w:rStyle w:val="HideTWBExt"/>
          <w:b w:val="0"/>
          <w:color w:val="auto"/>
        </w:rPr>
        <w:t>&lt;TypeAM&gt;</w:t>
      </w:r>
      <w:r w:rsidRPr="00A06FDC">
        <w:t>GROZĪJUMS Nr.</w:t>
      </w:r>
      <w:r w:rsidRPr="00A06FDC">
        <w:rPr>
          <w:rStyle w:val="HideTWBExt"/>
          <w:b w:val="0"/>
          <w:color w:val="auto"/>
        </w:rPr>
        <w:t>&lt;/TypeAM&gt;</w:t>
      </w:r>
    </w:p>
    <w:p w:rsidR="00B85286" w:rsidRPr="00A06FDC" w:rsidRDefault="00A06FDC" w:rsidP="001C2054">
      <w:pPr>
        <w:pStyle w:val="CoverDocType24a"/>
      </w:pPr>
      <w:r w:rsidRPr="00A06FDC">
        <w:rPr>
          <w:rStyle w:val="HideTWBExt"/>
          <w:b w:val="0"/>
          <w:color w:val="auto"/>
        </w:rPr>
        <w:t>&lt;RangeAM&gt;</w:t>
      </w:r>
      <w:r w:rsidRPr="00A06FDC">
        <w:t>1</w:t>
      </w:r>
      <w:r w:rsidRPr="00A06FDC">
        <w:rPr>
          <w:rStyle w:val="HideTWBExt"/>
          <w:b w:val="0"/>
          <w:color w:val="auto"/>
        </w:rPr>
        <w:t>&lt;/RangeAM&gt;</w:t>
      </w:r>
    </w:p>
    <w:p w:rsidR="001C2054" w:rsidRPr="00A06FDC" w:rsidRDefault="00A06FDC" w:rsidP="00A93F8C">
      <w:pPr>
        <w:pStyle w:val="CoverBold"/>
      </w:pPr>
      <w:r w:rsidRPr="00A06FDC">
        <w:rPr>
          <w:rStyle w:val="HideTWBExt"/>
          <w:b w:val="0"/>
          <w:color w:val="auto"/>
        </w:rPr>
        <w:t>&lt;TitreType&gt;</w:t>
      </w:r>
      <w:r w:rsidRPr="00A06FDC">
        <w:t>Ieteikuma projekts</w:t>
      </w:r>
      <w:r w:rsidRPr="00A06FDC">
        <w:rPr>
          <w:rStyle w:val="HideTWBExt"/>
          <w:b w:val="0"/>
          <w:color w:val="auto"/>
        </w:rPr>
        <w:t>&lt;/TitreType&gt;</w:t>
      </w:r>
    </w:p>
    <w:p w:rsidR="00B85286" w:rsidRPr="00A06FDC" w:rsidRDefault="00A06FDC" w:rsidP="00A93F8C">
      <w:pPr>
        <w:pStyle w:val="CoverBold"/>
      </w:pPr>
      <w:r w:rsidRPr="00A06FDC">
        <w:rPr>
          <w:rStyle w:val="HideTWBExt"/>
          <w:b w:val="0"/>
          <w:color w:val="auto"/>
        </w:rPr>
        <w:t>&lt;Rapporteur&gt;</w:t>
      </w:r>
      <w:r w:rsidRPr="00A06FDC">
        <w:rPr>
          <w:i/>
        </w:rPr>
        <w:t>Nikola Minchev</w:t>
      </w:r>
      <w:r w:rsidRPr="00A06FDC">
        <w:rPr>
          <w:rStyle w:val="HideTWBExt"/>
          <w:b w:val="0"/>
          <w:color w:val="auto"/>
        </w:rPr>
        <w:t>&lt;/Rapporteur&gt;</w:t>
      </w:r>
    </w:p>
    <w:p w:rsidR="00B85286" w:rsidRPr="00A06FDC" w:rsidRDefault="00A06FDC">
      <w:pPr>
        <w:pStyle w:val="CoverNormal24a"/>
      </w:pPr>
      <w:r w:rsidRPr="00A06FDC">
        <w:rPr>
          <w:rStyle w:val="HideTWBExt"/>
          <w:color w:val="auto"/>
        </w:rPr>
        <w:t>&lt;DocRefPE&gt;</w:t>
      </w:r>
      <w:r w:rsidRPr="00A06FDC">
        <w:t>(PE767.911v01-00)</w:t>
      </w:r>
      <w:r w:rsidRPr="00A06FDC">
        <w:rPr>
          <w:rStyle w:val="HideTWBExt"/>
          <w:color w:val="auto"/>
        </w:rPr>
        <w:t>&lt;/DocRefPE&gt;</w:t>
      </w:r>
    </w:p>
    <w:p w:rsidR="0057155B" w:rsidRPr="00A06FDC" w:rsidRDefault="00A06FDC" w:rsidP="0057155B">
      <w:pPr>
        <w:pStyle w:val="CoverNormal"/>
      </w:pPr>
      <w:r w:rsidRPr="00A06FDC">
        <w:rPr>
          <w:rStyle w:val="HideTWBExt"/>
          <w:color w:val="auto"/>
        </w:rPr>
        <w:t>&lt;Titre&gt;</w:t>
      </w:r>
      <w:r w:rsidRPr="00A06FDC">
        <w:t>par projektu Padomes lēmu</w:t>
      </w:r>
      <w:bookmarkStart w:id="0" w:name="_GoBack"/>
      <w:bookmarkEnd w:id="0"/>
      <w:r w:rsidRPr="00A06FDC">
        <w:t>mam par to, lai Savienības vārdā noslēgtu Nolīgumu starp Kanādu un Eiropas Savienību par pasažieru datu reģistra datu pārsūtīšanu un apstrādi</w:t>
      </w:r>
    </w:p>
    <w:p w:rsidR="00B85286" w:rsidRPr="00A06FDC" w:rsidRDefault="00A06FDC">
      <w:pPr>
        <w:pStyle w:val="CoverNormal24a"/>
      </w:pPr>
      <w:r w:rsidRPr="00A06FDC">
        <w:rPr>
          <w:rStyle w:val="HideTWBExt"/>
          <w:color w:val="auto"/>
        </w:rPr>
        <w:t>&lt;/Titre&gt;</w:t>
      </w:r>
    </w:p>
    <w:p w:rsidR="006337D4" w:rsidRPr="00A06FDC" w:rsidRDefault="00A06FDC" w:rsidP="006337D4">
      <w:pPr>
        <w:pStyle w:val="CoverNormal"/>
      </w:pPr>
      <w:r w:rsidRPr="00A06FDC">
        <w:rPr>
          <w:rStyle w:val="HideTWBExt"/>
          <w:color w:val="auto"/>
        </w:rPr>
        <w:t>&lt;DocAmend&gt;</w:t>
      </w:r>
      <w:r w:rsidRPr="00A06FDC">
        <w:t>Lēmuma projekts</w:t>
      </w:r>
      <w:r w:rsidRPr="00A06FDC">
        <w:rPr>
          <w:rStyle w:val="HideTWBExt"/>
          <w:color w:val="auto"/>
        </w:rPr>
        <w:t>&lt;/DocAmend&gt;</w:t>
      </w:r>
    </w:p>
    <w:p w:rsidR="00B85286" w:rsidRPr="00A06FDC" w:rsidRDefault="00A06FDC">
      <w:pPr>
        <w:pStyle w:val="CoverNormal24a"/>
      </w:pPr>
      <w:r w:rsidRPr="00A06FDC">
        <w:rPr>
          <w:rStyle w:val="HideTWBExt"/>
          <w:color w:val="auto"/>
        </w:rPr>
        <w:t>&lt;DocRef&gt;</w:t>
      </w:r>
      <w:r w:rsidRPr="00A06FDC">
        <w:t>(08897/2024 – C10</w:t>
      </w:r>
      <w:r w:rsidRPr="00A06FDC">
        <w:noBreakHyphen/>
        <w:t>0125/2024 – 2024/</w:t>
      </w:r>
      <w:r w:rsidRPr="00A06FDC">
        <w:t>0051(NLE))</w:t>
      </w:r>
      <w:r w:rsidRPr="00A06FDC">
        <w:rPr>
          <w:rStyle w:val="HideTWBExt"/>
          <w:color w:val="auto"/>
        </w:rPr>
        <w:t>&lt;/DocRef&gt;</w:t>
      </w:r>
    </w:p>
    <w:p w:rsidR="00B85286" w:rsidRPr="00A06FDC" w:rsidRDefault="00A06FDC" w:rsidP="005D3DD1">
      <w:pPr>
        <w:widowControl/>
        <w:tabs>
          <w:tab w:val="center" w:pos="4677"/>
        </w:tabs>
      </w:pPr>
      <w:r w:rsidRPr="00A06FDC">
        <w:br w:type="page"/>
      </w:r>
      <w:r w:rsidRPr="00A06FDC">
        <w:lastRenderedPageBreak/>
        <w:t>AM_Com_LegConsent</w:t>
      </w:r>
    </w:p>
    <w:p w:rsidR="003E43AC" w:rsidRPr="00A06FDC" w:rsidRDefault="00A06FDC" w:rsidP="00695CC1">
      <w:pPr>
        <w:pStyle w:val="AmNumberTabs"/>
        <w:keepNext/>
      </w:pPr>
      <w:r w:rsidRPr="00A06FDC">
        <w:br w:type="page"/>
      </w:r>
      <w:r w:rsidRPr="00A06FDC">
        <w:rPr>
          <w:rStyle w:val="HideTWBExt"/>
          <w:b w:val="0"/>
          <w:color w:val="auto"/>
        </w:rPr>
        <w:lastRenderedPageBreak/>
        <w:t>&lt;RepeatBlock-Amend&gt;</w:t>
      </w:r>
      <w:bookmarkStart w:id="1" w:name="restart"/>
      <w:r w:rsidRPr="00A06FDC">
        <w:rPr>
          <w:rStyle w:val="HideTWBExt"/>
          <w:b w:val="0"/>
          <w:color w:val="auto"/>
        </w:rPr>
        <w:t>&lt;Amend&gt;</w:t>
      </w:r>
      <w:r w:rsidRPr="00A06FDC">
        <w:t>Grozījums Nr.</w:t>
      </w:r>
      <w:r w:rsidRPr="00A06FDC">
        <w:tab/>
      </w:r>
      <w:r w:rsidRPr="00A06FDC">
        <w:tab/>
      </w:r>
      <w:r w:rsidRPr="00A06FDC">
        <w:rPr>
          <w:rStyle w:val="HideTWBExt"/>
          <w:b w:val="0"/>
          <w:color w:val="auto"/>
        </w:rPr>
        <w:t>&lt;NumAm&gt;</w:t>
      </w:r>
      <w:r w:rsidRPr="00A06FDC">
        <w:t>1</w:t>
      </w:r>
      <w:r w:rsidRPr="00A06FDC">
        <w:rPr>
          <w:rStyle w:val="HideTWBExt"/>
          <w:b w:val="0"/>
          <w:color w:val="auto"/>
        </w:rPr>
        <w:t>&lt;/NumAm&gt;</w:t>
      </w:r>
    </w:p>
    <w:p w:rsidR="005B32E3" w:rsidRPr="00A06FDC" w:rsidRDefault="00A06FDC" w:rsidP="005B32E3">
      <w:pPr>
        <w:pStyle w:val="NormalBold"/>
      </w:pPr>
      <w:r w:rsidRPr="00A06FDC">
        <w:rPr>
          <w:rStyle w:val="HideTWBExt"/>
          <w:b w:val="0"/>
          <w:color w:val="auto"/>
        </w:rPr>
        <w:t>&lt;RepeatBlock-By&gt;&lt;Members&gt;</w:t>
      </w:r>
      <w:r w:rsidRPr="00A06FDC">
        <w:t>Özlem Demirel</w:t>
      </w:r>
      <w:r w:rsidRPr="00A06FDC">
        <w:rPr>
          <w:rStyle w:val="HideTWBExt"/>
          <w:b w:val="0"/>
          <w:color w:val="auto"/>
        </w:rPr>
        <w:t>&lt;/Members&gt;</w:t>
      </w:r>
    </w:p>
    <w:p w:rsidR="005B32E3" w:rsidRPr="00A06FDC" w:rsidRDefault="00A06FDC" w:rsidP="005B32E3">
      <w:r w:rsidRPr="00A06FDC">
        <w:rPr>
          <w:rStyle w:val="HideTWBExt"/>
          <w:color w:val="auto"/>
        </w:rPr>
        <w:t>&lt;/RepeatBlock-By&gt;</w:t>
      </w:r>
    </w:p>
    <w:p w:rsidR="009B0305" w:rsidRPr="00A06FDC" w:rsidRDefault="00A06FDC" w:rsidP="005B32E3">
      <w:pPr>
        <w:pStyle w:val="NormalBold"/>
      </w:pPr>
      <w:r w:rsidRPr="00A06FDC">
        <w:rPr>
          <w:rStyle w:val="HideTWBExt"/>
          <w:b w:val="0"/>
          <w:color w:val="auto"/>
        </w:rPr>
        <w:t>&lt;DocAmend&gt;</w:t>
      </w:r>
      <w:r w:rsidRPr="00A06FDC">
        <w:t>Normatīvās rezolūcijas projekts</w:t>
      </w:r>
      <w:r w:rsidRPr="00A06FDC">
        <w:rPr>
          <w:rStyle w:val="HideTWBExt"/>
          <w:b w:val="0"/>
          <w:color w:val="auto"/>
        </w:rPr>
        <w:t>&lt;/DocAmend&gt;</w:t>
      </w:r>
    </w:p>
    <w:p w:rsidR="008F0DDD" w:rsidRPr="00A06FDC" w:rsidRDefault="00A06FDC" w:rsidP="00F459F7">
      <w:pPr>
        <w:pStyle w:val="NormalBold"/>
      </w:pPr>
      <w:r w:rsidRPr="00A06FDC">
        <w:rPr>
          <w:rStyle w:val="HideTWBExt"/>
          <w:b w:val="0"/>
          <w:color w:val="auto"/>
        </w:rPr>
        <w:t>&lt;Article&gt;</w:t>
      </w:r>
      <w:r w:rsidRPr="00A06FDC">
        <w:t>1. punkts</w:t>
      </w:r>
      <w:r w:rsidRPr="00A06FDC">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06FDC" w:rsidRPr="00A06FDC">
        <w:trPr>
          <w:jc w:val="center"/>
        </w:trPr>
        <w:tc>
          <w:tcPr>
            <w:tcW w:w="9752" w:type="dxa"/>
            <w:gridSpan w:val="2"/>
          </w:tcPr>
          <w:p w:rsidR="00FA192C" w:rsidRPr="00A06FDC" w:rsidRDefault="00FA192C" w:rsidP="00A233E9">
            <w:pPr>
              <w:keepNext/>
            </w:pPr>
          </w:p>
        </w:tc>
      </w:tr>
      <w:tr w:rsidR="00A06FDC" w:rsidRPr="00A06FDC">
        <w:trPr>
          <w:jc w:val="center"/>
        </w:trPr>
        <w:tc>
          <w:tcPr>
            <w:tcW w:w="4876" w:type="dxa"/>
          </w:tcPr>
          <w:p w:rsidR="00FA192C" w:rsidRPr="00A06FDC" w:rsidRDefault="00A06FDC" w:rsidP="00CB2746">
            <w:pPr>
              <w:pStyle w:val="AmColumnHeading"/>
              <w:keepNext/>
            </w:pPr>
            <w:r w:rsidRPr="00A06FDC">
              <w:t>Normatīvās rezolūcijas projekts</w:t>
            </w:r>
          </w:p>
        </w:tc>
        <w:tc>
          <w:tcPr>
            <w:tcW w:w="4876" w:type="dxa"/>
          </w:tcPr>
          <w:p w:rsidR="00FA192C" w:rsidRPr="00A06FDC" w:rsidRDefault="00A06FDC" w:rsidP="00A233E9">
            <w:pPr>
              <w:pStyle w:val="AmColumnHeading"/>
              <w:keepNext/>
            </w:pPr>
            <w:r w:rsidRPr="00A06FDC">
              <w:t>Grozījums</w:t>
            </w:r>
          </w:p>
        </w:tc>
      </w:tr>
      <w:tr w:rsidR="00A06FDC" w:rsidRPr="00A06FDC">
        <w:trPr>
          <w:jc w:val="center"/>
        </w:trPr>
        <w:tc>
          <w:tcPr>
            <w:tcW w:w="4876" w:type="dxa"/>
          </w:tcPr>
          <w:p w:rsidR="00FA192C" w:rsidRPr="00A06FDC" w:rsidRDefault="00A06FDC" w:rsidP="0057155B">
            <w:pPr>
              <w:pStyle w:val="Normal6a"/>
            </w:pPr>
            <w:r w:rsidRPr="00A06FDC">
              <w:t>1. sniedz piekrišanu nolīguma slēgšanai;</w:t>
            </w:r>
          </w:p>
        </w:tc>
        <w:tc>
          <w:tcPr>
            <w:tcW w:w="4876" w:type="dxa"/>
          </w:tcPr>
          <w:p w:rsidR="00FA192C" w:rsidRPr="00A06FDC" w:rsidRDefault="00A06FDC" w:rsidP="0057155B">
            <w:pPr>
              <w:pStyle w:val="Normal6a"/>
              <w:rPr>
                <w:szCs w:val="24"/>
              </w:rPr>
            </w:pPr>
            <w:r w:rsidRPr="00A06FDC">
              <w:t xml:space="preserve">1. </w:t>
            </w:r>
            <w:r w:rsidRPr="00A06FDC">
              <w:rPr>
                <w:b/>
                <w:bCs/>
                <w:i/>
                <w:iCs/>
              </w:rPr>
              <w:t>nesniedz</w:t>
            </w:r>
            <w:r w:rsidRPr="00A06FDC">
              <w:t xml:space="preserve"> piekrišanu nolīguma slēgšanai;</w:t>
            </w:r>
          </w:p>
        </w:tc>
      </w:tr>
    </w:tbl>
    <w:p w:rsidR="00FA192C" w:rsidRPr="00A06FDC" w:rsidRDefault="00A06FDC" w:rsidP="009A65D8">
      <w:pPr>
        <w:pStyle w:val="AmOrLang"/>
      </w:pPr>
      <w:r w:rsidRPr="00A06FDC">
        <w:t xml:space="preserve">Or. </w:t>
      </w:r>
      <w:r w:rsidRPr="00A06FDC">
        <w:rPr>
          <w:rStyle w:val="HideTWBExt"/>
          <w:noProof w:val="0"/>
          <w:color w:val="auto"/>
        </w:rPr>
        <w:t>&lt;Original&gt;</w:t>
      </w:r>
      <w:r w:rsidR="0057155B" w:rsidRPr="00A06FDC">
        <w:rPr>
          <w:rStyle w:val="HideTWBInt"/>
          <w:color w:val="auto"/>
        </w:rPr>
        <w:t>{EN}</w:t>
      </w:r>
      <w:r w:rsidR="0057155B" w:rsidRPr="00A06FDC">
        <w:t>en</w:t>
      </w:r>
      <w:r w:rsidRPr="00A06FDC">
        <w:rPr>
          <w:rStyle w:val="HideTWBExt"/>
          <w:noProof w:val="0"/>
          <w:color w:val="auto"/>
        </w:rPr>
        <w:t>&lt;/Original&gt;</w:t>
      </w:r>
    </w:p>
    <w:p w:rsidR="00FA192C" w:rsidRPr="00A06FDC" w:rsidRDefault="00A06FDC" w:rsidP="00FA192C">
      <w:pPr>
        <w:pStyle w:val="AmJustTitle"/>
      </w:pPr>
      <w:r w:rsidRPr="00A06FDC">
        <w:rPr>
          <w:rStyle w:val="HideTWBExt"/>
          <w:i w:val="0"/>
          <w:color w:val="auto"/>
        </w:rPr>
        <w:t>&lt;TitreJust&gt;</w:t>
      </w:r>
      <w:r w:rsidRPr="00A06FDC">
        <w:t>Pamatojums</w:t>
      </w:r>
      <w:r w:rsidRPr="00A06FDC">
        <w:rPr>
          <w:rStyle w:val="HideTWBExt"/>
          <w:i w:val="0"/>
          <w:color w:val="auto"/>
        </w:rPr>
        <w:t>&lt;/TitreJust&gt;</w:t>
      </w:r>
    </w:p>
    <w:p w:rsidR="0057155B" w:rsidRPr="00A06FDC" w:rsidRDefault="00A06FDC" w:rsidP="0057155B">
      <w:pPr>
        <w:pStyle w:val="AmJustText"/>
        <w:jc w:val="both"/>
        <w:rPr>
          <w:szCs w:val="24"/>
        </w:rPr>
      </w:pPr>
      <w:r w:rsidRPr="00A06FDC">
        <w:t xml:space="preserve"> </w:t>
      </w:r>
      <w:r w:rsidRPr="00A06FDC">
        <w:t>Jaunais ES un Kanādas PDR nolīguma projekts, par kuru Komisija veda sarunas, neatbilst Eiropas Savienības Tiesas spriedumam, ar kuru ES PDR nolīgums ar Kanādu 2019. gadā jau tika atzīts par spēkā neesošu. Konkrētāk runājot, jaunais nolīguma projekts vairāk</w:t>
      </w:r>
      <w:r w:rsidRPr="00A06FDC">
        <w:t>ās svarīgās jomās neatbilst ES datu aizsardzības tiesību aktos noteiktajiem standartiem. Nolīguma plašais datu vākšanas tvērums, ilgie glabāšanas periodi (dažos gadījumos joprojām līdz pieciem gadiem), ierobežotā pārredzamība un nepietiekamie starptautiskā</w:t>
      </w:r>
      <w:r w:rsidRPr="00A06FDC">
        <w:t xml:space="preserve">s datu nosūtīšanas aizsardzības pasākumi rada nopietnas bažas no datu aizsardzības viedokļa. Lai pilnībā saskaņotu ar ES datu aizsardzības tiesību aktiem, šajā nolīgumā būtu jāiekļauj stingrāki ierobežojumi attiecībā uz datu vākšanu un glabāšanu, jāuzlabo </w:t>
      </w:r>
      <w:r w:rsidRPr="00A06FDC">
        <w:t>pārredzamība un individuālās tiesības un jānodrošina stabili pārraudzības un pārskatatbildības mehānismi. Turklāt, neraugoties uz šiem riskiem un bažām, Komisija EDAU atzinumu pieprasījusi nebija un projektu Parlamentam darīja zināmu tikai pēc tam, kad sar</w:t>
      </w:r>
      <w:r w:rsidRPr="00A06FDC">
        <w:t>unas bija pabeigtas, tādējādi apliecinot acīmredzamu pārredzamības trūkumu.</w:t>
      </w:r>
    </w:p>
    <w:p w:rsidR="00FA192C" w:rsidRPr="00A06FDC" w:rsidRDefault="00FA192C" w:rsidP="00FA192C">
      <w:pPr>
        <w:pStyle w:val="AmJustText"/>
      </w:pPr>
    </w:p>
    <w:p w:rsidR="00166CCB" w:rsidRPr="00A06FDC" w:rsidRDefault="00A06FDC" w:rsidP="00A5426B">
      <w:r w:rsidRPr="00A06FDC">
        <w:rPr>
          <w:rStyle w:val="HideTWBExt"/>
          <w:color w:val="auto"/>
        </w:rPr>
        <w:t>&lt;/Amend&gt;</w:t>
      </w:r>
      <w:bookmarkEnd w:id="1"/>
    </w:p>
    <w:p w:rsidR="00FA192C" w:rsidRPr="00A06FDC" w:rsidRDefault="00A06FDC" w:rsidP="00FA192C">
      <w:r w:rsidRPr="00A06FDC">
        <w:rPr>
          <w:rStyle w:val="HideTWBExt"/>
          <w:color w:val="auto"/>
        </w:rPr>
        <w:t>&lt;/RepeatBlock-Amend&gt;</w:t>
      </w:r>
    </w:p>
    <w:p w:rsidR="008363E4" w:rsidRPr="00A06FDC" w:rsidRDefault="008363E4" w:rsidP="00FA192C"/>
    <w:sectPr w:rsidR="008363E4" w:rsidRPr="00A06FDC" w:rsidSect="00BD48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06FDC">
      <w:r>
        <w:separator/>
      </w:r>
    </w:p>
  </w:endnote>
  <w:endnote w:type="continuationSeparator" w:id="0">
    <w:p w:rsidR="00000000" w:rsidRDefault="00A06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0F" w:rsidRPr="00363A8E" w:rsidRDefault="00A06FDC" w:rsidP="00BD480F">
    <w:pPr>
      <w:pStyle w:val="EPFooter"/>
    </w:pPr>
    <w:r w:rsidRPr="00363A8E">
      <w:t>PE</w:t>
    </w:r>
    <w:r w:rsidRPr="00363A8E">
      <w:rPr>
        <w:rStyle w:val="HideTWBExt"/>
      </w:rPr>
      <w:t>&lt;NoPE&gt;</w:t>
    </w:r>
    <w:r w:rsidRPr="00363A8E">
      <w:t>768.080</w:t>
    </w:r>
    <w:r w:rsidRPr="00363A8E">
      <w:rPr>
        <w:rStyle w:val="HideTWBExt"/>
      </w:rPr>
      <w:t>&lt;/NoPE&gt;&lt;Version&gt;</w:t>
    </w:r>
    <w:r w:rsidRPr="00363A8E">
      <w:t>v01-00</w:t>
    </w:r>
    <w:r w:rsidRPr="00363A8E">
      <w:rPr>
        <w:rStyle w:val="HideTWBExt"/>
      </w:rPr>
      <w:t>&lt;/Version&gt;</w:t>
    </w:r>
    <w:r w:rsidRPr="00363A8E">
      <w:tab/>
    </w:r>
    <w:r w:rsidRPr="00363A8E">
      <w:fldChar w:fldCharType="begin"/>
    </w:r>
    <w:r w:rsidRPr="00363A8E">
      <w:instrText xml:space="preserve"> PAGE  \* MERGEFORMAT </w:instrText>
    </w:r>
    <w:r w:rsidRPr="00363A8E">
      <w:fldChar w:fldCharType="separate"/>
    </w:r>
    <w:r>
      <w:rPr>
        <w:noProof/>
      </w:rPr>
      <w:t>2</w:t>
    </w:r>
    <w:r w:rsidRPr="00363A8E">
      <w:fldChar w:fldCharType="end"/>
    </w:r>
    <w:r w:rsidRPr="00363A8E">
      <w:t>/</w:t>
    </w:r>
    <w:r w:rsidR="00D16477">
      <w:fldChar w:fldCharType="begin"/>
    </w:r>
    <w:r>
      <w:instrText xml:space="preserve"> NUMPAGES  \* MERGEFORMAT </w:instrText>
    </w:r>
    <w:r w:rsidR="00D16477">
      <w:fldChar w:fldCharType="separate"/>
    </w:r>
    <w:r>
      <w:rPr>
        <w:noProof/>
      </w:rPr>
      <w:t>3</w:t>
    </w:r>
    <w:r w:rsidR="00D16477">
      <w:rPr>
        <w:noProof/>
      </w:rPr>
      <w:fldChar w:fldCharType="end"/>
    </w:r>
    <w:r w:rsidRPr="00363A8E">
      <w:tab/>
    </w:r>
    <w:r w:rsidRPr="00363A8E">
      <w:rPr>
        <w:rStyle w:val="HideTWBExt"/>
      </w:rPr>
      <w:t>&lt;PathFdR&gt;</w:t>
    </w:r>
    <w:r w:rsidRPr="00363A8E">
      <w:t>AM\1314265LV.docx</w:t>
    </w:r>
    <w:r w:rsidRPr="00363A8E">
      <w:rPr>
        <w:rStyle w:val="HideTWBExt"/>
      </w:rPr>
      <w:t>&lt;/PathFdR&gt;</w:t>
    </w:r>
  </w:p>
  <w:p w:rsidR="00D82FCC" w:rsidRPr="00363A8E" w:rsidRDefault="00A06FDC" w:rsidP="00BD480F">
    <w:pPr>
      <w:pStyle w:val="EPFooter2"/>
    </w:pPr>
    <w:r w:rsidRPr="00363A8E">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0F" w:rsidRPr="00363A8E" w:rsidRDefault="00A06FDC" w:rsidP="00BD480F">
    <w:pPr>
      <w:pStyle w:val="EPFooter"/>
    </w:pPr>
    <w:r w:rsidRPr="00363A8E">
      <w:rPr>
        <w:rStyle w:val="HideTWBExt"/>
      </w:rPr>
      <w:t>&lt;PathFdR&gt;</w:t>
    </w:r>
    <w:r w:rsidRPr="00363A8E">
      <w:t>AM\1314265LV.docx</w:t>
    </w:r>
    <w:r w:rsidRPr="00363A8E">
      <w:rPr>
        <w:rStyle w:val="HideTWBExt"/>
      </w:rPr>
      <w:t>&lt;/PathFdR&gt;</w:t>
    </w:r>
    <w:r w:rsidRPr="00363A8E">
      <w:tab/>
    </w:r>
    <w:r w:rsidRPr="00363A8E">
      <w:fldChar w:fldCharType="begin"/>
    </w:r>
    <w:r w:rsidRPr="00363A8E">
      <w:instrText xml:space="preserve"> PAGE  \* MERGEFORMAT </w:instrText>
    </w:r>
    <w:r w:rsidRPr="00363A8E">
      <w:fldChar w:fldCharType="separate"/>
    </w:r>
    <w:r>
      <w:rPr>
        <w:noProof/>
      </w:rPr>
      <w:t>3</w:t>
    </w:r>
    <w:r w:rsidRPr="00363A8E">
      <w:fldChar w:fldCharType="end"/>
    </w:r>
    <w:r w:rsidRPr="00363A8E">
      <w:t>/</w:t>
    </w:r>
    <w:r w:rsidR="00D16477">
      <w:fldChar w:fldCharType="begin"/>
    </w:r>
    <w:r>
      <w:instrText xml:space="preserve"> NUMPAGES  \* MERGEFORMAT </w:instrText>
    </w:r>
    <w:r w:rsidR="00D16477">
      <w:fldChar w:fldCharType="separate"/>
    </w:r>
    <w:r>
      <w:rPr>
        <w:noProof/>
      </w:rPr>
      <w:t>3</w:t>
    </w:r>
    <w:r w:rsidR="00D16477">
      <w:rPr>
        <w:noProof/>
      </w:rPr>
      <w:fldChar w:fldCharType="end"/>
    </w:r>
    <w:r w:rsidRPr="00363A8E">
      <w:tab/>
      <w:t>PE</w:t>
    </w:r>
    <w:r w:rsidRPr="00363A8E">
      <w:rPr>
        <w:rStyle w:val="HideTWBExt"/>
      </w:rPr>
      <w:t>&lt;NoPE&gt;</w:t>
    </w:r>
    <w:r w:rsidRPr="00363A8E">
      <w:t>768.080</w:t>
    </w:r>
    <w:r w:rsidRPr="00363A8E">
      <w:rPr>
        <w:rStyle w:val="HideTWBExt"/>
      </w:rPr>
      <w:t>&lt;/NoPE&gt;&lt;Version&gt;</w:t>
    </w:r>
    <w:r w:rsidRPr="00363A8E">
      <w:t>v01-00</w:t>
    </w:r>
    <w:r w:rsidRPr="00363A8E">
      <w:rPr>
        <w:rStyle w:val="HideTWBExt"/>
      </w:rPr>
      <w:t>&lt;/Version&gt;</w:t>
    </w:r>
  </w:p>
  <w:p w:rsidR="00D82FCC" w:rsidRPr="00363A8E" w:rsidRDefault="00A06FDC" w:rsidP="00BD480F">
    <w:pPr>
      <w:pStyle w:val="EPFooter2"/>
    </w:pPr>
    <w:r w:rsidRPr="00363A8E">
      <w:tab/>
    </w:r>
    <w:r w:rsidRPr="00363A8E">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80F" w:rsidRPr="00363A8E" w:rsidRDefault="00A06FDC" w:rsidP="00BD480F">
    <w:pPr>
      <w:pStyle w:val="EPFooter"/>
    </w:pPr>
    <w:r w:rsidRPr="00363A8E">
      <w:rPr>
        <w:rStyle w:val="HideTWBExt"/>
      </w:rPr>
      <w:t>&lt;PathFdR&gt;</w:t>
    </w:r>
    <w:r w:rsidRPr="00363A8E">
      <w:t>AM\1314265LV.docx</w:t>
    </w:r>
    <w:r w:rsidRPr="00363A8E">
      <w:rPr>
        <w:rStyle w:val="HideTWBExt"/>
      </w:rPr>
      <w:t>&lt;/PathFdR&gt;</w:t>
    </w:r>
    <w:r w:rsidRPr="00363A8E">
      <w:tab/>
    </w:r>
    <w:r w:rsidRPr="00363A8E">
      <w:tab/>
      <w:t>PE</w:t>
    </w:r>
    <w:r w:rsidRPr="00363A8E">
      <w:rPr>
        <w:rStyle w:val="HideTWBExt"/>
      </w:rPr>
      <w:t>&lt;NoPE&gt;</w:t>
    </w:r>
    <w:r w:rsidRPr="00363A8E">
      <w:t>768.080</w:t>
    </w:r>
    <w:r w:rsidRPr="00363A8E">
      <w:rPr>
        <w:rStyle w:val="HideTWBExt"/>
      </w:rPr>
      <w:t>&lt;/NoPE&gt;&lt;Version&gt;</w:t>
    </w:r>
    <w:r w:rsidRPr="00363A8E">
      <w:t>v01-00</w:t>
    </w:r>
    <w:r w:rsidRPr="00363A8E">
      <w:rPr>
        <w:rStyle w:val="HideTWBExt"/>
      </w:rPr>
      <w:t>&lt;/Version&gt;</w:t>
    </w:r>
  </w:p>
  <w:p w:rsidR="00D82FCC" w:rsidRPr="00363A8E" w:rsidRDefault="00A06FDC" w:rsidP="00BD480F">
    <w:pPr>
      <w:pStyle w:val="EPFooter2"/>
    </w:pPr>
    <w:r w:rsidRPr="00363A8E">
      <w:t>LV</w:t>
    </w:r>
    <w:r w:rsidRPr="00363A8E">
      <w:tab/>
    </w:r>
    <w:r w:rsidRPr="00363A8E">
      <w:rPr>
        <w:b w:val="0"/>
        <w:i/>
        <w:color w:val="C0C0C0"/>
        <w:sz w:val="22"/>
      </w:rPr>
      <w:t>Vienoti daudzveidībā</w:t>
    </w:r>
    <w:r w:rsidRPr="00363A8E">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06FDC">
      <w:r>
        <w:separator/>
      </w:r>
    </w:p>
  </w:footnote>
  <w:footnote w:type="continuationSeparator" w:id="0">
    <w:p w:rsidR="00000000" w:rsidRDefault="00A06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477" w:rsidRDefault="00D164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477" w:rsidRDefault="00D164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477" w:rsidRDefault="00D164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LV"/>
    <w:docVar w:name="TXTLANGUEMIN" w:val="lv"/>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LV.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8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C1801"/>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06FDC"/>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D480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16477"/>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CFFF0"/>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B2BF9-5E90-47E1-A592-3E7E762E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216</Words>
  <Characters>1515</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2025-02-12T12:02:00Z</dcterms:created>
  <dcterms:modified xsi:type="dcterms:W3CDTF">2025-02-12T12:02:00Z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Bookout">
    <vt:lpwstr>OK - 2025/02/12 13:02</vt:lpwstr>
  </property>
  <property fmtid="{D5CDD505-2E9C-101B-9397-08002B2CF9AE}" pid="9" name="Created with">
    <vt:lpwstr>10.0.0 Build [20241202]</vt:lpwstr>
  </property>
  <property fmtid="{D5CDD505-2E9C-101B-9397-08002B2CF9AE}" pid="10" name="FooterPath">
    <vt:lpwstr>AM\1314265LV.docx</vt:lpwstr>
  </property>
  <property fmtid="{D5CDD505-2E9C-101B-9397-08002B2CF9AE}" pid="11" name="LastEdited with">
    <vt:lpwstr>10.0.1 Build [20250114]</vt:lpwstr>
  </property>
  <property fmtid="{D5CDD505-2E9C-101B-9397-08002B2CF9AE}" pid="12" name="PE number">
    <vt:lpwstr>768.080</vt:lpwstr>
  </property>
  <property fmtid="{D5CDD505-2E9C-101B-9397-08002B2CF9AE}" pid="13" name="SendToEpades">
    <vt:lpwstr>OK - 2025/02/03 16:43</vt:lpwstr>
  </property>
  <property fmtid="{D5CDD505-2E9C-101B-9397-08002B2CF9AE}" pid="14" name="SDLStudio">
    <vt:lpwstr/>
  </property>
</Properties>
</file>