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3719E" w:rsidRPr="00296C84" w:rsidTr="00C85D0F">
        <w:trPr>
          <w:trHeight w:hRule="exact" w:val="1418"/>
        </w:trPr>
        <w:tc>
          <w:tcPr>
            <w:tcW w:w="6804" w:type="dxa"/>
            <w:shd w:val="clear" w:color="auto" w:fill="auto"/>
            <w:vAlign w:val="center"/>
          </w:tcPr>
          <w:p w:rsidR="00FF31EC" w:rsidRPr="00296C84" w:rsidRDefault="003B5441" w:rsidP="00C85D0F">
            <w:pPr>
              <w:pStyle w:val="EPName"/>
            </w:pPr>
            <w:bookmarkStart w:id="0" w:name="_GoBack"/>
            <w:bookmarkEnd w:id="0"/>
            <w:r w:rsidRPr="00296C84">
              <w:t>Parlament Ewropew</w:t>
            </w:r>
          </w:p>
          <w:p w:rsidR="00FF31EC" w:rsidRPr="00296C84" w:rsidRDefault="003B5441" w:rsidP="0057155B">
            <w:pPr>
              <w:pStyle w:val="EPTerm"/>
            </w:pPr>
            <w:r w:rsidRPr="00296C84">
              <w:t>2024-2029</w:t>
            </w:r>
          </w:p>
        </w:tc>
        <w:tc>
          <w:tcPr>
            <w:tcW w:w="2268" w:type="dxa"/>
            <w:shd w:val="clear" w:color="auto" w:fill="auto"/>
          </w:tcPr>
          <w:p w:rsidR="00FF31EC" w:rsidRPr="00296C84" w:rsidRDefault="003B5441" w:rsidP="00C85D0F">
            <w:pPr>
              <w:pStyle w:val="EPLogo"/>
            </w:pPr>
            <w:r w:rsidRPr="00296C8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96C84" w:rsidRDefault="000E7234" w:rsidP="000E7234">
      <w:pPr>
        <w:pStyle w:val="LineTop"/>
      </w:pPr>
    </w:p>
    <w:p w:rsidR="000E7234" w:rsidRPr="00296C84" w:rsidRDefault="003B5441" w:rsidP="000E7234">
      <w:pPr>
        <w:pStyle w:val="EPBody"/>
      </w:pPr>
      <w:r w:rsidRPr="00296C84">
        <w:rPr>
          <w:rStyle w:val="HideTWBExt"/>
        </w:rPr>
        <w:t>&lt;</w:t>
      </w:r>
      <w:r w:rsidRPr="00296C84">
        <w:rPr>
          <w:rStyle w:val="HideTWBExt"/>
          <w:i w:val="0"/>
        </w:rPr>
        <w:t>Commission</w:t>
      </w:r>
      <w:r w:rsidRPr="00296C84">
        <w:rPr>
          <w:rStyle w:val="HideTWBExt"/>
        </w:rPr>
        <w:t>&gt;</w:t>
      </w:r>
      <w:r w:rsidRPr="00296C84">
        <w:rPr>
          <w:rStyle w:val="HideTWBInt"/>
          <w:color w:val="auto"/>
        </w:rPr>
        <w:t>{LIBE}</w:t>
      </w:r>
      <w:r w:rsidRPr="00296C84">
        <w:t>Kumitat għal-Libertajiet Ċivili, il-Ġustizzja u l-Intern</w:t>
      </w:r>
      <w:r w:rsidRPr="00296C84">
        <w:rPr>
          <w:rStyle w:val="HideTWBExt"/>
        </w:rPr>
        <w:t>&lt;/</w:t>
      </w:r>
      <w:r w:rsidRPr="00296C84">
        <w:rPr>
          <w:rStyle w:val="HideTWBExt"/>
          <w:i w:val="0"/>
        </w:rPr>
        <w:t>Commission</w:t>
      </w:r>
      <w:r w:rsidRPr="00296C84">
        <w:rPr>
          <w:rStyle w:val="HideTWBExt"/>
        </w:rPr>
        <w:t>&gt;</w:t>
      </w:r>
    </w:p>
    <w:p w:rsidR="000E7234" w:rsidRPr="00296C84" w:rsidRDefault="000E7234" w:rsidP="000E7234">
      <w:pPr>
        <w:pStyle w:val="LineBottom"/>
      </w:pPr>
    </w:p>
    <w:p w:rsidR="00B85286" w:rsidRPr="00296C84" w:rsidRDefault="003B5441">
      <w:pPr>
        <w:pStyle w:val="CoverReference"/>
      </w:pPr>
      <w:r w:rsidRPr="00296C84">
        <w:rPr>
          <w:rStyle w:val="HideTWBExt"/>
          <w:b w:val="0"/>
        </w:rPr>
        <w:t>&lt;RefProc&gt;</w:t>
      </w:r>
      <w:r w:rsidRPr="00296C84">
        <w:t>2024/0051</w:t>
      </w:r>
      <w:r w:rsidRPr="00296C84">
        <w:rPr>
          <w:rStyle w:val="HideTWBExt"/>
          <w:b w:val="0"/>
        </w:rPr>
        <w:t>&lt;/RefProc&gt;&lt;RefTypeProc&gt;</w:t>
      </w:r>
      <w:r w:rsidRPr="00296C84">
        <w:t>(NLE)</w:t>
      </w:r>
      <w:r w:rsidRPr="00296C84">
        <w:rPr>
          <w:rStyle w:val="HideTWBExt"/>
          <w:b w:val="0"/>
        </w:rPr>
        <w:t>&lt;/RefTypeProc&gt;</w:t>
      </w:r>
    </w:p>
    <w:p w:rsidR="00B85286" w:rsidRPr="00296C84" w:rsidRDefault="003B5441">
      <w:pPr>
        <w:pStyle w:val="CoverDate"/>
      </w:pPr>
      <w:r w:rsidRPr="00296C84">
        <w:rPr>
          <w:rStyle w:val="HideTWBExt"/>
        </w:rPr>
        <w:t>&lt;Date&gt;</w:t>
      </w:r>
      <w:r w:rsidRPr="00296C84">
        <w:rPr>
          <w:rStyle w:val="HideTWBInt"/>
          <w:color w:val="auto"/>
        </w:rPr>
        <w:t>{30/01/2025}</w:t>
      </w:r>
      <w:r w:rsidRPr="00296C84">
        <w:t>3.2.2025</w:t>
      </w:r>
      <w:r w:rsidRPr="00296C84">
        <w:rPr>
          <w:rStyle w:val="HideTWBExt"/>
        </w:rPr>
        <w:t>&lt;/Date&gt;</w:t>
      </w:r>
    </w:p>
    <w:p w:rsidR="009B0305" w:rsidRPr="00296C84" w:rsidRDefault="003B5441" w:rsidP="009B0305">
      <w:pPr>
        <w:pStyle w:val="CoverDocType"/>
      </w:pPr>
      <w:r w:rsidRPr="00296C84">
        <w:rPr>
          <w:rStyle w:val="HideTWBExt"/>
          <w:b w:val="0"/>
        </w:rPr>
        <w:t>&lt;TypeAM&gt;</w:t>
      </w:r>
      <w:r w:rsidRPr="00296C84">
        <w:t>EMENDA</w:t>
      </w:r>
      <w:r w:rsidRPr="00296C84">
        <w:rPr>
          <w:rStyle w:val="HideTWBExt"/>
          <w:b w:val="0"/>
        </w:rPr>
        <w:t>&lt;/TypeAM&gt;</w:t>
      </w:r>
    </w:p>
    <w:p w:rsidR="00B85286" w:rsidRPr="00296C84" w:rsidRDefault="003B5441" w:rsidP="001C2054">
      <w:pPr>
        <w:pStyle w:val="CoverDocType24a"/>
      </w:pPr>
      <w:r w:rsidRPr="00296C84">
        <w:rPr>
          <w:rStyle w:val="HideTWBExt"/>
          <w:b w:val="0"/>
        </w:rPr>
        <w:t>&lt;RangeAM&gt;</w:t>
      </w:r>
      <w:r w:rsidRPr="00296C84">
        <w:t>1</w:t>
      </w:r>
      <w:r w:rsidRPr="00296C84">
        <w:rPr>
          <w:rStyle w:val="HideTWBExt"/>
          <w:b w:val="0"/>
        </w:rPr>
        <w:t>&lt;/RangeAM&gt;</w:t>
      </w:r>
    </w:p>
    <w:p w:rsidR="001C2054" w:rsidRPr="00296C84" w:rsidRDefault="003B5441" w:rsidP="00A93F8C">
      <w:pPr>
        <w:pStyle w:val="CoverBold"/>
      </w:pPr>
      <w:r w:rsidRPr="00296C84">
        <w:rPr>
          <w:rStyle w:val="HideTWBExt"/>
          <w:b w:val="0"/>
        </w:rPr>
        <w:t>&lt;TitreType&gt;</w:t>
      </w:r>
      <w:r w:rsidRPr="00296C84">
        <w:t>Abbozz ta’ rakkomandazzjoni</w:t>
      </w:r>
      <w:r w:rsidRPr="00296C84">
        <w:rPr>
          <w:rStyle w:val="HideTWBExt"/>
          <w:b w:val="0"/>
        </w:rPr>
        <w:t>&lt;/TitreType&gt;</w:t>
      </w:r>
    </w:p>
    <w:p w:rsidR="00B85286" w:rsidRPr="00296C84" w:rsidRDefault="003B5441" w:rsidP="00A93F8C">
      <w:pPr>
        <w:pStyle w:val="CoverBold"/>
      </w:pPr>
      <w:r w:rsidRPr="00296C84">
        <w:rPr>
          <w:rStyle w:val="HideTWBExt"/>
          <w:b w:val="0"/>
        </w:rPr>
        <w:t>&lt;Rapporteur&gt;</w:t>
      </w:r>
      <w:r w:rsidRPr="00296C84">
        <w:t>Nikola Minchev</w:t>
      </w:r>
      <w:r w:rsidRPr="00296C84">
        <w:rPr>
          <w:rStyle w:val="HideTWBExt"/>
          <w:b w:val="0"/>
        </w:rPr>
        <w:t>&lt;/Rapporteur&gt;</w:t>
      </w:r>
    </w:p>
    <w:p w:rsidR="00B85286" w:rsidRPr="00296C84" w:rsidRDefault="003B5441">
      <w:pPr>
        <w:pStyle w:val="CoverNormal24a"/>
      </w:pPr>
      <w:r w:rsidRPr="00296C84">
        <w:rPr>
          <w:rStyle w:val="HideTWBExt"/>
        </w:rPr>
        <w:t>&lt;DocRefPE&gt;</w:t>
      </w:r>
      <w:r w:rsidRPr="00296C84">
        <w:t>(PE767.911v01-00)</w:t>
      </w:r>
      <w:r w:rsidRPr="00296C84">
        <w:rPr>
          <w:rStyle w:val="HideTWBExt"/>
        </w:rPr>
        <w:t>&lt;/DocRefPE&gt;</w:t>
      </w:r>
    </w:p>
    <w:p w:rsidR="0057155B" w:rsidRPr="00296C84" w:rsidRDefault="003B5441" w:rsidP="0057155B">
      <w:pPr>
        <w:pStyle w:val="CoverNormal"/>
      </w:pPr>
      <w:r w:rsidRPr="00296C84">
        <w:rPr>
          <w:rStyle w:val="HideTWBExt"/>
        </w:rPr>
        <w:t>&lt;Titre&gt;</w:t>
      </w:r>
      <w:r w:rsidRPr="00296C84">
        <w:t xml:space="preserve">dwar l-abbozz ta’ deċiżjoni tal-Kunsill dwar il-konklużjoni, f’isem l-Unjoni, tal-Ftehim bejn il-Kanada u </w:t>
      </w:r>
      <w:r w:rsidRPr="00296C84">
        <w:t>l-Unjoni Ewropea dwar it-trasferiment u l-ipproċessar ta’ data tar-Reġistru tal-Ismijiet tal-Passiġġieri</w:t>
      </w:r>
    </w:p>
    <w:p w:rsidR="00B85286" w:rsidRPr="00296C84" w:rsidRDefault="003B5441">
      <w:pPr>
        <w:pStyle w:val="CoverNormal24a"/>
      </w:pPr>
      <w:r w:rsidRPr="00296C84">
        <w:rPr>
          <w:rStyle w:val="HideTWBExt"/>
        </w:rPr>
        <w:t>&lt;/Titre&gt;</w:t>
      </w:r>
    </w:p>
    <w:p w:rsidR="006337D4" w:rsidRPr="00296C84" w:rsidRDefault="003B5441" w:rsidP="006337D4">
      <w:pPr>
        <w:pStyle w:val="CoverNormal"/>
      </w:pPr>
      <w:r w:rsidRPr="00296C84">
        <w:rPr>
          <w:rStyle w:val="HideTWBExt"/>
        </w:rPr>
        <w:t>&lt;DocAmend&gt;</w:t>
      </w:r>
      <w:r w:rsidRPr="00296C84">
        <w:t>Abbozz ta’ deċiżjoni</w:t>
      </w:r>
      <w:r w:rsidRPr="00296C84">
        <w:rPr>
          <w:rStyle w:val="HideTWBExt"/>
        </w:rPr>
        <w:t>&lt;/DocAmend&gt;</w:t>
      </w:r>
    </w:p>
    <w:p w:rsidR="00B85286" w:rsidRPr="00296C84" w:rsidRDefault="003B5441">
      <w:pPr>
        <w:pStyle w:val="CoverNormal24a"/>
      </w:pPr>
      <w:r w:rsidRPr="00296C84">
        <w:rPr>
          <w:rStyle w:val="HideTWBExt"/>
        </w:rPr>
        <w:t>&lt;DocRef&gt;</w:t>
      </w:r>
      <w:r w:rsidRPr="00296C84">
        <w:t>(08897/2024 – C10</w:t>
      </w:r>
      <w:r w:rsidRPr="00296C84">
        <w:noBreakHyphen/>
        <w:t>0125/2024 – 2024/0051(NLE))</w:t>
      </w:r>
      <w:r w:rsidRPr="00296C84">
        <w:rPr>
          <w:rStyle w:val="HideTWBExt"/>
        </w:rPr>
        <w:t>&lt;/DocRef&gt;</w:t>
      </w:r>
    </w:p>
    <w:p w:rsidR="00B85286" w:rsidRPr="00296C84" w:rsidRDefault="003B5441" w:rsidP="005D3DD1">
      <w:pPr>
        <w:widowControl/>
        <w:tabs>
          <w:tab w:val="center" w:pos="4677"/>
        </w:tabs>
      </w:pPr>
      <w:r w:rsidRPr="00296C84">
        <w:br w:type="page"/>
      </w:r>
      <w:r w:rsidRPr="00296C84">
        <w:lastRenderedPageBreak/>
        <w:t>AM_Com_LegConsent</w:t>
      </w:r>
    </w:p>
    <w:p w:rsidR="003E43AC" w:rsidRPr="00296C84" w:rsidRDefault="003B5441" w:rsidP="00695CC1">
      <w:pPr>
        <w:pStyle w:val="AmNumberTabs"/>
        <w:keepNext/>
      </w:pPr>
      <w:r w:rsidRPr="00296C84">
        <w:br w:type="page"/>
      </w:r>
      <w:r w:rsidRPr="00296C84">
        <w:rPr>
          <w:rStyle w:val="HideTWBExt"/>
          <w:b w:val="0"/>
        </w:rPr>
        <w:lastRenderedPageBreak/>
        <w:t>&lt;RepeatBlock-Amend&gt;</w:t>
      </w:r>
      <w:bookmarkStart w:id="1" w:name="restart"/>
      <w:r w:rsidRPr="00296C84">
        <w:rPr>
          <w:rStyle w:val="HideTWBExt"/>
          <w:b w:val="0"/>
        </w:rPr>
        <w:t>&lt;Amend&gt;</w:t>
      </w:r>
      <w:r w:rsidRPr="00296C84">
        <w:t>Emenda</w:t>
      </w:r>
      <w:r w:rsidRPr="00296C84">
        <w:tab/>
      </w:r>
      <w:r w:rsidRPr="00296C84">
        <w:tab/>
      </w:r>
      <w:r w:rsidRPr="00296C84">
        <w:rPr>
          <w:rStyle w:val="HideTWBExt"/>
          <w:b w:val="0"/>
        </w:rPr>
        <w:t>&lt;NumAm&gt;</w:t>
      </w:r>
      <w:r w:rsidRPr="00296C84">
        <w:t>1</w:t>
      </w:r>
      <w:r w:rsidRPr="00296C84">
        <w:rPr>
          <w:rStyle w:val="HideTWBExt"/>
          <w:b w:val="0"/>
        </w:rPr>
        <w:t>&lt;/NumAm&gt;</w:t>
      </w:r>
    </w:p>
    <w:p w:rsidR="005B32E3" w:rsidRPr="00296C84" w:rsidRDefault="003B5441" w:rsidP="005B32E3">
      <w:pPr>
        <w:pStyle w:val="NormalBold"/>
      </w:pPr>
      <w:r w:rsidRPr="00296C84">
        <w:rPr>
          <w:rStyle w:val="HideTWBExt"/>
          <w:b w:val="0"/>
        </w:rPr>
        <w:t>&lt;RepeatBlock-By&gt;&lt;Members&gt;</w:t>
      </w:r>
      <w:r w:rsidRPr="00296C84">
        <w:t>Özlem Demirel</w:t>
      </w:r>
      <w:r w:rsidRPr="00296C84">
        <w:rPr>
          <w:rStyle w:val="HideTWBExt"/>
          <w:b w:val="0"/>
        </w:rPr>
        <w:t>&lt;/Members&gt;</w:t>
      </w:r>
    </w:p>
    <w:p w:rsidR="005B32E3" w:rsidRPr="00296C84" w:rsidRDefault="003B5441" w:rsidP="005B32E3">
      <w:r w:rsidRPr="00296C84">
        <w:rPr>
          <w:rStyle w:val="HideTWBExt"/>
        </w:rPr>
        <w:t>&lt;/RepeatBlock-By&gt;</w:t>
      </w:r>
    </w:p>
    <w:p w:rsidR="009B0305" w:rsidRPr="00296C84" w:rsidRDefault="003B5441" w:rsidP="005B32E3">
      <w:pPr>
        <w:pStyle w:val="NormalBold"/>
      </w:pPr>
      <w:r w:rsidRPr="00296C84">
        <w:rPr>
          <w:rStyle w:val="HideTWBExt"/>
          <w:b w:val="0"/>
        </w:rPr>
        <w:t>&lt;DocAmend&gt;</w:t>
      </w:r>
      <w:r w:rsidRPr="00296C84">
        <w:t>Abbozz ta’ riżoluzzjoni leġiżlattiva</w:t>
      </w:r>
      <w:r w:rsidRPr="00296C84">
        <w:rPr>
          <w:rStyle w:val="HideTWBExt"/>
          <w:b w:val="0"/>
        </w:rPr>
        <w:t>&lt;/DocAmend&gt;</w:t>
      </w:r>
    </w:p>
    <w:p w:rsidR="008F0DDD" w:rsidRPr="00296C84" w:rsidRDefault="003B5441" w:rsidP="00F459F7">
      <w:pPr>
        <w:pStyle w:val="NormalBold"/>
      </w:pPr>
      <w:r w:rsidRPr="00296C84">
        <w:rPr>
          <w:rStyle w:val="HideTWBExt"/>
          <w:b w:val="0"/>
        </w:rPr>
        <w:t>&lt;Article&gt;</w:t>
      </w:r>
      <w:r w:rsidRPr="00296C84">
        <w:t>Paragrafu 1</w:t>
      </w:r>
      <w:r w:rsidRPr="00296C8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3719E" w:rsidRPr="00296C84">
        <w:trPr>
          <w:jc w:val="center"/>
        </w:trPr>
        <w:tc>
          <w:tcPr>
            <w:tcW w:w="9752" w:type="dxa"/>
            <w:gridSpan w:val="2"/>
          </w:tcPr>
          <w:p w:rsidR="00FA192C" w:rsidRPr="00296C84" w:rsidRDefault="00FA192C" w:rsidP="00A233E9">
            <w:pPr>
              <w:keepNext/>
            </w:pPr>
          </w:p>
        </w:tc>
      </w:tr>
      <w:tr w:rsidR="0063719E" w:rsidRPr="00296C84">
        <w:trPr>
          <w:jc w:val="center"/>
        </w:trPr>
        <w:tc>
          <w:tcPr>
            <w:tcW w:w="4876" w:type="dxa"/>
          </w:tcPr>
          <w:p w:rsidR="00FA192C" w:rsidRPr="00296C84" w:rsidRDefault="003B5441" w:rsidP="00CB2746">
            <w:pPr>
              <w:pStyle w:val="AmColumnHeading"/>
              <w:keepNext/>
            </w:pPr>
            <w:r w:rsidRPr="00296C84">
              <w:t>Abbozz ta’ riżoluzzjoni leġiżlattiva</w:t>
            </w:r>
          </w:p>
        </w:tc>
        <w:tc>
          <w:tcPr>
            <w:tcW w:w="4876" w:type="dxa"/>
          </w:tcPr>
          <w:p w:rsidR="00FA192C" w:rsidRPr="00296C84" w:rsidRDefault="003B5441" w:rsidP="00A233E9">
            <w:pPr>
              <w:pStyle w:val="AmColumnHeading"/>
              <w:keepNext/>
            </w:pPr>
            <w:r w:rsidRPr="00296C84">
              <w:t>Emenda</w:t>
            </w:r>
          </w:p>
        </w:tc>
      </w:tr>
      <w:tr w:rsidR="0063719E" w:rsidRPr="00296C84">
        <w:trPr>
          <w:jc w:val="center"/>
        </w:trPr>
        <w:tc>
          <w:tcPr>
            <w:tcW w:w="4876" w:type="dxa"/>
          </w:tcPr>
          <w:p w:rsidR="00FA192C" w:rsidRPr="00296C84" w:rsidRDefault="003B5441" w:rsidP="0057155B">
            <w:pPr>
              <w:pStyle w:val="Normal6a"/>
            </w:pPr>
            <w:r w:rsidRPr="00296C84">
              <w:t>1.</w:t>
            </w:r>
            <w:r w:rsidRPr="00296C84">
              <w:t xml:space="preserve"> Jagħti l-approvazzjoni tiegħu għall-konklużjoni tal-ftehim;</w:t>
            </w:r>
          </w:p>
        </w:tc>
        <w:tc>
          <w:tcPr>
            <w:tcW w:w="4876" w:type="dxa"/>
          </w:tcPr>
          <w:p w:rsidR="00FA192C" w:rsidRPr="00296C84" w:rsidRDefault="003B5441" w:rsidP="0057155B">
            <w:pPr>
              <w:pStyle w:val="Normal6a"/>
              <w:rPr>
                <w:szCs w:val="24"/>
              </w:rPr>
            </w:pPr>
            <w:r w:rsidRPr="00296C84">
              <w:t xml:space="preserve">1. </w:t>
            </w:r>
            <w:r w:rsidRPr="00296C84">
              <w:rPr>
                <w:b/>
                <w:i/>
              </w:rPr>
              <w:t>Jirrifjuta li</w:t>
            </w:r>
            <w:r w:rsidRPr="00296C84">
              <w:t xml:space="preserve"> jagħti l-approvazzjoni tiegħu għall-konklużjoni tal-ftehim;</w:t>
            </w:r>
          </w:p>
        </w:tc>
      </w:tr>
    </w:tbl>
    <w:p w:rsidR="00FA192C" w:rsidRPr="00296C84" w:rsidRDefault="003B5441" w:rsidP="009A65D8">
      <w:pPr>
        <w:pStyle w:val="AmOrLang"/>
      </w:pPr>
      <w:r w:rsidRPr="00296C84">
        <w:t xml:space="preserve">Or. </w:t>
      </w:r>
      <w:r w:rsidRPr="00296C84">
        <w:rPr>
          <w:rStyle w:val="HideTWBExt"/>
          <w:noProof w:val="0"/>
        </w:rPr>
        <w:t>&lt;Original&gt;</w:t>
      </w:r>
      <w:r w:rsidR="0057155B" w:rsidRPr="00296C84">
        <w:rPr>
          <w:rStyle w:val="HideTWBInt"/>
        </w:rPr>
        <w:t>{EN}</w:t>
      </w:r>
      <w:r w:rsidR="0057155B" w:rsidRPr="00296C84">
        <w:t>en</w:t>
      </w:r>
      <w:r w:rsidRPr="00296C84">
        <w:rPr>
          <w:rStyle w:val="HideTWBExt"/>
          <w:noProof w:val="0"/>
        </w:rPr>
        <w:t>&lt;/Original&gt;</w:t>
      </w:r>
    </w:p>
    <w:p w:rsidR="00FA192C" w:rsidRPr="00296C84" w:rsidRDefault="003B5441" w:rsidP="00FA192C">
      <w:pPr>
        <w:pStyle w:val="AmJustTitle"/>
      </w:pPr>
      <w:r w:rsidRPr="00296C84">
        <w:rPr>
          <w:rStyle w:val="HideTWBExt"/>
          <w:i w:val="0"/>
        </w:rPr>
        <w:t>&lt;TitreJust&gt;</w:t>
      </w:r>
      <w:r w:rsidRPr="00296C84">
        <w:t>Ġustifikazzjoni</w:t>
      </w:r>
      <w:r w:rsidRPr="00296C84">
        <w:rPr>
          <w:rStyle w:val="HideTWBExt"/>
          <w:i w:val="0"/>
        </w:rPr>
        <w:t>&lt;/TitreJust&gt;</w:t>
      </w:r>
    </w:p>
    <w:p w:rsidR="0057155B" w:rsidRPr="00296C84" w:rsidRDefault="003B5441" w:rsidP="0057155B">
      <w:pPr>
        <w:pStyle w:val="AmJustText"/>
        <w:jc w:val="both"/>
        <w:rPr>
          <w:szCs w:val="24"/>
        </w:rPr>
      </w:pPr>
      <w:r w:rsidRPr="00296C84">
        <w:t xml:space="preserve"> L-abbozz il-ġdid tal-ftehim PNR bejn l-UE u l</w:t>
      </w:r>
      <w:r w:rsidRPr="00296C84">
        <w:t>-Kanada kif innegozjat mill-Kummissjoni jonqos milli jikkonforma mas-sentenza tal-Qorti Ewropea tal-Ġustizzja li diġà invalidat il-ftehim PNR tal-UE mal-Kanada fl-2019. B’mod partikolari, l-abbozz il-ġdid tal-ftehim ma jilħaqx l-aspettattivi f’diversi oqsm</w:t>
      </w:r>
      <w:r w:rsidRPr="00296C84">
        <w:t>a ewlenin meta vvalutat skont l-istandards stabbiliti mil-leġiżlazzjoni tal-UE dwar il-protezzjoni tad-data. Il-kamp ta’ applikazzjoni wiesa’ tal-ftehim fir-rigward tal-ġbir tad-data, il-perjodi twal ta’ żamma (li f’xi każijiet għadhom ħames snin), it-tras</w:t>
      </w:r>
      <w:r w:rsidRPr="00296C84">
        <w:t>parenza limitata, u s-salvagwardji insuffiċjenti għat-trasferimenti internazzjonali tad-data jqajmu tħassib sinifikanti mill-perspettiva tal-protezzjoni tad-data. Biex ikun hemm allinjament sħiħ mal-leġiżlazzjoni tal-UE dwar il-protezzjoni tad-data, il-fte</w:t>
      </w:r>
      <w:r w:rsidRPr="00296C84">
        <w:t>him jeħtieġ li jinkorpora limitazzjonijiet aktar stretti fir-rigward tal-ġbir u ż-żamma tad-data, itejjeb it-trasparenza u d-drittijiet individwali, u jiżgura mekkaniżmi robusti ta’ sorveljanza u obbligu ta’ rendikont. Barra minn hekk, minkejja dawn ir-ris</w:t>
      </w:r>
      <w:r w:rsidRPr="00296C84">
        <w:t>kji u t-tħassib, il-Kummissjoni ma kinitx talbet opinjoni tal-EDPS u żvelat l-abbozz lill-Parlament biss meta n-negozjati ġew iffinalizzati u dan juri nuqqas ċar ta’ trasparenza.</w:t>
      </w:r>
    </w:p>
    <w:p w:rsidR="00FA192C" w:rsidRPr="00296C84" w:rsidRDefault="00FA192C" w:rsidP="00FA192C">
      <w:pPr>
        <w:pStyle w:val="AmJustText"/>
      </w:pPr>
    </w:p>
    <w:p w:rsidR="00166CCB" w:rsidRPr="00296C84" w:rsidRDefault="003B5441" w:rsidP="00A5426B">
      <w:r w:rsidRPr="00296C84">
        <w:rPr>
          <w:rStyle w:val="HideTWBExt"/>
        </w:rPr>
        <w:t>&lt;/Amend&gt;</w:t>
      </w:r>
      <w:bookmarkEnd w:id="1"/>
    </w:p>
    <w:p w:rsidR="00FA192C" w:rsidRPr="00296C84" w:rsidRDefault="003B5441" w:rsidP="00FA192C">
      <w:r w:rsidRPr="00296C84">
        <w:rPr>
          <w:rStyle w:val="HideTWBExt"/>
        </w:rPr>
        <w:t>&lt;/RepeatBlock-Amend&gt;</w:t>
      </w:r>
    </w:p>
    <w:p w:rsidR="008363E4" w:rsidRPr="00296C84" w:rsidRDefault="008363E4" w:rsidP="00FA192C"/>
    <w:sectPr w:rsidR="008363E4" w:rsidRPr="00296C84" w:rsidSect="00296C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96C84" w:rsidRDefault="003B5441">
      <w:r w:rsidRPr="00296C84">
        <w:separator/>
      </w:r>
    </w:p>
  </w:endnote>
  <w:endnote w:type="continuationSeparator" w:id="0">
    <w:p w:rsidR="00000000" w:rsidRPr="00296C84" w:rsidRDefault="003B5441">
      <w:r w:rsidRPr="00296C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C84" w:rsidRPr="00296C84" w:rsidRDefault="00296C84" w:rsidP="00296C84">
    <w:pPr>
      <w:pStyle w:val="EPFooter"/>
    </w:pPr>
    <w:r w:rsidRPr="00296C84">
      <w:t>PE</w:t>
    </w:r>
    <w:r w:rsidRPr="00296C84">
      <w:rPr>
        <w:rStyle w:val="HideTWBExt"/>
      </w:rPr>
      <w:t>&lt;NoPE&gt;</w:t>
    </w:r>
    <w:r w:rsidRPr="00296C84">
      <w:t>768.080</w:t>
    </w:r>
    <w:r w:rsidRPr="00296C84">
      <w:rPr>
        <w:rStyle w:val="HideTWBExt"/>
      </w:rPr>
      <w:t>&lt;/NoPE&gt;&lt;Version&gt;</w:t>
    </w:r>
    <w:r w:rsidRPr="00296C84">
      <w:t>v01-00</w:t>
    </w:r>
    <w:r w:rsidRPr="00296C84">
      <w:rPr>
        <w:rStyle w:val="HideTWBExt"/>
      </w:rPr>
      <w:t>&lt;/Version&gt;</w:t>
    </w:r>
    <w:r w:rsidRPr="00296C84">
      <w:tab/>
    </w:r>
    <w:r w:rsidRPr="00296C84">
      <w:fldChar w:fldCharType="begin"/>
    </w:r>
    <w:r w:rsidRPr="00296C84">
      <w:instrText xml:space="preserve"> PAGE  \* MERGEFORMAT </w:instrText>
    </w:r>
    <w:r w:rsidRPr="00296C84">
      <w:fldChar w:fldCharType="separate"/>
    </w:r>
    <w:r w:rsidR="003B5441">
      <w:rPr>
        <w:noProof/>
      </w:rPr>
      <w:t>2</w:t>
    </w:r>
    <w:r w:rsidRPr="00296C84">
      <w:fldChar w:fldCharType="end"/>
    </w:r>
    <w:r w:rsidRPr="00296C84">
      <w:t>/</w:t>
    </w:r>
    <w:fldSimple w:instr=" NUMPAGES  \* MERGEFORMAT ">
      <w:r w:rsidR="003B5441">
        <w:rPr>
          <w:noProof/>
        </w:rPr>
        <w:t>3</w:t>
      </w:r>
    </w:fldSimple>
    <w:r w:rsidRPr="00296C84">
      <w:tab/>
    </w:r>
    <w:r w:rsidRPr="00296C84">
      <w:rPr>
        <w:rStyle w:val="HideTWBExt"/>
      </w:rPr>
      <w:t>&lt;PathFdR&gt;</w:t>
    </w:r>
    <w:r w:rsidRPr="00296C84">
      <w:t>AM\1314265MT.docx</w:t>
    </w:r>
    <w:r w:rsidRPr="00296C84">
      <w:rPr>
        <w:rStyle w:val="HideTWBExt"/>
      </w:rPr>
      <w:t>&lt;/PathFdR&gt;</w:t>
    </w:r>
  </w:p>
  <w:p w:rsidR="00D82FCC" w:rsidRPr="00296C84" w:rsidRDefault="00296C84" w:rsidP="00296C84">
    <w:pPr>
      <w:pStyle w:val="EPFooter2"/>
    </w:pPr>
    <w:r w:rsidRPr="00296C84">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C84" w:rsidRPr="00296C84" w:rsidRDefault="00296C84" w:rsidP="00296C84">
    <w:pPr>
      <w:pStyle w:val="EPFooter"/>
    </w:pPr>
    <w:r w:rsidRPr="00296C84">
      <w:rPr>
        <w:rStyle w:val="HideTWBExt"/>
      </w:rPr>
      <w:t>&lt;PathFdR&gt;</w:t>
    </w:r>
    <w:r w:rsidRPr="00296C84">
      <w:t>AM\1314265MT.docx</w:t>
    </w:r>
    <w:r w:rsidRPr="00296C84">
      <w:rPr>
        <w:rStyle w:val="HideTWBExt"/>
      </w:rPr>
      <w:t>&lt;/PathFdR&gt;</w:t>
    </w:r>
    <w:r w:rsidRPr="00296C84">
      <w:tab/>
    </w:r>
    <w:r w:rsidRPr="00296C84">
      <w:fldChar w:fldCharType="begin"/>
    </w:r>
    <w:r w:rsidRPr="00296C84">
      <w:instrText xml:space="preserve"> PAGE  \* MERGEFORMAT </w:instrText>
    </w:r>
    <w:r w:rsidRPr="00296C84">
      <w:fldChar w:fldCharType="separate"/>
    </w:r>
    <w:r w:rsidR="003B5441">
      <w:rPr>
        <w:noProof/>
      </w:rPr>
      <w:t>3</w:t>
    </w:r>
    <w:r w:rsidRPr="00296C84">
      <w:fldChar w:fldCharType="end"/>
    </w:r>
    <w:r w:rsidRPr="00296C84">
      <w:t>/</w:t>
    </w:r>
    <w:fldSimple w:instr=" NUMPAGES  \* MERGEFORMAT ">
      <w:r w:rsidR="003B5441">
        <w:rPr>
          <w:noProof/>
        </w:rPr>
        <w:t>3</w:t>
      </w:r>
    </w:fldSimple>
    <w:r w:rsidRPr="00296C84">
      <w:tab/>
      <w:t>PE</w:t>
    </w:r>
    <w:r w:rsidRPr="00296C84">
      <w:rPr>
        <w:rStyle w:val="HideTWBExt"/>
      </w:rPr>
      <w:t>&lt;NoPE&gt;</w:t>
    </w:r>
    <w:r w:rsidRPr="00296C84">
      <w:t>768.080</w:t>
    </w:r>
    <w:r w:rsidRPr="00296C84">
      <w:rPr>
        <w:rStyle w:val="HideTWBExt"/>
      </w:rPr>
      <w:t>&lt;/NoPE&gt;&lt;Version&gt;</w:t>
    </w:r>
    <w:r w:rsidRPr="00296C84">
      <w:t>v01-00</w:t>
    </w:r>
    <w:r w:rsidRPr="00296C84">
      <w:rPr>
        <w:rStyle w:val="HideTWBExt"/>
      </w:rPr>
      <w:t>&lt;/Version&gt;</w:t>
    </w:r>
  </w:p>
  <w:p w:rsidR="00D82FCC" w:rsidRPr="00296C84" w:rsidRDefault="00296C84" w:rsidP="00296C84">
    <w:pPr>
      <w:pStyle w:val="EPFooter2"/>
    </w:pPr>
    <w:r w:rsidRPr="00296C84">
      <w:tab/>
    </w:r>
    <w:r w:rsidRPr="00296C84">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C84" w:rsidRPr="00296C84" w:rsidRDefault="00296C84" w:rsidP="00296C84">
    <w:pPr>
      <w:pStyle w:val="EPFooter"/>
    </w:pPr>
    <w:r w:rsidRPr="00296C84">
      <w:rPr>
        <w:rStyle w:val="HideTWBExt"/>
      </w:rPr>
      <w:t>&lt;PathFdR&gt;</w:t>
    </w:r>
    <w:r w:rsidRPr="00296C84">
      <w:t>AM\1314265MT.docx</w:t>
    </w:r>
    <w:r w:rsidRPr="00296C84">
      <w:rPr>
        <w:rStyle w:val="HideTWBExt"/>
      </w:rPr>
      <w:t>&lt;/PathFdR&gt;</w:t>
    </w:r>
    <w:r w:rsidRPr="00296C84">
      <w:tab/>
    </w:r>
    <w:r w:rsidRPr="00296C84">
      <w:tab/>
      <w:t>PE</w:t>
    </w:r>
    <w:r w:rsidRPr="00296C84">
      <w:rPr>
        <w:rStyle w:val="HideTWBExt"/>
      </w:rPr>
      <w:t>&lt;NoPE&gt;</w:t>
    </w:r>
    <w:r w:rsidRPr="00296C84">
      <w:t>768.080</w:t>
    </w:r>
    <w:r w:rsidRPr="00296C84">
      <w:rPr>
        <w:rStyle w:val="HideTWBExt"/>
      </w:rPr>
      <w:t>&lt;/NoPE&gt;&lt;Version&gt;</w:t>
    </w:r>
    <w:r w:rsidRPr="00296C84">
      <w:t>v01-00</w:t>
    </w:r>
    <w:r w:rsidRPr="00296C84">
      <w:rPr>
        <w:rStyle w:val="HideTWBExt"/>
      </w:rPr>
      <w:t>&lt;/Version&gt;</w:t>
    </w:r>
  </w:p>
  <w:p w:rsidR="00D82FCC" w:rsidRPr="00296C84" w:rsidRDefault="00296C84" w:rsidP="00296C84">
    <w:pPr>
      <w:pStyle w:val="EPFooter2"/>
    </w:pPr>
    <w:r w:rsidRPr="00296C84">
      <w:t>MT</w:t>
    </w:r>
    <w:r w:rsidRPr="00296C84">
      <w:tab/>
    </w:r>
    <w:r w:rsidRPr="00296C84">
      <w:rPr>
        <w:b w:val="0"/>
        <w:i/>
        <w:color w:val="C0C0C0"/>
        <w:sz w:val="22"/>
      </w:rPr>
      <w:t>Magħquda fid-diversità</w:t>
    </w:r>
    <w:r w:rsidRPr="00296C84">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96C84" w:rsidRDefault="003B5441">
      <w:r w:rsidRPr="00296C84">
        <w:separator/>
      </w:r>
    </w:p>
  </w:footnote>
  <w:footnote w:type="continuationSeparator" w:id="0">
    <w:p w:rsidR="00000000" w:rsidRPr="00296C84" w:rsidRDefault="003B5441">
      <w:r w:rsidRPr="00296C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441" w:rsidRDefault="003B5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441" w:rsidRDefault="003B54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441" w:rsidRDefault="003B54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C84"/>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B5441"/>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3719E"/>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0B85C"/>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B8FBE-73DD-43FD-A4B0-30937DB46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228</Words>
  <Characters>1772</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2025-02-07T14:37:00Z</dcterms:created>
  <dcterms:modified xsi:type="dcterms:W3CDTF">2025-02-07T14:37:00Z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AM\1314265MT.docx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- 2025/02/07 15:37</vt:lpwstr>
  </property>
</Properties>
</file>