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914ED8" w:rsidTr="00C85D0F">
        <w:trPr>
          <w:trHeight w:hRule="exact" w:val="1418"/>
        </w:trPr>
        <w:tc>
          <w:tcPr>
            <w:tcW w:w="6804" w:type="dxa"/>
            <w:shd w:val="clear" w:color="auto" w:fill="auto"/>
            <w:vAlign w:val="center"/>
          </w:tcPr>
          <w:p w:rsidR="005E5FA1" w:rsidRPr="00914ED8" w:rsidRDefault="00914ED8" w:rsidP="00C85D0F">
            <w:pPr>
              <w:pStyle w:val="EPName"/>
            </w:pPr>
            <w:bookmarkStart w:id="0" w:name="_GoBack"/>
            <w:bookmarkEnd w:id="0"/>
            <w:r w:rsidRPr="00914ED8">
              <w:t>Evropský parlament</w:t>
            </w:r>
          </w:p>
          <w:p w:rsidR="005E5FA1" w:rsidRPr="00522590" w:rsidRDefault="00522590" w:rsidP="00522590">
            <w:pPr>
              <w:pStyle w:val="EPTerm"/>
            </w:pPr>
            <w:r>
              <w:t>2024-2029</w:t>
            </w:r>
          </w:p>
        </w:tc>
        <w:tc>
          <w:tcPr>
            <w:tcW w:w="2268" w:type="dxa"/>
            <w:shd w:val="clear" w:color="auto" w:fill="auto"/>
          </w:tcPr>
          <w:p w:rsidR="005E5FA1" w:rsidRPr="00914ED8" w:rsidRDefault="005E5FA1" w:rsidP="00C85D0F">
            <w:pPr>
              <w:pStyle w:val="EPLogo"/>
            </w:pPr>
            <w:r w:rsidRPr="00914ED8">
              <w:rPr>
                <w:noProof/>
                <w:lang w:eastAsia="cs-CZ"/>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CF4E9D" w:rsidRPr="00914ED8" w:rsidRDefault="00CF4E9D" w:rsidP="00CF4E9D">
      <w:pPr>
        <w:pStyle w:val="LineTop"/>
      </w:pPr>
    </w:p>
    <w:p w:rsidR="00CF4E9D" w:rsidRPr="00914ED8" w:rsidRDefault="00CF4E9D" w:rsidP="00CF4E9D">
      <w:pPr>
        <w:pStyle w:val="EPBody"/>
      </w:pPr>
      <w:r w:rsidRPr="00914ED8">
        <w:rPr>
          <w:rStyle w:val="HideTWBExt"/>
        </w:rPr>
        <w:t>&lt;</w:t>
      </w:r>
      <w:r w:rsidRPr="00914ED8">
        <w:rPr>
          <w:rStyle w:val="HideTWBExt"/>
          <w:i w:val="0"/>
        </w:rPr>
        <w:t>Commission</w:t>
      </w:r>
      <w:r w:rsidRPr="00914ED8">
        <w:rPr>
          <w:rStyle w:val="HideTWBExt"/>
        </w:rPr>
        <w:t>&gt;</w:t>
      </w:r>
      <w:r w:rsidR="00522590" w:rsidRPr="00522590">
        <w:rPr>
          <w:rStyle w:val="HideTWBInt"/>
        </w:rPr>
        <w:t>{LIBE}</w:t>
      </w:r>
      <w:r w:rsidR="00522590">
        <w:t>Výbor pro občanské svobody, spravedlnost</w:t>
      </w:r>
      <w:r w:rsidR="00B92CCE">
        <w:t xml:space="preserve"> a </w:t>
      </w:r>
      <w:r w:rsidR="00522590">
        <w:t>vnitřní věci</w:t>
      </w:r>
      <w:r w:rsidRPr="00914ED8">
        <w:rPr>
          <w:rStyle w:val="HideTWBExt"/>
        </w:rPr>
        <w:t>&lt;/</w:t>
      </w:r>
      <w:r w:rsidRPr="00914ED8">
        <w:rPr>
          <w:rStyle w:val="HideTWBExt"/>
          <w:i w:val="0"/>
        </w:rPr>
        <w:t>Commission</w:t>
      </w:r>
      <w:r w:rsidRPr="00914ED8">
        <w:rPr>
          <w:rStyle w:val="HideTWBExt"/>
        </w:rPr>
        <w:t>&gt;</w:t>
      </w:r>
    </w:p>
    <w:p w:rsidR="00CF4E9D" w:rsidRPr="00914ED8" w:rsidRDefault="00CF4E9D" w:rsidP="00CF4E9D">
      <w:pPr>
        <w:pStyle w:val="LineBottom"/>
      </w:pPr>
    </w:p>
    <w:p w:rsidR="00794E41" w:rsidRPr="00914ED8" w:rsidRDefault="00794E41" w:rsidP="00794E41">
      <w:pPr>
        <w:pStyle w:val="CoverReference"/>
      </w:pPr>
      <w:r w:rsidRPr="00914ED8">
        <w:rPr>
          <w:rStyle w:val="HideTWBExt"/>
          <w:b w:val="0"/>
        </w:rPr>
        <w:t>&lt;RefProc&gt;</w:t>
      </w:r>
      <w:r w:rsidR="00522590" w:rsidRPr="00522590">
        <w:t>2024/2078</w:t>
      </w:r>
      <w:r w:rsidRPr="00914ED8">
        <w:rPr>
          <w:rStyle w:val="HideTWBExt"/>
          <w:b w:val="0"/>
        </w:rPr>
        <w:t>&lt;/RefProc&gt;&lt;RefTypeProc&gt;</w:t>
      </w:r>
      <w:r w:rsidR="00914ED8" w:rsidRPr="00914ED8">
        <w:t>(</w:t>
      </w:r>
      <w:r w:rsidR="00522590">
        <w:t>INI</w:t>
      </w:r>
      <w:r w:rsidR="00914ED8" w:rsidRPr="00914ED8">
        <w:t>)</w:t>
      </w:r>
      <w:r w:rsidRPr="00914ED8">
        <w:rPr>
          <w:rStyle w:val="HideTWBExt"/>
          <w:b w:val="0"/>
        </w:rPr>
        <w:t>&lt;/RefTypeProc&gt;</w:t>
      </w:r>
    </w:p>
    <w:p w:rsidR="00794E41" w:rsidRPr="00914ED8" w:rsidRDefault="00794E41" w:rsidP="00794E41">
      <w:pPr>
        <w:pStyle w:val="CoverDate"/>
      </w:pPr>
      <w:r w:rsidRPr="00914ED8">
        <w:rPr>
          <w:rStyle w:val="HideTWBExt"/>
        </w:rPr>
        <w:t>&lt;Date&gt;</w:t>
      </w:r>
      <w:r w:rsidR="00522590" w:rsidRPr="00522590">
        <w:rPr>
          <w:rStyle w:val="HideTWBInt"/>
        </w:rPr>
        <w:t>{19/02/2025}</w:t>
      </w:r>
      <w:r w:rsidR="00522590">
        <w:t>19.2.2025</w:t>
      </w:r>
      <w:r w:rsidRPr="00914ED8">
        <w:rPr>
          <w:rStyle w:val="HideTWBExt"/>
        </w:rPr>
        <w:t>&lt;/Date&gt;</w:t>
      </w:r>
    </w:p>
    <w:p w:rsidR="00794E41" w:rsidRPr="00914ED8" w:rsidRDefault="00794E41" w:rsidP="00794E41">
      <w:pPr>
        <w:pStyle w:val="CoverDocType"/>
      </w:pPr>
      <w:r w:rsidRPr="00914ED8">
        <w:rPr>
          <w:rStyle w:val="HideTWBExt"/>
          <w:b w:val="0"/>
        </w:rPr>
        <w:t>&lt;TypeAM&gt;</w:t>
      </w:r>
      <w:r w:rsidR="00522590">
        <w:t>POZMĚŇOVACÍ NÁVRHY</w:t>
      </w:r>
      <w:r w:rsidRPr="00914ED8">
        <w:rPr>
          <w:rStyle w:val="HideTWBExt"/>
          <w:b w:val="0"/>
        </w:rPr>
        <w:t>&lt;/TypeAM&gt;</w:t>
      </w:r>
    </w:p>
    <w:p w:rsidR="00794E41" w:rsidRPr="00914ED8" w:rsidRDefault="00794E41" w:rsidP="00794E41">
      <w:pPr>
        <w:pStyle w:val="CoverDocType24a"/>
      </w:pPr>
      <w:r w:rsidRPr="00914ED8">
        <w:rPr>
          <w:rStyle w:val="HideTWBExt"/>
          <w:b w:val="0"/>
        </w:rPr>
        <w:t>&lt;RangeAM&gt;</w:t>
      </w:r>
      <w:r w:rsidR="00522590" w:rsidRPr="00522590">
        <w:t>1</w:t>
      </w:r>
      <w:r w:rsidR="00522590">
        <w:t xml:space="preserve"> - </w:t>
      </w:r>
      <w:r w:rsidR="00522590" w:rsidRPr="00522590">
        <w:t>366</w:t>
      </w:r>
      <w:r w:rsidRPr="00914ED8">
        <w:rPr>
          <w:rStyle w:val="HideTWBExt"/>
          <w:b w:val="0"/>
        </w:rPr>
        <w:t>&lt;/RangeAM&gt;</w:t>
      </w:r>
    </w:p>
    <w:p w:rsidR="00794E41" w:rsidRPr="00914ED8" w:rsidRDefault="00794E41" w:rsidP="007B1846">
      <w:pPr>
        <w:pStyle w:val="CoverBold"/>
      </w:pPr>
      <w:r w:rsidRPr="00914ED8">
        <w:rPr>
          <w:rStyle w:val="HideTWBExt"/>
          <w:b w:val="0"/>
        </w:rPr>
        <w:t>&lt;TitreType&gt;</w:t>
      </w:r>
      <w:r w:rsidR="00522590">
        <w:t>Návrh zprávy</w:t>
      </w:r>
      <w:r w:rsidRPr="00914ED8">
        <w:rPr>
          <w:rStyle w:val="HideTWBExt"/>
          <w:b w:val="0"/>
        </w:rPr>
        <w:t>&lt;/TitreType&gt;</w:t>
      </w:r>
    </w:p>
    <w:p w:rsidR="00794E41" w:rsidRPr="00914ED8" w:rsidRDefault="00794E41" w:rsidP="007B1846">
      <w:pPr>
        <w:pStyle w:val="CoverBold"/>
      </w:pPr>
      <w:r w:rsidRPr="00914ED8">
        <w:rPr>
          <w:rStyle w:val="HideTWBExt"/>
          <w:b w:val="0"/>
        </w:rPr>
        <w:t>&lt;Rapporteur&gt;</w:t>
      </w:r>
      <w:r w:rsidR="00522590" w:rsidRPr="00522590">
        <w:t>Ana Catarina Mendes</w:t>
      </w:r>
      <w:r w:rsidRPr="00914ED8">
        <w:rPr>
          <w:rStyle w:val="HideTWBExt"/>
          <w:b w:val="0"/>
        </w:rPr>
        <w:t>&lt;/Rapporteur&gt;</w:t>
      </w:r>
    </w:p>
    <w:p w:rsidR="00794E41" w:rsidRPr="00914ED8" w:rsidRDefault="00794E41" w:rsidP="00794E41">
      <w:pPr>
        <w:pStyle w:val="CoverNormal24a"/>
      </w:pPr>
      <w:r w:rsidRPr="00914ED8">
        <w:rPr>
          <w:rStyle w:val="HideTWBExt"/>
        </w:rPr>
        <w:t>&lt;DocRefPE&gt;</w:t>
      </w:r>
      <w:r w:rsidR="00914ED8" w:rsidRPr="00914ED8">
        <w:t>(PE</w:t>
      </w:r>
      <w:r w:rsidR="00522590" w:rsidRPr="00522590">
        <w:t>767.867</w:t>
      </w:r>
      <w:r w:rsidR="00914ED8" w:rsidRPr="00914ED8">
        <w:t>v</w:t>
      </w:r>
      <w:r w:rsidR="00522590" w:rsidRPr="00522590">
        <w:t>01-00</w:t>
      </w:r>
      <w:r w:rsidR="00914ED8" w:rsidRPr="00914ED8">
        <w:t>)</w:t>
      </w:r>
      <w:r w:rsidRPr="00914ED8">
        <w:rPr>
          <w:rStyle w:val="HideTWBExt"/>
        </w:rPr>
        <w:t>&lt;/DocRefPE&gt;</w:t>
      </w:r>
    </w:p>
    <w:p w:rsidR="00522590" w:rsidRPr="00444926" w:rsidRDefault="00522590" w:rsidP="00522590">
      <w:pPr>
        <w:pStyle w:val="CoverNormal"/>
      </w:pPr>
      <w:r w:rsidRPr="00444926">
        <w:rPr>
          <w:rStyle w:val="HideTWBExt"/>
        </w:rPr>
        <w:t>&lt;Titre&gt;</w:t>
      </w:r>
      <w:r w:rsidRPr="00522590">
        <w:t>Zpráva Komise</w:t>
      </w:r>
      <w:r w:rsidR="00B92CCE">
        <w:t xml:space="preserve"> o </w:t>
      </w:r>
      <w:r w:rsidRPr="00522590">
        <w:t>právním státu za rok 2024</w:t>
      </w:r>
      <w:r w:rsidRPr="00444926">
        <w:rPr>
          <w:rStyle w:val="HideTWBExt"/>
        </w:rPr>
        <w:t>&lt;/Titre&gt;</w:t>
      </w:r>
    </w:p>
    <w:p w:rsidR="00522590" w:rsidRPr="00444926" w:rsidRDefault="00522590" w:rsidP="00522590">
      <w:pPr>
        <w:pStyle w:val="CoverNormal24a"/>
      </w:pPr>
      <w:bookmarkStart w:id="1" w:name="DocEPLastPosition"/>
      <w:bookmarkEnd w:id="1"/>
      <w:r w:rsidRPr="00444926">
        <w:rPr>
          <w:rStyle w:val="HideTWBExt"/>
        </w:rPr>
        <w:t>&lt;DocRef&gt;</w:t>
      </w:r>
      <w:r w:rsidRPr="00444926">
        <w:t>(2024/2078(INI))</w:t>
      </w:r>
      <w:r w:rsidRPr="00444926">
        <w:rPr>
          <w:rStyle w:val="HideTWBExt"/>
        </w:rPr>
        <w:t>&lt;/DocRef&gt;</w:t>
      </w:r>
    </w:p>
    <w:p w:rsidR="00794E41" w:rsidRPr="00914ED8" w:rsidRDefault="00794E41" w:rsidP="008B040A">
      <w:pPr>
        <w:widowControl/>
        <w:tabs>
          <w:tab w:val="center" w:pos="4677"/>
        </w:tabs>
      </w:pPr>
      <w:r w:rsidRPr="00914ED8">
        <w:br w:type="page"/>
      </w:r>
      <w:r w:rsidR="00914ED8" w:rsidRPr="00914ED8">
        <w:lastRenderedPageBreak/>
        <w:t>AM_Com_NonLegReport</w:t>
      </w:r>
    </w:p>
    <w:p w:rsidR="00B92CCE" w:rsidRDefault="00794E41" w:rsidP="00B92CCE">
      <w:pPr>
        <w:pStyle w:val="AmNumberTabs"/>
      </w:pPr>
      <w:r w:rsidRPr="00914ED8">
        <w:br w:type="page"/>
      </w:r>
      <w:r w:rsidR="00B92CCE" w:rsidRPr="00B92CCE">
        <w:rPr>
          <w:rStyle w:val="HideTWBExt"/>
          <w:b w:val="0"/>
        </w:rPr>
        <w:lastRenderedPageBreak/>
        <w:t>&lt;RepeatBlock-Amend&gt;</w:t>
      </w:r>
      <w:r w:rsidR="00B92CCE">
        <w:rPr>
          <w:rStyle w:val="HideTWBExt"/>
        </w:rPr>
        <w:t>&lt;Amend&gt;</w:t>
      </w:r>
      <w:r w:rsidR="00B92CCE">
        <w:t>Pozměňovací návrh</w:t>
      </w:r>
      <w:r w:rsidR="00B92CCE">
        <w:tab/>
      </w:r>
      <w:r w:rsidR="00B92CCE">
        <w:tab/>
      </w:r>
      <w:r w:rsidR="00B92CCE">
        <w:rPr>
          <w:rStyle w:val="HideTWBExt"/>
        </w:rPr>
        <w:t>&lt;NumAm&gt;</w:t>
      </w:r>
      <w:r w:rsidR="00B92CCE">
        <w:t>1</w:t>
      </w:r>
      <w:r w:rsidR="00B92CCE">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s ohledem na Smlouvu o Evropské unii (dále jen „Smlouva o EU“), zejména na její článek </w:t>
            </w:r>
            <w:r>
              <w:rPr>
                <w:b/>
                <w:i/>
              </w:rPr>
              <w:t>2, čl. 3 odst. 1, čl. 3 odst. 3, druhý pododstavec, čl. 4 odst. 3 a články 5, 6, 7, 11, 19 a 49,</w:t>
            </w:r>
          </w:p>
        </w:tc>
        <w:tc>
          <w:tcPr>
            <w:tcW w:w="4876" w:type="dxa"/>
            <w:tcBorders>
              <w:top w:val="nil"/>
              <w:left w:val="nil"/>
              <w:bottom w:val="nil"/>
              <w:right w:val="nil"/>
            </w:tcBorders>
          </w:tcPr>
          <w:p w:rsidR="00B92CCE" w:rsidRDefault="00B92CCE" w:rsidP="00215104">
            <w:pPr>
              <w:pStyle w:val="Normal6a"/>
            </w:pPr>
            <w:r>
              <w:t>–</w:t>
            </w:r>
            <w:r>
              <w:tab/>
              <w:t xml:space="preserve">s ohledem na Smlouvu o Evropské unii (dále jen „Smlouva o EU“), zejména na její článek </w:t>
            </w:r>
            <w:r>
              <w:rPr>
                <w:b/>
                <w:i/>
              </w:rPr>
              <w:t>7,</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ústavy členských států a rozmanitost vnitrostátních systémů,</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Smlouvu o fungování Evropské unie (dále jen „Smlouva o fungování EU“), zejména na její články, které se týkají dodržování, prosazování a ochrany demokracie, právního státu a základních práv v Unii, včetně článků 70, 258, 259, 260, 263, 265 a 267,</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w:t>
      </w:r>
      <w:r>
        <w:rPr>
          <w:rStyle w:val="HideTWBExt"/>
        </w:rPr>
        <w:t>&lt;/NumAm&gt;</w:t>
      </w:r>
    </w:p>
    <w:p w:rsidR="00B92CCE" w:rsidRDefault="00B92CCE" w:rsidP="00B92CCE">
      <w:pPr>
        <w:pStyle w:val="NormalBold"/>
      </w:pPr>
      <w:r>
        <w:rPr>
          <w:rStyle w:val="HideTWBExt"/>
        </w:rPr>
        <w:t>&lt;RepeatBlock-By&gt;&lt;Members&gt;</w:t>
      </w:r>
      <w:r>
        <w:t>Emmanouil Fragkos, Geadis Geadi, Galato Alexandraki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s ohledem na Smlouvu o fungování Evropské unie (dále jen „Smlouva o fungování EU“), zejména na její články, které se týkají dodržování, prosazování a ochrany demokracie, právního státu a základních práv v Unii, včetně článků 70, 258, 259, 260, 263, 265 a 267,</w:t>
            </w:r>
          </w:p>
        </w:tc>
        <w:tc>
          <w:tcPr>
            <w:tcW w:w="4876" w:type="dxa"/>
            <w:tcBorders>
              <w:top w:val="nil"/>
              <w:left w:val="nil"/>
              <w:bottom w:val="nil"/>
              <w:right w:val="nil"/>
            </w:tcBorders>
          </w:tcPr>
          <w:p w:rsidR="00B92CCE" w:rsidRDefault="00B92CCE" w:rsidP="00215104">
            <w:pPr>
              <w:pStyle w:val="Normal6a"/>
            </w:pPr>
            <w:r>
              <w:t>–</w:t>
            </w:r>
            <w:r>
              <w:tab/>
              <w:t xml:space="preserve">s ohledem na Smlouvu o fungování Evropské unie (dále jen „Smlouva o fungování EU“), zejména na její články, které se týkají dodržování, prosazování a ochrany demokracie, právního státu a základních práv v Unii, včetně článků 70, </w:t>
            </w:r>
            <w:r>
              <w:rPr>
                <w:b/>
                <w:i/>
              </w:rPr>
              <w:t>174,</w:t>
            </w:r>
            <w:r>
              <w:t xml:space="preserve"> 258, 259, 260, 263, 265 a 267,</w:t>
            </w:r>
          </w:p>
        </w:tc>
      </w:tr>
    </w:tbl>
    <w:p w:rsidR="00B92CCE" w:rsidRDefault="00B92CCE" w:rsidP="00B92CCE">
      <w:pPr>
        <w:pStyle w:val="AmOrLang"/>
      </w:pPr>
      <w:r>
        <w:t xml:space="preserve">Or. </w:t>
      </w:r>
      <w:r>
        <w:rPr>
          <w:rStyle w:val="HideTWBExt"/>
        </w:rPr>
        <w:t>&lt;Original&gt;</w:t>
      </w:r>
      <w:r>
        <w:rPr>
          <w:rStyle w:val="HideTWBInt"/>
        </w:rPr>
        <w:t>{EL}</w:t>
      </w:r>
      <w:r>
        <w:t>el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Listinu základních práv Evropské unie (dále jen „Listina“),</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judikaturu Soudního dvora Evropské unie (dále jen „Soudní dvůr EU“) ,</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5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nařízení Evropského parlamentu a Rady (EU, Euratom) 2024/2509 ze dne 23. září 2024, kterým se stanoví finanční pravidla pro souhrnný rozpočet Unie (přepracované znění) (finanční nařízení), a zejména na čl. 6 odst. 3 uvedeného nařízení,</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s ohledem na nařízení Evropského parlamentu a Rady (EU, Euratom) 2020/2092 ze dne 16. prosince 2020 o obecném režimu podmíněnosti na ochranu rozpočtu Unie</w:t>
            </w:r>
            <w:r>
              <w:rPr>
                <w:vertAlign w:val="superscript"/>
              </w:rPr>
              <w:t>1</w:t>
            </w:r>
            <w:r>
              <w:rPr>
                <w:b/>
                <w:i/>
              </w:rPr>
              <w:t>(dále jen „nařízení o podmíněnosti dodržováním zásad právního státu“)</w:t>
            </w:r>
            <w:r>
              <w:t>,</w:t>
            </w:r>
          </w:p>
        </w:tc>
        <w:tc>
          <w:tcPr>
            <w:tcW w:w="4876" w:type="dxa"/>
            <w:tcBorders>
              <w:top w:val="nil"/>
              <w:left w:val="nil"/>
              <w:bottom w:val="nil"/>
              <w:right w:val="nil"/>
            </w:tcBorders>
          </w:tcPr>
          <w:p w:rsidR="00B92CCE" w:rsidRDefault="00B92CCE" w:rsidP="00215104">
            <w:pPr>
              <w:pStyle w:val="Normal6a"/>
            </w:pPr>
            <w:r>
              <w:t>–</w:t>
            </w:r>
            <w:r>
              <w:tab/>
              <w:t>s ohledem na nařízení Evropského parlamentu a Rady (EU, Euratom) 2020/2092 ze dne 16. prosince 2020 o obecném režimu podmíněnosti na ochranu rozpočtu Unie</w:t>
            </w:r>
            <w:r>
              <w:rPr>
                <w:vertAlign w:val="superscript"/>
              </w:rPr>
              <w:t>1</w:t>
            </w:r>
            <w:r>
              <w:t>,</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vertAlign w:val="superscript"/>
              </w:rPr>
              <w:t>1</w:t>
            </w:r>
            <w:r>
              <w:t xml:space="preserve"> Úř. věst. L 433, 22.12.2020, s. 1, ELI: </w:t>
            </w:r>
            <w:r>
              <w:rPr>
                <w:b/>
                <w:i/>
              </w:rPr>
              <w:t>https://eur-lex.europa</w:t>
            </w:r>
            <w:r>
              <w:t>.eu/eli/reg/2020/2092/oj</w:t>
            </w:r>
            <w:r>
              <w:rPr>
                <w:b/>
                <w:i/>
              </w:rPr>
              <w:t>?eliuri=eli%3Areg%3A2020%3A2092%3Aoj&amp;amp;local</w:t>
            </w:r>
            <w:r>
              <w:t>e=cs.</w:t>
            </w:r>
          </w:p>
        </w:tc>
        <w:tc>
          <w:tcPr>
            <w:tcW w:w="4876" w:type="dxa"/>
            <w:tcBorders>
              <w:top w:val="nil"/>
              <w:left w:val="nil"/>
              <w:bottom w:val="nil"/>
              <w:right w:val="nil"/>
            </w:tcBorders>
          </w:tcPr>
          <w:p w:rsidR="00B92CCE" w:rsidRDefault="00B92CCE" w:rsidP="00215104">
            <w:pPr>
              <w:pStyle w:val="Normal6a"/>
            </w:pPr>
            <w:r>
              <w:rPr>
                <w:vertAlign w:val="superscript"/>
              </w:rPr>
              <w:t>1</w:t>
            </w:r>
            <w:r>
              <w:t xml:space="preserve"> Úř. věst. L 433, 22.12.2020, s. 1, ELI: </w:t>
            </w:r>
            <w:r>
              <w:rPr>
                <w:b/>
                <w:i/>
              </w:rPr>
              <w:t>http://data.europa</w:t>
            </w:r>
            <w:r>
              <w:t>.eu/eli/reg/2020/2092/oj.</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w:t>
            </w:r>
            <w:r>
              <w:rPr>
                <w:b/>
                <w:i/>
                <w:vertAlign w:val="superscript"/>
              </w:rPr>
              <w:t>2</w:t>
            </w:r>
            <w:r>
              <w:rPr>
                <w:b/>
                <w:i/>
              </w:rPr>
              <w:t>(dále jen „nařízení o společných ustanoveních“),</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w:t>
            </w:r>
            <w:r>
              <w:t xml:space="preserve"> </w:t>
            </w:r>
            <w:r>
              <w:rPr>
                <w:b/>
                <w:i/>
              </w:rPr>
              <w:t>Úř. věst. L 231, 30.6.2021, s.</w:t>
            </w:r>
            <w:r>
              <w:t xml:space="preserve"> </w:t>
            </w:r>
            <w:r>
              <w:rPr>
                <w:b/>
                <w:i/>
              </w:rPr>
              <w:t>159, ELI:</w:t>
            </w:r>
            <w:r>
              <w:t xml:space="preserve"> </w:t>
            </w:r>
            <w:r>
              <w:rPr>
                <w:b/>
                <w:i/>
              </w:rPr>
              <w:t>http://data.europa.eu/eli/reg/2021/1060/oj.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w:t>
            </w:r>
            <w:r>
              <w:rPr>
                <w:b/>
                <w:i/>
                <w:vertAlign w:val="superscript"/>
              </w:rPr>
              <w:t>2</w:t>
            </w:r>
            <w:r>
              <w:rPr>
                <w:b/>
                <w:i/>
              </w:rPr>
              <w:t>(dále jen „nařízení o společných ustanoveních“),</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w:t>
            </w:r>
            <w:r>
              <w:t xml:space="preserve"> </w:t>
            </w:r>
            <w:r>
              <w:rPr>
                <w:b/>
                <w:i/>
              </w:rPr>
              <w:t>Úř. věst. L 231, 30.6.2021, s.</w:t>
            </w:r>
            <w:r>
              <w:t xml:space="preserve"> </w:t>
            </w:r>
            <w:r>
              <w:rPr>
                <w:b/>
                <w:i/>
              </w:rPr>
              <w:t>159, ELI:</w:t>
            </w:r>
            <w:r>
              <w:t xml:space="preserve"> </w:t>
            </w:r>
            <w:r>
              <w:rPr>
                <w:b/>
                <w:i/>
              </w:rPr>
              <w:t>http://data.europa.eu/eli/reg/2021/1060/oj.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w:t>
      </w:r>
      <w:r>
        <w:rPr>
          <w:rStyle w:val="HideTWBExt"/>
        </w:rPr>
        <w:t>&lt;/NumAm&gt;</w:t>
      </w:r>
    </w:p>
    <w:p w:rsidR="00B92CCE" w:rsidRDefault="00B92CCE" w:rsidP="00B92CCE">
      <w:pPr>
        <w:pStyle w:val="NormalBold"/>
      </w:pPr>
      <w:r>
        <w:rPr>
          <w:rStyle w:val="HideTWBExt"/>
        </w:rPr>
        <w:t>&lt;RepeatBlock-By&gt;&lt;Members&gt;</w:t>
      </w:r>
      <w:r>
        <w:t>Emmanouil Fragkos, Geadis Geadi, Galato Alexandraki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 xml:space="preserve">s ohledem na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w:t>
            </w:r>
            <w:r>
              <w:rPr>
                <w:b/>
                <w:i/>
              </w:rPr>
              <w:t>Azylový, migrační a integrační fond,</w:t>
            </w:r>
            <w:r>
              <w:t xml:space="preserve"> Fond pro vnitřní bezpečnost a Nástroj pro finanční podporu správy hranic a vízové politiky</w:t>
            </w:r>
            <w:r>
              <w:rPr>
                <w:vertAlign w:val="superscript"/>
              </w:rPr>
              <w:t>2</w:t>
            </w:r>
            <w:r>
              <w:t>(dále jen „nařízení o společných ustanoveních“),</w:t>
            </w:r>
          </w:p>
        </w:tc>
        <w:tc>
          <w:tcPr>
            <w:tcW w:w="4876" w:type="dxa"/>
            <w:tcBorders>
              <w:top w:val="nil"/>
              <w:left w:val="nil"/>
              <w:bottom w:val="nil"/>
              <w:right w:val="nil"/>
            </w:tcBorders>
          </w:tcPr>
          <w:p w:rsidR="00B92CCE" w:rsidRDefault="00B92CCE" w:rsidP="00215104">
            <w:pPr>
              <w:pStyle w:val="Normal6a"/>
            </w:pPr>
            <w:r>
              <w:t>–</w:t>
            </w:r>
            <w:r>
              <w:tab/>
              <w:t>s ohledem na nařízení Evropského parlamentu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Fond pro vnitřní bezpečnost a Nástroj pro finanční podporu správy hranic a vízové politiky</w:t>
            </w:r>
            <w:r>
              <w:rPr>
                <w:vertAlign w:val="superscript"/>
              </w:rPr>
              <w:t>2</w:t>
            </w:r>
            <w:r>
              <w:t xml:space="preserve"> (dále jen „nařízení o společných ustanoveních“),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vertAlign w:val="superscript"/>
              </w:rPr>
              <w:t>2</w:t>
            </w:r>
            <w:r>
              <w:t xml:space="preserve"> Úř. věst. L 231, 30.6.2021, s. 159, ELI: http://data.europa.eu/eli/reg/2021/1060/oj.</w:t>
            </w:r>
          </w:p>
        </w:tc>
        <w:tc>
          <w:tcPr>
            <w:tcW w:w="4876" w:type="dxa"/>
            <w:tcBorders>
              <w:top w:val="nil"/>
              <w:left w:val="nil"/>
              <w:bottom w:val="nil"/>
              <w:right w:val="nil"/>
            </w:tcBorders>
          </w:tcPr>
          <w:p w:rsidR="00B92CCE" w:rsidRDefault="00B92CCE" w:rsidP="00215104">
            <w:pPr>
              <w:pStyle w:val="Normal6a"/>
            </w:pPr>
            <w:r>
              <w:rPr>
                <w:vertAlign w:val="superscript"/>
              </w:rPr>
              <w:t>2</w:t>
            </w:r>
            <w:r>
              <w:t xml:space="preserve"> Úř. věst. L 231, 30.6.2021, s. 159, ELI: http://data.europa.eu/eli/reg/2021/1060/oj.</w:t>
            </w:r>
          </w:p>
        </w:tc>
      </w:tr>
    </w:tbl>
    <w:p w:rsidR="00B92CCE" w:rsidRDefault="00B92CCE" w:rsidP="00B92CCE">
      <w:pPr>
        <w:pStyle w:val="AmOrLang"/>
      </w:pPr>
      <w:r>
        <w:t xml:space="preserve">Or. </w:t>
      </w:r>
      <w:r>
        <w:rPr>
          <w:rStyle w:val="HideTWBExt"/>
        </w:rPr>
        <w:t>&lt;Original&gt;</w:t>
      </w:r>
      <w:r>
        <w:rPr>
          <w:rStyle w:val="HideTWBInt"/>
        </w:rPr>
        <w:t>{EL}</w:t>
      </w:r>
      <w:r>
        <w:t>el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nařízení Evropského parlamentu a Rady (EU) 2021/692 ze dne 28. dubna 2021, kterým se zavádí program Občané, rovnost, práva a hodnoty a zrušují nařízení Evropského parlamentu a Rady (EU) č. 1381/2013 a nařízení Rady (EU) č. 390/2014</w:t>
            </w:r>
            <w:r>
              <w:rPr>
                <w:b/>
                <w:i/>
                <w:vertAlign w:val="superscript"/>
              </w:rPr>
              <w:t>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w:t>
            </w:r>
            <w:r>
              <w:t xml:space="preserve"> </w:t>
            </w:r>
            <w:r>
              <w:rPr>
                <w:b/>
                <w:i/>
              </w:rPr>
              <w:t>Úř. věst. L 156, 5.5.2021, s.</w:t>
            </w:r>
            <w:r>
              <w:t xml:space="preserve"> </w:t>
            </w:r>
            <w:r>
              <w:rPr>
                <w:b/>
                <w:i/>
              </w:rPr>
              <w:t>1., ELI:</w:t>
            </w:r>
            <w:r>
              <w:t xml:space="preserve"> </w:t>
            </w:r>
            <w:r>
              <w:rPr>
                <w:b/>
                <w:i/>
              </w:rPr>
              <w:t>http://data.europa.eu/eli/reg/2021/692/oj.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nařízení Evropského parlamentu a Rady (EU) 2021/692 ze dne 28. dubna 2021, kterým se zavádí program Občané, rovnost, práva a hodnoty a zrušují nařízení Evropského parlamentu a Rady (EU) č. 1381/2013 a nařízení Rady (EU) č. 390/2014</w:t>
            </w:r>
            <w:r>
              <w:rPr>
                <w:b/>
                <w:i/>
                <w:vertAlign w:val="superscript"/>
              </w:rPr>
              <w:t>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w:t>
            </w:r>
            <w:r>
              <w:t xml:space="preserve"> </w:t>
            </w:r>
            <w:r>
              <w:rPr>
                <w:b/>
                <w:i/>
              </w:rPr>
              <w:t>Úř. věst. L 156, 5.5.2021, s.</w:t>
            </w:r>
            <w:r>
              <w:t xml:space="preserve"> </w:t>
            </w:r>
            <w:r>
              <w:rPr>
                <w:b/>
                <w:i/>
              </w:rPr>
              <w:t>1., ELI:</w:t>
            </w:r>
            <w:r>
              <w:t xml:space="preserve"> </w:t>
            </w:r>
            <w:r>
              <w:rPr>
                <w:b/>
                <w:i/>
              </w:rPr>
              <w:t>http://data.europa.eu/eli/reg/2021/692/oj.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8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Úmluvu proti mučení a jinému krutému, nelidskému či ponižujícímu zacházení nebo trestání, kterou přijalo Valné shromáždění Organizace spojených národů dne 10. prosince 1984, a na její následné protokoly,</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Všeobecnou deklaraci lidských práv,</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nástroje OSN pro ochranu lidských práv a základních svobod a na doporučení a zprávy všeobecného pravidelného přezkumu ze strany OSN i na judikaturu orgánů zřízených smlouvami OSN a na zvláštní postupy Rady pro lidská práva,</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17</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nástroje OSN pro ochranu lidských práv a základních svobod a na doporučení a zprávy všeobecného pravidelného přezkumu ze strany OSN i na judikaturu orgánů zřízených smlouvami OSN a na zvláštní postupy Rady pro lidská práva,</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18</w:t>
      </w:r>
      <w:r>
        <w:rPr>
          <w:rStyle w:val="HideTWBExt"/>
        </w:rPr>
        <w:t>&lt;/NumAm&gt;</w:t>
      </w:r>
    </w:p>
    <w:p w:rsidR="00B92CCE" w:rsidRDefault="00B92CCE" w:rsidP="00B92CCE">
      <w:pPr>
        <w:pStyle w:val="NormalBold"/>
      </w:pPr>
      <w:r>
        <w:rPr>
          <w:rStyle w:val="HideTWBExt"/>
        </w:rPr>
        <w:t>&lt;RepeatBlock-By&gt;&lt;Members&gt;</w:t>
      </w:r>
      <w:r>
        <w:t>Loránt Vincze</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s ohledem na nástroje OSN pro ochranu lidských práv a základních svobod a </w:t>
            </w:r>
            <w:r>
              <w:rPr>
                <w:b/>
                <w:i/>
              </w:rPr>
              <w:t>na</w:t>
            </w:r>
            <w:r>
              <w:t xml:space="preserve"> doporučení a zprávy všeobecného pravidelného přezkumu </w:t>
            </w:r>
            <w:r>
              <w:rPr>
                <w:b/>
                <w:i/>
              </w:rPr>
              <w:t>ze strany OSN i na judikaturu</w:t>
            </w:r>
            <w:r>
              <w:t xml:space="preserve"> orgánů </w:t>
            </w:r>
            <w:r>
              <w:rPr>
                <w:b/>
                <w:i/>
              </w:rPr>
              <w:t>zřízených smlouvami</w:t>
            </w:r>
            <w:r>
              <w:t xml:space="preserve"> OSN a </w:t>
            </w:r>
            <w:r>
              <w:rPr>
                <w:b/>
                <w:i/>
              </w:rPr>
              <w:t>na</w:t>
            </w:r>
            <w:r>
              <w:t xml:space="preserve"> zvláštní postupy Rady pro lidská práva,</w:t>
            </w:r>
          </w:p>
        </w:tc>
        <w:tc>
          <w:tcPr>
            <w:tcW w:w="4876" w:type="dxa"/>
            <w:tcBorders>
              <w:top w:val="nil"/>
              <w:left w:val="nil"/>
              <w:bottom w:val="nil"/>
              <w:right w:val="nil"/>
            </w:tcBorders>
          </w:tcPr>
          <w:p w:rsidR="00B92CCE" w:rsidRDefault="00B92CCE" w:rsidP="00215104">
            <w:pPr>
              <w:pStyle w:val="Normal6a"/>
            </w:pPr>
            <w:r>
              <w:t>–</w:t>
            </w:r>
            <w:r>
              <w:tab/>
              <w:t>s ohledem na nástroje OSN pro ochranu lidských práv a základních svobod</w:t>
            </w:r>
            <w:r>
              <w:rPr>
                <w:b/>
                <w:i/>
              </w:rPr>
              <w:t>, zejména na Všeobecnou deklaraci lidských práv, Mezinárodní pakt o občanských a politických právech, Úmluvu o odstranění všech forem rasové diskriminace (CERD), Úmluvu o odstranění všech forem diskriminace žen (CEDAW) a Úmluvu o právech osob se zdravotním postižením, Deklaraci o právech osob náležejících k národnostním, etnickým, náboženským a jazykovým menšinám a doporučení fóra OSN pro otázky menšin,</w:t>
            </w:r>
            <w:r>
              <w:t xml:space="preserve"> a doporučení a zprávy všeobecného pravidelného přezkumu </w:t>
            </w:r>
            <w:r>
              <w:rPr>
                <w:b/>
                <w:i/>
              </w:rPr>
              <w:t>OSN, jakož i judikaturu smluvních</w:t>
            </w:r>
            <w:r>
              <w:t xml:space="preserve"> orgánů OSN a zvláštní postupy Rady pro lidská práva,</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19</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Evropskou úmluvu o lidských právech, Evropskou sociální chartu, judikaturu Evropského soudu pro lidská práva a Evropského výboru pro sociální práva a na úmluvy, doporučení, rezoluce, stanoviska a zprávy Parlamentního shromáždění, Výboru ministrů, komisaře pro lidská práva, Evropské komise proti rasismu a nesnášenlivosti, Řídícího výboru pro boj proti diskriminaci, pro rozmanitost a inkluzi, Benátské komise a dalších orgánů Rady Evropy,</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20</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Evropskou úmluvu o lidských právech, Evropskou sociální chartu, judikaturu Evropského soudu pro lidská práva a Evropského výboru pro sociální práva a na úmluvy, doporučení, rezoluce, stanoviska a zprávy Parlamentního shromáždění, Výboru ministrů, komisaře pro lidská práva, Evropské komise proti rasismu a nesnášenlivosti, Řídícího výboru pro boj proti diskriminaci, pro rozmanitost a inkluzi, Benátské komise a dalších orgánů Rady Evropy,</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21</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s ohledem na Evropskou úmluvu o lidských právech, Evropskou sociální chartu, judikaturu Evropského soudu pro lidská práva a Evropského výboru pro sociální práva a na úmluvy, doporučení, rezoluce, stanoviska a zprávy Parlamentního shromáždění, Výboru ministrů, komisaře pro lidská práva, Evropské komise proti rasismu a nesnášenlivosti, Řídícího výboru pro boj proti diskriminaci, pro rozmanitost a inkluzi, Benátské komise a dalších orgánů Rady Evropy,</w:t>
            </w:r>
          </w:p>
        </w:tc>
        <w:tc>
          <w:tcPr>
            <w:tcW w:w="4876" w:type="dxa"/>
            <w:tcBorders>
              <w:top w:val="nil"/>
              <w:left w:val="nil"/>
              <w:bottom w:val="nil"/>
              <w:right w:val="nil"/>
            </w:tcBorders>
          </w:tcPr>
          <w:p w:rsidR="00B92CCE" w:rsidRDefault="00B92CCE" w:rsidP="00215104">
            <w:pPr>
              <w:pStyle w:val="Normal6a"/>
            </w:pPr>
            <w:r>
              <w:t>–</w:t>
            </w:r>
            <w:r>
              <w:tab/>
              <w:t xml:space="preserve">s ohledem na Evropskou úmluvu o lidských právech, Evropskou sociální chartu, judikaturu Evropského soudu pro lidská práva </w:t>
            </w:r>
            <w:r>
              <w:rPr>
                <w:b/>
                <w:i/>
              </w:rPr>
              <w:t>(ESLP)</w:t>
            </w:r>
            <w:r>
              <w:t xml:space="preserve"> a Evropského výboru pro sociální práva a na úmluvy, doporučení, rezoluce, stanoviska a zprávy Parlamentního shromáždění, Výboru ministrů, komisaře pro lidská práva, Evropské komise proti rasismu a nesnášenlivosti, Řídícího výboru pro boj proti diskriminaci, pro rozmanitost a inkluzi, Benátské komise a dalších orgánů Rady Evropy,</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22</w:t>
      </w:r>
      <w:r>
        <w:rPr>
          <w:rStyle w:val="HideTWBExt"/>
        </w:rPr>
        <w:t>&lt;/NumAm&gt;</w:t>
      </w:r>
    </w:p>
    <w:p w:rsidR="00B92CCE" w:rsidRDefault="00B92CCE" w:rsidP="00B92CCE">
      <w:pPr>
        <w:pStyle w:val="NormalBold"/>
      </w:pPr>
      <w:r>
        <w:rPr>
          <w:rStyle w:val="HideTWBExt"/>
        </w:rPr>
        <w:t>&lt;RepeatBlock-By&gt;&lt;Members&gt;</w:t>
      </w:r>
      <w:r>
        <w:t>Paolo Inselvini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Úmluvu Rady Evropy o předcházení násilí páchanému na ženách a domácímu násilí a boji proti němu,</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{IT}</w:t>
      </w:r>
      <w:r>
        <w:t>it</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23</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Úmluvu Rady Evropy o předcházení násilí páchanému na ženách a domácímu násilí a boji proti němu,</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Úmluvu Rady Evropy o předcházení násilí páchanému na ženách a domácímu násilí a boji proti němu,</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25</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Úmluvu Rady Evropy o předcházení násilí páchanému na ženách a domácímu násilí a boji proti němu,</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26</w:t>
      </w:r>
      <w:r>
        <w:rPr>
          <w:rStyle w:val="HideTWBExt"/>
        </w:rPr>
        <w:t>&lt;/NumAm&gt;</w:t>
      </w:r>
    </w:p>
    <w:p w:rsidR="00B92CCE" w:rsidRDefault="00B92CCE" w:rsidP="00B92CCE">
      <w:pPr>
        <w:pStyle w:val="NormalBold"/>
      </w:pPr>
      <w:r>
        <w:rPr>
          <w:rStyle w:val="HideTWBExt"/>
        </w:rPr>
        <w:t>&lt;RepeatBlock-By&gt;&lt;Members&gt;</w:t>
      </w:r>
      <w:r>
        <w:t>Loránt Vincze</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12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Evropskou chartu regionálních či menšinových jazyků a na Rámcovou úmluvu Rady Evropy o ochraně národnostních menšin,</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27</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memorandum o porozumění mezi Radou Evropy a Evropskou unií ze dne 23. května 2007 a na závěry Rady ze dne 30. ledna 2023 o prioritách EU pro spolupráci s Radou Evropy v letech 2023–2024,</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28</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memorandum o porozumění mezi Radou Evropy a Evropskou unií ze dne 23. května 2007 a na závěry Rady ze dne 30. ledna 2023 o prioritách EU pro spolupráci s Radou Evropy v letech 2023–2024,</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29</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w:t>
            </w:r>
            <w:r>
              <w:tab/>
              <w:t xml:space="preserve">s ohledem na memorandum o porozumění mezi Radou Evropy a Evropskou unií ze dne 23. května 2007 a na závěry Rady ze dne </w:t>
            </w:r>
            <w:r>
              <w:rPr>
                <w:b/>
                <w:i/>
              </w:rPr>
              <w:t>30. ledna 2023</w:t>
            </w:r>
            <w:r>
              <w:t xml:space="preserve"> o prioritách EU pro spolupráci s Radou Evropy v </w:t>
            </w:r>
            <w:r>
              <w:rPr>
                <w:b/>
                <w:i/>
              </w:rPr>
              <w:t>letech 2023</w:t>
            </w:r>
            <w:r>
              <w:t>–</w:t>
            </w:r>
            <w:r>
              <w:rPr>
                <w:b/>
                <w:i/>
              </w:rPr>
              <w:t>2024</w:t>
            </w:r>
            <w:r>
              <w:t>,</w:t>
            </w:r>
          </w:p>
        </w:tc>
        <w:tc>
          <w:tcPr>
            <w:tcW w:w="4876" w:type="dxa"/>
            <w:tcBorders>
              <w:top w:val="nil"/>
              <w:left w:val="nil"/>
              <w:bottom w:val="nil"/>
              <w:right w:val="nil"/>
            </w:tcBorders>
          </w:tcPr>
          <w:p w:rsidR="00B92CCE" w:rsidRDefault="00B92CCE" w:rsidP="00215104">
            <w:pPr>
              <w:pStyle w:val="Normal6a"/>
            </w:pPr>
            <w:r>
              <w:t>–</w:t>
            </w:r>
            <w:r>
              <w:tab/>
              <w:t xml:space="preserve">s ohledem na memorandum o porozumění mezi Radou Evropy a Evropskou unií ze dne 23. května 2007 a na závěry Rady ze dne </w:t>
            </w:r>
            <w:r>
              <w:rPr>
                <w:b/>
                <w:i/>
              </w:rPr>
              <w:t>17. prosince 2024</w:t>
            </w:r>
            <w:r>
              <w:t xml:space="preserve"> o prioritách EU pro spolupráci s Radou Evropy v </w:t>
            </w:r>
            <w:r>
              <w:rPr>
                <w:b/>
                <w:i/>
              </w:rPr>
              <w:t>období 2025</w:t>
            </w:r>
            <w:r>
              <w:t>–</w:t>
            </w:r>
            <w:r>
              <w:rPr>
                <w:b/>
                <w:i/>
              </w:rPr>
              <w:t>2026</w:t>
            </w:r>
            <w:r>
              <w:t>,</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30</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odůvodněný návrh rozhodnutí Rady o zjištění zřejmého nebezpečí závažného porušení zásady právního státu ze strany Polské republiky, který dne 20. prosince 2017 předložila v souladu s čl. 7 odst. 1 Smlouvy o EU Komise (COM(2017)0835),</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31</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odůvodněný návrh rozhodnutí Rady o zjištění zřejmého nebezpečí závažného porušení zásady právního státu ze strany Polské republiky, který dne 20. prosince 2017 předložila v souladu s čl. 7 odst. 1 Smlouvy o EU Komise (COM(2017)0835),</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32</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odůvodněný návrh rozhodnutí Rady o zjištění zřejmého nebezpečí závažného porušení zásady právního státu ze strany Polské republiky, který dne 20. prosince 2017 předložila v souladu s čl. 7 odst. 1 Smlouvy o EU Komise (COM(2017)0835),</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33</w:t>
      </w:r>
      <w:r>
        <w:rPr>
          <w:rStyle w:val="HideTWBExt"/>
        </w:rPr>
        <w:t>&lt;/NumAm&gt;</w:t>
      </w:r>
    </w:p>
    <w:p w:rsidR="00B92CCE" w:rsidRDefault="00B92CCE" w:rsidP="00B92CCE">
      <w:pPr>
        <w:pStyle w:val="NormalBold"/>
      </w:pPr>
      <w:r>
        <w:rPr>
          <w:rStyle w:val="HideTWBExt"/>
        </w:rPr>
        <w:t>&lt;RepeatBlock-By&gt;&lt;Members&gt;</w:t>
      </w:r>
      <w:r>
        <w:t>Michał Wawrykiewicz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odůvodněný návrh rozhodnutí Rady o zjištění zřejmého nebezpečí závažného porušení zásady právního státu ze strany Polské republiky, který dne 20. prosince 2017 předložila v souladu s čl. 7 odst. 1 Smlouvy o EU Komise (COM(2017)0835),</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34</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25. října 2016 obsahující doporučení Komisi o vytvoření mechanismu EU pro demokracii, právní stát a základní práva</w:t>
            </w:r>
            <w:r>
              <w:rPr>
                <w:b/>
                <w:i/>
                <w:vertAlign w:val="superscript"/>
              </w:rPr>
              <w:t>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4</w:t>
            </w:r>
            <w:r>
              <w:t xml:space="preserve"> </w:t>
            </w:r>
            <w:r>
              <w:rPr>
                <w:b/>
                <w:i/>
              </w:rPr>
              <w:t>Úř. věst. C 215, 19.6.2018, s. 162.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35</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25. října 2016 obsahující doporučení Komisi o vytvoření mechanismu EU pro demokracii, právní stát a základní práva</w:t>
            </w:r>
            <w:r>
              <w:rPr>
                <w:b/>
                <w:i/>
                <w:vertAlign w:val="superscript"/>
              </w:rPr>
              <w:t>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4</w:t>
            </w:r>
            <w:r>
              <w:t xml:space="preserve"> </w:t>
            </w:r>
            <w:r>
              <w:rPr>
                <w:b/>
                <w:i/>
              </w:rPr>
              <w:t>Úř. věst. C 215, 19.6.2018, s. 162.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36</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března 2018 o rozhodnutí Komise aktivovat čl. 7 odst. 1 Smlouvy o EU v souvislosti se situací v Polsku</w:t>
            </w:r>
            <w:r>
              <w:rPr>
                <w:b/>
                <w:i/>
                <w:vertAlign w:val="superscript"/>
              </w:rPr>
              <w:t>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5</w:t>
            </w:r>
            <w:r>
              <w:t xml:space="preserve"> </w:t>
            </w:r>
            <w:r>
              <w:rPr>
                <w:b/>
                <w:i/>
              </w:rPr>
              <w:t>Úř. věst. C 129, 5.4.2019, s. 13.</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37</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března 2018 o rozhodnutí Komise aktivovat čl. 7 odst. 1 Smlouvy o EU v souvislosti se situací v Polsku</w:t>
            </w:r>
            <w:r>
              <w:rPr>
                <w:b/>
                <w:i/>
                <w:vertAlign w:val="superscript"/>
              </w:rPr>
              <w:t>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5</w:t>
            </w:r>
            <w:r>
              <w:t xml:space="preserve"> </w:t>
            </w:r>
            <w:r>
              <w:rPr>
                <w:b/>
                <w:i/>
              </w:rPr>
              <w:t>Úř. věst. C 129, 5.4.2019, s. 13.</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38</w:t>
      </w:r>
      <w:r>
        <w:rPr>
          <w:rStyle w:val="HideTWBExt"/>
        </w:rPr>
        <w:t>&lt;/NumAm&gt;</w:t>
      </w:r>
    </w:p>
    <w:p w:rsidR="00B92CCE" w:rsidRDefault="00B92CCE" w:rsidP="00B92CCE">
      <w:pPr>
        <w:pStyle w:val="NormalBold"/>
      </w:pPr>
      <w:r>
        <w:rPr>
          <w:rStyle w:val="HideTWBExt"/>
        </w:rPr>
        <w:t>&lt;RepeatBlock-By&gt;&lt;Members&gt;</w:t>
      </w:r>
      <w:r>
        <w:t>Michał Wawrykiewicz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března 2018 o rozhodnutí Komise aktivovat čl. 7 odst. 1 Smlouvy o EU v souvislosti se situací v Polsku</w:t>
            </w:r>
            <w:r>
              <w:rPr>
                <w:b/>
                <w:i/>
                <w:vertAlign w:val="superscript"/>
              </w:rPr>
              <w:t>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5</w:t>
            </w:r>
            <w:r>
              <w:t xml:space="preserve"> </w:t>
            </w:r>
            <w:r>
              <w:rPr>
                <w:b/>
                <w:i/>
              </w:rPr>
              <w:t>Úř. věst. C 129, 5.4.2019, s. 13.</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39</w:t>
      </w:r>
      <w:r>
        <w:rPr>
          <w:rStyle w:val="HideTWBExt"/>
        </w:rPr>
        <w:t>&lt;/NumAm&gt;</w:t>
      </w:r>
    </w:p>
    <w:p w:rsidR="00B92CCE" w:rsidRDefault="00B92CCE" w:rsidP="00B92CCE">
      <w:pPr>
        <w:pStyle w:val="NormalBold"/>
      </w:pPr>
      <w:r>
        <w:rPr>
          <w:rStyle w:val="HideTWBExt"/>
        </w:rPr>
        <w:t>&lt;RepeatBlock-By&gt;&lt;Members&gt;</w:t>
      </w:r>
      <w:r>
        <w:t>Mary Khan, Milan Uhrík, Ewa Zajączkowska-Hernik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března 2018 o rozhodnutí Komise aktivovat čl. 7 odst. 1 Smlouvy o EU v souvislosti se situací v Polsku</w:t>
            </w:r>
            <w:r>
              <w:rPr>
                <w:b/>
                <w:i/>
                <w:vertAlign w:val="superscript"/>
              </w:rPr>
              <w:t>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5</w:t>
            </w:r>
            <w:r>
              <w:t xml:space="preserve"> </w:t>
            </w:r>
            <w:r>
              <w:rPr>
                <w:b/>
                <w:i/>
              </w:rPr>
              <w:t>Úř. věst. C 129, 5.4.2019, s. 13.</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40</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března 2018 o rozhodnutí Komise aktivovat čl. 7 odst. 1 Smlouvy o EU v souvislosti se situací v Polsku</w:t>
            </w:r>
            <w:r>
              <w:rPr>
                <w:b/>
                <w:i/>
                <w:vertAlign w:val="superscript"/>
              </w:rPr>
              <w:t>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5</w:t>
            </w:r>
            <w:r>
              <w:t xml:space="preserve"> </w:t>
            </w:r>
            <w:r>
              <w:rPr>
                <w:b/>
                <w:i/>
              </w:rPr>
              <w:t>Úř. věst. C 129, 5.4.2019, s. 13.</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41</w:t>
      </w:r>
      <w:r>
        <w:rPr>
          <w:rStyle w:val="HideTWBExt"/>
        </w:rPr>
        <w:t>&lt;/NumAm&gt;</w:t>
      </w:r>
    </w:p>
    <w:p w:rsidR="00B92CCE" w:rsidRDefault="00B92CCE" w:rsidP="00B92CCE">
      <w:pPr>
        <w:pStyle w:val="NormalBold"/>
      </w:pPr>
      <w:r>
        <w:rPr>
          <w:rStyle w:val="HideTWBExt"/>
        </w:rPr>
        <w:t>&lt;RepeatBlock-By&gt;&lt;Members&gt;</w:t>
      </w:r>
      <w:r>
        <w:t>Michał Wawrykiewicz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ukončení postupu podle článku 7 proti Polsku, který oznámila Evropská komise dne 29. května 2024 v návaznosti na kroky, které Polsko přijalo s cílem obnovit soulad s normami EU v oblasti právního státu,</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42</w:t>
      </w:r>
      <w:r>
        <w:rPr>
          <w:rStyle w:val="HideTWBExt"/>
        </w:rPr>
        <w:t>&lt;/NumAm&gt;</w:t>
      </w:r>
    </w:p>
    <w:p w:rsidR="00B92CCE" w:rsidRDefault="00B92CCE" w:rsidP="00B92CCE">
      <w:pPr>
        <w:pStyle w:val="NormalBold"/>
      </w:pPr>
      <w:r>
        <w:rPr>
          <w:rStyle w:val="HideTWBExt"/>
        </w:rPr>
        <w:t>&lt;RepeatBlock-By&gt;&lt;Members&gt;</w:t>
      </w:r>
      <w:r>
        <w:t>Loránt Vincze</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16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7. února 2018 o ochraně a nepřípustnosti diskriminace menšin v členských státech EU</w:t>
            </w:r>
            <w:r>
              <w:rPr>
                <w:b/>
                <w:i/>
                <w:vertAlign w:val="superscript"/>
              </w:rPr>
              <w:t>5a</w:t>
            </w:r>
            <w:r>
              <w:rPr>
                <w:b/>
                <w:i/>
              </w:rPr>
              <w:t>,</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vertAlign w:val="superscript"/>
              </w:rPr>
              <w:t>5a</w:t>
            </w:r>
            <w:r>
              <w:t xml:space="preserve"> </w:t>
            </w:r>
            <w:r>
              <w:rPr>
                <w:b/>
                <w:i/>
              </w:rPr>
              <w:t>Úř. věst. C 463, 21.12.2018, s. 21.</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dubna 2018 o nutnosti zřídit nástroj pro evropské hodnoty na podporu organizací občanské společnosti, které prosazují základní hodnoty v rámci Evropské unie na místní a vnitrostátní úrovni</w:t>
            </w:r>
            <w:r>
              <w:rPr>
                <w:b/>
                <w:i/>
                <w:vertAlign w:val="superscript"/>
              </w:rPr>
              <w:t>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6</w:t>
            </w:r>
            <w:r>
              <w:t xml:space="preserve"> </w:t>
            </w:r>
            <w:r>
              <w:rPr>
                <w:b/>
                <w:i/>
              </w:rPr>
              <w:t>Úř. věst. C 390, 18.11.2019, s. 117.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dubna 2018 o nutnosti zřídit nástroj pro evropské hodnoty na podporu organizací občanské společnosti, které prosazují základní hodnoty v rámci Evropské unie na místní a vnitrostátní úrovni</w:t>
            </w:r>
            <w:r>
              <w:rPr>
                <w:b/>
                <w:i/>
                <w:vertAlign w:val="superscript"/>
              </w:rPr>
              <w:t>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6</w:t>
            </w:r>
            <w:r>
              <w:t xml:space="preserve"> </w:t>
            </w:r>
            <w:r>
              <w:rPr>
                <w:b/>
                <w:i/>
              </w:rPr>
              <w:t>Úř. věst. C 390, 18.11.2019, s. 117.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45</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dubna 2018 o nutnosti zřídit nástroj pro evropské hodnoty na podporu organizací občanské společnosti, které prosazují základní hodnoty v rámci Evropské unie na místní a vnitrostátní úrovni</w:t>
            </w:r>
            <w:r>
              <w:rPr>
                <w:b/>
                <w:i/>
                <w:vertAlign w:val="superscript"/>
              </w:rPr>
              <w:t>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6</w:t>
            </w:r>
            <w:r>
              <w:t xml:space="preserve"> </w:t>
            </w:r>
            <w:r>
              <w:rPr>
                <w:b/>
                <w:i/>
              </w:rPr>
              <w:t>Úř. věst. C 390, 18.11.2019, s. 117.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46</w:t>
      </w:r>
      <w:r>
        <w:rPr>
          <w:rStyle w:val="HideTWBExt"/>
        </w:rPr>
        <w:t>&lt;/NumAm&gt;</w:t>
      </w:r>
    </w:p>
    <w:p w:rsidR="00B92CCE" w:rsidRDefault="00B92CCE" w:rsidP="00B92CCE">
      <w:pPr>
        <w:pStyle w:val="NormalBold"/>
      </w:pPr>
      <w:r>
        <w:rPr>
          <w:rStyle w:val="HideTWBExt"/>
        </w:rPr>
        <w:t>&lt;RepeatBlock-By&gt;&lt;Members&gt;</w:t>
      </w:r>
      <w:r>
        <w:t>Mary Khan, Milan Uhrík, Ewa Zajączkowska-Hernik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dubna 2018 o nutnosti zřídit nástroj pro evropské hodnoty na podporu organizací občanské společnosti, které prosazují základní hodnoty v rámci Evropské unie na místní a vnitrostátní úrovni</w:t>
            </w:r>
            <w:r>
              <w:rPr>
                <w:b/>
                <w:i/>
                <w:vertAlign w:val="superscript"/>
              </w:rPr>
              <w:t>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6</w:t>
            </w:r>
            <w:r>
              <w:t xml:space="preserve"> </w:t>
            </w:r>
            <w:r>
              <w:rPr>
                <w:b/>
                <w:i/>
              </w:rPr>
              <w:t>Úř. věst. C 390, 18.11.2019, s. 117.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47</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12. září 2018 o návrhu, který vybízí Radu, aby podle čl. 7 odst. 1 Smlouvy o Evropské unii rozhodla, že existuje zřejmé nebezpečí, že Maďarsko závažně poruší hodnoty, na nichž je Evropská unie založena</w:t>
            </w:r>
            <w:r>
              <w:rPr>
                <w:b/>
                <w:i/>
                <w:vertAlign w:val="superscript"/>
              </w:rPr>
              <w:t>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7</w:t>
            </w:r>
            <w:r>
              <w:t xml:space="preserve"> </w:t>
            </w:r>
            <w:r>
              <w:rPr>
                <w:b/>
                <w:i/>
              </w:rPr>
              <w:t>Úř. věst. C 433, 23.12.2019, s. 66.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48</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12. září 2018 o návrhu, který vybízí Radu, aby podle čl. 7 odst. 1 Smlouvy o Evropské unii rozhodla, že existuje zřejmé nebezpečí, že Maďarsko závažně poruší hodnoty, na nichž je Evropská unie založena</w:t>
            </w:r>
            <w:r>
              <w:rPr>
                <w:b/>
                <w:i/>
                <w:vertAlign w:val="superscript"/>
              </w:rPr>
              <w:t>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7</w:t>
            </w:r>
            <w:r>
              <w:t xml:space="preserve"> </w:t>
            </w:r>
            <w:r>
              <w:rPr>
                <w:b/>
                <w:i/>
              </w:rPr>
              <w:t>Úř. věst. C 433, 23.12.2019, s. 66.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49</w:t>
      </w:r>
      <w:r>
        <w:rPr>
          <w:rStyle w:val="HideTWBExt"/>
        </w:rPr>
        <w:t>&lt;/NumAm&gt;</w:t>
      </w:r>
    </w:p>
    <w:p w:rsidR="00B92CCE" w:rsidRDefault="00B92CCE" w:rsidP="00B92CCE">
      <w:pPr>
        <w:pStyle w:val="NormalBold"/>
      </w:pPr>
      <w:r>
        <w:rPr>
          <w:rStyle w:val="HideTWBExt"/>
        </w:rPr>
        <w:t>&lt;RepeatBlock-By&gt;&lt;Members&gt;</w:t>
      </w:r>
      <w:r>
        <w:t>Mary Khan, Milan Uhrík, Ewa Zajączkowska-Hernik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12. září 2018 o návrhu, který vybízí Radu, aby podle čl. 7 odst. 1 Smlouvy o Evropské unii rozhodla, že existuje zřejmé nebezpečí, že Maďarsko závažně poruší hodnoty, na nichž je Evropská unie založena</w:t>
            </w:r>
            <w:r>
              <w:rPr>
                <w:b/>
                <w:i/>
                <w:vertAlign w:val="superscript"/>
              </w:rPr>
              <w:t>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7</w:t>
            </w:r>
            <w:r>
              <w:t xml:space="preserve"> </w:t>
            </w:r>
            <w:r>
              <w:rPr>
                <w:b/>
                <w:i/>
              </w:rPr>
              <w:t>Úř. věst. C 433, 23.12.2019, s. 66.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50</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12. září 2018 o návrhu, který vybízí Radu, aby podle čl. 7 odst. 1 Smlouvy o Evropské unii rozhodla, že existuje zřejmé nebezpečí, že Maďarsko závažně poruší hodnoty, na nichž je Evropská unie založena</w:t>
            </w:r>
            <w:r>
              <w:rPr>
                <w:b/>
                <w:i/>
                <w:vertAlign w:val="superscript"/>
              </w:rPr>
              <w:t>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7</w:t>
            </w:r>
            <w:r>
              <w:t xml:space="preserve"> </w:t>
            </w:r>
            <w:r>
              <w:rPr>
                <w:b/>
                <w:i/>
              </w:rPr>
              <w:t>Úř. věst. C 433, 23.12.2019, s. 66.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51</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13. listopadu 2018 o minimálních standardech pro menšiny v EU</w:t>
            </w:r>
            <w:r>
              <w:rPr>
                <w:b/>
                <w:i/>
                <w:vertAlign w:val="superscript"/>
              </w:rPr>
              <w:t>8</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8</w:t>
            </w:r>
            <w:r>
              <w:t xml:space="preserve"> </w:t>
            </w:r>
            <w:r>
              <w:rPr>
                <w:b/>
                <w:i/>
              </w:rPr>
              <w:t>Úř. věst. C 363, 28.10.2020, s. 13.</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52</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14. listopadu 2018 o potřebě komplexního mechanismu EU na ochranu demokracie, právního státu a základních práv</w:t>
            </w:r>
            <w:r>
              <w:rPr>
                <w:b/>
                <w:i/>
                <w:vertAlign w:val="superscript"/>
              </w:rPr>
              <w:t>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9</w:t>
            </w:r>
            <w:r>
              <w:t xml:space="preserve"> </w:t>
            </w:r>
            <w:r>
              <w:rPr>
                <w:b/>
                <w:i/>
              </w:rPr>
              <w:t>Úř. věst. C 363, 28.10.2020, s. 45.</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53</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14. listopadu 2018 o potřebě komplexního mechanismu EU na ochranu demokracie, právního státu a základních práv</w:t>
            </w:r>
            <w:r>
              <w:rPr>
                <w:b/>
                <w:i/>
                <w:vertAlign w:val="superscript"/>
              </w:rPr>
              <w:t>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9</w:t>
            </w:r>
            <w:r>
              <w:t xml:space="preserve"> </w:t>
            </w:r>
            <w:r>
              <w:rPr>
                <w:b/>
                <w:i/>
              </w:rPr>
              <w:t>Úř. věst. C 363, 28.10.2020, s. 45.</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14. listopadu 2018 o potřebě komplexního mechanismu EU na ochranu demokracie, právního státu a základních práv</w:t>
            </w:r>
            <w:r>
              <w:rPr>
                <w:b/>
                <w:i/>
                <w:vertAlign w:val="superscript"/>
              </w:rPr>
              <w:t>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9</w:t>
            </w:r>
            <w:r>
              <w:t xml:space="preserve"> </w:t>
            </w:r>
            <w:r>
              <w:rPr>
                <w:b/>
                <w:i/>
              </w:rPr>
              <w:t>Úř. věst. C 363, 28.10.2020, s. 45.</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55</w:t>
      </w:r>
      <w:r>
        <w:rPr>
          <w:rStyle w:val="HideTWBExt"/>
        </w:rPr>
        <w:t>&lt;/NumAm&gt;</w:t>
      </w:r>
    </w:p>
    <w:p w:rsidR="00B92CCE" w:rsidRDefault="00B92CCE" w:rsidP="00B92CCE">
      <w:pPr>
        <w:pStyle w:val="NormalBold"/>
      </w:pPr>
      <w:r>
        <w:rPr>
          <w:rStyle w:val="HideTWBExt"/>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20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sdělení Komise ze dne 6. prosince 2023 nazvané „Není místo pro nenávist: Evropa je jednotná v boji proti nenávisti“ (COM(2023)0051),</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56</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7. října 2020 o vytvoření mechanismu EU pro demokracii, právní stát a základní práva</w:t>
            </w:r>
            <w:r>
              <w:rPr>
                <w:b/>
                <w:i/>
                <w:vertAlign w:val="superscript"/>
              </w:rPr>
              <w:t>10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10</w:t>
            </w:r>
            <w:r>
              <w:t xml:space="preserve"> </w:t>
            </w:r>
            <w:r>
              <w:rPr>
                <w:b/>
                <w:i/>
              </w:rPr>
              <w:t>Úř. věst. C 395, 29.9.2021,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57</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7. října 2020 o vytvoření mechanismu EU pro demokracii, právní stát a základní práva</w:t>
            </w:r>
            <w:r>
              <w:rPr>
                <w:b/>
                <w:i/>
                <w:vertAlign w:val="superscript"/>
              </w:rPr>
              <w:t>10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10</w:t>
            </w:r>
            <w:r>
              <w:t xml:space="preserve"> </w:t>
            </w:r>
            <w:r>
              <w:rPr>
                <w:b/>
                <w:i/>
              </w:rPr>
              <w:t>Úř. věst. C 395, 29.9.2021,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7. října 2020 o vytvoření mechanismu EU pro demokracii, právní stát a základní práva</w:t>
            </w:r>
            <w:r>
              <w:rPr>
                <w:b/>
                <w:i/>
                <w:vertAlign w:val="superscript"/>
              </w:rPr>
              <w:t>10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10</w:t>
            </w:r>
            <w:r>
              <w:t xml:space="preserve"> </w:t>
            </w:r>
            <w:r>
              <w:rPr>
                <w:b/>
                <w:i/>
              </w:rPr>
              <w:t>Úř. věst. C 395, 29.9.2021,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59</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13. listopadu 2020 o dopadu opatření přijatých v souvislosti s onemocněním COVID-19 na demokracii, právní stát a základní práva</w:t>
            </w:r>
            <w:r>
              <w:rPr>
                <w:b/>
                <w:i/>
                <w:vertAlign w:val="superscript"/>
              </w:rPr>
              <w:t>11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11</w:t>
            </w:r>
            <w:r>
              <w:t xml:space="preserve"> </w:t>
            </w:r>
            <w:r>
              <w:rPr>
                <w:b/>
                <w:i/>
              </w:rPr>
              <w:t>Úř. věst. C 415, 13.10.2021, s. 36.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60</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13. listopadu 2020 o dopadu opatření přijatých v souvislosti s onemocněním COVID-19 na demokracii, právní stát a základní práva</w:t>
            </w:r>
            <w:r>
              <w:rPr>
                <w:b/>
                <w:i/>
                <w:vertAlign w:val="superscript"/>
              </w:rPr>
              <w:t>11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11</w:t>
            </w:r>
            <w:r>
              <w:t xml:space="preserve"> </w:t>
            </w:r>
            <w:r>
              <w:rPr>
                <w:b/>
                <w:i/>
              </w:rPr>
              <w:t>Úř. věst. C 415, 13.10.2021, s. 36.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61</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17. prosince 2020 o evropské občanské iniciativě „Minority SafePack – one million signatures for diversity in Europe“ („Minority SafePack – milion podpisů pro rozmanitost v Evropě“)</w:t>
            </w:r>
            <w:r>
              <w:rPr>
                <w:b/>
                <w:i/>
                <w:vertAlign w:val="superscript"/>
              </w:rPr>
              <w:t>12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12</w:t>
            </w:r>
            <w:r>
              <w:t xml:space="preserve"> </w:t>
            </w:r>
            <w:r>
              <w:rPr>
                <w:b/>
                <w:i/>
              </w:rPr>
              <w:t>Úř. věst. C 445, 29.10.2021, s. 70.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62</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17. prosince 2020 o evropské občanské iniciativě „Minority SafePack – one million signatures for diversity in Europe“ („Minority SafePack – milion podpisů pro rozmanitost v Evropě“)</w:t>
            </w:r>
            <w:r>
              <w:rPr>
                <w:b/>
                <w:i/>
                <w:vertAlign w:val="superscript"/>
              </w:rPr>
              <w:t>12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12</w:t>
            </w:r>
            <w:r>
              <w:t xml:space="preserve"> </w:t>
            </w:r>
            <w:r>
              <w:rPr>
                <w:b/>
                <w:i/>
              </w:rPr>
              <w:t>Úř. věst. C 445, 29.10.2021, s. 70.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června 2021 o stavu právního státu v Evropské unii a uplatňování nařízení o podmíněnosti (EU, Euratom) 2020/2092</w:t>
            </w:r>
            <w:r>
              <w:rPr>
                <w:b/>
                <w:i/>
                <w:vertAlign w:val="superscript"/>
              </w:rPr>
              <w:t>13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13</w:t>
            </w:r>
            <w:r>
              <w:t xml:space="preserve"> </w:t>
            </w:r>
            <w:r>
              <w:rPr>
                <w:b/>
                <w:i/>
              </w:rPr>
              <w:t>Úř. věst. C 67, 8.2.2022, s. 86.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64</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června 2021 o stavu právního státu v Evropské unii a uplatňování nařízení o podmíněnosti (EU, Euratom) 2020/2092</w:t>
            </w:r>
            <w:r>
              <w:rPr>
                <w:b/>
                <w:i/>
                <w:vertAlign w:val="superscript"/>
              </w:rPr>
              <w:t>13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13</w:t>
            </w:r>
            <w:r>
              <w:t xml:space="preserve"> </w:t>
            </w:r>
            <w:r>
              <w:rPr>
                <w:b/>
                <w:i/>
              </w:rPr>
              <w:t>Úř. věst. C 67, 8.2.2022, s. 86.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65</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června 2021 o stavu právního státu v Evropské unii a uplatňování nařízení o podmíněnosti (EU, Euratom) 2020/2092</w:t>
            </w:r>
            <w:r>
              <w:rPr>
                <w:b/>
                <w:i/>
                <w:vertAlign w:val="superscript"/>
              </w:rPr>
              <w:t>13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13</w:t>
            </w:r>
            <w:r>
              <w:t xml:space="preserve"> </w:t>
            </w:r>
            <w:r>
              <w:rPr>
                <w:b/>
                <w:i/>
              </w:rPr>
              <w:t>Úř. věst. C 67, 8.2.2022, s. 86.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66</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června 2021 o zprávě Komise o stavu právního státu za rok 2020</w:t>
            </w:r>
            <w:r>
              <w:rPr>
                <w:b/>
                <w:i/>
                <w:vertAlign w:val="superscript"/>
              </w:rPr>
              <w:t>14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14</w:t>
            </w:r>
            <w:r>
              <w:t xml:space="preserve"> </w:t>
            </w:r>
            <w:r>
              <w:rPr>
                <w:b/>
                <w:i/>
              </w:rPr>
              <w:t>Úř. věst. C 81, 18.2.2022, s. 27.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67</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června 2021 o zprávě Komise o stavu právního státu za rok 2020</w:t>
            </w:r>
            <w:r>
              <w:rPr>
                <w:b/>
                <w:i/>
                <w:vertAlign w:val="superscript"/>
              </w:rPr>
              <w:t>14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14</w:t>
            </w:r>
            <w:r>
              <w:t xml:space="preserve"> </w:t>
            </w:r>
            <w:r>
              <w:rPr>
                <w:b/>
                <w:i/>
              </w:rPr>
              <w:t>Úř. věst. C 81, 18.2.2022, s. 27.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června 2021 o zprávě Komise o stavu právního státu za rok 2020</w:t>
            </w:r>
            <w:r>
              <w:rPr>
                <w:b/>
                <w:i/>
                <w:vertAlign w:val="superscript"/>
              </w:rPr>
              <w:t>14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14</w:t>
            </w:r>
            <w:r>
              <w:t xml:space="preserve"> </w:t>
            </w:r>
            <w:r>
              <w:rPr>
                <w:b/>
                <w:i/>
              </w:rPr>
              <w:t>Úř. věst. C 81, 18.2.2022, s. 27.</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69</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8. července 2021 o vytvoření pokynů pro uplatňování obecného režimu podmíněnosti na ochranu rozpočtu EU</w:t>
            </w:r>
            <w:r>
              <w:rPr>
                <w:b/>
                <w:i/>
                <w:vertAlign w:val="superscript"/>
              </w:rPr>
              <w:t>15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15</w:t>
            </w:r>
            <w:r>
              <w:t xml:space="preserve"> </w:t>
            </w:r>
            <w:r>
              <w:rPr>
                <w:b/>
                <w:i/>
              </w:rPr>
              <w:t>Úř. věst. C 99, 1.3.2022, s. 146.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70</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8. července 2021 o vytvoření pokynů pro uplatňování obecného režimu podmíněnosti na ochranu rozpočtu EU</w:t>
            </w:r>
            <w:r>
              <w:rPr>
                <w:b/>
                <w:i/>
                <w:vertAlign w:val="superscript"/>
              </w:rPr>
              <w:t>15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15</w:t>
            </w:r>
            <w:r>
              <w:t xml:space="preserve"> </w:t>
            </w:r>
            <w:r>
              <w:rPr>
                <w:b/>
                <w:i/>
              </w:rPr>
              <w:t>Úř. věst. C 99, 1.3.2022, s. 146.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71</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8. července 2021 o vytvoření pokynů pro uplatňování obecného režimu podmíněnosti na ochranu rozpočtu EU</w:t>
            </w:r>
            <w:r>
              <w:rPr>
                <w:b/>
                <w:i/>
                <w:vertAlign w:val="superscript"/>
              </w:rPr>
              <w:t>15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15</w:t>
            </w:r>
            <w:r>
              <w:t xml:space="preserve"> </w:t>
            </w:r>
            <w:r>
              <w:rPr>
                <w:b/>
                <w:i/>
              </w:rPr>
              <w:t>Úř. věst. C 99, 1.3.2022, s. 146.</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72</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16. září 2021 obsahující doporučení Komisi o určení genderově podmíněného násilí jako nové oblasti trestné činnosti uvedené v čl. 83 odst. 1 SFEU</w:t>
            </w:r>
            <w:r>
              <w:rPr>
                <w:b/>
                <w:i/>
                <w:vertAlign w:val="superscript"/>
              </w:rPr>
              <w:t>16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16</w:t>
            </w:r>
            <w:r>
              <w:t xml:space="preserve"> </w:t>
            </w:r>
            <w:r>
              <w:rPr>
                <w:b/>
                <w:i/>
              </w:rPr>
              <w:t>Úř. věst. C 117, 11.3.2022, s. 88.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73</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16. září 2021 obsahující doporučení Komisi o určení genderově podmíněného násilí jako nové oblasti trestné činnosti uvedené v čl. 83 odst. 1 SFEU</w:t>
            </w:r>
            <w:r>
              <w:rPr>
                <w:b/>
                <w:i/>
                <w:vertAlign w:val="superscript"/>
              </w:rPr>
              <w:t>16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16</w:t>
            </w:r>
            <w:r>
              <w:t xml:space="preserve"> </w:t>
            </w:r>
            <w:r>
              <w:rPr>
                <w:b/>
                <w:i/>
              </w:rPr>
              <w:t>Úř. věst. C 117, 11.3.2022, s. 88.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16. září 2021 obsahující doporučení Komisi o určení genderově podmíněného násilí jako nové oblasti trestné činnosti uvedené v čl. 83 odst. 1 SFEU</w:t>
            </w:r>
            <w:r>
              <w:rPr>
                <w:b/>
                <w:i/>
                <w:vertAlign w:val="superscript"/>
              </w:rPr>
              <w:t>16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16</w:t>
            </w:r>
            <w:r>
              <w:t xml:space="preserve"> </w:t>
            </w:r>
            <w:r>
              <w:rPr>
                <w:b/>
                <w:i/>
              </w:rPr>
              <w:t>Úř. věst. C 117, 11.3.2022, s. 88.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75</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11. listopadu 2021 o posílení demokracie a svobody a plurality sdělovacích prostředků v EU:</w:t>
            </w:r>
            <w:r>
              <w:t xml:space="preserve"> </w:t>
            </w:r>
            <w:r>
              <w:rPr>
                <w:b/>
                <w:i/>
              </w:rPr>
              <w:t>nevhodné využívání občanskoprávních a trestněprávních žalob k umlčení novinářů, nevládních organizací a občanské společnosti</w:t>
            </w:r>
            <w:r>
              <w:rPr>
                <w:b/>
                <w:i/>
                <w:vertAlign w:val="superscript"/>
              </w:rPr>
              <w:t>17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17</w:t>
            </w:r>
            <w:r>
              <w:t xml:space="preserve"> </w:t>
            </w:r>
            <w:r>
              <w:rPr>
                <w:b/>
                <w:i/>
              </w:rPr>
              <w:t>Úř. věst. C 205, 20.5.2022,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76</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11. listopadu 2021 o posílení demokracie a svobody a plurality sdělovacích prostředků v EU:</w:t>
            </w:r>
            <w:r>
              <w:t xml:space="preserve"> </w:t>
            </w:r>
            <w:r>
              <w:rPr>
                <w:b/>
                <w:i/>
              </w:rPr>
              <w:t>nevhodné využívání občanskoprávních a trestněprávních žalob k umlčení novinářů, nevládních organizací a občanské společnosti</w:t>
            </w:r>
            <w:r>
              <w:rPr>
                <w:b/>
                <w:i/>
                <w:vertAlign w:val="superscript"/>
              </w:rPr>
              <w:t>17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17</w:t>
            </w:r>
            <w:r>
              <w:t xml:space="preserve"> </w:t>
            </w:r>
            <w:r>
              <w:rPr>
                <w:b/>
                <w:i/>
              </w:rPr>
              <w:t>Úř. věst. C 205, 20.5.2022,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77</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15. prosince 2021 o hodnocení preventivních opatření k zamezení korupci, neoprávněným výdajům a zneužívání finančních prostředků EU a členských států v případě fondů pro mimořádné události a ve výdajových oblastech týkajících se řešení krizí</w:t>
            </w:r>
            <w:r>
              <w:rPr>
                <w:b/>
                <w:i/>
                <w:vertAlign w:val="superscript"/>
              </w:rPr>
              <w:t>18</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18</w:t>
            </w:r>
            <w:r>
              <w:t xml:space="preserve"> </w:t>
            </w:r>
            <w:r>
              <w:rPr>
                <w:b/>
                <w:i/>
              </w:rPr>
              <w:t>Úř. věst. C 251, 30.6.2022, s. 48.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8. března 2022 o zmenšujícím se prostoru pro občanskou společnost v Evropě</w:t>
            </w:r>
            <w:r>
              <w:rPr>
                <w:b/>
                <w:i/>
                <w:vertAlign w:val="superscript"/>
              </w:rPr>
              <w:t>19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19</w:t>
            </w:r>
            <w:r>
              <w:t xml:space="preserve"> </w:t>
            </w:r>
            <w:r>
              <w:rPr>
                <w:b/>
                <w:i/>
              </w:rPr>
              <w:t>Úř. věst. C 347, 9.9.2022,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79</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8. března 2022 o zmenšujícím se prostoru pro občanskou společnost v Evropě</w:t>
            </w:r>
            <w:r>
              <w:rPr>
                <w:b/>
                <w:i/>
                <w:vertAlign w:val="superscript"/>
              </w:rPr>
              <w:t>19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19</w:t>
            </w:r>
            <w:r>
              <w:t xml:space="preserve"> </w:t>
            </w:r>
            <w:r>
              <w:rPr>
                <w:b/>
                <w:i/>
              </w:rPr>
              <w:t>Úř. věst. C 347, 9.9.2022,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80</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března 2022 o právním státu a důsledcích rozsudku Soudního dvora EU</w:t>
            </w:r>
            <w:r>
              <w:rPr>
                <w:b/>
                <w:i/>
                <w:vertAlign w:val="superscript"/>
              </w:rPr>
              <w:t>20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20</w:t>
            </w:r>
            <w:r>
              <w:t xml:space="preserve"> </w:t>
            </w:r>
            <w:r>
              <w:rPr>
                <w:b/>
                <w:i/>
              </w:rPr>
              <w:t>Úř. věst. C 347, 9.9.2022, s. 168.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81</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března 2022 o právním státu a důsledcích rozsudku Soudního dvora EU</w:t>
            </w:r>
            <w:r>
              <w:rPr>
                <w:b/>
                <w:i/>
                <w:vertAlign w:val="superscript"/>
              </w:rPr>
              <w:t>20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20</w:t>
            </w:r>
            <w:r>
              <w:t xml:space="preserve"> </w:t>
            </w:r>
            <w:r>
              <w:rPr>
                <w:b/>
                <w:i/>
              </w:rPr>
              <w:t>Úř. věst. C 347, 9.9.2022, s. 168.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82</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března 2022 o právním státu a důsledcích rozsudku Soudního dvora EU</w:t>
            </w:r>
            <w:r>
              <w:rPr>
                <w:b/>
                <w:i/>
                <w:vertAlign w:val="superscript"/>
              </w:rPr>
              <w:t>20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20</w:t>
            </w:r>
            <w:r>
              <w:t xml:space="preserve"> </w:t>
            </w:r>
            <w:r>
              <w:rPr>
                <w:b/>
                <w:i/>
              </w:rPr>
              <w:t>Úř. věst. C 347, 9.9.2022, s. 168.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května 2022 o zprávě Komise o právním státu za rok 2021</w:t>
            </w:r>
            <w:r>
              <w:rPr>
                <w:b/>
                <w:i/>
                <w:vertAlign w:val="superscript"/>
              </w:rPr>
              <w:t>21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21</w:t>
            </w:r>
            <w:r>
              <w:t xml:space="preserve"> </w:t>
            </w:r>
            <w:r>
              <w:rPr>
                <w:b/>
                <w:i/>
              </w:rPr>
              <w:t>Úř. věst. C 479, 16.12.2022, s. 18.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května 2022 o zprávě Komise o právním státu za rok 2021</w:t>
            </w:r>
            <w:r>
              <w:rPr>
                <w:b/>
                <w:i/>
                <w:vertAlign w:val="superscript"/>
              </w:rPr>
              <w:t>21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21</w:t>
            </w:r>
            <w:r>
              <w:t xml:space="preserve"> </w:t>
            </w:r>
            <w:r>
              <w:rPr>
                <w:b/>
                <w:i/>
              </w:rPr>
              <w:t>Úř. věst. C 479, 16.12.2022, s. 18.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85</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května 2022 o zprávě Komise o právním státu za rok 2021</w:t>
            </w:r>
            <w:r>
              <w:rPr>
                <w:b/>
                <w:i/>
                <w:vertAlign w:val="superscript"/>
              </w:rPr>
              <w:t>21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21</w:t>
            </w:r>
            <w:r>
              <w:t xml:space="preserve"> </w:t>
            </w:r>
            <w:r>
              <w:rPr>
                <w:b/>
                <w:i/>
              </w:rPr>
              <w:t>Úř. věst. C 479, 16.12.2022, s. 18.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86</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9. června 2022 o právním státu a případném schválení polského národního plánu pro oživení (RRF)</w:t>
            </w:r>
            <w:r>
              <w:rPr>
                <w:b/>
                <w:i/>
                <w:vertAlign w:val="superscript"/>
              </w:rPr>
              <w:t>22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22</w:t>
            </w:r>
            <w:r>
              <w:t xml:space="preserve"> </w:t>
            </w:r>
            <w:r>
              <w:rPr>
                <w:b/>
                <w:i/>
              </w:rPr>
              <w:t>Úř. věst. C 493, 27.12.2022, s. 108.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87</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9. června 2022 o právním státu a případném schválení polského národního plánu pro oživení (RRF)</w:t>
            </w:r>
            <w:r>
              <w:rPr>
                <w:b/>
                <w:i/>
                <w:vertAlign w:val="superscript"/>
              </w:rPr>
              <w:t>22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22</w:t>
            </w:r>
            <w:r>
              <w:t xml:space="preserve"> </w:t>
            </w:r>
            <w:r>
              <w:rPr>
                <w:b/>
                <w:i/>
              </w:rPr>
              <w:t>Úř. věst. C 493, 27.12.2022, s. 108.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9. června 2022 o právním státu a případném schválení polského národního plánu pro oživení (RRF)</w:t>
            </w:r>
            <w:r>
              <w:rPr>
                <w:b/>
                <w:i/>
                <w:vertAlign w:val="superscript"/>
              </w:rPr>
              <w:t>22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22</w:t>
            </w:r>
            <w:r>
              <w:t xml:space="preserve"> </w:t>
            </w:r>
            <w:r>
              <w:rPr>
                <w:b/>
                <w:i/>
              </w:rPr>
              <w:t>Úř. věst. C 493, 27.12.2022, s. 108.</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89</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15. září 2022 o stavu základních práv v Evropské unii v roce 2020 a 2021</w:t>
            </w:r>
            <w:r>
              <w:rPr>
                <w:b/>
                <w:i/>
                <w:vertAlign w:val="superscript"/>
              </w:rPr>
              <w:t>23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23</w:t>
            </w:r>
            <w:r>
              <w:t xml:space="preserve"> </w:t>
            </w:r>
            <w:r>
              <w:rPr>
                <w:b/>
                <w:i/>
              </w:rPr>
              <w:t>Úř. věst. C 125, 5.4.2023, s. 80.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90</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15. září 2022 o stavu základních práv v Evropské unii v roce 2020 a 2021</w:t>
            </w:r>
            <w:r>
              <w:rPr>
                <w:b/>
                <w:i/>
                <w:vertAlign w:val="superscript"/>
              </w:rPr>
              <w:t>23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23</w:t>
            </w:r>
            <w:r>
              <w:t xml:space="preserve"> </w:t>
            </w:r>
            <w:r>
              <w:rPr>
                <w:b/>
                <w:i/>
              </w:rPr>
              <w:t>Úř. věst. C 125, 5.4.2023, s. 80.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91</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15. září 2022 o stavu základních práv v Evropské unii v roce 2020 a 2021</w:t>
            </w:r>
            <w:r>
              <w:rPr>
                <w:b/>
                <w:i/>
                <w:vertAlign w:val="superscript"/>
              </w:rPr>
              <w:t>23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23</w:t>
            </w:r>
            <w:r>
              <w:t xml:space="preserve"> </w:t>
            </w:r>
            <w:r>
              <w:rPr>
                <w:b/>
                <w:i/>
              </w:rPr>
              <w:t>Úř. věst. C 125, 5.4.2023, s. 80.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92</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34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15. září 2022 o návrhu rozhodnutí Rady, kterým se podle čl. 7 odst. 1 Smlouvy o Evropské unii stanovuje, že existuje zřejmé nebezpečí, že Maďarsko závažně poruší hodnoty, na nichž je Evropská unie založena,</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93</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20. října 2022 o právním státě na Maltě pět let po vraždě Daphne Caruanové Galiziové</w:t>
            </w:r>
            <w:r>
              <w:rPr>
                <w:b/>
                <w:i/>
                <w:vertAlign w:val="superscript"/>
              </w:rPr>
              <w:t>24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24</w:t>
            </w:r>
            <w:r>
              <w:t xml:space="preserve"> </w:t>
            </w:r>
            <w:r>
              <w:rPr>
                <w:b/>
                <w:i/>
              </w:rPr>
              <w:t>Úř. věst. C 149, 28.4.2023, s. 15.</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94</w:t>
      </w:r>
      <w:r>
        <w:rPr>
          <w:rStyle w:val="HideTWBExt"/>
        </w:rPr>
        <w:t>&lt;/NumAm&gt;</w:t>
      </w:r>
    </w:p>
    <w:p w:rsidR="00B92CCE" w:rsidRDefault="00B92CCE" w:rsidP="00B92CCE">
      <w:pPr>
        <w:pStyle w:val="NormalBold"/>
      </w:pPr>
      <w:r>
        <w:rPr>
          <w:rStyle w:val="HideTWBExt"/>
        </w:rPr>
        <w:t>&lt;RepeatBlock-By&gt;&lt;Members&gt;</w:t>
      </w:r>
      <w:r>
        <w:t>Emmanouil Fragkos, Geadis Geadi, Galato Alexandraki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20. října 2022 o rostoucím počtu trestných činů z nenávisti namířených proti osobám LGBTIQ+ v celé Evropě s ohledem na nedávnou homofobní vraždu na Slovensku</w:t>
            </w:r>
            <w:r>
              <w:rPr>
                <w:b/>
                <w:i/>
                <w:vertAlign w:val="superscript"/>
              </w:rPr>
              <w:t>25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25</w:t>
            </w:r>
            <w:r>
              <w:t xml:space="preserve"> </w:t>
            </w:r>
            <w:r>
              <w:rPr>
                <w:b/>
                <w:i/>
              </w:rPr>
              <w:t>Úř. věst. C 149, 28.4.2023, s. 22.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{EL}</w:t>
      </w:r>
      <w:r>
        <w:t>el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95</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20. října 2022 o rostoucím počtu trestných činů z nenávisti namířených proti osobám LGBTIQ+ v celé Evropě s ohledem na nedávnou homofobní vraždu na Slovensku</w:t>
            </w:r>
            <w:r>
              <w:rPr>
                <w:b/>
                <w:i/>
                <w:vertAlign w:val="superscript"/>
              </w:rPr>
              <w:t>25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25</w:t>
            </w:r>
            <w:r>
              <w:t xml:space="preserve"> </w:t>
            </w:r>
            <w:r>
              <w:rPr>
                <w:b/>
                <w:i/>
              </w:rPr>
              <w:t>Úř. věst. C 149, 28.4.2023, s. 22.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96</w:t>
      </w:r>
      <w:r>
        <w:rPr>
          <w:rStyle w:val="HideTWBExt"/>
        </w:rPr>
        <w:t>&lt;/NumAm&gt;</w:t>
      </w:r>
    </w:p>
    <w:p w:rsidR="00B92CCE" w:rsidRDefault="00B92CCE" w:rsidP="00B92CCE">
      <w:pPr>
        <w:pStyle w:val="NormalBold"/>
      </w:pPr>
      <w:r>
        <w:rPr>
          <w:rStyle w:val="HideTWBExt"/>
        </w:rPr>
        <w:t>&lt;RepeatBlock-By&gt;&lt;Members&gt;</w:t>
      </w:r>
      <w:r>
        <w:t>Paolo Inselvini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20. října 2022 o rostoucím počtu trestných činů z nenávisti namířených proti osobám LGBTIQ+ v celé Evropě s ohledem na nedávnou homofobní vraždu na Slovensku</w:t>
            </w:r>
            <w:r>
              <w:rPr>
                <w:b/>
                <w:i/>
                <w:vertAlign w:val="superscript"/>
              </w:rPr>
              <w:t>25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25</w:t>
            </w:r>
            <w:r>
              <w:t xml:space="preserve"> </w:t>
            </w:r>
            <w:r>
              <w:rPr>
                <w:b/>
                <w:i/>
              </w:rPr>
              <w:t>Úř. věst. C 149, 28.4.2023, s. 22.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{IT}</w:t>
      </w:r>
      <w:r>
        <w:t>it</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97</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20. října 2022 o rostoucím počtu trestných činů z nenávisti namířených proti osobám LGBTIQ+ v celé Evropě s ohledem na nedávnou homofobní vraždu na Slovensku</w:t>
            </w:r>
            <w:r>
              <w:rPr>
                <w:b/>
                <w:i/>
                <w:vertAlign w:val="superscript"/>
              </w:rPr>
              <w:t>25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25</w:t>
            </w:r>
            <w:r>
              <w:t xml:space="preserve"> </w:t>
            </w:r>
            <w:r>
              <w:rPr>
                <w:b/>
                <w:i/>
              </w:rPr>
              <w:t>Úř. věst. C 149, 28.4.2023, s. 22.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listopadu 2022 o rasové spravedlnosti, nediskriminaci a boji proti rasismu v EU</w:t>
            </w:r>
            <w:r>
              <w:rPr>
                <w:b/>
                <w:i/>
                <w:vertAlign w:val="superscript"/>
              </w:rPr>
              <w:t>26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26</w:t>
            </w:r>
            <w:r>
              <w:t xml:space="preserve"> </w:t>
            </w:r>
            <w:r>
              <w:rPr>
                <w:b/>
                <w:i/>
              </w:rPr>
              <w:t>Úř. věst. C 161, 5.5.2023, s. 10.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99</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10. listopadu 2022 o rasové spravedlnosti, nediskriminaci a boji proti rasismu v EU</w:t>
            </w:r>
            <w:r>
              <w:rPr>
                <w:b/>
                <w:i/>
                <w:vertAlign w:val="superscript"/>
              </w:rPr>
              <w:t>26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26</w:t>
            </w:r>
            <w:r>
              <w:t xml:space="preserve"> </w:t>
            </w:r>
            <w:r>
              <w:rPr>
                <w:b/>
                <w:i/>
              </w:rPr>
              <w:t>Úř. věst. C 161, 5.5.2023, s. 10.</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100</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listopadu 2022 o posouzení dodržování podmínek v oblasti právního státu podle nařízení o podmíněnosti ze strany Maďarska a aktuálním stavu maďarského plánu pro oživení a odolnost</w:t>
            </w:r>
            <w:r>
              <w:rPr>
                <w:b/>
                <w:i/>
                <w:vertAlign w:val="superscript"/>
              </w:rPr>
              <w:t>27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27</w:t>
            </w:r>
            <w:r>
              <w:t xml:space="preserve"> </w:t>
            </w:r>
            <w:r>
              <w:rPr>
                <w:b/>
                <w:i/>
              </w:rPr>
              <w:t>Úř. věst. C 167, 11.5.2023, s. 74.</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101</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listopadu 2022 o posouzení dodržování podmínek v oblasti právního státu podle nařízení o podmíněnosti ze strany Maďarska a aktuálním stavu maďarského plánu pro oživení a odolnost</w:t>
            </w:r>
            <w:r>
              <w:rPr>
                <w:b/>
                <w:i/>
                <w:vertAlign w:val="superscript"/>
              </w:rPr>
              <w:t>27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27</w:t>
            </w:r>
            <w:r>
              <w:t xml:space="preserve"> </w:t>
            </w:r>
            <w:r>
              <w:rPr>
                <w:b/>
                <w:i/>
              </w:rPr>
              <w:t>Úř. věst. C 167, 11.5.2023, s. 74.</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102</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listopadu 2022 o posouzení dodržování podmínek v oblasti právního státu podle nařízení o podmíněnosti ze strany Maďarska a aktuálním stavu maďarského plánu pro oživení a odolnost</w:t>
            </w:r>
            <w:r>
              <w:rPr>
                <w:b/>
                <w:i/>
                <w:vertAlign w:val="superscript"/>
              </w:rPr>
              <w:t>27</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27</w:t>
            </w:r>
            <w:r>
              <w:t xml:space="preserve"> </w:t>
            </w:r>
            <w:r>
              <w:rPr>
                <w:b/>
                <w:i/>
              </w:rPr>
              <w:t>Úř. věst. C 167, 11.5.2023, s. 74.</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30. března 2023 o zprávě o právním státu 2022 – stavu právního státu v Evropské unii</w:t>
            </w:r>
            <w:r>
              <w:rPr>
                <w:b/>
                <w:i/>
                <w:vertAlign w:val="superscript"/>
              </w:rPr>
              <w:t>28</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28</w:t>
            </w:r>
            <w:r>
              <w:t xml:space="preserve"> </w:t>
            </w:r>
            <w:r>
              <w:rPr>
                <w:b/>
                <w:i/>
              </w:rPr>
              <w:t>Úř. věst. C 341, 27.9.2023,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30. března 2023 o zprávě o právním státu 2022 – stavu právního státu v Evropské unii</w:t>
            </w:r>
            <w:r>
              <w:rPr>
                <w:b/>
                <w:i/>
                <w:vertAlign w:val="superscript"/>
              </w:rPr>
              <w:t>28</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28</w:t>
            </w:r>
            <w:r>
              <w:t xml:space="preserve"> </w:t>
            </w:r>
            <w:r>
              <w:rPr>
                <w:b/>
                <w:i/>
              </w:rPr>
              <w:t>Úř. věst. C 341, 27.9.2023,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105</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30. března 2023 o zprávě o právním státu 2022 – stavu právního státu v Evropské unii</w:t>
            </w:r>
            <w:r>
              <w:rPr>
                <w:b/>
                <w:i/>
                <w:vertAlign w:val="superscript"/>
              </w:rPr>
              <w:t>28</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28</w:t>
            </w:r>
            <w:r>
              <w:t xml:space="preserve"> </w:t>
            </w:r>
            <w:r>
              <w:rPr>
                <w:b/>
                <w:i/>
              </w:rPr>
              <w:t>Úř. věst. C 341, 27.9.2023, s. 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106</w:t>
      </w:r>
      <w:r>
        <w:rPr>
          <w:rStyle w:val="HideTWBExt"/>
        </w:rPr>
        <w:t>&lt;/NumAm&gt;</w:t>
      </w:r>
    </w:p>
    <w:p w:rsidR="00B92CCE" w:rsidRDefault="00B92CCE" w:rsidP="00B92CCE">
      <w:pPr>
        <w:pStyle w:val="NormalBold"/>
      </w:pPr>
      <w:r>
        <w:rPr>
          <w:rStyle w:val="HideTWBExt"/>
        </w:rPr>
        <w:t>&lt;RepeatBlock-By&gt;&lt;Members&gt;</w:t>
      </w:r>
      <w:r>
        <w:t>Loránt Vincze</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39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18. dubna 2023 o institucionálních vztazích mezi EU a Radou Evropy</w:t>
            </w:r>
            <w:r>
              <w:rPr>
                <w:b/>
                <w:i/>
                <w:vertAlign w:val="superscript"/>
              </w:rPr>
              <w:t>28a</w:t>
            </w:r>
            <w:r>
              <w:rPr>
                <w:b/>
                <w:i/>
              </w:rPr>
              <w:t>,</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vertAlign w:val="superscript"/>
              </w:rPr>
              <w:t>28a</w:t>
            </w:r>
            <w:r>
              <w:t xml:space="preserve"> </w:t>
            </w:r>
            <w:r>
              <w:rPr>
                <w:b/>
                <w:i/>
              </w:rPr>
              <w:t>Úř. věst. C, C/2023/442, 1.12.2023.</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107</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28. února 2024 o zprávě Komise o právním státu za rok 2023</w:t>
            </w:r>
            <w:r>
              <w:rPr>
                <w:b/>
                <w:i/>
                <w:vertAlign w:val="superscript"/>
              </w:rPr>
              <w:t>29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29</w:t>
            </w:r>
            <w:r>
              <w:t xml:space="preserve"> </w:t>
            </w:r>
            <w:r>
              <w:rPr>
                <w:b/>
                <w:i/>
              </w:rPr>
              <w:t>Úř. věst. C, C/2024/6743, 26.11.2024, ELI:</w:t>
            </w:r>
            <w:r>
              <w:t xml:space="preserve"> </w:t>
            </w:r>
            <w:r>
              <w:rPr>
                <w:b/>
                <w:i/>
              </w:rPr>
              <w:t>http://data.europa.eu/eli/C/2024/6743/oj.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28. února 2024 o zprávě Komise o právním státu za rok 2023</w:t>
            </w:r>
            <w:r>
              <w:rPr>
                <w:b/>
                <w:i/>
                <w:vertAlign w:val="superscript"/>
              </w:rPr>
              <w:t>29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29</w:t>
            </w:r>
            <w:r>
              <w:t xml:space="preserve"> </w:t>
            </w:r>
            <w:r>
              <w:rPr>
                <w:b/>
                <w:i/>
              </w:rPr>
              <w:t>Úř. věst. C, C/2024/6743, 26.11.2024, ELI:</w:t>
            </w:r>
            <w:r>
              <w:t xml:space="preserve"> </w:t>
            </w:r>
            <w:r>
              <w:rPr>
                <w:b/>
                <w:i/>
              </w:rPr>
              <w:t>http://data.europa.eu/eli/C/2024/6743/oj.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109</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28. února 2024 o zprávě Komise o právním státu za rok 2023</w:t>
            </w:r>
            <w:r>
              <w:rPr>
                <w:b/>
                <w:i/>
                <w:vertAlign w:val="superscript"/>
              </w:rPr>
              <w:t>29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29</w:t>
            </w:r>
            <w:r>
              <w:t xml:space="preserve"> </w:t>
            </w:r>
            <w:r>
              <w:rPr>
                <w:b/>
                <w:i/>
              </w:rPr>
              <w:t>Úř. věst. C, C/2024/6743, 26.11.2024, ELI:</w:t>
            </w:r>
            <w:r>
              <w:t xml:space="preserve"> </w:t>
            </w:r>
            <w:r>
              <w:rPr>
                <w:b/>
                <w:i/>
              </w:rPr>
              <w:t>http://data.europa.eu/eli/C/2024/6743/oj.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110</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28. února 2024 o zprávě Komise o právním státu za rok 2023</w:t>
            </w:r>
            <w:r>
              <w:rPr>
                <w:b/>
                <w:i/>
                <w:vertAlign w:val="superscript"/>
              </w:rPr>
              <w:t>29</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29</w:t>
            </w:r>
            <w:r>
              <w:t xml:space="preserve"> </w:t>
            </w:r>
            <w:r>
              <w:rPr>
                <w:b/>
                <w:i/>
              </w:rPr>
              <w:t>Úř. věst. C, C/2024/6743, 26.11.2024, ELI:</w:t>
            </w:r>
            <w:r>
              <w:t xml:space="preserve"> </w:t>
            </w:r>
            <w:r>
              <w:rPr>
                <w:b/>
                <w:i/>
              </w:rPr>
              <w:t>http://data.europa.eu/eli/C/2024/6743/oj.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111</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června 2023 o porušování zásad právního státu a základních práv v Maďarsku a o zmrazení finančních prostředků EU</w:t>
            </w:r>
            <w:r>
              <w:rPr>
                <w:b/>
                <w:i/>
                <w:vertAlign w:val="superscript"/>
              </w:rPr>
              <w:t>30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30</w:t>
            </w:r>
            <w:r>
              <w:t xml:space="preserve"> </w:t>
            </w:r>
            <w:r>
              <w:rPr>
                <w:b/>
                <w:i/>
              </w:rPr>
              <w:t>Úř. věst. C, C/2023/1223, 21.12.2023, ELI:</w:t>
            </w:r>
            <w:r>
              <w:t xml:space="preserve"> </w:t>
            </w:r>
            <w:r>
              <w:rPr>
                <w:b/>
                <w:i/>
              </w:rPr>
              <w:t>http://data.europa.eu/eli/C/2023/1223/oj.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112</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června 2023 o porušování zásad právního státu a základních práv v Maďarsku a o zmrazení finančních prostředků EU</w:t>
            </w:r>
            <w:r>
              <w:rPr>
                <w:b/>
                <w:i/>
                <w:vertAlign w:val="superscript"/>
              </w:rPr>
              <w:t>30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30</w:t>
            </w:r>
            <w:r>
              <w:t xml:space="preserve"> </w:t>
            </w:r>
            <w:r>
              <w:rPr>
                <w:b/>
                <w:i/>
              </w:rPr>
              <w:t>Úř. věst. C, C/2023/1223, 21.12.2023, ELI:</w:t>
            </w:r>
            <w:r>
              <w:t xml:space="preserve"> </w:t>
            </w:r>
            <w:r>
              <w:rPr>
                <w:b/>
                <w:i/>
              </w:rPr>
              <w:t>http://data.europa.eu/eli/C/2023/1223/oj.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113</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 června 2023 o porušování zásad právního státu a základních práv v Maďarsku a o zmrazení finančních prostředků EU</w:t>
            </w:r>
            <w:r>
              <w:rPr>
                <w:b/>
                <w:i/>
                <w:vertAlign w:val="superscript"/>
              </w:rPr>
              <w:t>30</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30</w:t>
            </w:r>
            <w:r>
              <w:t xml:space="preserve"> </w:t>
            </w:r>
            <w:r>
              <w:rPr>
                <w:b/>
                <w:i/>
              </w:rPr>
              <w:t>Úř. věst. C, C/2023/1223, 21.12.2023, ELI:</w:t>
            </w:r>
            <w:r>
              <w:t xml:space="preserve"> </w:t>
            </w:r>
            <w:r>
              <w:rPr>
                <w:b/>
                <w:i/>
              </w:rPr>
              <w:t>http://data.europa.eu/eli/C/2023/1223/oj.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b/>
                <w:i/>
                <w:vertAlign w:val="superscript"/>
              </w:rPr>
              <w:t>31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31</w:t>
            </w:r>
            <w:r>
              <w:t xml:space="preserve"> </w:t>
            </w:r>
            <w:r>
              <w:rPr>
                <w:b/>
                <w:i/>
              </w:rPr>
              <w:t>Úř. věst. C, C/2024/494, 23.1.2024, ELI:</w:t>
            </w:r>
            <w:r>
              <w:t xml:space="preserve"> </w:t>
            </w:r>
            <w:r>
              <w:rPr>
                <w:b/>
                <w:i/>
              </w:rPr>
              <w:t>http://data.europa.eu/eli/C/2024/494/oj.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115</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b/>
                <w:i/>
                <w:vertAlign w:val="superscript"/>
              </w:rPr>
              <w:t>31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31</w:t>
            </w:r>
            <w:r>
              <w:t xml:space="preserve"> </w:t>
            </w:r>
            <w:r>
              <w:rPr>
                <w:b/>
                <w:i/>
              </w:rPr>
              <w:t>Úř. věst. C, C/2024/494, 23.1.2024, ELI:</w:t>
            </w:r>
            <w:r>
              <w:t xml:space="preserve"> </w:t>
            </w:r>
            <w:r>
              <w:rPr>
                <w:b/>
                <w:i/>
              </w:rPr>
              <w:t>http://data.europa.eu/eli/C/2024/494/oj.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116</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b/>
                <w:i/>
                <w:vertAlign w:val="superscript"/>
              </w:rPr>
              <w:t>31</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31</w:t>
            </w:r>
            <w:r>
              <w:t xml:space="preserve"> </w:t>
            </w:r>
            <w:r>
              <w:rPr>
                <w:b/>
                <w:i/>
              </w:rPr>
              <w:t>Úř. věst. C, C/2024/494, 23.1.2024, ELI:</w:t>
            </w:r>
            <w:r>
              <w:t xml:space="preserve"> </w:t>
            </w:r>
            <w:r>
              <w:rPr>
                <w:b/>
                <w:i/>
              </w:rPr>
              <w:t>http://data.europa.eu/eli/C/2024/494/oj.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117</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11. července 2023 o volebním zákoně, komisi pro zkoumání ruských vlivů a právním státě v Polsku</w:t>
            </w:r>
            <w:r>
              <w:rPr>
                <w:b/>
                <w:i/>
                <w:vertAlign w:val="superscript"/>
              </w:rPr>
              <w:t>32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32</w:t>
            </w:r>
            <w:r>
              <w:t xml:space="preserve"> </w:t>
            </w:r>
            <w:r>
              <w:rPr>
                <w:b/>
                <w:i/>
              </w:rPr>
              <w:t>Úř. věst. C, C/2024/3995, 17.7.2024, ELI:</w:t>
            </w:r>
            <w:r>
              <w:t xml:space="preserve"> </w:t>
            </w:r>
            <w:r>
              <w:rPr>
                <w:b/>
                <w:i/>
              </w:rPr>
              <w:t>http://data.europa.eu/eli/C/2024/3995/oj.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11. července 2023 o volebním zákoně, komisi pro zkoumání ruských vlivů a právním státě v Polsku</w:t>
            </w:r>
            <w:r>
              <w:rPr>
                <w:b/>
                <w:i/>
                <w:vertAlign w:val="superscript"/>
              </w:rPr>
              <w:t>32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32</w:t>
            </w:r>
            <w:r>
              <w:t xml:space="preserve"> </w:t>
            </w:r>
            <w:r>
              <w:rPr>
                <w:b/>
                <w:i/>
              </w:rPr>
              <w:t>Úř. věst. C, C/2024/3995, 17.7.2024, ELI:</w:t>
            </w:r>
            <w:r>
              <w:t xml:space="preserve"> </w:t>
            </w:r>
            <w:r>
              <w:rPr>
                <w:b/>
                <w:i/>
              </w:rPr>
              <w:t>http://data.europa.eu/eli/C/2024/3995/oj.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119</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11. července 2023 o volebním zákoně, komisi pro zkoumání ruských vlivů a právním státě v Polsku</w:t>
            </w:r>
            <w:r>
              <w:rPr>
                <w:b/>
                <w:i/>
                <w:vertAlign w:val="superscript"/>
              </w:rPr>
              <w:t>32</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32</w:t>
            </w:r>
            <w:r>
              <w:t xml:space="preserve"> </w:t>
            </w:r>
            <w:r>
              <w:rPr>
                <w:b/>
                <w:i/>
              </w:rPr>
              <w:t>Úř. věst. C, C/2024/3995, 17.7.2024, ELI:</w:t>
            </w:r>
            <w:r>
              <w:t xml:space="preserve"> </w:t>
            </w:r>
            <w:r>
              <w:rPr>
                <w:b/>
                <w:i/>
              </w:rPr>
              <w:t>http://data.europa.eu/eli/C/2024/3995/oj.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120</w:t>
      </w:r>
      <w:r>
        <w:rPr>
          <w:rStyle w:val="HideTWBExt"/>
        </w:rPr>
        <w:t>&lt;/NumAm&gt;</w:t>
      </w:r>
    </w:p>
    <w:p w:rsidR="00B92CCE" w:rsidRDefault="00B92CCE" w:rsidP="00B92CCE">
      <w:pPr>
        <w:pStyle w:val="NormalBold"/>
      </w:pPr>
      <w:r>
        <w:rPr>
          <w:rStyle w:val="HideTWBExt"/>
        </w:rPr>
        <w:t>&lt;RepeatBlock-By&gt;&lt;Members&gt;</w:t>
      </w:r>
      <w:r>
        <w:t>Emma Rafowicz, Birgit Sippel, Chloé Ridel, Krzysztof Śmiszek, Hannes Heide</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43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stanovisko Commission nationale consultation des droits de l’homme k pozorování veřejného prostoru ze dne 20. června 2024</w:t>
            </w:r>
            <w:r>
              <w:rPr>
                <w:b/>
                <w:i/>
                <w:vertAlign w:val="superscript"/>
              </w:rPr>
              <w:t>1a</w:t>
            </w:r>
            <w:r>
              <w:rPr>
                <w:b/>
                <w:i/>
              </w:rPr>
              <w:t>,</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vertAlign w:val="superscript"/>
              </w:rPr>
              <w:t>1a</w:t>
            </w:r>
            <w:r>
              <w:t xml:space="preserve"> </w:t>
            </w:r>
            <w:r>
              <w:rPr>
                <w:b/>
                <w:i/>
              </w:rPr>
              <w:t>Commission nationale consultation des droits de l’homme, stanovisko k pozorování veřejného prostoru, 20. 6. 2024.</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121</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19. října 2023 o právním státě na Maltě:</w:t>
            </w:r>
            <w:r>
              <w:t xml:space="preserve"> </w:t>
            </w:r>
            <w:r>
              <w:rPr>
                <w:b/>
                <w:i/>
              </w:rPr>
              <w:t>šest let po vraždě Daphne Caruanové Galiziové a potřeba chránit novináře</w:t>
            </w:r>
            <w:r>
              <w:rPr>
                <w:b/>
                <w:i/>
                <w:vertAlign w:val="superscript"/>
              </w:rPr>
              <w:t>33</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33</w:t>
            </w:r>
            <w:r>
              <w:t xml:space="preserve"> </w:t>
            </w:r>
            <w:r>
              <w:rPr>
                <w:b/>
                <w:i/>
              </w:rPr>
              <w:t>Úř. věst. C, C/2024/2656, 29.4.2024, ELI:</w:t>
            </w:r>
            <w:r>
              <w:t xml:space="preserve"> </w:t>
            </w:r>
            <w:r>
              <w:rPr>
                <w:b/>
                <w:i/>
              </w:rPr>
              <w:t>http://data.europa.eu/eli/C/2024/2656/oj.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122</w:t>
      </w:r>
      <w:r>
        <w:rPr>
          <w:rStyle w:val="HideTWBExt"/>
        </w:rPr>
        <w:t>&lt;/NumAm&gt;</w:t>
      </w:r>
    </w:p>
    <w:p w:rsidR="00B92CCE" w:rsidRDefault="00B92CCE" w:rsidP="00B92CCE">
      <w:pPr>
        <w:pStyle w:val="NormalBold"/>
      </w:pPr>
      <w:r>
        <w:rPr>
          <w:rStyle w:val="HideTWBExt"/>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44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sdělení Komise ze dne 6. prosince 2023 nazvané „Není místo pro nenávist: Evropa je jednotná v boji proti nenávisti“ (COM(2023)0051),</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123</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18. ledna 2024 o stavu základních práv v Evropské unii – výroční zpráva za roky 2022 a 2023</w:t>
            </w:r>
            <w:r>
              <w:rPr>
                <w:b/>
                <w:i/>
                <w:vertAlign w:val="superscript"/>
              </w:rPr>
              <w:t>34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34</w:t>
            </w:r>
            <w:r>
              <w:t xml:space="preserve"> </w:t>
            </w:r>
            <w:r>
              <w:rPr>
                <w:b/>
                <w:i/>
              </w:rPr>
              <w:t>Úř. věst. C, C/2024/5739, 17.10.2024, ELI:</w:t>
            </w:r>
            <w:r>
              <w:t xml:space="preserve"> </w:t>
            </w:r>
            <w:r>
              <w:rPr>
                <w:b/>
                <w:i/>
              </w:rPr>
              <w:t>http://data.europa.eu/eli/C/2024/5739/oj.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124</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18. ledna 2024 o stavu základních práv v Evropské unii – výroční zpráva za roky 2022 a 2023</w:t>
            </w:r>
            <w:r>
              <w:rPr>
                <w:b/>
                <w:i/>
                <w:vertAlign w:val="superscript"/>
              </w:rPr>
              <w:t>34</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34</w:t>
            </w:r>
            <w:r>
              <w:t xml:space="preserve"> </w:t>
            </w:r>
            <w:r>
              <w:rPr>
                <w:b/>
                <w:i/>
              </w:rPr>
              <w:t>Úř. věst. C, C/2024/5739, 17.10.2024, ELI:</w:t>
            </w:r>
            <w:r>
              <w:t xml:space="preserve"> </w:t>
            </w:r>
            <w:r>
              <w:rPr>
                <w:b/>
                <w:i/>
              </w:rPr>
              <w:t>http://data.europa.eu/eli/C/2024/5739/oj.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125</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45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24. dubna 2024 o probíhajících slyšeních podle čl. 7 odst. 1 SEU týkajících se Maďarska s cílem posílit právní stát a jeho rozpočtové důsledky,</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126</w:t>
      </w:r>
      <w:r>
        <w:rPr>
          <w:rStyle w:val="HideTWBExt"/>
        </w:rPr>
        <w:t>&lt;/NumAm&gt;</w:t>
      </w:r>
    </w:p>
    <w:p w:rsidR="00B92CCE" w:rsidRDefault="00B92CCE" w:rsidP="00B92CCE">
      <w:pPr>
        <w:pStyle w:val="NormalBold"/>
      </w:pPr>
      <w:r>
        <w:rPr>
          <w:rStyle w:val="HideTWBExt"/>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45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své usnesení ze dne 18. ledna 2024 o rozšíření seznamu trestných činů EU o nenávistné verbální projevy a trestné činy z nenávisti,</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127</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rezoluci Parlamentního shromáždění Rady Evropy č. 2262 (2019) o podpoře práv příslušníků národnostních menšin,</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128</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doporučení a zprávy Úřadu pro demokratické instituce a lidská práva, Vysokého komisaře pro národnostní menšiny, zástupce pro svobodu sdělovacích prostředků a dalších orgánů Organizace pro bezpečnost a spolupráci v Evropě (OBSE), na spolupráci mezi EU a OBSE v oblasti demokratizace, budování institucí a lidských práv a na výroční zprávu OBSE o trestných činech z nenávisti, v níž se zúčastněné státy zavázaly, že s cílem předcházet trestným činům z nenávisti, vyšetřovat je a stíhat schválí právní předpisy, v nichž stanoví sankce zohledňující závažnost trestných činů z nenávisti, přijmou opatření k řešení jejich nedostatečného oznamování a zahájí nebo budou dále rozvíjet činnost v oblasti budování kapacit donucovacích orgánů, státních zastupitelství a soudních úředníků,</w:t>
            </w:r>
          </w:p>
        </w:tc>
        <w:tc>
          <w:tcPr>
            <w:tcW w:w="4876" w:type="dxa"/>
            <w:tcBorders>
              <w:top w:val="nil"/>
              <w:left w:val="nil"/>
              <w:bottom w:val="nil"/>
              <w:right w:val="nil"/>
            </w:tcBorders>
          </w:tcPr>
          <w:p w:rsidR="00B92CCE" w:rsidRDefault="00B92CCE" w:rsidP="00215104">
            <w:pPr>
              <w:pStyle w:val="Normal6a"/>
            </w:pPr>
            <w:r>
              <w:rPr>
                <w:b/>
                <w:i/>
              </w:rPr>
              <w:t>vypouští se</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129</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zprávu vyšetřovacího výboru PEGA a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b/>
                <w:i/>
                <w:vertAlign w:val="superscript"/>
              </w:rPr>
              <w:t>35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35</w:t>
            </w:r>
            <w:r>
              <w:t xml:space="preserve"> </w:t>
            </w:r>
            <w:r>
              <w:rPr>
                <w:b/>
                <w:i/>
              </w:rPr>
              <w:t>Úř. věst. C, C/2024/494, 23.1.2024, ELI:</w:t>
            </w:r>
            <w:r>
              <w:t xml:space="preserve"> </w:t>
            </w:r>
            <w:r>
              <w:rPr>
                <w:b/>
                <w:i/>
              </w:rPr>
              <w:t>http://data.europa.eu/eli/C/2024/494/oj.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130</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zprávu vyšetřovacího výboru PEGA a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b/>
                <w:i/>
                <w:vertAlign w:val="superscript"/>
              </w:rPr>
              <w:t>35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35</w:t>
            </w:r>
            <w:r>
              <w:t xml:space="preserve"> </w:t>
            </w:r>
            <w:r>
              <w:rPr>
                <w:b/>
                <w:i/>
              </w:rPr>
              <w:t>Úř. věst. C, C/2024/494, 23.1.2024, ELI:</w:t>
            </w:r>
            <w:r>
              <w:t xml:space="preserve"> </w:t>
            </w:r>
            <w:r>
              <w:rPr>
                <w:b/>
                <w:i/>
              </w:rPr>
              <w:t>http://data.europa.eu/eli/C/2024/494/oj.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131</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zprávu vyšetřovacího výboru PEGA a na své doporučení ze dne 15. června 2023 Radě a Komisi v návaznosti na vyšetřování údajných porušení a správních pochybení v oblasti provádění právních předpisů Unie týkajících se používání špionážního softwaru Pegasus a ekvivalentního špionážního softwaru</w:t>
            </w:r>
            <w:r>
              <w:rPr>
                <w:b/>
                <w:i/>
                <w:vertAlign w:val="superscript"/>
              </w:rPr>
              <w:t>35</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35</w:t>
            </w:r>
            <w:r>
              <w:t xml:space="preserve"> </w:t>
            </w:r>
            <w:r>
              <w:rPr>
                <w:b/>
                <w:i/>
              </w:rPr>
              <w:t>Úř. věst. C, C/2024/494, 23.1.2024, ELI:</w:t>
            </w:r>
            <w:r>
              <w:t xml:space="preserve"> </w:t>
            </w:r>
            <w:r>
              <w:rPr>
                <w:b/>
                <w:i/>
              </w:rPr>
              <w:t>http://data.europa.eu/eli/C/2024/494/oj.</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132</w:t>
      </w:r>
      <w:r>
        <w:rPr>
          <w:rStyle w:val="HideTWBExt"/>
        </w:rPr>
        <w:t>&lt;/NumAm&gt;</w:t>
      </w:r>
    </w:p>
    <w:p w:rsidR="00B92CCE" w:rsidRDefault="00B92CCE" w:rsidP="00B92CCE">
      <w:pPr>
        <w:pStyle w:val="NormalBold"/>
      </w:pPr>
      <w:r>
        <w:rPr>
          <w:rStyle w:val="HideTWBExt"/>
        </w:rPr>
        <w:t>&lt;RepeatBlock-By&gt;&lt;Members&gt;</w:t>
      </w:r>
      <w:r>
        <w:t>Sebastian Tynkkynen</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48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průzkum Agentury Evropské unie pro základní práva o antisemitismu, který zažili Židé</w:t>
            </w:r>
            <w:r>
              <w:rPr>
                <w:b/>
                <w:i/>
                <w:vertAlign w:val="superscript"/>
              </w:rPr>
              <w:t>35a</w:t>
            </w:r>
            <w:r>
              <w:rPr>
                <w:b/>
                <w:i/>
              </w:rPr>
              <w:t>,</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35a.</w:t>
            </w:r>
            <w:r>
              <w:t xml:space="preserve"> </w:t>
            </w:r>
            <w:r>
              <w:rPr>
                <w:b/>
                <w:i/>
              </w:rPr>
              <w:t>Jewish People’s Experiences and Perceptions of Antisemitism – EU Survey of Jewish People, 11. července 2024, https://fra.europa.eu/en/publication/2024/experiences-and-perceptions-antisemitism-third-survey.</w:t>
            </w:r>
          </w:p>
        </w:tc>
      </w:tr>
    </w:tbl>
    <w:p w:rsidR="00B92CCE" w:rsidRDefault="00B92CCE" w:rsidP="00B92CCE">
      <w:pPr>
        <w:pStyle w:val="AmOrLang"/>
      </w:pPr>
      <w:r>
        <w:t xml:space="preserve">Or. </w:t>
      </w:r>
      <w:r>
        <w:rPr>
          <w:rStyle w:val="HideTWBExt"/>
        </w:rPr>
        <w:t>&lt;Original&gt;</w:t>
      </w:r>
      <w:r>
        <w:rPr>
          <w:rStyle w:val="HideTWBInt"/>
        </w:rPr>
        <w:t>{FI}</w:t>
      </w:r>
      <w:r>
        <w:t>fi</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zprávy se zpětnou vazbou, zprávy z misí, otázky k písemnému zodpovězení a odpovědi své skupiny pro sledování stavu demokracie, právního státu a dodržování základních práv (DRFMG)</w:t>
            </w:r>
            <w:r>
              <w:rPr>
                <w:b/>
                <w:i/>
                <w:vertAlign w:val="superscript"/>
              </w:rPr>
              <w:t>36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36</w:t>
            </w:r>
            <w:r>
              <w:t xml:space="preserve"> </w:t>
            </w:r>
            <w:r>
              <w:rPr>
                <w:b/>
                <w:i/>
              </w:rPr>
              <w:t>Informace o veškeré kontrolní činnosti skupiny DRFMG jsou k dispozici zde:</w:t>
            </w:r>
            <w:r>
              <w:t xml:space="preserve"> </w:t>
            </w:r>
            <w:r>
              <w:rPr>
                <w:b/>
                <w:i/>
              </w:rPr>
              <w:t>https://www.europarl.europa.eu/committees/cs/libe-democracy-rule-of-law-and-fundament/product-details/20190103CDT02662.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134</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zprávy se zpětnou vazbou, zprávy z misí, otázky k písemnému zodpovězení a odpovědi své skupiny pro sledování stavu demokracie, právního státu a dodržování základních práv (DRFMG)</w:t>
            </w:r>
            <w:r>
              <w:rPr>
                <w:b/>
                <w:i/>
                <w:vertAlign w:val="superscript"/>
              </w:rPr>
              <w:t>36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36</w:t>
            </w:r>
            <w:r>
              <w:t xml:space="preserve"> </w:t>
            </w:r>
            <w:r>
              <w:rPr>
                <w:b/>
                <w:i/>
              </w:rPr>
              <w:t>Informace o veškeré kontrolní činnosti skupiny DRFMG jsou k dispozici zde:</w:t>
            </w:r>
            <w:r>
              <w:t xml:space="preserve"> </w:t>
            </w:r>
            <w:r>
              <w:rPr>
                <w:b/>
                <w:i/>
              </w:rPr>
              <w:t>https://www.europarl.europa.eu/committees/cs/libe-democracy-rule-of-law-and-fundament/product-details/20190103CDT02662.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135</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w:t>
            </w:r>
            <w:r>
              <w:tab/>
            </w:r>
            <w:r>
              <w:rPr>
                <w:b/>
                <w:i/>
              </w:rPr>
              <w:t>s ohledem na zprávy se zpětnou vazbou, zprávy z misí, otázky k písemnému zodpovězení a odpovědi své skupiny pro sledování stavu demokracie, právního státu a dodržování základních práv (DRFMG)</w:t>
            </w:r>
            <w:r>
              <w:rPr>
                <w:b/>
                <w:i/>
                <w:vertAlign w:val="superscript"/>
              </w:rPr>
              <w:t>36</w:t>
            </w:r>
            <w:r>
              <w:rPr>
                <w:b/>
                <w:i/>
              </w:rPr>
              <w:t>,</w:t>
            </w:r>
          </w:p>
        </w:tc>
        <w:tc>
          <w:tcPr>
            <w:tcW w:w="4876" w:type="dxa"/>
            <w:tcBorders>
              <w:top w:val="nil"/>
              <w:left w:val="nil"/>
              <w:bottom w:val="nil"/>
              <w:right w:val="nil"/>
            </w:tcBorders>
          </w:tcPr>
          <w:p w:rsidR="00B92CCE" w:rsidRDefault="00B92CCE" w:rsidP="00215104">
            <w:pPr>
              <w:pStyle w:val="Normal6a"/>
            </w:pPr>
            <w:r>
              <w:rPr>
                <w:b/>
                <w:i/>
              </w:rPr>
              <w:t>vypouští se</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rPr>
              <w:t>_________________</w:t>
            </w:r>
          </w:p>
        </w:tc>
        <w:tc>
          <w:tcPr>
            <w:tcW w:w="4876" w:type="dxa"/>
            <w:tcBorders>
              <w:top w:val="nil"/>
              <w:left w:val="nil"/>
              <w:bottom w:val="nil"/>
              <w:right w:val="nil"/>
            </w:tcBorders>
          </w:tcPr>
          <w:p w:rsidR="00B92CCE" w:rsidRDefault="00B92CCE" w:rsidP="00215104"/>
        </w:tc>
      </w:tr>
      <w:tr w:rsidR="00B92CCE" w:rsidTr="00215104">
        <w:trPr>
          <w:jc w:val="center"/>
        </w:trPr>
        <w:tc>
          <w:tcPr>
            <w:tcW w:w="4876" w:type="dxa"/>
            <w:tcBorders>
              <w:top w:val="nil"/>
              <w:left w:val="nil"/>
              <w:bottom w:val="nil"/>
              <w:right w:val="nil"/>
            </w:tcBorders>
          </w:tcPr>
          <w:p w:rsidR="00B92CCE" w:rsidRDefault="00B92CCE" w:rsidP="00215104">
            <w:pPr>
              <w:pStyle w:val="Normal6a"/>
            </w:pPr>
            <w:r>
              <w:rPr>
                <w:b/>
                <w:i/>
                <w:vertAlign w:val="superscript"/>
              </w:rPr>
              <w:t>36</w:t>
            </w:r>
            <w:r>
              <w:t xml:space="preserve"> </w:t>
            </w:r>
            <w:r>
              <w:rPr>
                <w:b/>
                <w:i/>
              </w:rPr>
              <w:t>Informace o veškeré kontrolní činnosti skupiny DRFMG jsou k dispozici zde:</w:t>
            </w:r>
            <w:r>
              <w:t xml:space="preserve"> </w:t>
            </w:r>
            <w:r>
              <w:rPr>
                <w:b/>
                <w:i/>
              </w:rPr>
              <w:t>https://www.europarl.europa.eu/committees/cs/libe-democracy-rule-of-law-and-fundament/product-details/20190103CDT02662.</w:t>
            </w:r>
          </w:p>
        </w:tc>
        <w:tc>
          <w:tcPr>
            <w:tcW w:w="4876" w:type="dxa"/>
            <w:tcBorders>
              <w:top w:val="nil"/>
              <w:left w:val="nil"/>
              <w:bottom w:val="nil"/>
              <w:right w:val="nil"/>
            </w:tcBorders>
          </w:tcPr>
          <w:p w:rsidR="00B92CCE" w:rsidRDefault="00B92CCE" w:rsidP="00215104"/>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136</w:t>
      </w:r>
      <w:r>
        <w:rPr>
          <w:rStyle w:val="HideTWBExt"/>
        </w:rPr>
        <w:t>&lt;/NumAm&gt;</w:t>
      </w:r>
    </w:p>
    <w:p w:rsidR="00B92CCE" w:rsidRDefault="00B92CCE" w:rsidP="00B92CCE">
      <w:pPr>
        <w:pStyle w:val="NormalBold"/>
      </w:pPr>
      <w:r>
        <w:rPr>
          <w:rStyle w:val="HideTWBExt"/>
        </w:rPr>
        <w:t>&lt;RepeatBlock-By&gt;&lt;Members&gt;</w:t>
      </w:r>
      <w:r>
        <w:t>Tomas Tobé, Mika Aaltola, Pekka Toveri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49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společný dopis vypracovaný na společné schůzi vlád Finska a Švédska ve Stockholmu dne 16. září 2024 o komplexním přístupu k posílení politiky a nástrojů v oblasti právního státu,</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137</w:t>
      </w:r>
      <w:r>
        <w:rPr>
          <w:rStyle w:val="HideTWBExt"/>
        </w:rPr>
        <w:t>&lt;/NumAm&gt;</w:t>
      </w:r>
    </w:p>
    <w:p w:rsidR="00B92CCE" w:rsidRDefault="00B92CCE" w:rsidP="00B92CCE">
      <w:pPr>
        <w:pStyle w:val="NormalBold"/>
      </w:pPr>
      <w:r>
        <w:rPr>
          <w:rStyle w:val="HideTWBExt"/>
        </w:rPr>
        <w:t>&lt;RepeatBlock-By&gt;&lt;Members&gt;</w:t>
      </w:r>
      <w:r>
        <w:t>Moritz Körner, Hilde Vautmans, Nikola Minchev, Veronika Cifrová Ostrihoňová, Chloé Ridel, Abir Al-Sahlani, Fabienne Keller, Lucia Yar, Irena Joveva, Isabel Wiseler-Lima</w:t>
      </w:r>
      <w:r>
        <w:rPr>
          <w:rStyle w:val="HideTWBExt"/>
        </w:rPr>
        <w:t>&lt;/Members&gt;</w:t>
      </w:r>
    </w:p>
    <w:p w:rsidR="00B92CCE" w:rsidRDefault="00B92CCE" w:rsidP="00B92CCE">
      <w:r>
        <w:rPr>
          <w:rStyle w:val="HideTWBExt"/>
        </w:rPr>
        <w:t>&lt;AuNomDe&gt;</w:t>
      </w:r>
      <w:r>
        <w:rPr>
          <w:rStyle w:val="HideTWBInt"/>
        </w:rPr>
        <w:t>{LIBE}</w:t>
      </w:r>
      <w:r>
        <w:t>za Výbor pro občanské svobody, spravedlnost a vnitřní věci</w:t>
      </w:r>
      <w:r>
        <w:rPr>
          <w:rStyle w:val="HideTWBExt"/>
        </w:rPr>
        <w:t>&lt;/AuNomDe&gt;</w:t>
      </w:r>
    </w:p>
    <w:p w:rsidR="00B92CCE" w:rsidRDefault="00B92CCE" w:rsidP="00B92CCE">
      <w:pPr>
        <w:pStyle w:val="NormalBold"/>
      </w:pPr>
      <w:r>
        <w:rPr>
          <w:rStyle w:val="HideTWBExt"/>
        </w:rPr>
        <w:t>&lt;Members&gt;</w:t>
      </w:r>
      <w:r>
        <w:t>Sophie Wilmès</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52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nedávné zprávy Evropského účetního dvora o prosazování práva EU (zvláštní zpráva 28/2024), o zprávách Komise o právním státu (přezkum 2/2024) a o právním státu v EU (zvláštní zpráva 3/2024) a na jejich doporučení,</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138</w:t>
      </w:r>
      <w:r>
        <w:rPr>
          <w:rStyle w:val="HideTWBExt"/>
        </w:rPr>
        <w:t>&lt;/NumAm&gt;</w:t>
      </w:r>
    </w:p>
    <w:p w:rsidR="00B92CCE" w:rsidRDefault="00B92CCE" w:rsidP="00B92CCE">
      <w:pPr>
        <w:pStyle w:val="NormalBold"/>
      </w:pPr>
      <w:r>
        <w:rPr>
          <w:rStyle w:val="HideTWBExt"/>
        </w:rPr>
        <w:t>&lt;RepeatBlock-By&gt;&lt;Members&gt;</w:t>
      </w:r>
      <w:r>
        <w:t>Lukas Mandl</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52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politické směry pro příští Evropskou komisi na období 2024–2029, které dne 18. července 2024 předložila Evropskému parlamentu Ursula von der Leyenová, kandidátka na předsedkyni Komise,</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139</w:t>
      </w:r>
      <w:r>
        <w:rPr>
          <w:rStyle w:val="HideTWBExt"/>
        </w:rPr>
        <w:t>&lt;/NumAm&gt;</w:t>
      </w:r>
    </w:p>
    <w:p w:rsidR="00B92CCE" w:rsidRDefault="00B92CCE" w:rsidP="00B92CCE">
      <w:pPr>
        <w:pStyle w:val="NormalBold"/>
      </w:pPr>
      <w:r>
        <w:rPr>
          <w:rStyle w:val="HideTWBExt"/>
        </w:rPr>
        <w:t>&lt;RepeatBlock-By&gt;&lt;Members&gt;</w:t>
      </w:r>
      <w:r>
        <w:t>Moritz Körner, Hilde Vautmans, Nikola Minchev, Veronika Cifrová Ostrihoňová, Abir Al-Sahlani, Chloé Ridel, Fabienne Keller, Lucia Yar, Irena Joveva, Isabel Wiseler-Lima</w:t>
      </w:r>
      <w:r>
        <w:rPr>
          <w:rStyle w:val="HideTWBExt"/>
        </w:rPr>
        <w:t>&lt;/Members&gt;</w:t>
      </w:r>
    </w:p>
    <w:p w:rsidR="00B92CCE" w:rsidRDefault="00B92CCE" w:rsidP="00B92CCE">
      <w:r>
        <w:rPr>
          <w:rStyle w:val="HideTWBExt"/>
        </w:rPr>
        <w:t>&lt;AuNomDe&gt;</w:t>
      </w:r>
      <w:r>
        <w:rPr>
          <w:rStyle w:val="HideTWBInt"/>
        </w:rPr>
        <w:t>{LIBE}</w:t>
      </w:r>
      <w:r>
        <w:t>za Výbor pro občanské svobody, spravedlnost a vnitřní věci</w:t>
      </w:r>
      <w:r>
        <w:rPr>
          <w:rStyle w:val="HideTWBExt"/>
        </w:rPr>
        <w:t>&lt;/AuNomDe&gt;</w:t>
      </w:r>
    </w:p>
    <w:p w:rsidR="00B92CCE" w:rsidRDefault="00B92CCE" w:rsidP="00B92CCE">
      <w:pPr>
        <w:pStyle w:val="NormalBold"/>
      </w:pPr>
      <w:r>
        <w:rPr>
          <w:rStyle w:val="HideTWBExt"/>
        </w:rPr>
        <w:t>&lt;Members&gt;</w:t>
      </w:r>
      <w:r>
        <w:t>Sophie Wilmès</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Právní východisko 52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w:t>
            </w:r>
            <w:r>
              <w:tab/>
            </w:r>
            <w:r>
              <w:rPr>
                <w:b/>
                <w:i/>
              </w:rPr>
              <w:t>s ohledem na průzkumy Eurobarometru z roku 2024 o korupci, které ukazují, že korupce zůstává pro občany a podniky v EU vážným problémem,</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140</w:t>
      </w:r>
      <w:r>
        <w:rPr>
          <w:rStyle w:val="HideTWBExt"/>
        </w:rPr>
        <w:t>&lt;/NumAm&gt;</w:t>
      </w:r>
    </w:p>
    <w:p w:rsidR="00B92CCE" w:rsidRDefault="00B92CCE" w:rsidP="00B92CCE">
      <w:pPr>
        <w:pStyle w:val="NormalBold"/>
      </w:pPr>
      <w:r>
        <w:rPr>
          <w:rStyle w:val="HideTWBExt"/>
        </w:rPr>
        <w:t>&lt;RepeatBlock-By&gt;&lt;Members&gt;</w:t>
      </w:r>
      <w:r>
        <w:t>Isabel Serra Sánchez, Ana Catarina Mendes</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A.</w:t>
            </w:r>
            <w:r>
              <w:tab/>
              <w:t>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w:t>
            </w:r>
          </w:p>
        </w:tc>
        <w:tc>
          <w:tcPr>
            <w:tcW w:w="4876" w:type="dxa"/>
            <w:tcBorders>
              <w:top w:val="nil"/>
              <w:left w:val="nil"/>
              <w:bottom w:val="nil"/>
              <w:right w:val="nil"/>
            </w:tcBorders>
          </w:tcPr>
          <w:p w:rsidR="00B92CCE" w:rsidRDefault="00B92CCE" w:rsidP="00215104">
            <w:pPr>
              <w:pStyle w:val="Normal6a"/>
            </w:pPr>
            <w:r>
              <w:t>A.</w:t>
            </w:r>
            <w:r>
              <w:tab/>
              <w:t>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w:t>
            </w:r>
            <w:r>
              <w:rPr>
                <w:b/>
                <w:i/>
              </w:rPr>
              <w:t>, a jsou vyjádřeny v Listině a zakotveny v mezinárodních smlouvách o lidských právech;</w:t>
            </w:r>
            <w:r>
              <w:t xml:space="preserve"> </w:t>
            </w:r>
            <w:r>
              <w:rPr>
                <w:b/>
                <w:i/>
              </w:rPr>
              <w:t>vzhledem k tomu, že Listina je součástí primárního práva EU;</w:t>
            </w:r>
            <w:r>
              <w:t xml:space="preserve"> </w:t>
            </w:r>
            <w:r>
              <w:rPr>
                <w:b/>
                <w:i/>
              </w:rPr>
              <w:t>vzhledem k tomu, že demokracie, právní stát a základní práva jsou vzájemně se posilujícími hodnotami, které v případě oslabení představují systémové ohrožení práv a svobod lidí žijících v EU</w:t>
            </w:r>
            <w:r>
              <w:t>;</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141</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A.</w:t>
            </w:r>
            <w:r>
              <w:tab/>
              <w:t>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w:t>
            </w:r>
          </w:p>
        </w:tc>
        <w:tc>
          <w:tcPr>
            <w:tcW w:w="4876" w:type="dxa"/>
            <w:tcBorders>
              <w:top w:val="nil"/>
              <w:left w:val="nil"/>
              <w:bottom w:val="nil"/>
              <w:right w:val="nil"/>
            </w:tcBorders>
          </w:tcPr>
          <w:p w:rsidR="00B92CCE" w:rsidRDefault="00B92CCE" w:rsidP="00215104">
            <w:pPr>
              <w:pStyle w:val="Normal6a"/>
            </w:pPr>
            <w:r>
              <w:t>A.</w:t>
            </w:r>
            <w:r>
              <w:tab/>
              <w:t>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w:t>
            </w:r>
            <w:r>
              <w:rPr>
                <w:b/>
                <w:i/>
              </w:rPr>
              <w:t> ve společnosti vyznačující se pluralismem, nepřípustností diskriminace, tolerancí, spravedlností, solidaritou a rovností žen a mužů</w:t>
            </w:r>
            <w:r>
              <w:t>;</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142</w:t>
      </w:r>
      <w:r>
        <w:rPr>
          <w:rStyle w:val="HideTWBExt"/>
        </w:rPr>
        <w:t>&lt;/NumAm&gt;</w:t>
      </w:r>
    </w:p>
    <w:p w:rsidR="00B92CCE" w:rsidRDefault="00B92CCE" w:rsidP="00B92CCE">
      <w:pPr>
        <w:pStyle w:val="NormalBold"/>
      </w:pPr>
      <w:r>
        <w:rPr>
          <w:rStyle w:val="HideTWBExt"/>
        </w:rPr>
        <w:t>&lt;RepeatBlock-By&gt;&lt;Members&gt;</w:t>
      </w:r>
      <w:r>
        <w:t>Erik Kaliňák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A.</w:t>
            </w:r>
            <w:r>
              <w:tab/>
              <w:t xml:space="preserve">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w:t>
            </w:r>
            <w:r>
              <w:rPr>
                <w:b/>
                <w:i/>
              </w:rPr>
              <w:t>všem</w:t>
            </w:r>
            <w:r>
              <w:t xml:space="preserve"> členským státům </w:t>
            </w:r>
            <w:r>
              <w:rPr>
                <w:b/>
                <w:i/>
              </w:rPr>
              <w:t>EU</w:t>
            </w:r>
            <w:r>
              <w:t>;</w:t>
            </w:r>
          </w:p>
        </w:tc>
        <w:tc>
          <w:tcPr>
            <w:tcW w:w="4876" w:type="dxa"/>
            <w:tcBorders>
              <w:top w:val="nil"/>
              <w:left w:val="nil"/>
              <w:bottom w:val="nil"/>
              <w:right w:val="nil"/>
            </w:tcBorders>
          </w:tcPr>
          <w:p w:rsidR="00B92CCE" w:rsidRDefault="00B92CCE" w:rsidP="00215104">
            <w:pPr>
              <w:pStyle w:val="Normal6a"/>
            </w:pPr>
            <w:r>
              <w:t>A.</w:t>
            </w:r>
            <w:r>
              <w:tab/>
              <w:t xml:space="preserve">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členským státům </w:t>
            </w:r>
            <w:r>
              <w:rPr>
                <w:b/>
                <w:i/>
              </w:rPr>
              <w:t>ve společnosti vyznačující se pluralismem, nepřípustností diskriminace, tolerancí, spravedlností, solidaritou a rovností žen a mužů</w:t>
            </w:r>
            <w:r>
              <w:t>;</w:t>
            </w:r>
          </w:p>
        </w:tc>
      </w:tr>
    </w:tbl>
    <w:p w:rsidR="00B92CCE" w:rsidRDefault="00B92CCE" w:rsidP="00B92CCE">
      <w:pPr>
        <w:pStyle w:val="AmOrLang"/>
      </w:pPr>
      <w:r>
        <w:t xml:space="preserve">Or. </w:t>
      </w:r>
      <w:r>
        <w:rPr>
          <w:rStyle w:val="HideTWBExt"/>
        </w:rPr>
        <w:t>&lt;Original&gt;</w:t>
      </w:r>
      <w:r>
        <w:rPr>
          <w:rStyle w:val="HideTWBInt"/>
        </w:rPr>
        <w:t>{SK}</w:t>
      </w:r>
      <w:r>
        <w:t>sk</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143</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A.</w:t>
            </w:r>
            <w:r>
              <w:tab/>
              <w:t>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w:t>
            </w:r>
          </w:p>
        </w:tc>
        <w:tc>
          <w:tcPr>
            <w:tcW w:w="4876" w:type="dxa"/>
            <w:tcBorders>
              <w:top w:val="nil"/>
              <w:left w:val="nil"/>
              <w:bottom w:val="nil"/>
              <w:right w:val="nil"/>
            </w:tcBorders>
          </w:tcPr>
          <w:p w:rsidR="00B92CCE" w:rsidRDefault="00B92CCE" w:rsidP="00215104">
            <w:pPr>
              <w:pStyle w:val="Normal6a"/>
            </w:pPr>
            <w:r>
              <w:t>A.</w:t>
            </w:r>
            <w:r>
              <w:tab/>
              <w:t xml:space="preserve">vzhledem k tomu, že Unie je založena na společných hodnotách úcty k lidské důstojnosti, svobody, demokracie, rovnosti, právního státu a dodržování lidských práv, včetně práv příslušníků menšin, které jsou zakotveny v článku 2 Smlouvy o EU, což jsou hodnoty společné všem členským státům EU; </w:t>
            </w:r>
            <w:r>
              <w:rPr>
                <w:b/>
                <w:i/>
              </w:rPr>
              <w:t>vzhledem k tomu, že orgány Unie musí rovněž dodržovat zásady právního státu při svém jednání;</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144</w:t>
      </w:r>
      <w:r>
        <w:rPr>
          <w:rStyle w:val="HideTWBExt"/>
        </w:rPr>
        <w:t>&lt;/NumAm&gt;</w:t>
      </w:r>
    </w:p>
    <w:p w:rsidR="00B92CCE" w:rsidRDefault="00B92CCE" w:rsidP="00B92CCE">
      <w:pPr>
        <w:pStyle w:val="NormalBold"/>
      </w:pPr>
      <w:r>
        <w:rPr>
          <w:rStyle w:val="HideTWBExt"/>
        </w:rPr>
        <w:t>&lt;RepeatBlock-By&gt;&lt;Members&gt;</w:t>
      </w:r>
      <w:r>
        <w:t>Klára Dobrev, Csaba Molnár, Birgit Sippel, Krzysztof Śmiszek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z článku 49 SEU, který umožňuje každému evropskému státu požádat o členství v Evropské unii, vyplývá, že Unie je složena ze států, které se svobodně a dobrovolně zavázaly k dodržování společných hodnot uvedených v článku 2 SEU, které tyto hodnoty respektují a zavazují se je podporovat;</w:t>
            </w:r>
            <w:r>
              <w:t xml:space="preserve"> </w:t>
            </w:r>
            <w:r>
              <w:rPr>
                <w:b/>
                <w:i/>
              </w:rPr>
              <w:t>vzhledem k tomu, že právo EU je tedy založeno na základním předpokladu, že každý členský stát sdílí tyto hodnoty se všemi ostatními členskými státy, a uznává, že tyto členské státy s ním sdílejí stejné hodnoty;</w:t>
            </w:r>
            <w:r>
              <w:t xml:space="preserve"> </w:t>
            </w:r>
            <w:r>
              <w:rPr>
                <w:b/>
                <w:i/>
              </w:rPr>
              <w:t>vzhledem k tomu, že tento předpoklad předpokládá a odůvodňuje existenci vzájemné důvěry mezi členskými státy v to, že tyto hodnoty budou uznány, a že tedy bude dodržováno právo EU, které je provádí</w:t>
            </w:r>
            <w:r>
              <w:rPr>
                <w:b/>
                <w:i/>
                <w:vertAlign w:val="superscript"/>
              </w:rPr>
              <w:t>1a2a</w:t>
            </w:r>
            <w:r>
              <w:rPr>
                <w:b/>
                <w:i/>
              </w:rPr>
              <w:t>;</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vertAlign w:val="superscript"/>
              </w:rPr>
              <w:t>1a</w:t>
            </w:r>
            <w:r>
              <w:t xml:space="preserve"> </w:t>
            </w:r>
            <w:r>
              <w:rPr>
                <w:b/>
                <w:i/>
              </w:rPr>
              <w:t>SDEU, posudek 2/13 ze dne 18. prosince 2014, ECLI:EU:C:2014:2454, bod 168.</w:t>
            </w:r>
          </w:p>
        </w:tc>
      </w:tr>
      <w:tr w:rsidR="00B92CCE" w:rsidTr="00215104">
        <w:trPr>
          <w:jc w:val="center"/>
        </w:trPr>
        <w:tc>
          <w:tcPr>
            <w:tcW w:w="4876" w:type="dxa"/>
            <w:tcBorders>
              <w:top w:val="nil"/>
              <w:left w:val="nil"/>
              <w:bottom w:val="nil"/>
              <w:right w:val="nil"/>
            </w:tcBorders>
          </w:tcPr>
          <w:p w:rsidR="00B92CCE" w:rsidRDefault="00B92CCE" w:rsidP="00215104"/>
        </w:tc>
        <w:tc>
          <w:tcPr>
            <w:tcW w:w="4876" w:type="dxa"/>
            <w:tcBorders>
              <w:top w:val="nil"/>
              <w:left w:val="nil"/>
              <w:bottom w:val="nil"/>
              <w:right w:val="nil"/>
            </w:tcBorders>
          </w:tcPr>
          <w:p w:rsidR="00B92CCE" w:rsidRDefault="00B92CCE" w:rsidP="00215104">
            <w:pPr>
              <w:pStyle w:val="Normal6a"/>
            </w:pPr>
            <w:r>
              <w:rPr>
                <w:b/>
                <w:i/>
                <w:vertAlign w:val="superscript"/>
              </w:rPr>
              <w:t>2a</w:t>
            </w:r>
            <w:r>
              <w:t xml:space="preserve"> </w:t>
            </w:r>
            <w:r>
              <w:rPr>
                <w:b/>
                <w:i/>
              </w:rPr>
              <w:t>SDEU, rozsudek ze dne 24. června 2019, věc C-619/18, Evropská komise v. Polská republika, ECLI:EU:C:2019:531, bod 42.</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145</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z článku 49 SEU, v němž je stanovena možnost každého evropského státu požádat o členství v Evropské unii, vyplývá, že se Unie skládá ze států, které se svobodně a dobrovolně zavázaly k dodržování společných hodnot uvedených v článku 2 SEU, které tyto hodnoty respektují a které se zavazují je prosazovat, neboť unijní právo je založeno na základním předpokladu, že každý členský stát sdílí se všemi ostatními členskými státy tytéž hodnoty, a uznává, že tak činí i ostatní členské státy;</w:t>
            </w:r>
            <w:r>
              <w:t xml:space="preserve"> </w:t>
            </w:r>
            <w:r>
              <w:rPr>
                <w:b/>
                <w:i/>
              </w:rPr>
              <w:t>vzhledem k tomu, že členský stát je povinen zajistit, aby se zabránilo jakémukoli zhoršení ochrany hodnot zakotvených v článku 2 SEU;</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146</w:t>
      </w:r>
      <w:r>
        <w:rPr>
          <w:rStyle w:val="HideTWBExt"/>
        </w:rPr>
        <w:t>&lt;/NumAm&gt;</w:t>
      </w:r>
    </w:p>
    <w:p w:rsidR="00B92CCE" w:rsidRDefault="00B92CCE" w:rsidP="00B92CCE">
      <w:pPr>
        <w:pStyle w:val="NormalBold"/>
      </w:pPr>
      <w:r>
        <w:rPr>
          <w:rStyle w:val="HideTWBExt"/>
        </w:rPr>
        <w:t>&lt;RepeatBlock-By&gt;&lt;Members&gt;</w:t>
      </w:r>
      <w:r>
        <w:t>Isabel Serra Sánchez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přístup k minulosti Evropy na základě hodnot zakotvených v článku 2 SEU má zásadní význam;</w:t>
            </w:r>
            <w:r>
              <w:t xml:space="preserve"> </w:t>
            </w:r>
            <w:r>
              <w:rPr>
                <w:b/>
                <w:i/>
              </w:rPr>
              <w:t>vzhledem k tomu, že historie nesmí být nikdy relativizována, zkreslována nebo falšována pro politické účely;</w:t>
            </w:r>
            <w:r>
              <w:t xml:space="preserve"> </w:t>
            </w:r>
            <w:r>
              <w:rPr>
                <w:b/>
                <w:i/>
              </w:rPr>
              <w:t>vzhledem k tomu, že případy zpronevěry a porušování zákonů o paměti ze strany členských států přispívají k popírání historie a zločinů spáchaných totalitními režimy, jejichž opakování je třeba zabránit;</w:t>
            </w:r>
            <w:r>
              <w:t xml:space="preserve"> </w:t>
            </w:r>
            <w:r>
              <w:rPr>
                <w:b/>
                <w:i/>
              </w:rPr>
              <w:t>vzhledem k tomu, že v posledních letech místní orgány v některých obcích ve Španělsku porušily španělský zákon o historické paměti;</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147</w:t>
      </w:r>
      <w:r>
        <w:rPr>
          <w:rStyle w:val="HideTWBExt"/>
        </w:rPr>
        <w:t>&lt;/NumAm&gt;</w:t>
      </w:r>
    </w:p>
    <w:p w:rsidR="00B92CCE" w:rsidRDefault="00B92CCE" w:rsidP="00B92CCE">
      <w:pPr>
        <w:pStyle w:val="NormalBold"/>
      </w:pPr>
      <w:r>
        <w:rPr>
          <w:rStyle w:val="HideTWBExt"/>
        </w:rPr>
        <w:t>&lt;RepeatBlock-By&gt;&lt;Members&gt;</w:t>
      </w:r>
      <w:r>
        <w:t>Michał Wawrykiewicz, Ana Catarina Mendes, Moritz Körner</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organizace občanské společnosti, právní společenství, sdružení, nezávislé sdělovací prostředky a hnutí na místní úrovni zůstávají základním kamenem právního státu tím, že podporují transparentnost, odpovědnost a účast občanů na demokratických procesech;</w:t>
            </w:r>
            <w:r>
              <w:t xml:space="preserve"> </w:t>
            </w:r>
            <w:r>
              <w:rPr>
                <w:b/>
                <w:i/>
              </w:rPr>
              <w:t>vzhledem k tomu, že tito aktéři přispívají k ochraně nezávislosti soudnictví, svobody projevu a dalších ústavních hodnot a často působí pod rostoucími politickými a právními omezeními;</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148</w:t>
      </w:r>
      <w:r>
        <w:rPr>
          <w:rStyle w:val="HideTWBExt"/>
        </w:rPr>
        <w:t>&lt;/NumAm&gt;</w:t>
      </w:r>
    </w:p>
    <w:p w:rsidR="00B92CCE" w:rsidRDefault="00B92CCE" w:rsidP="00B92CCE">
      <w:pPr>
        <w:pStyle w:val="NormalBold"/>
      </w:pPr>
      <w:r>
        <w:rPr>
          <w:rStyle w:val="HideTWBExt"/>
        </w:rPr>
        <w:t>&lt;RepeatBlock-By&gt;&lt;Members&gt;</w:t>
      </w:r>
      <w:r>
        <w:t>Marieke Ehlers, Jorge Buxadé Villalba, Tom Vandendriessche, Fabrice Leggeri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se Komise na jedné straně snaží vázat členské státy právem EU a hierarchicky staví Unii nad členské státy, zatímco na druhé straně usiluje o nahrazení tradičního obsahu právního státu vytvořením subjektivně pojatého souboru hodnot a zásad;</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149</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neexistuje žádná dohodnutá definice právního státu a jednotný systém pro posuzování dodržování zásad právního státu na úrovni EU, který by se stejným způsobem vztahoval na všechny členské státy s přihlédnutím k rozmanitosti ústavních systémů a tradic;</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150</w:t>
      </w:r>
      <w:r>
        <w:rPr>
          <w:rStyle w:val="HideTWBExt"/>
        </w:rPr>
        <w:t>&lt;/NumAm&gt;</w:t>
      </w:r>
    </w:p>
    <w:p w:rsidR="00B92CCE" w:rsidRDefault="00B92CCE" w:rsidP="00B92CCE">
      <w:pPr>
        <w:pStyle w:val="NormalBold"/>
      </w:pPr>
      <w:r>
        <w:rPr>
          <w:rStyle w:val="HideTWBExt"/>
        </w:rPr>
        <w:t>&lt;RepeatBlock-By&gt;&lt;Members&gt;</w:t>
      </w:r>
      <w:r>
        <w:t>Jorge Buxadé Villalba, Marieke Ehlers, Malika Sorel, Fabrice Leggeri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dělba moci, rovnost před zákonem, transparentnost a odpovědnost jsou klíčovými zásadami zdravé demokracie;</w:t>
            </w:r>
            <w:r>
              <w:t xml:space="preserve"> </w:t>
            </w:r>
            <w:r>
              <w:rPr>
                <w:b/>
                <w:i/>
              </w:rPr>
              <w:t>vzhledem k tomu, že orgány Unie podporují tyto zásady v souladu se Smlouvami;</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151</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vzhledem k tomu, že výroční zpráva o právním státu je nástrojem vytvořeným Komisí, který nemá ve Smlouvách žádný právní základ;</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152</w:t>
      </w:r>
      <w:r>
        <w:rPr>
          <w:rStyle w:val="HideTWBExt"/>
        </w:rPr>
        <w:t>&lt;/NumAm&gt;</w:t>
      </w:r>
    </w:p>
    <w:p w:rsidR="00B92CCE" w:rsidRDefault="00B92CCE" w:rsidP="00B92CCE">
      <w:pPr>
        <w:pStyle w:val="NormalBold"/>
      </w:pPr>
      <w:r>
        <w:rPr>
          <w:rStyle w:val="HideTWBExt"/>
        </w:rPr>
        <w:t>&lt;RepeatBlock-By&gt;&lt;Members&gt;</w:t>
      </w:r>
      <w:r>
        <w:t>Mary Khan, Christine Anderson, Milan Uhrík, Ewa Zajączkowska-Hernik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Aa.</w:t>
            </w:r>
            <w:r>
              <w:tab/>
            </w:r>
            <w:r>
              <w:rPr>
                <w:b/>
                <w:i/>
              </w:rPr>
              <w:t>že akt o digitálních službách je jasnou hrozbou pro svobodu projevu a svobodu projevu;</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153</w:t>
      </w:r>
      <w:r>
        <w:rPr>
          <w:rStyle w:val="HideTWBExt"/>
        </w:rPr>
        <w:t>&lt;/NumAm&gt;</w:t>
      </w:r>
    </w:p>
    <w:p w:rsidR="00B92CCE" w:rsidRDefault="00B92CCE" w:rsidP="00B92CCE">
      <w:pPr>
        <w:pStyle w:val="NormalBold"/>
      </w:pPr>
      <w:r>
        <w:rPr>
          <w:rStyle w:val="HideTWBExt"/>
        </w:rPr>
        <w:t>&lt;RepeatBlock-By&gt;&lt;Members&gt;</w:t>
      </w:r>
      <w:r>
        <w:t>Isabel Serra Sánchez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Ab.</w:t>
            </w:r>
            <w:r>
              <w:tab/>
            </w:r>
            <w:r>
              <w:rPr>
                <w:b/>
                <w:i/>
              </w:rPr>
              <w:t>vzhledem k tomu, že systematické krádeže dětí pod francouzskou diktaturou a v prvních letech demokracie, kdy byly tisíce novorozenců násilně odebrány z matek a nezákonně osvojeny, je zločinem, který zůstává do značné míry nepotrestán a vyžaduje spravedlnost, pravdu a odškodnění;</w:t>
            </w:r>
            <w:r>
              <w:t xml:space="preserve"> </w:t>
            </w:r>
            <w:r>
              <w:rPr>
                <w:b/>
                <w:i/>
              </w:rPr>
              <w:t>vzhledem k tomu, že přetrvávající beztrestnost a institucionální nečinnost při řešení těchto trestných činů představuje závažné porušení zásad právního státu, oslabuje přístup obětí k pravdě, spravedlnosti a odškodnění a zdůrazňuje potřebu plného souladu s evropskými hodnotami zakotvenými v článku 2 SEU a mezinárodními závazky v oblasti lidských práv;</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154</w:t>
      </w:r>
      <w:r>
        <w:rPr>
          <w:rStyle w:val="HideTWBExt"/>
        </w:rPr>
        <w:t>&lt;/NumAm&gt;</w:t>
      </w:r>
    </w:p>
    <w:p w:rsidR="00B92CCE" w:rsidRDefault="00B92CCE" w:rsidP="00B92CCE">
      <w:pPr>
        <w:pStyle w:val="NormalBold"/>
      </w:pPr>
      <w:r>
        <w:rPr>
          <w:rStyle w:val="HideTWBExt"/>
        </w:rPr>
        <w:t>&lt;RepeatBlock-By&gt;&lt;Members&gt;</w:t>
      </w:r>
      <w:r>
        <w:t>Daniel Freund</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Ab.</w:t>
            </w:r>
            <w:r>
              <w:tab/>
            </w:r>
            <w:r>
              <w:rPr>
                <w:b/>
                <w:i/>
              </w:rPr>
              <w:t>vzhledem k tomu, že zásada loajální spolupráce uvedená v čl. 4 odst. 3 SEU ukládá Unii a členským státům povinnost vzájemně se respektovat a pomáhat si při plnění závazků, které vyplývají ze Smluv, a členským státům ukládá povinnost učinit veškerá vhodná obecná nebo zvláštní opatření k plnění závazků, které vyplývají ze Smluv nebo z aktů orgánů Unie;</w:t>
            </w:r>
            <w:r>
              <w:t xml:space="preserve"> </w:t>
            </w:r>
            <w:r>
              <w:rPr>
                <w:b/>
                <w:i/>
              </w:rPr>
              <w:t>vzhledem k tomu, že členské státy by se měly zdržet jakýchkoli opatření, která by mohla ohrozit dosažení cílů Unie;</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155</w:t>
      </w:r>
      <w:r>
        <w:rPr>
          <w:rStyle w:val="HideTWBExt"/>
        </w:rPr>
        <w:t>&lt;/NumAm&gt;</w:t>
      </w:r>
    </w:p>
    <w:p w:rsidR="00B92CCE" w:rsidRDefault="00B92CCE" w:rsidP="00B92CCE">
      <w:pPr>
        <w:pStyle w:val="NormalBold"/>
      </w:pPr>
      <w:r>
        <w:rPr>
          <w:rStyle w:val="HideTWBExt"/>
        </w:rPr>
        <w:t>&lt;RepeatBlock-By&gt;&lt;Members&gt;</w:t>
      </w:r>
      <w:r>
        <w:t>Jorge Buxadé Villalba, Malika Sorel, Fabrice Leggeri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Ab.</w:t>
            </w:r>
            <w:r>
              <w:tab/>
            </w:r>
            <w:r>
              <w:rPr>
                <w:b/>
                <w:i/>
              </w:rPr>
              <w:t>vzhledem k tomu, že svoboda projevu a právo na informace postrádají v Unii odpovídající úroveň ochrany;</w:t>
            </w:r>
            <w:r>
              <w:t xml:space="preserve"> </w:t>
            </w:r>
            <w:r>
              <w:rPr>
                <w:b/>
                <w:i/>
              </w:rPr>
              <w:t>vzhledem k tomu, že koncentrace sdělovacích prostředků, nedostatečná transparentnost vlastnictví sdělovacích prostředků a veřejného financování, nedostatečná nezávislost redaktorů na obchodním a politickém vlivu a problémy s životaschopností představují riziko pro právo na informace;</w:t>
            </w:r>
            <w:r>
              <w:t xml:space="preserve"> </w:t>
            </w:r>
            <w:r>
              <w:rPr>
                <w:b/>
                <w:i/>
              </w:rPr>
              <w:t>vzhledem k tomu, že podpora zákonného moderování obsahu a ověřování faktů ze strany nezávislých sdružení představuje přímý útok na svobodu projevu;</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156</w:t>
      </w:r>
      <w:r>
        <w:rPr>
          <w:rStyle w:val="HideTWBExt"/>
        </w:rPr>
        <w:t>&lt;/NumAm&gt;</w:t>
      </w:r>
    </w:p>
    <w:p w:rsidR="00B92CCE" w:rsidRDefault="00B92CCE" w:rsidP="00B92CCE">
      <w:pPr>
        <w:pStyle w:val="NormalBold"/>
      </w:pPr>
      <w:r>
        <w:rPr>
          <w:rStyle w:val="HideTWBExt"/>
        </w:rPr>
        <w:t>&lt;RepeatBlock-By&gt;&lt;Members&gt;</w:t>
      </w:r>
      <w:r>
        <w:t>Marieke Ehlers, Jorge Buxadé Villalba, Tom Vandendriessche, Fabrice Leggeri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Ab.</w:t>
            </w:r>
            <w:r>
              <w:tab/>
            </w:r>
            <w:r>
              <w:rPr>
                <w:b/>
                <w:i/>
              </w:rPr>
              <w:t>vzhledem k tomu, že neexistuje společná evropská definice právního státu, neboť pojmy jako „právní stát“, „Rechtsstaatlichkeit“ a „l’etat de droit“ znamenají různé věci v souladu s různými právními tradicemi;</w:t>
            </w:r>
            <w:r>
              <w:t xml:space="preserve"> </w:t>
            </w:r>
            <w:r>
              <w:rPr>
                <w:b/>
                <w:i/>
              </w:rPr>
              <w:t>vzhledem k tomu, že snaha definovat právní stát bude na úkor stávajících, dlouhodobých právních tradic existujících v celé Evropě;</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157</w:t>
      </w:r>
      <w:r>
        <w:rPr>
          <w:rStyle w:val="HideTWBExt"/>
        </w:rPr>
        <w:t>&lt;/NumAm&gt;</w:t>
      </w:r>
    </w:p>
    <w:p w:rsidR="00B92CCE" w:rsidRDefault="00B92CCE" w:rsidP="00B92CCE">
      <w:pPr>
        <w:pStyle w:val="NormalBold"/>
      </w:pPr>
      <w:r>
        <w:rPr>
          <w:rStyle w:val="HideTWBExt"/>
        </w:rPr>
        <w:t>&lt;RepeatBlock-By&gt;&lt;Members&gt;</w:t>
      </w:r>
      <w:r>
        <w:t>Mary Khan, Christine Anderson, Milan Uhrík</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Ab.</w:t>
            </w:r>
            <w:r>
              <w:tab/>
            </w:r>
            <w:r>
              <w:rPr>
                <w:b/>
                <w:i/>
              </w:rPr>
              <w:t>vzhledem k tomu, že řada zahraničních miliardářů, jako jsou Bill Gates a George Soros, investuje miliony do sdělovacích prostředků v Německu, aby usměrňovala veřejné mínění;</w:t>
            </w:r>
            <w:r>
              <w:t xml:space="preserve"> </w:t>
            </w:r>
            <w:r>
              <w:rPr>
                <w:b/>
                <w:i/>
              </w:rPr>
              <w:t>vzhledem k tomu, že EU se k takovým zásahům nevyjadřuje, ale je odmítavá, pokud údajné vměšování pochází z konzervativních zdrojů, s nimiž nesouhlasí, jako je Elon Musk;</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158</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Ab.</w:t>
            </w:r>
            <w:r>
              <w:tab/>
            </w:r>
            <w:r>
              <w:rPr>
                <w:b/>
                <w:i/>
              </w:rPr>
              <w:t>vzhledem k tomu, že bez objektivního, spravedlivého, nestranného a fakticky podloženého přístupu je zpráva o právním státu nástrojem, který postrádá důvěryhodnost a nemůže být zohledněn v rámci žádného jiného mechanismu;</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159</w:t>
      </w:r>
      <w:r>
        <w:rPr>
          <w:rStyle w:val="HideTWBExt"/>
        </w:rPr>
        <w:t>&lt;/NumAm&gt;</w:t>
      </w:r>
    </w:p>
    <w:p w:rsidR="00B92CCE" w:rsidRDefault="00B92CCE" w:rsidP="00B92CCE">
      <w:pPr>
        <w:pStyle w:val="NormalBold"/>
      </w:pPr>
      <w:r>
        <w:rPr>
          <w:rStyle w:val="HideTWBExt"/>
        </w:rPr>
        <w:t>&lt;RepeatBlock-By&gt;&lt;Members&gt;</w:t>
      </w:r>
      <w:r>
        <w:t>Isabel Serra Sánchez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Ac.</w:t>
            </w:r>
            <w:r>
              <w:tab/>
            </w:r>
            <w:r>
              <w:rPr>
                <w:b/>
                <w:i/>
              </w:rPr>
              <w:t>vzhledem k tomu, že maďarská vláda neprovedla řadu rozsudků maďarského ústavního soudu, Soudního dvora Evropské unie a Evropského soudu pro lidská práva týkajících se porušování hodnot zakotvených v článku 2 SEU ze strany Maďarska a nereagovala na velkou většinu doporučení obsažených ve zprávách Komise o právním státu 2023 a 2024 ani na doporučení jiných mezinárodních orgánů, jako je GRECO, Benátská komise a další;</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160</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Ac.</w:t>
            </w:r>
            <w:r>
              <w:tab/>
            </w:r>
            <w:r>
              <w:rPr>
                <w:b/>
                <w:i/>
              </w:rPr>
              <w:t>vzhledem k tomu, že podle Smluv nemá Komise pravomoc vytvářet dodatečné mechanismy pro monitorování právního státu v členských státech;</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161</w:t>
      </w:r>
      <w:r>
        <w:rPr>
          <w:rStyle w:val="HideTWBExt"/>
        </w:rPr>
        <w:t>&lt;/NumAm&gt;</w:t>
      </w:r>
    </w:p>
    <w:p w:rsidR="00B92CCE" w:rsidRDefault="00B92CCE" w:rsidP="00B92CCE">
      <w:pPr>
        <w:pStyle w:val="NormalBold"/>
      </w:pPr>
      <w:r>
        <w:rPr>
          <w:rStyle w:val="HideTWBExt"/>
        </w:rPr>
        <w:t>&lt;RepeatBlock-By&gt;&lt;Members&gt;</w:t>
      </w:r>
      <w:r>
        <w:t>András László</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odůvodnění A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p>
        </w:tc>
        <w:tc>
          <w:tcPr>
            <w:tcW w:w="4876" w:type="dxa"/>
            <w:tcBorders>
              <w:top w:val="nil"/>
              <w:left w:val="nil"/>
              <w:bottom w:val="nil"/>
              <w:right w:val="nil"/>
            </w:tcBorders>
          </w:tcPr>
          <w:p w:rsidR="00B92CCE" w:rsidRDefault="00B92CCE" w:rsidP="00215104">
            <w:pPr>
              <w:pStyle w:val="Normal6a"/>
            </w:pPr>
            <w:r>
              <w:rPr>
                <w:b/>
                <w:i/>
              </w:rPr>
              <w:t>Ad.</w:t>
            </w:r>
            <w:r>
              <w:tab/>
            </w:r>
            <w:r>
              <w:rPr>
                <w:b/>
                <w:i/>
              </w:rPr>
              <w:t>vzhledem k tomu, že Komise při vypracovávání výroční zprávy o právním státu využívá příspěvky nevládních organizací financovaných ze zahraničí;</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162</w:t>
      </w:r>
      <w:r>
        <w:rPr>
          <w:rStyle w:val="HideTWBExt"/>
        </w:rPr>
        <w:t>&lt;/NumAm&gt;</w:t>
      </w:r>
    </w:p>
    <w:p w:rsidR="00B92CCE" w:rsidRDefault="00B92CCE" w:rsidP="00B92CCE">
      <w:pPr>
        <w:pStyle w:val="NormalBold"/>
      </w:pPr>
      <w:r>
        <w:rPr>
          <w:rStyle w:val="HideTWBExt"/>
        </w:rPr>
        <w:t>&lt;RepeatBlock-By&gt;&lt;Members&gt;</w:t>
      </w:r>
      <w:r>
        <w:t>Moritz Körner, Hilde Vautmans, Nikola Minchev, Veronika Cifrová Ostrihoňová, Chloé Ridel, Abir Al-Sahlani, Fabienne Keller, Lucia Yar, Irena Joveva, Isabel Wiseler-Lima</w:t>
      </w:r>
      <w:r>
        <w:rPr>
          <w:rStyle w:val="HideTWBExt"/>
        </w:rPr>
        <w:t>&lt;/Members&gt;</w:t>
      </w:r>
    </w:p>
    <w:p w:rsidR="00B92CCE" w:rsidRDefault="00B92CCE" w:rsidP="00B92CCE">
      <w:r>
        <w:rPr>
          <w:rStyle w:val="HideTWBExt"/>
        </w:rPr>
        <w:t>&lt;AuNomDe&gt;</w:t>
      </w:r>
      <w:r>
        <w:rPr>
          <w:rStyle w:val="HideTWBInt"/>
        </w:rPr>
        <w:t>{LIBE}</w:t>
      </w:r>
      <w:r>
        <w:t>za Výbor pro občanské svobody, spravedlnost a vnitřní věci</w:t>
      </w:r>
      <w:r>
        <w:rPr>
          <w:rStyle w:val="HideTWBExt"/>
        </w:rPr>
        <w:t>&lt;/AuNomDe&gt;</w:t>
      </w:r>
    </w:p>
    <w:p w:rsidR="00B92CCE" w:rsidRDefault="00B92CCE" w:rsidP="00B92CCE">
      <w:pPr>
        <w:pStyle w:val="NormalBold"/>
      </w:pPr>
      <w:r>
        <w:rPr>
          <w:rStyle w:val="HideTWBExt"/>
        </w:rPr>
        <w:t>&lt;Members&gt;</w:t>
      </w:r>
      <w:r>
        <w:t>Sophie Wilmès</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Dílčí nadpis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Spravedlnost a </w:t>
            </w:r>
            <w:r>
              <w:rPr>
                <w:b/>
                <w:i/>
              </w:rPr>
              <w:t>korupce</w:t>
            </w:r>
          </w:p>
        </w:tc>
        <w:tc>
          <w:tcPr>
            <w:tcW w:w="4876" w:type="dxa"/>
            <w:tcBorders>
              <w:top w:val="nil"/>
              <w:left w:val="nil"/>
              <w:bottom w:val="nil"/>
              <w:right w:val="nil"/>
            </w:tcBorders>
          </w:tcPr>
          <w:p w:rsidR="00B92CCE" w:rsidRDefault="00B92CCE" w:rsidP="00215104">
            <w:pPr>
              <w:pStyle w:val="Normal6a"/>
            </w:pPr>
            <w:r>
              <w:t>Spravedlnost a </w:t>
            </w:r>
            <w:r>
              <w:rPr>
                <w:b/>
                <w:i/>
              </w:rPr>
              <w:t>rámec boje proti korupci</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163</w:t>
      </w:r>
      <w:r>
        <w:rPr>
          <w:rStyle w:val="HideTWBExt"/>
        </w:rPr>
        <w:t>&lt;/NumAm&gt;</w:t>
      </w:r>
    </w:p>
    <w:p w:rsidR="00B92CCE" w:rsidRDefault="00B92CCE" w:rsidP="00B92CCE">
      <w:pPr>
        <w:pStyle w:val="NormalBold"/>
      </w:pPr>
      <w:r>
        <w:rPr>
          <w:rStyle w:val="HideTWBExt"/>
        </w:rPr>
        <w:t>&lt;RepeatBlock-By&gt;&lt;Members&gt;</w:t>
      </w:r>
      <w:r>
        <w:t>Mariusz Kamiński, Joachim Stanisław Brudziński, Jadwiga Wiśniewska, Maciej Wąsik, Jacek Ozdoba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1.</w:t>
            </w:r>
            <w:r>
              <w:tab/>
              <w:t>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w:t>
            </w:r>
          </w:p>
        </w:tc>
        <w:tc>
          <w:tcPr>
            <w:tcW w:w="4876" w:type="dxa"/>
            <w:tcBorders>
              <w:top w:val="nil"/>
              <w:left w:val="nil"/>
              <w:bottom w:val="nil"/>
              <w:right w:val="nil"/>
            </w:tcBorders>
          </w:tcPr>
          <w:p w:rsidR="00B92CCE" w:rsidRDefault="00B92CCE" w:rsidP="00215104">
            <w:pPr>
              <w:pStyle w:val="Normal6a"/>
            </w:pPr>
            <w:r>
              <w:t>1.</w:t>
            </w:r>
            <w:r>
              <w:tab/>
              <w:t xml:space="preserve">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 </w:t>
            </w:r>
            <w:r>
              <w:rPr>
                <w:b/>
                <w:i/>
              </w:rPr>
              <w:t>poukazuje na to, že v některých členských státech a kandidátských zemích EU jsou soudní systémy stále utvářeny závislostmi pocházejícími z komunistických režimů;</w:t>
            </w:r>
            <w:r>
              <w:t xml:space="preserve"> </w:t>
            </w:r>
            <w:r>
              <w:rPr>
                <w:b/>
                <w:i/>
              </w:rPr>
              <w:t>zdůrazňuje nesoudržný postoj Unie, která sice podporuje reformy soudnictví v kandidátských zemích, jako je Moldavsko, ale chrání podobně selhávající a patologický postkomunistický systém v Polsku;</w:t>
            </w:r>
            <w:r>
              <w:t xml:space="preserve"> </w:t>
            </w:r>
            <w:r>
              <w:rPr>
                <w:b/>
                <w:i/>
              </w:rPr>
              <w:t>konstatuje, že ačkoli systémy jmenování soudců v některých členských státech nevedou ke sporům, reformy podobného směru v jiných jsou kritizovány;</w:t>
            </w:r>
            <w:r>
              <w:t xml:space="preserve"> </w:t>
            </w:r>
            <w:r>
              <w:rPr>
                <w:b/>
                <w:i/>
              </w:rPr>
              <w:t>vyzývá Komisi, aby nezasahovala do reforem týkajících se organizace soudnictví;</w:t>
            </w:r>
            <w:r>
              <w:t xml:space="preserve"> </w:t>
            </w:r>
            <w:r>
              <w:rPr>
                <w:b/>
                <w:i/>
              </w:rPr>
              <w:t>domnívá se, že sponzorování politických činností soudních organizací ze strany jiných států i EU je nepřijatelné, a vyzývá k jeho ukončení a k transparentnímu zveřejňování minulých zásahů;</w:t>
            </w:r>
          </w:p>
        </w:tc>
      </w:tr>
    </w:tbl>
    <w:p w:rsidR="00B92CCE" w:rsidRDefault="00B92CCE" w:rsidP="00B92CCE">
      <w:pPr>
        <w:pStyle w:val="AmOrLang"/>
      </w:pPr>
      <w:r>
        <w:t xml:space="preserve">Or. </w:t>
      </w:r>
      <w:r>
        <w:rPr>
          <w:rStyle w:val="HideTWBExt"/>
        </w:rPr>
        <w:t>&lt;Original&gt;</w:t>
      </w:r>
      <w:r>
        <w:rPr>
          <w:rStyle w:val="HideTWBInt"/>
        </w:rPr>
        <w:t>{PL}</w:t>
      </w:r>
      <w:r>
        <w:t>pl</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164</w:t>
      </w:r>
      <w:r>
        <w:rPr>
          <w:rStyle w:val="HideTWBExt"/>
        </w:rPr>
        <w:t>&lt;/NumAm&gt;</w:t>
      </w:r>
    </w:p>
    <w:p w:rsidR="00B92CCE" w:rsidRDefault="00B92CCE" w:rsidP="00B92CCE">
      <w:pPr>
        <w:pStyle w:val="NormalBold"/>
      </w:pPr>
      <w:r>
        <w:rPr>
          <w:rStyle w:val="HideTWBExt"/>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1.</w:t>
            </w:r>
            <w:r>
              <w:tab/>
              <w:t>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w:t>
            </w:r>
          </w:p>
        </w:tc>
        <w:tc>
          <w:tcPr>
            <w:tcW w:w="4876" w:type="dxa"/>
            <w:tcBorders>
              <w:top w:val="nil"/>
              <w:left w:val="nil"/>
              <w:bottom w:val="nil"/>
              <w:right w:val="nil"/>
            </w:tcBorders>
          </w:tcPr>
          <w:p w:rsidR="00B92CCE" w:rsidRDefault="00B92CCE" w:rsidP="00215104">
            <w:pPr>
              <w:pStyle w:val="Normal6a"/>
            </w:pPr>
            <w:r>
              <w:t>1.</w:t>
            </w:r>
            <w:r>
              <w:tab/>
              <w:t xml:space="preserve">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 </w:t>
            </w:r>
            <w:r>
              <w:rPr>
                <w:b/>
                <w:i/>
              </w:rPr>
              <w:t>zdůrazňuje proto, že přiměřená odměna má zásadní význam pro přilákání a udržení kvalifikovaných soudních zaměstnanců;</w:t>
            </w:r>
            <w:r>
              <w:t xml:space="preserve"> </w:t>
            </w:r>
            <w:r>
              <w:rPr>
                <w:b/>
                <w:i/>
              </w:rPr>
              <w:t>opakuje, že pro účinnost a dostupnost soudního systému mají zásadní význam odpovídající zdroje, včetně financování, infrastruktury a kvalifikovaného personálu;</w:t>
            </w:r>
            <w:r>
              <w:t xml:space="preserve"> </w:t>
            </w:r>
            <w:r>
              <w:rPr>
                <w:b/>
                <w:i/>
              </w:rPr>
              <w:t>zdůrazňuje důležitou úlohu digitalizace při transformaci vnitrostátních soudů;</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165</w:t>
      </w:r>
      <w:r>
        <w:rPr>
          <w:rStyle w:val="HideTWBExt"/>
        </w:rPr>
        <w:t>&lt;/NumAm&gt;</w:t>
      </w:r>
    </w:p>
    <w:p w:rsidR="00B92CCE" w:rsidRDefault="00B92CCE" w:rsidP="00B92CCE">
      <w:pPr>
        <w:pStyle w:val="NormalBold"/>
      </w:pPr>
      <w:r>
        <w:rPr>
          <w:rStyle w:val="HideTWBExt"/>
        </w:rPr>
        <w:t>&lt;RepeatBlock-By&gt;&lt;Members&gt;</w:t>
      </w:r>
      <w:r>
        <w:t>Juan Fernando López Aguilar, Nacho Sánchez Amor, Javier Moreno Sánchez</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1.</w:t>
            </w:r>
            <w:r>
              <w:tab/>
              <w:t>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w:t>
            </w:r>
          </w:p>
        </w:tc>
        <w:tc>
          <w:tcPr>
            <w:tcW w:w="4876" w:type="dxa"/>
            <w:tcBorders>
              <w:top w:val="nil"/>
              <w:left w:val="nil"/>
              <w:bottom w:val="nil"/>
              <w:right w:val="nil"/>
            </w:tcBorders>
          </w:tcPr>
          <w:p w:rsidR="00B92CCE" w:rsidRDefault="00B92CCE" w:rsidP="00215104">
            <w:pPr>
              <w:pStyle w:val="Normal6a"/>
            </w:pPr>
            <w:r>
              <w:t>1.</w:t>
            </w:r>
            <w:r>
              <w:tab/>
              <w:t xml:space="preserve">zdůrazňuje, že spravedlivá a přístupná justice představuje zásadu právního státu, která vyžaduje nezávislé soudnictví; </w:t>
            </w:r>
            <w:r>
              <w:rPr>
                <w:b/>
                <w:i/>
              </w:rPr>
              <w:t>vítá iniciativy některých členských států k zajištění nezávislosti soudnictví, zejména prostřednictvím účinného fungování Rady pro justici;</w:t>
            </w:r>
            <w:r>
              <w:t xml:space="preserve"> znovu opakuje, že k tomu, aby občané mohly využívat svá práva, bránit se diskriminaci a vyžadovat, aby orgány, které rozhodují, nesly za svá rozhodnutí odpovědnost, je naprosto nezbytné zajistit jim přístup ke spravedlnosti;</w:t>
            </w:r>
          </w:p>
        </w:tc>
      </w:tr>
    </w:tbl>
    <w:p w:rsidR="00B92CCE" w:rsidRDefault="00B92CCE" w:rsidP="00B92CCE">
      <w:pPr>
        <w:pStyle w:val="AmOrLang"/>
      </w:pPr>
      <w:r>
        <w:t xml:space="preserve">Or. </w:t>
      </w:r>
      <w:r>
        <w:rPr>
          <w:rStyle w:val="HideTWBExt"/>
        </w:rPr>
        <w:t>&lt;Original&gt;</w:t>
      </w:r>
      <w:r>
        <w:rPr>
          <w:rStyle w:val="HideTWBInt"/>
        </w:rPr>
        <w:t>{EN}</w:t>
      </w:r>
      <w:r>
        <w:t>en</w:t>
      </w:r>
      <w:r>
        <w:rPr>
          <w:rStyle w:val="HideTWBExt"/>
        </w:rPr>
        <w:t>&lt;/Original&gt;</w:t>
      </w:r>
    </w:p>
    <w:p w:rsidR="00B92CCE" w:rsidRDefault="00B92CCE" w:rsidP="00B92CCE">
      <w:r>
        <w:rPr>
          <w:rStyle w:val="HideTWBExt"/>
        </w:rPr>
        <w:t>&lt;/Amend&gt;</w:t>
      </w:r>
    </w:p>
    <w:p w:rsidR="00B92CCE" w:rsidRDefault="00B92CCE" w:rsidP="00B92CCE">
      <w:pPr>
        <w:pStyle w:val="AmNumberTabs"/>
      </w:pPr>
      <w:r>
        <w:rPr>
          <w:rStyle w:val="HideTWBExt"/>
        </w:rPr>
        <w:t>&lt;Amend&gt;</w:t>
      </w:r>
      <w:r>
        <w:t>Pozměňovací návrh</w:t>
      </w:r>
      <w:r>
        <w:tab/>
      </w:r>
      <w:r>
        <w:tab/>
      </w:r>
      <w:r>
        <w:rPr>
          <w:rStyle w:val="HideTWBExt"/>
        </w:rPr>
        <w:t>&lt;NumAm&gt;</w:t>
      </w:r>
      <w:r>
        <w:t>166</w:t>
      </w:r>
      <w:r>
        <w:rPr>
          <w:rStyle w:val="HideTWBExt"/>
        </w:rPr>
        <w:t>&lt;/NumAm&gt;</w:t>
      </w:r>
    </w:p>
    <w:p w:rsidR="00B92CCE" w:rsidRDefault="00B92CCE" w:rsidP="00B92CCE">
      <w:pPr>
        <w:pStyle w:val="NormalBold"/>
      </w:pPr>
      <w:r>
        <w:rPr>
          <w:rStyle w:val="HideTWBExt"/>
        </w:rPr>
        <w:t>&lt;RepeatBlock-By&gt;&lt;Members&gt;</w:t>
      </w:r>
      <w:r>
        <w:t>Alessandro Ciriani, Paolo Inselvini</w:t>
      </w:r>
      <w:r>
        <w:rPr>
          <w:rStyle w:val="HideTWBExt"/>
        </w:rPr>
        <w:t>&lt;/Members&gt;</w:t>
      </w:r>
    </w:p>
    <w:p w:rsidR="00B92CCE" w:rsidRDefault="00B92CCE" w:rsidP="00B92CCE">
      <w:pPr>
        <w:pStyle w:val="NormalBold"/>
      </w:pPr>
      <w:r>
        <w:rPr>
          <w:rStyle w:val="HideTWBExt"/>
        </w:rPr>
        <w:t>&lt;/RepeatBlock-By&gt;</w:t>
      </w:r>
    </w:p>
    <w:p w:rsidR="00B92CCE" w:rsidRDefault="00B92CCE" w:rsidP="00B92CCE">
      <w:pPr>
        <w:pStyle w:val="NormalBold"/>
      </w:pPr>
      <w:r>
        <w:rPr>
          <w:rStyle w:val="HideTWBExt"/>
        </w:rPr>
        <w:t>&lt;DocAmend&gt;</w:t>
      </w:r>
      <w:r>
        <w:t>Návrh usnesení</w:t>
      </w:r>
      <w:r>
        <w:rPr>
          <w:rStyle w:val="HideTWBExt"/>
        </w:rPr>
        <w:t>&lt;/DocAmend&gt;</w:t>
      </w:r>
    </w:p>
    <w:p w:rsidR="00B92CCE" w:rsidRDefault="00B92CCE" w:rsidP="00B92CCE">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Default="00B92CCE" w:rsidP="00215104"/>
        </w:tc>
      </w:tr>
      <w:tr w:rsidR="00B92CCE" w:rsidTr="00215104">
        <w:trPr>
          <w:trHeight w:val="240"/>
          <w:jc w:val="center"/>
        </w:trPr>
        <w:tc>
          <w:tcPr>
            <w:tcW w:w="4876" w:type="dxa"/>
            <w:tcBorders>
              <w:top w:val="nil"/>
              <w:left w:val="nil"/>
              <w:bottom w:val="nil"/>
              <w:right w:val="nil"/>
            </w:tcBorders>
          </w:tcPr>
          <w:p w:rsidR="00B92CCE" w:rsidRDefault="00B92CCE" w:rsidP="00215104">
            <w:pPr>
              <w:pStyle w:val="AmColumnHeading"/>
            </w:pPr>
            <w:r>
              <w:t>Návrh usnesení</w:t>
            </w:r>
          </w:p>
        </w:tc>
        <w:tc>
          <w:tcPr>
            <w:tcW w:w="4876" w:type="dxa"/>
            <w:tcBorders>
              <w:top w:val="nil"/>
              <w:left w:val="nil"/>
              <w:bottom w:val="nil"/>
              <w:right w:val="nil"/>
            </w:tcBorders>
          </w:tcPr>
          <w:p w:rsidR="00B92CCE"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Default="00B92CCE" w:rsidP="00215104">
            <w:pPr>
              <w:pStyle w:val="Normal6a"/>
            </w:pPr>
            <w:r>
              <w:t>1.</w:t>
            </w:r>
            <w:r>
              <w:tab/>
              <w:t>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w:t>
            </w:r>
          </w:p>
        </w:tc>
        <w:tc>
          <w:tcPr>
            <w:tcW w:w="4876" w:type="dxa"/>
            <w:tcBorders>
              <w:top w:val="nil"/>
              <w:left w:val="nil"/>
              <w:bottom w:val="nil"/>
              <w:right w:val="nil"/>
            </w:tcBorders>
          </w:tcPr>
          <w:p w:rsidR="00B92CCE" w:rsidRDefault="00B92CCE" w:rsidP="00215104">
            <w:pPr>
              <w:pStyle w:val="Normal6a"/>
            </w:pPr>
            <w:r>
              <w:t>1.</w:t>
            </w:r>
            <w:r>
              <w:tab/>
              <w:t xml:space="preserve">zdůrazňuje, že spravedlivá a přístupná justice představuje zásadu právního státu, která vyžaduje nezávislé soudnictví; znovu opakuje, že k tomu, aby občané mohly využívat svá práva, bránit se diskriminaci a vyžadovat, aby orgány, které rozhodují, nesly za svá rozhodnutí odpovědnost, je naprosto nezbytné zajistit jim přístup ke spravedlnosti; </w:t>
            </w:r>
            <w:r>
              <w:rPr>
                <w:b/>
                <w:i/>
              </w:rPr>
              <w:t>opakuje, že zakládající smlouvy Evropské unie ponechávají organizaci soudních systémů na členských státech;</w:t>
            </w:r>
          </w:p>
        </w:tc>
      </w:tr>
    </w:tbl>
    <w:p w:rsidR="00B92CCE" w:rsidRDefault="00B92CCE" w:rsidP="00B92CCE">
      <w:pPr>
        <w:pStyle w:val="AmOrLang"/>
      </w:pPr>
      <w:r>
        <w:t xml:space="preserve">Or. </w:t>
      </w:r>
      <w:r>
        <w:rPr>
          <w:rStyle w:val="HideTWBExt"/>
        </w:rPr>
        <w:t>&lt;Original&gt;</w:t>
      </w:r>
      <w:r>
        <w:rPr>
          <w:rStyle w:val="HideTWBInt"/>
        </w:rPr>
        <w:t>{IT}</w:t>
      </w:r>
      <w:r>
        <w:t>it</w:t>
      </w:r>
      <w:r>
        <w:rPr>
          <w:rStyle w:val="HideTWBExt"/>
        </w:rPr>
        <w:t>&lt;/Original&gt;</w:t>
      </w:r>
    </w:p>
    <w:p w:rsidR="00B92CCE"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167</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w:t>
            </w:r>
            <w:r>
              <w:tab/>
              <w:t xml:space="preserve">zdůrazňuje, že spravedlivá a přístupná justice představuje </w:t>
            </w:r>
            <w:r>
              <w:rPr>
                <w:b/>
                <w:i/>
              </w:rPr>
              <w:t>zásadu</w:t>
            </w:r>
            <w:r>
              <w:t xml:space="preserve"> právního státu, která vyžaduje nezávislé soudnictví; znovu opakuje, že k tomu, aby občané </w:t>
            </w:r>
            <w:r>
              <w:rPr>
                <w:b/>
                <w:i/>
              </w:rPr>
              <w:t>mohly</w:t>
            </w:r>
            <w:r>
              <w:t xml:space="preserve"> využívat svá práva, bránit se diskriminaci a vyžadovat, aby orgány, které rozhodují, nesly za svá rozhodnutí odpovědnost, je naprosto nezbytné zajistit jim přístup ke spravedlnosti;</w:t>
            </w:r>
          </w:p>
        </w:tc>
        <w:tc>
          <w:tcPr>
            <w:tcW w:w="4876" w:type="dxa"/>
            <w:tcBorders>
              <w:top w:val="nil"/>
              <w:left w:val="nil"/>
              <w:bottom w:val="nil"/>
              <w:right w:val="nil"/>
            </w:tcBorders>
          </w:tcPr>
          <w:p w:rsidR="00B92CCE" w:rsidRPr="00444926" w:rsidRDefault="00B92CCE" w:rsidP="00215104">
            <w:pPr>
              <w:pStyle w:val="Normal6a"/>
            </w:pPr>
            <w:r>
              <w:t>1.</w:t>
            </w:r>
            <w:r>
              <w:tab/>
              <w:t xml:space="preserve">zdůrazňuje, že spravedlivá a přístupná justice představuje </w:t>
            </w:r>
            <w:r>
              <w:rPr>
                <w:b/>
                <w:i/>
              </w:rPr>
              <w:t>jednu ze základních zásad</w:t>
            </w:r>
            <w:r>
              <w:t xml:space="preserve"> právního státu, která vyžaduje nezávislé soudnictví; znovu opakuje, že k tomu, aby občané </w:t>
            </w:r>
            <w:r>
              <w:rPr>
                <w:b/>
                <w:i/>
              </w:rPr>
              <w:t>mohli</w:t>
            </w:r>
            <w:r>
              <w:t xml:space="preserve"> využívat svá práva, bránit se diskriminaci a vyžadovat, aby orgány, které rozhodují, nesly za svá rozhodnutí odpovědnost, je naprosto nezbytné zajistit jim přístup ke spravedlnosti;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168</w:t>
      </w:r>
      <w:r>
        <w:rPr>
          <w:rStyle w:val="HideTWBExt"/>
          <w:b w:val="0"/>
        </w:rPr>
        <w:t>&lt;/NumAm&gt;</w:t>
      </w:r>
    </w:p>
    <w:p w:rsidR="00B92CCE" w:rsidRPr="00444926" w:rsidRDefault="00B92CCE" w:rsidP="00B92CCE">
      <w:pPr>
        <w:pStyle w:val="NormalBold"/>
      </w:pPr>
      <w:r>
        <w:rPr>
          <w:rStyle w:val="HideTWBExt"/>
          <w:b w:val="0"/>
        </w:rPr>
        <w:t>&lt;RepeatBlock-By&gt;&lt;Members&gt;</w:t>
      </w:r>
      <w:r>
        <w:t>Nicolas Bay</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w:t>
            </w:r>
            <w:r>
              <w:tab/>
              <w:t xml:space="preserve">zdůrazňuje, že spravedlivá a přístupná justice představuje zásadu právního státu, která vyžaduje nezávislé soudnictví; znovu opakuje, že k tomu, aby občané </w:t>
            </w:r>
            <w:r>
              <w:rPr>
                <w:b/>
                <w:i/>
              </w:rPr>
              <w:t>mohly</w:t>
            </w:r>
            <w:r>
              <w:t xml:space="preserve"> využívat svá práva, </w:t>
            </w:r>
            <w:r>
              <w:rPr>
                <w:b/>
                <w:i/>
              </w:rPr>
              <w:t>bránit se diskriminaci</w:t>
            </w:r>
            <w:r>
              <w:t xml:space="preserve"> a vyžadovat, aby orgány, které rozhodují, nesly za svá rozhodnutí odpovědnost, je naprosto nezbytné zajistit jim přístup ke spravedlnosti;</w:t>
            </w:r>
          </w:p>
        </w:tc>
        <w:tc>
          <w:tcPr>
            <w:tcW w:w="4876" w:type="dxa"/>
            <w:tcBorders>
              <w:top w:val="nil"/>
              <w:left w:val="nil"/>
              <w:bottom w:val="nil"/>
              <w:right w:val="nil"/>
            </w:tcBorders>
          </w:tcPr>
          <w:p w:rsidR="00B92CCE" w:rsidRPr="00444926" w:rsidRDefault="00B92CCE" w:rsidP="00215104">
            <w:pPr>
              <w:pStyle w:val="Normal6a"/>
            </w:pPr>
            <w:r>
              <w:t>1.</w:t>
            </w:r>
            <w:r>
              <w:tab/>
              <w:t xml:space="preserve">zdůrazňuje, že spravedlivá a přístupná justice představuje zásadu právního státu, která vyžaduje nezávislé soudnictví; znovu opakuje, že k tomu, aby občané </w:t>
            </w:r>
            <w:r>
              <w:rPr>
                <w:b/>
                <w:i/>
              </w:rPr>
              <w:t>mohli</w:t>
            </w:r>
            <w:r>
              <w:t xml:space="preserve"> využívat svá práva, </w:t>
            </w:r>
            <w:r>
              <w:rPr>
                <w:b/>
                <w:i/>
              </w:rPr>
              <w:t>byla jim zaručena rovnost před zákonem</w:t>
            </w:r>
            <w:r>
              <w:t xml:space="preserve"> a vyžadovat, aby orgány, které rozhodují, nesly za svá rozhodnutí odpovědnost, je naprosto nezbytné zajistit jim přístup ke spravedlnosti;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{FR}</w:t>
      </w:r>
      <w:r w:rsidRPr="00444926">
        <w:t>fr</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169</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konstatuje, že Komise rovněž zjistila, že několik členských států vyčlenilo dodatečné zdroje na posílení odolnosti systémů soudnictví; v této souvislosti vítá opatření zaměřená na přidělení dodatečných zdrojů na jejich soudnictví, jakož i úsilí o zvýšení platů v soudnictví; konstatuje, že Komise shledává, že v některých členských státech nadále představuje problém výše odměn, což často vede k nedostatku a volným pracovním místům; zdůrazňuje proto, že přiměřená odměna má zásadní význam pro přilákání a udržení kvalifikovaných soudních zaměstnanců; opakuje, že pro účinnost a dostupnost soudního systému mají zásadní význam odpovídající zdroje, včetně financování, infrastruktury a kvalifikovaného personálu; zdůrazňuje důležitou úlohu digitalizace při transformaci vnitrostátních soudů;</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170</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Giuseppe Antoci, Isabel Serra Sánchez</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je hluboce znepokojen pokusy italské vlády oslabit nezávislost a autonomii soudnictví; domnívá se, že nedávná reforma zaměřená na oddělení povolání a zřízení vrchního disciplinárního soudu porušuje povinnosti Itálie podle Smlouvy, které vyplývají z článků 2, 19 a 49 SEU a z článku 47 Listiny základních práv; připomíná judikaturu Evropského soudního dvora, která definuje konkrétní záruky nezávislosti soudců v disciplinárních řízeních; vyzývá Komisi, aby posoudila soulad nedávné reformy soudnictví v Itálii se zásadami Smlouvy;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171</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poukazuje na důležitou úlohu soudních rad při zajišťování nezávislosti soudnictví; považuje za nezbytné vyhodnotit reformy, které jsou přijímány v různých členských státech, a vybízí k tomu, aby se složení těchto orgánů a jejich fungování přizpůsobilo normám stanoveným Komisí a Radou Evropy, které schválil Soudní dvůr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172</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vyzývá k posílení ochrany jednotlivců bojujících proti korupci na nejvyšších úrovních veřejné správy; vyjadřuje politování nad tím, že v některých členských státech, včetně Polska, jsou jednotlivci bojující proti korupci vystaveni revanšismu a pronásledování, a to i deset či více let poté, co byly případy korupce na nejvyšších úrovních veřejné správy odhaleny;</w:t>
            </w:r>
          </w:p>
        </w:tc>
      </w:tr>
    </w:tbl>
    <w:p w:rsidR="00B92CCE" w:rsidRPr="00BF159C" w:rsidRDefault="00B92CCE" w:rsidP="00B92CCE">
      <w:pPr>
        <w:pStyle w:val="AmOrLang"/>
        <w:rPr>
          <w:lang w:val="pl-PL"/>
        </w:rPr>
      </w:pPr>
      <w:r w:rsidRPr="00BF159C">
        <w:rPr>
          <w:lang w:val="pl-PL"/>
        </w:rPr>
        <w:t xml:space="preserve">Or. </w:t>
      </w:r>
      <w:r w:rsidRPr="00BF159C">
        <w:rPr>
          <w:rStyle w:val="HideTWBExt"/>
          <w:lang w:val="pl-PL"/>
        </w:rPr>
        <w:t>&lt;Original&gt;</w:t>
      </w:r>
      <w:r w:rsidRPr="00BF159C">
        <w:rPr>
          <w:rStyle w:val="HideTWBInt"/>
          <w:lang w:val="pl-PL"/>
        </w:rPr>
        <w:t>{PL}</w:t>
      </w:r>
      <w:r w:rsidRPr="00BF159C">
        <w:rPr>
          <w:lang w:val="pl-PL"/>
        </w:rPr>
        <w:t>pl</w:t>
      </w:r>
      <w:r w:rsidRPr="00BF159C">
        <w:rPr>
          <w:rStyle w:val="HideTWBExt"/>
          <w:lang w:val="pl-PL"/>
        </w:rPr>
        <w:t>&lt;/Original&gt;</w:t>
      </w:r>
    </w:p>
    <w:p w:rsidR="00B92CCE" w:rsidRPr="00BF159C" w:rsidRDefault="00B92CCE" w:rsidP="00B92CCE">
      <w:r>
        <w:rPr>
          <w:rStyle w:val="HideTWBExt"/>
          <w:lang w:val="pl-PL"/>
        </w:rPr>
        <w:t>&lt;/Amend&gt;</w:t>
      </w:r>
    </w:p>
    <w:p w:rsidR="00B92CCE" w:rsidRPr="00BF159C" w:rsidRDefault="00B92CCE" w:rsidP="00B92CCE">
      <w:pPr>
        <w:pStyle w:val="AmNumberTabs"/>
      </w:pPr>
      <w:r>
        <w:rPr>
          <w:rStyle w:val="HideTWBExt"/>
          <w:b w:val="0"/>
          <w:lang w:val="pl-PL"/>
        </w:rPr>
        <w:t>&lt;Amend&gt;</w:t>
      </w:r>
      <w:r>
        <w:t>Pozměňovací návrh</w:t>
      </w:r>
      <w:r>
        <w:tab/>
      </w:r>
      <w:r>
        <w:tab/>
      </w:r>
      <w:r>
        <w:rPr>
          <w:rStyle w:val="HideTWBExt"/>
          <w:b w:val="0"/>
          <w:lang w:val="pl-PL"/>
        </w:rPr>
        <w:t>&lt;NumAm&gt;</w:t>
      </w:r>
      <w:r>
        <w:t>173</w:t>
      </w:r>
      <w:r>
        <w:rPr>
          <w:rStyle w:val="HideTWBExt"/>
          <w:b w:val="0"/>
          <w:lang w:val="pl-PL"/>
        </w:rPr>
        <w:t>&lt;/NumAm&gt;</w:t>
      </w:r>
    </w:p>
    <w:p w:rsidR="00B92CCE" w:rsidRPr="00BF159C" w:rsidRDefault="00B92CCE" w:rsidP="00B92CCE">
      <w:pPr>
        <w:pStyle w:val="NormalBold"/>
      </w:pPr>
      <w:r>
        <w:rPr>
          <w:rStyle w:val="HideTWBExt"/>
          <w:b w:val="0"/>
          <w:lang w:val="pl-PL"/>
        </w:rPr>
        <w:t>&lt;RepeatBlock-By&gt;&lt;Members&gt;</w:t>
      </w:r>
      <w:r>
        <w:t>Ewa Zajączkowska-Hernik</w:t>
      </w:r>
      <w:r>
        <w:rPr>
          <w:rStyle w:val="HideTWBExt"/>
          <w:b w:val="0"/>
          <w:lang w:val="pl-PL"/>
        </w:rPr>
        <w:t>&lt;/Members&gt;</w:t>
      </w:r>
    </w:p>
    <w:p w:rsidR="00B92CCE" w:rsidRPr="00BF159C" w:rsidRDefault="00B92CCE" w:rsidP="00B92CCE">
      <w:pPr>
        <w:pStyle w:val="NormalBold"/>
      </w:pPr>
      <w:r>
        <w:rPr>
          <w:rStyle w:val="HideTWBExt"/>
          <w:b w:val="0"/>
          <w:lang w:val="pl-PL"/>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zdůrazňuje, že soudnictví spadá do pravomoci členských států, avšak Komise se v této oblasti angažuje v činnostech, které jsou v rozporu se zásadami Smluv EU a s rozhodnutími demokraticky legitimních parlamentů členských států;</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{PL}</w:t>
      </w:r>
      <w:r w:rsidRPr="00BF159C">
        <w:rPr>
          <w:lang w:val="it-IT"/>
        </w:rPr>
        <w:t>pl</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174</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Alessandro Ciriani, Paolo Inselvini</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konstatuje, že Komise v různých členských státech nalezla důkazy o pokroku dosaženém v oblasti digitalizace soudnictví a o navýšení finančních a lidských zdrojů, které má soudní systém k dispozici, a to prostřednictvím reforem, jejichž cílem je zlepšit jeho nezávislost a účinnost;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{IT}</w:t>
      </w:r>
      <w:r w:rsidRPr="00444926">
        <w:t>it</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175</w:t>
      </w:r>
      <w:r>
        <w:rPr>
          <w:rStyle w:val="HideTWBExt"/>
          <w:b w:val="0"/>
        </w:rPr>
        <w:t>&lt;/NumAm&gt;</w:t>
      </w:r>
    </w:p>
    <w:p w:rsidR="00B92CCE" w:rsidRPr="00444926" w:rsidRDefault="00B92CCE" w:rsidP="00B92CCE">
      <w:pPr>
        <w:pStyle w:val="NormalBold"/>
      </w:pPr>
      <w:r>
        <w:rPr>
          <w:rStyle w:val="HideTWBExt"/>
          <w:b w:val="0"/>
        </w:rPr>
        <w:t>&lt;RepeatBlock-By&gt;&lt;Members&gt;</w:t>
      </w:r>
      <w:r>
        <w:t>Tomáš Zdechovský</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vítá stěžejní úlohu Soudního dvora Evropské unie (SDEU) při prosazování právního státu v celé EU; podporuje další iniciativy usilující o posílení zdrojů a schopnosti SDEU účinně řešit další výzvy v oblasti právního státu;</w:t>
            </w:r>
          </w:p>
        </w:tc>
      </w:tr>
    </w:tbl>
    <w:p w:rsidR="00B92CCE" w:rsidRPr="00BF159C" w:rsidRDefault="00B92CCE" w:rsidP="00B92CCE">
      <w:pPr>
        <w:pStyle w:val="AmOrLang"/>
        <w:rPr>
          <w:lang w:val="fr-FR"/>
        </w:rPr>
      </w:pPr>
      <w:r w:rsidRPr="00BF159C">
        <w:rPr>
          <w:lang w:val="fr-FR"/>
        </w:rPr>
        <w:t xml:space="preserve">Or. </w:t>
      </w:r>
      <w:r w:rsidRPr="00BF159C">
        <w:rPr>
          <w:rStyle w:val="HideTWBExt"/>
          <w:lang w:val="fr-FR"/>
        </w:rPr>
        <w:t>&lt;Original&gt;</w:t>
      </w:r>
      <w:r w:rsidRPr="00BF159C">
        <w:rPr>
          <w:rStyle w:val="HideTWBInt"/>
          <w:lang w:val="fr-FR"/>
        </w:rPr>
        <w:t>{EN}</w:t>
      </w:r>
      <w:r w:rsidRPr="00BF159C">
        <w:rPr>
          <w:lang w:val="fr-FR"/>
        </w:rPr>
        <w:t>en</w:t>
      </w:r>
      <w:r w:rsidRPr="00BF159C">
        <w:rPr>
          <w:rStyle w:val="HideTWBExt"/>
          <w:lang w:val="fr-FR"/>
        </w:rPr>
        <w:t>&lt;/Original&gt;</w:t>
      </w:r>
    </w:p>
    <w:p w:rsidR="00B92CCE" w:rsidRPr="00BF159C" w:rsidRDefault="00B92CCE" w:rsidP="00B92CCE">
      <w:r>
        <w:rPr>
          <w:rStyle w:val="HideTWBExt"/>
          <w:lang w:val="fr-FR"/>
        </w:rPr>
        <w:t>&lt;/Amend&gt;</w:t>
      </w:r>
    </w:p>
    <w:p w:rsidR="00B92CCE" w:rsidRPr="00BF159C" w:rsidRDefault="00B92CCE" w:rsidP="00B92CCE">
      <w:pPr>
        <w:pStyle w:val="AmNumberTabs"/>
      </w:pPr>
      <w:r>
        <w:rPr>
          <w:rStyle w:val="HideTWBExt"/>
          <w:b w:val="0"/>
          <w:lang w:val="fr-FR"/>
        </w:rPr>
        <w:t>&lt;Amend&gt;</w:t>
      </w:r>
      <w:r>
        <w:t>Pozměňovací návrh</w:t>
      </w:r>
      <w:r>
        <w:tab/>
      </w:r>
      <w:r>
        <w:tab/>
      </w:r>
      <w:r>
        <w:rPr>
          <w:rStyle w:val="HideTWBExt"/>
          <w:b w:val="0"/>
          <w:lang w:val="fr-FR"/>
        </w:rPr>
        <w:t>&lt;NumAm&gt;</w:t>
      </w:r>
      <w:r>
        <w:t>176</w:t>
      </w:r>
      <w:r>
        <w:rPr>
          <w:rStyle w:val="HideTWBExt"/>
          <w:b w:val="0"/>
          <w:lang w:val="fr-FR"/>
        </w:rPr>
        <w:t>&lt;/NumAm&gt;</w:t>
      </w:r>
    </w:p>
    <w:p w:rsidR="00B92CCE" w:rsidRPr="00BF159C" w:rsidRDefault="00B92CCE" w:rsidP="00B92CCE">
      <w:pPr>
        <w:pStyle w:val="NormalBold"/>
      </w:pPr>
      <w:r>
        <w:rPr>
          <w:rStyle w:val="HideTWBExt"/>
          <w:b w:val="0"/>
          <w:lang w:val="fr-FR"/>
        </w:rPr>
        <w:t>&lt;RepeatBlock-By&gt;&lt;Members&gt;</w:t>
      </w:r>
      <w:r>
        <w:t>Isabel Serra Sánchez</w:t>
      </w:r>
      <w:r>
        <w:rPr>
          <w:rStyle w:val="HideTWBExt"/>
          <w:b w:val="0"/>
          <w:lang w:val="fr-FR"/>
        </w:rPr>
        <w:t>&lt;/Members&gt;</w:t>
      </w:r>
    </w:p>
    <w:p w:rsidR="00B92CCE" w:rsidRPr="00BF159C" w:rsidRDefault="00B92CCE" w:rsidP="00B92CCE">
      <w:pPr>
        <w:pStyle w:val="NormalBold"/>
      </w:pPr>
      <w:r>
        <w:rPr>
          <w:rStyle w:val="HideTWBExt"/>
          <w:b w:val="0"/>
          <w:lang w:val="fr-FR"/>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odsuzuje využívání soudního systému k politickým účelům s cílem poškodit, delegitimizovat a umlčet politický disent; vyzývá členské státy, aby nezneužívaly systém trestního soudnictví k pronásledování politických oponentů;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177</w:t>
      </w:r>
      <w:r>
        <w:rPr>
          <w:rStyle w:val="HideTWBExt"/>
          <w:b w:val="0"/>
        </w:rPr>
        <w:t>&lt;/NumAm&gt;</w:t>
      </w:r>
    </w:p>
    <w:p w:rsidR="00B92CCE" w:rsidRPr="00444926" w:rsidRDefault="00B92CCE" w:rsidP="00B92CCE">
      <w:pPr>
        <w:pStyle w:val="NormalBold"/>
      </w:pPr>
      <w:r>
        <w:rPr>
          <w:rStyle w:val="HideTWBExt"/>
          <w:b w:val="0"/>
        </w:rPr>
        <w:t>&lt;RepeatBlock-By&gt;&lt;Members&gt;</w:t>
      </w:r>
      <w:r>
        <w:t>Marieke Ehlers, Jorge Buxadé Villalba, Tom Vandendriessche,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1a.</w:t>
            </w:r>
            <w:r>
              <w:tab/>
            </w:r>
            <w:r>
              <w:rPr>
                <w:b/>
                <w:i/>
              </w:rPr>
              <w:t>vyjadřuje znepokojení nad tím, že Komise uplatňuje svůj vlastní výklad právního státu bez jasné definice, na níž by se dohodly členské státy;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178</w:t>
      </w:r>
      <w:r>
        <w:rPr>
          <w:rStyle w:val="HideTWBExt"/>
          <w:b w:val="0"/>
        </w:rPr>
        <w:t>&lt;/NumAm&gt;</w:t>
      </w:r>
    </w:p>
    <w:p w:rsidR="00B92CCE" w:rsidRPr="00444926" w:rsidRDefault="00B92CCE" w:rsidP="00B92CCE">
      <w:pPr>
        <w:pStyle w:val="NormalBold"/>
      </w:pPr>
      <w:r>
        <w:rPr>
          <w:rStyle w:val="HideTWBExt"/>
          <w:b w:val="0"/>
        </w:rPr>
        <w:t>&lt;RepeatBlock-By&gt;&lt;Members&gt;</w:t>
      </w:r>
      <w:r>
        <w:t>Marieke Ehlers, Jorge Buxadé Villalba, Tom Vandendriessche,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1b.</w:t>
            </w:r>
            <w:r>
              <w:tab/>
            </w:r>
            <w:r>
              <w:rPr>
                <w:b/>
                <w:i/>
              </w:rPr>
              <w:t>upozorňuje na skutečnost, že několik právních jurisdikcí členských států spojuje pojem „právní stát“ s různými definicemi a že tyto rozdíly ve vnitrostátním právu by měly být respektovány a oceňovány, nikoli ignorovány nebo odstraňovány; zdůrazňuje, že existuje velmi mnoho vědeckých prací v oboru srovnávacího práva, z nichž vyplývá, že jednotné chápání právního státu neexistuje; domnívá se, že neexistence konsensu ohledně definic na úrovni EU povede k právní nejistotě a otevírá možnost politického vměšování, které je samo o sobě porušením zásad právního státu; vyzývá všechny členské státy, aby respektovaly dělbu moci jako základní aspekt právního státu;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179</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1b.</w:t>
            </w:r>
            <w:r>
              <w:tab/>
            </w:r>
            <w:r>
              <w:rPr>
                <w:b/>
                <w:i/>
              </w:rPr>
              <w:t>poukazuje na to, že státní zastupitelství je klíčovým prvkem zajišťujícím schopnost soudnictví bojovat proti trestné činnosti a korupci; zdůrazňuje, že je důležité zaručit autonomii a nezávislost státního zastupitelství; upozorňuje na to, že je třeba zavést záruky, které by pomohly zachovat nezávislost státního zastupitelství, aby nebylo vystaveno nepřiměřenému politickému tlaku, zejména ze strany vlády;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180</w:t>
      </w:r>
      <w:r>
        <w:rPr>
          <w:rStyle w:val="HideTWBExt"/>
          <w:b w:val="0"/>
        </w:rPr>
        <w:t>&lt;/NumAm&gt;</w:t>
      </w:r>
    </w:p>
    <w:p w:rsidR="00B92CCE" w:rsidRPr="00444926" w:rsidRDefault="00B92CCE" w:rsidP="00B92CCE">
      <w:pPr>
        <w:pStyle w:val="NormalBold"/>
      </w:pPr>
      <w:r>
        <w:rPr>
          <w:rStyle w:val="HideTWBExt"/>
          <w:b w:val="0"/>
        </w:rPr>
        <w:t>&lt;RepeatBlock-By&gt;&lt;Members&gt;</w:t>
      </w:r>
      <w:r>
        <w:t>Marieke Ehlers, Jorge Buxadé Villalba, Tom Vandendriessche,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1c.</w:t>
            </w:r>
            <w:r>
              <w:tab/>
            </w:r>
            <w:r>
              <w:rPr>
                <w:b/>
                <w:i/>
              </w:rPr>
              <w:t>vyjadřuje politování nad tím, že Komise posuzuje pouze uplatňování zásad právního státu členskými státy, a nikoli samotnými orgány EU; zdůrazňuje, že existuje velké množství případů údajného porušování zásad právního státu ze strany samotných evropských orgánů, v neposlední řadě ze strany Komise, které vyžadují řádnou kontrolu;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181</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1c.</w:t>
            </w:r>
            <w:r>
              <w:tab/>
            </w:r>
            <w:r>
              <w:rPr>
                <w:b/>
                <w:i/>
              </w:rPr>
              <w:t>konstatuje, že zřizování parlamentních výborů, které by prošetřovaly případy tzv. „právní války“ nebo judicializace politiky, v praxi znamená, že soudní řízení a rozhodnutí podléhají parlamentnímu přezkumu se zjevným zásahem do nezávislosti soudnictví a dělby moci;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182</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w:t>
            </w:r>
            <w:r>
              <w:rPr>
                <w:b/>
                <w:i/>
              </w:rPr>
              <w:t xml:space="preserve"> poukazuje na to</w:t>
            </w:r>
            <w:r>
              <w:t xml:space="preserve">, že </w:t>
            </w:r>
            <w:r>
              <w:rPr>
                <w:b/>
                <w:i/>
              </w:rPr>
              <w:t>je nutné zajistit</w:t>
            </w:r>
            <w:r>
              <w:t xml:space="preserve">, aby </w:t>
            </w:r>
            <w:r>
              <w:rPr>
                <w:b/>
                <w:i/>
              </w:rPr>
              <w:t>obsazování vysokých pozic v soudnictví probíhalo transparentně</w:t>
            </w:r>
            <w:r>
              <w:t xml:space="preserve">, </w:t>
            </w:r>
            <w:r>
              <w:rPr>
                <w:b/>
                <w:i/>
              </w:rPr>
              <w:t>na základě zásluh</w:t>
            </w:r>
            <w:r>
              <w:t xml:space="preserve"> a </w:t>
            </w:r>
            <w:r>
              <w:rPr>
                <w:b/>
                <w:i/>
              </w:rPr>
              <w:t>bez politického vměšování</w:t>
            </w:r>
            <w:r>
              <w:t>;</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w:t>
            </w:r>
            <w:r>
              <w:rPr>
                <w:b/>
                <w:i/>
              </w:rPr>
              <w:t>, dostupnosti a kvality</w:t>
            </w:r>
            <w:r>
              <w:t xml:space="preserve"> soudnictví v některých členských státech představuje strukturální výzvu</w:t>
            </w:r>
            <w:r>
              <w:rPr>
                <w:vertAlign w:val="superscript"/>
              </w:rPr>
              <w:t>37</w:t>
            </w:r>
            <w:r>
              <w:t xml:space="preserve">; </w:t>
            </w:r>
            <w:r>
              <w:rPr>
                <w:b/>
                <w:i/>
              </w:rPr>
              <w:t>připomíná, že účinnost soudního systému vyžaduje provádění opatření ke zkrácení délky řízení a snížení počtu nevyřízených soudních případů; vyzývá členské státy, aby po přiměřenou dobu nadále sledovaly případy korupce s cílem nepodporovat pocit beztrestnosti mezi svými občany; připomíná</w:t>
            </w:r>
            <w:r>
              <w:t xml:space="preserve">, že </w:t>
            </w:r>
            <w:r>
              <w:rPr>
                <w:b/>
                <w:i/>
              </w:rPr>
              <w:t>bez dostatečných zdrojů, ať již finančních, infrastrukturních nebo personálních, nemůže být soudní systém účinný;</w:t>
            </w:r>
            <w:r>
              <w:t xml:space="preserve"> </w:t>
            </w:r>
            <w:r>
              <w:rPr>
                <w:b/>
                <w:i/>
              </w:rPr>
              <w:t>vyzývá členské státy, aby využily příležitostí, které nabízí digitalizace, pokud jde o zjednodušení, zlepšení účinnosti a dostupnosti, úsporu času a snížení nákladů na skladování;</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183</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 xml:space="preserve">konstatuje, že Komise </w:t>
            </w:r>
            <w:r>
              <w:rPr>
                <w:b/>
                <w:i/>
              </w:rPr>
              <w:t>zjistila, že zvýšení účinnosti</w:t>
            </w:r>
            <w:r>
              <w:t xml:space="preserve"> soudnictví v </w:t>
            </w:r>
            <w:r>
              <w:rPr>
                <w:b/>
                <w:i/>
              </w:rPr>
              <w:t xml:space="preserve">některých </w:t>
            </w:r>
            <w:r>
              <w:t>členských státech</w:t>
            </w:r>
            <w:r>
              <w:rPr>
                <w:b/>
                <w:i/>
              </w:rPr>
              <w:t xml:space="preserve"> představuje strukturální výzvu</w:t>
            </w:r>
            <w:r>
              <w:rPr>
                <w:b/>
                <w:i/>
                <w:vertAlign w:val="superscript"/>
              </w:rPr>
              <w:t>37</w:t>
            </w:r>
            <w:r>
              <w:rPr>
                <w:b/>
                <w:i/>
              </w:rPr>
              <w:t>;</w:t>
            </w:r>
            <w:r>
              <w:t xml:space="preserve"> </w:t>
            </w:r>
            <w:r>
              <w:rPr>
                <w:b/>
                <w:i/>
              </w:rPr>
              <w:t>poukazuje na to, že je nutné zajistit, aby obsazování vysokých pozic v soudnictví probíhalo transparentně, na základě zásluh a bez politického vměšování</w:t>
            </w:r>
            <w:r>
              <w:t>;</w:t>
            </w:r>
          </w:p>
        </w:tc>
        <w:tc>
          <w:tcPr>
            <w:tcW w:w="4876" w:type="dxa"/>
            <w:tcBorders>
              <w:top w:val="nil"/>
              <w:left w:val="nil"/>
              <w:bottom w:val="nil"/>
              <w:right w:val="nil"/>
            </w:tcBorders>
          </w:tcPr>
          <w:p w:rsidR="00B92CCE" w:rsidRPr="00444926" w:rsidRDefault="00B92CCE" w:rsidP="00215104">
            <w:pPr>
              <w:pStyle w:val="Normal6a"/>
            </w:pPr>
            <w:r>
              <w:t>2.</w:t>
            </w:r>
            <w:r>
              <w:tab/>
              <w:t xml:space="preserve">konstatuje, že Komise </w:t>
            </w:r>
            <w:r>
              <w:rPr>
                <w:b/>
                <w:i/>
              </w:rPr>
              <w:t>nemá pravomoc přezkoumávat nebo posuzovat organizaci</w:t>
            </w:r>
            <w:r>
              <w:t xml:space="preserve"> soudnictví v členských státech;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zdůrazňuje, že členské státy mají pravomoc stanovit postupy řídící obsazování vysokých pozic v soudnictví, a to transparentně a bez politického vměšování;</w:t>
            </w:r>
            <w:r>
              <w:t xml:space="preserve"> </w:t>
            </w:r>
            <w:r>
              <w:rPr>
                <w:b/>
                <w:i/>
              </w:rPr>
              <w:t>zdůrazňuje, že je nepřijatelné, aby Komise zasahovala do činností členských států, jejichž cílem je reformovat organizaci a zlepšit účinnost soudnictví;</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vertAlign w:val="superscript"/>
              </w:rPr>
              <w:t>37</w:t>
            </w:r>
            <w:r>
              <w:rPr>
                <w:b/>
                <w:i/>
              </w:rPr>
              <w:t>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184</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Malika Sorel</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xml:space="preserve">; poukazuje na to, že je nutné zajistit, aby obsazování vysokých pozic v soudnictví probíhalo transparentně, na základě zásluh a bez politického vměšování; </w:t>
            </w:r>
            <w:r>
              <w:rPr>
                <w:b/>
                <w:i/>
              </w:rPr>
              <w:t>připomíná normy Rady Evropy týkající se volby soudců do soudcovských rad, kteří by měli být voleni svými kolegy, aby se zajistila dělba moci;</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185</w:t>
      </w:r>
      <w:r>
        <w:rPr>
          <w:rStyle w:val="HideTWBExt"/>
          <w:b w:val="0"/>
        </w:rPr>
        <w:t>&lt;/NumAm&gt;</w:t>
      </w:r>
    </w:p>
    <w:p w:rsidR="00B92CCE" w:rsidRPr="00444926" w:rsidRDefault="00B92CCE" w:rsidP="00B92CCE">
      <w:pPr>
        <w:pStyle w:val="NormalBold"/>
      </w:pPr>
      <w:r>
        <w:rPr>
          <w:rStyle w:val="HideTWBExt"/>
          <w:b w:val="0"/>
        </w:rPr>
        <w:t>&lt;RepeatBlock-By&gt;&lt;Members&gt;</w:t>
      </w:r>
      <w:r>
        <w:t>András László</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 xml:space="preserve">konstatuje, že Komise </w:t>
            </w:r>
            <w:r>
              <w:rPr>
                <w:b/>
                <w:i/>
              </w:rPr>
              <w:t>zjistila</w:t>
            </w:r>
            <w:r>
              <w:t xml:space="preserve">, že </w:t>
            </w:r>
            <w:r>
              <w:rPr>
                <w:b/>
                <w:i/>
              </w:rPr>
              <w:t>zvýšení účinnosti soudnictví</w:t>
            </w:r>
            <w:r>
              <w:t xml:space="preserve"> v </w:t>
            </w:r>
            <w:r>
              <w:rPr>
                <w:b/>
                <w:i/>
              </w:rPr>
              <w:t>některých</w:t>
            </w:r>
            <w:r>
              <w:t xml:space="preserve"> členských státech</w:t>
            </w:r>
            <w:r>
              <w:rPr>
                <w:b/>
                <w:i/>
              </w:rPr>
              <w:t xml:space="preserve"> představuje strukturální výzvu</w:t>
            </w:r>
            <w:r>
              <w:rPr>
                <w:b/>
                <w:i/>
                <w:vertAlign w:val="superscript"/>
              </w:rPr>
              <w:t>37</w:t>
            </w:r>
            <w:r>
              <w:t xml:space="preserve">; </w:t>
            </w:r>
            <w:r>
              <w:rPr>
                <w:b/>
                <w:i/>
              </w:rPr>
              <w:t>poukazuje na to, že je nutné zajistit, aby obsazování vysokých pozic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 xml:space="preserve">konstatuje, že </w:t>
            </w:r>
            <w:r>
              <w:rPr>
                <w:b/>
                <w:i/>
              </w:rPr>
              <w:t xml:space="preserve">výroční zpráva </w:t>
            </w:r>
            <w:r>
              <w:t>Komise o </w:t>
            </w:r>
            <w:r>
              <w:rPr>
                <w:b/>
                <w:i/>
              </w:rPr>
              <w:t>právním státu je jen dalším nástrojem politického nátlaku; vyjadřuje politování nad tím, že zpráva neposkytuje objektivní a podložený obraz situace v oblasti právního státu v členských státech; zdůrazňuje, že tato zpráva nemůže sloužit jako základ pro žádné další mechanismy a postupy EU; vyjadřuje politování nad tím</w:t>
            </w:r>
            <w:r>
              <w:t xml:space="preserve">, že </w:t>
            </w:r>
            <w:r>
              <w:rPr>
                <w:b/>
                <w:i/>
              </w:rPr>
              <w:t>Komise při práci na výroční zprávě o právním státu zahrnuje příspěvky nevládních organizací financovaných ze zahraničí</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37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186</w:t>
      </w:r>
      <w:r>
        <w:rPr>
          <w:rStyle w:val="HideTWBExt"/>
          <w:b w:val="0"/>
        </w:rPr>
        <w:t>&lt;/NumAm&gt;</w:t>
      </w:r>
    </w:p>
    <w:p w:rsidR="00B92CCE" w:rsidRPr="00444926" w:rsidRDefault="00B92CCE" w:rsidP="00B92CCE">
      <w:pPr>
        <w:pStyle w:val="NormalBold"/>
      </w:pPr>
      <w:r>
        <w:rPr>
          <w:rStyle w:val="HideTWBExt"/>
          <w:b w:val="0"/>
        </w:rPr>
        <w:t>&lt;RepeatBlock-By&gt;&lt;Members&gt;</w:t>
      </w:r>
      <w:r>
        <w:t>Nicolas Bay</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r>
              <w:rPr>
                <w:b/>
                <w:i/>
              </w:rPr>
              <w:t>, a to i ze strany Komise, která musí důsledně respektovat svrchovanost a výsady jednotlivých států</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BF159C" w:rsidRDefault="00B92CCE" w:rsidP="00B92CCE">
      <w:pPr>
        <w:pStyle w:val="AmOrLang"/>
        <w:rPr>
          <w:lang w:val="pl-PL"/>
        </w:rPr>
      </w:pPr>
      <w:r w:rsidRPr="00BF159C">
        <w:rPr>
          <w:lang w:val="pl-PL"/>
        </w:rPr>
        <w:t xml:space="preserve">Or. </w:t>
      </w:r>
      <w:r w:rsidRPr="00BF159C">
        <w:rPr>
          <w:rStyle w:val="HideTWBExt"/>
          <w:lang w:val="pl-PL"/>
        </w:rPr>
        <w:t>&lt;Original&gt;</w:t>
      </w:r>
      <w:r w:rsidRPr="00BF159C">
        <w:rPr>
          <w:rStyle w:val="HideTWBInt"/>
          <w:lang w:val="pl-PL"/>
        </w:rPr>
        <w:t>{FR}</w:t>
      </w:r>
      <w:r w:rsidRPr="00BF159C">
        <w:rPr>
          <w:lang w:val="pl-PL"/>
        </w:rPr>
        <w:t>fr</w:t>
      </w:r>
      <w:r w:rsidRPr="00BF159C">
        <w:rPr>
          <w:rStyle w:val="HideTWBExt"/>
          <w:lang w:val="pl-PL"/>
        </w:rPr>
        <w:t>&lt;/Original&gt;</w:t>
      </w:r>
    </w:p>
    <w:p w:rsidR="00B92CCE" w:rsidRPr="00BF159C" w:rsidRDefault="00B92CCE" w:rsidP="00B92CCE">
      <w:r>
        <w:rPr>
          <w:rStyle w:val="HideTWBExt"/>
          <w:lang w:val="pl-PL"/>
        </w:rPr>
        <w:t>&lt;/Amend&gt;</w:t>
      </w:r>
    </w:p>
    <w:p w:rsidR="00B92CCE" w:rsidRPr="00BF159C" w:rsidRDefault="00B92CCE" w:rsidP="00B92CCE">
      <w:pPr>
        <w:pStyle w:val="AmNumberTabs"/>
      </w:pPr>
      <w:r>
        <w:rPr>
          <w:rStyle w:val="HideTWBExt"/>
          <w:b w:val="0"/>
          <w:lang w:val="pl-PL"/>
        </w:rPr>
        <w:t>&lt;Amend&gt;</w:t>
      </w:r>
      <w:r>
        <w:t>Pozměňovací návrh</w:t>
      </w:r>
      <w:r>
        <w:tab/>
      </w:r>
      <w:r>
        <w:tab/>
      </w:r>
      <w:r>
        <w:rPr>
          <w:rStyle w:val="HideTWBExt"/>
          <w:b w:val="0"/>
          <w:lang w:val="pl-PL"/>
        </w:rPr>
        <w:t>&lt;NumAm&gt;</w:t>
      </w:r>
      <w:r>
        <w:t>187</w:t>
      </w:r>
      <w:r>
        <w:rPr>
          <w:rStyle w:val="HideTWBExt"/>
          <w:b w:val="0"/>
          <w:lang w:val="pl-PL"/>
        </w:rPr>
        <w:t>&lt;/NumAm&gt;</w:t>
      </w:r>
    </w:p>
    <w:p w:rsidR="00B92CCE" w:rsidRPr="00BF159C" w:rsidRDefault="00B92CCE" w:rsidP="00B92CCE">
      <w:pPr>
        <w:pStyle w:val="NormalBold"/>
      </w:pPr>
      <w:r>
        <w:rPr>
          <w:rStyle w:val="HideTWBExt"/>
          <w:b w:val="0"/>
          <w:lang w:val="pl-PL"/>
        </w:rPr>
        <w:t>&lt;RepeatBlock-By&gt;&lt;Members&gt;</w:t>
      </w:r>
      <w:r>
        <w:t>Ewa Zajączkowska-Hernik</w:t>
      </w:r>
      <w:r>
        <w:rPr>
          <w:rStyle w:val="HideTWBExt"/>
          <w:b w:val="0"/>
          <w:lang w:val="pl-PL"/>
        </w:rPr>
        <w:t>&lt;/Members&gt;</w:t>
      </w:r>
    </w:p>
    <w:p w:rsidR="00B92CCE" w:rsidRPr="00BF159C" w:rsidRDefault="00B92CCE" w:rsidP="00B92CCE">
      <w:pPr>
        <w:pStyle w:val="NormalBold"/>
      </w:pPr>
      <w:r>
        <w:rPr>
          <w:rStyle w:val="HideTWBExt"/>
          <w:b w:val="0"/>
          <w:lang w:val="pl-PL"/>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 xml:space="preserve">konstatuje, že Komise </w:t>
            </w:r>
            <w:r>
              <w:rPr>
                <w:b/>
                <w:i/>
              </w:rPr>
              <w:t>zjistila</w:t>
            </w:r>
            <w:r>
              <w:t xml:space="preserve">, </w:t>
            </w:r>
            <w:r>
              <w:rPr>
                <w:b/>
                <w:i/>
              </w:rPr>
              <w:t>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 xml:space="preserve">konstatuje, že Komise </w:t>
            </w:r>
            <w:r>
              <w:rPr>
                <w:b/>
                <w:i/>
              </w:rPr>
              <w:t>překročila své pravomoci</w:t>
            </w:r>
            <w:r>
              <w:t xml:space="preserve">, </w:t>
            </w:r>
            <w:r>
              <w:rPr>
                <w:b/>
                <w:i/>
              </w:rPr>
              <w:t>neboť přijala opatření, která lze považovat za vměšování do soudnictví některých členských států</w:t>
            </w:r>
            <w:r>
              <w:rPr>
                <w:vertAlign w:val="superscript"/>
              </w:rPr>
              <w:t>37</w:t>
            </w:r>
            <w:r>
              <w:t>; poukazuje na to, že je nutné zajistit, aby obsazování vysokých pozic v soudnictví probíhalo transparentně, na základě zásluh a bez politického vměšování</w:t>
            </w:r>
            <w:r>
              <w:rPr>
                <w:b/>
                <w:i/>
              </w:rPr>
              <w:t xml:space="preserve"> ze strany skupiny, která je u moci v orgánech Evropské unie</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vertAlign w:val="superscript"/>
              </w:rPr>
              <w:t xml:space="preserve">37 </w:t>
            </w:r>
            <w:r>
              <w:rPr>
                <w:b/>
                <w:i/>
              </w:rPr>
              <w:t>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b/>
                <w:i/>
                <w:vertAlign w:val="superscript"/>
              </w:rPr>
              <w:t xml:space="preserve">37 </w:t>
            </w:r>
            <w:r>
              <w:rPr>
                <w:b/>
                <w:i/>
              </w:rPr>
              <w:t>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188</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r>
              <w:rPr>
                <w:b/>
                <w:i/>
              </w:rPr>
              <w:t>, které by poškodilo jejich nestrannost</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189</w:t>
      </w:r>
      <w:r>
        <w:rPr>
          <w:rStyle w:val="HideTWBExt"/>
          <w:b w:val="0"/>
        </w:rPr>
        <w:t>&lt;/NumAm&gt;</w:t>
      </w:r>
    </w:p>
    <w:p w:rsidR="00B92CCE" w:rsidRPr="00444926" w:rsidRDefault="00B92CCE" w:rsidP="00B92CCE">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xml:space="preserve">; poukazuje na to, že je nutné zajistit, aby </w:t>
            </w:r>
            <w:r>
              <w:rPr>
                <w:b/>
                <w:i/>
              </w:rPr>
              <w:t>obsazování vysokých pozic</w:t>
            </w:r>
            <w:r>
              <w:t xml:space="preserve">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xml:space="preserve">; poukazuje na to, že je nutné zajistit, aby </w:t>
            </w:r>
            <w:r>
              <w:rPr>
                <w:b/>
                <w:i/>
              </w:rPr>
              <w:t>nominace na pozice</w:t>
            </w:r>
            <w:r>
              <w:t xml:space="preserve"> v soudnictví a </w:t>
            </w:r>
            <w:r>
              <w:rPr>
                <w:b/>
                <w:i/>
              </w:rPr>
              <w:t xml:space="preserve">obsazování těchto pozic </w:t>
            </w:r>
            <w:r>
              <w:t>probíhalo</w:t>
            </w:r>
            <w:r>
              <w:rPr>
                <w:b/>
                <w:i/>
              </w:rPr>
              <w:t xml:space="preserve"> ve všech členských státech</w:t>
            </w:r>
            <w:r>
              <w:t xml:space="preserve"> transparentně, na základě zásluh a bez politického vměšování;</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190</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poukazuje na to, že je nutné zajistit, aby obsazování vysokých pozic v soudnictví probíhalo transparentně, na základě zásluh a bez politického vměšování;</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t xml:space="preserve">; poukazuje na to, že je nutné zajistit, aby obsazování vysokých pozic v soudnictví probíhalo </w:t>
            </w:r>
            <w:r>
              <w:rPr>
                <w:b/>
                <w:i/>
              </w:rPr>
              <w:t xml:space="preserve">zcela </w:t>
            </w:r>
            <w:r>
              <w:t>transparentně, na základě</w:t>
            </w:r>
            <w:r>
              <w:rPr>
                <w:b/>
                <w:i/>
              </w:rPr>
              <w:t xml:space="preserve"> zveřejněných kritérií,</w:t>
            </w:r>
            <w:r>
              <w:t xml:space="preserve"> zásluh a bez politického vměšování;</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191</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rPr>
                <w:b/>
                <w:i/>
              </w:rPr>
              <w:t xml:space="preserve"> ;</w:t>
            </w:r>
            <w:r>
              <w:t xml:space="preserve"> </w:t>
            </w:r>
            <w:r>
              <w:rPr>
                <w:b/>
                <w:i/>
              </w:rPr>
              <w:t>poukazuje na to, že je nutné zajistit, aby</w:t>
            </w:r>
            <w:r>
              <w:t xml:space="preserve"> obsazování vysokých pozic v soudnictví</w:t>
            </w:r>
            <w:r>
              <w:rPr>
                <w:b/>
                <w:i/>
              </w:rPr>
              <w:t xml:space="preserve"> probíhalo transparentně, na základě zásluh a bez politického vměšování</w:t>
            </w:r>
            <w:r>
              <w:t>;</w:t>
            </w:r>
          </w:p>
        </w:tc>
        <w:tc>
          <w:tcPr>
            <w:tcW w:w="4876" w:type="dxa"/>
            <w:tcBorders>
              <w:top w:val="nil"/>
              <w:left w:val="nil"/>
              <w:bottom w:val="nil"/>
              <w:right w:val="nil"/>
            </w:tcBorders>
          </w:tcPr>
          <w:p w:rsidR="00B92CCE" w:rsidRPr="00444926" w:rsidRDefault="00B92CCE" w:rsidP="00215104">
            <w:pPr>
              <w:pStyle w:val="Normal6a"/>
            </w:pPr>
            <w:r>
              <w:t>2.</w:t>
            </w:r>
            <w:r>
              <w:tab/>
              <w:t>konstatuje, že Komise zjistila, že zvýšení účinnosti soudnictví v některých členských státech představuje strukturální výzvu</w:t>
            </w:r>
            <w:r>
              <w:rPr>
                <w:vertAlign w:val="superscript"/>
              </w:rPr>
              <w:t>37</w:t>
            </w:r>
            <w:r>
              <w:rPr>
                <w:b/>
                <w:i/>
              </w:rPr>
              <w:t>, a respektuje pravomoc členských států stanovovat pravidla pro</w:t>
            </w:r>
            <w:r>
              <w:t xml:space="preserve"> obsazování vysokých pozic v soudnictví;</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c>
          <w:tcPr>
            <w:tcW w:w="4876" w:type="dxa"/>
            <w:tcBorders>
              <w:top w:val="nil"/>
              <w:left w:val="nil"/>
              <w:bottom w:val="nil"/>
              <w:right w:val="nil"/>
            </w:tcBorders>
          </w:tcPr>
          <w:p w:rsidR="00B92CCE" w:rsidRPr="00444926" w:rsidRDefault="00B92CCE" w:rsidP="00215104">
            <w:pPr>
              <w:pStyle w:val="Normal6a"/>
            </w:pPr>
            <w:r>
              <w:rPr>
                <w:vertAlign w:val="superscript"/>
              </w:rPr>
              <w:t>37</w:t>
            </w:r>
            <w:r>
              <w:t xml:space="preserve"> Sdělení Komise ze dne 24. července 2024 nazvané „Zpráva o právním státu za rok 2024“ (COM(2024)0800), příloha s doporučeními, s. 1, 9, 11, 19 a 24.</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192</w:t>
      </w:r>
      <w:r>
        <w:rPr>
          <w:rStyle w:val="HideTWBExt"/>
          <w:b w:val="0"/>
        </w:rPr>
        <w:t>&lt;/NumAm&gt;</w:t>
      </w:r>
    </w:p>
    <w:p w:rsidR="00B92CCE" w:rsidRPr="00444926" w:rsidRDefault="00B92CCE" w:rsidP="00B92CCE">
      <w:pPr>
        <w:pStyle w:val="NormalBold"/>
      </w:pPr>
      <w:r>
        <w:rPr>
          <w:rStyle w:val="HideTWBExt"/>
          <w:b w:val="0"/>
        </w:rPr>
        <w:t>&lt;RepeatBlock-By&gt;&lt;Members&gt;</w:t>
      </w:r>
      <w:r>
        <w:t>Alessandro Zan, Cecilia Strada, Sandro Ruotolo, Pina Picierno, Marco Tarquinio</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konstatuje, že podle Komise zůstává vnímaná úroveň nezávislosti soudnictví v Itálii nízká; vyjadřuje znepokojení nad přijetím prováděcích právních předpisů v rámci reformy italského soudního systému a nad následným oslabením soudnictví; vyjadřuje znepokojení nad navrhovanými ústavními reformami týkajícími se oddělení povolání soudců a návrhem na vytvoření vrchního disciplinárního soudu, který by sledoval chování soudců; zdůrazňuje, že je důležité chránit nezávislost soudnictví a dělbu moci;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193</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Abir Al-Sahlani, Fabienne Keller, Lucia Yar, Irena Joveva,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vyjadřuje politování nad tím, že v několika členských státech stále existují obavy ohledně úrovně odměňování soudců a soudních zaměstnanců, což činí tato pracovní místa neatraktivní, a tudíž obtížně obsaditelná; připomíná, že transparentní postupy pro jmenování a odvolávání soudců, jakož i pravomoci a složení soudcovských rad mají zásadní význam pro zajištění nezávislosti soudnictví; vyzývá členské státy, aby zavedly odpovídající záruky proti nepatřičnému politickému ovlivňování, a to i ze třetích zemí;</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194</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Giuseppe Antoci, Isabel Serra Sánchez</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domnívá se, že zvláštní pozornost si zaslouží situace v Itálii, neboť právní stát v této zemi se zhoršuje den ode dne; odsuzuje reformu trestního zákoníku, která zrušila trestný čin zneužití veřejné funkce; zdůrazňuje, že toto zrušení má negativní dopad na boj proti korupci a organizované trestné činnosti jak v Itálii, tak na úrovni EU; vyzývá Komisi, aby situaci v Itálii v tomto ohledu pozorně sledovala a podala o ní zprávu ve zprávě o právním státu za rok 2025;</w:t>
            </w:r>
          </w:p>
        </w:tc>
      </w:tr>
    </w:tbl>
    <w:p w:rsidR="00B92CCE" w:rsidRPr="00BF159C" w:rsidRDefault="00B92CCE" w:rsidP="00B92CCE">
      <w:pPr>
        <w:pStyle w:val="AmOrLang"/>
        <w:rPr>
          <w:lang w:val="pl-PL"/>
        </w:rPr>
      </w:pPr>
      <w:r w:rsidRPr="00BF159C">
        <w:rPr>
          <w:lang w:val="pl-PL"/>
        </w:rPr>
        <w:t xml:space="preserve">Or. </w:t>
      </w:r>
      <w:r w:rsidRPr="00BF159C">
        <w:rPr>
          <w:rStyle w:val="HideTWBExt"/>
          <w:lang w:val="pl-PL"/>
        </w:rPr>
        <w:t>&lt;Original&gt;</w:t>
      </w:r>
      <w:r w:rsidRPr="00BF159C">
        <w:rPr>
          <w:rStyle w:val="HideTWBInt"/>
          <w:lang w:val="pl-PL"/>
        </w:rPr>
        <w:t>{EN}</w:t>
      </w:r>
      <w:r w:rsidRPr="00BF159C">
        <w:rPr>
          <w:lang w:val="pl-PL"/>
        </w:rPr>
        <w:t>en</w:t>
      </w:r>
      <w:r w:rsidRPr="00BF159C">
        <w:rPr>
          <w:rStyle w:val="HideTWBExt"/>
          <w:lang w:val="pl-PL"/>
        </w:rPr>
        <w:t>&lt;/Original&gt;</w:t>
      </w:r>
    </w:p>
    <w:p w:rsidR="00B92CCE" w:rsidRPr="00BF159C" w:rsidRDefault="00B92CCE" w:rsidP="00B92CCE">
      <w:r>
        <w:rPr>
          <w:rStyle w:val="HideTWBExt"/>
          <w:lang w:val="pl-PL"/>
        </w:rPr>
        <w:t>&lt;/Amend&gt;</w:t>
      </w:r>
    </w:p>
    <w:p w:rsidR="00B92CCE" w:rsidRPr="00BF159C" w:rsidRDefault="00B92CCE" w:rsidP="00B92CCE">
      <w:pPr>
        <w:pStyle w:val="AmNumberTabs"/>
      </w:pPr>
      <w:r>
        <w:rPr>
          <w:rStyle w:val="HideTWBExt"/>
          <w:b w:val="0"/>
          <w:lang w:val="pl-PL"/>
        </w:rPr>
        <w:t>&lt;Amend&gt;</w:t>
      </w:r>
      <w:r>
        <w:t>Pozměňovací návrh</w:t>
      </w:r>
      <w:r>
        <w:tab/>
      </w:r>
      <w:r>
        <w:tab/>
      </w:r>
      <w:r>
        <w:rPr>
          <w:rStyle w:val="HideTWBExt"/>
          <w:b w:val="0"/>
          <w:lang w:val="pl-PL"/>
        </w:rPr>
        <w:t>&lt;NumAm&gt;</w:t>
      </w:r>
      <w:r>
        <w:t>195</w:t>
      </w:r>
      <w:r>
        <w:rPr>
          <w:rStyle w:val="HideTWBExt"/>
          <w:b w:val="0"/>
          <w:lang w:val="pl-PL"/>
        </w:rPr>
        <w:t>&lt;/NumAm&gt;</w:t>
      </w:r>
    </w:p>
    <w:p w:rsidR="00B92CCE" w:rsidRPr="00BF159C" w:rsidRDefault="00B92CCE" w:rsidP="00B92CCE">
      <w:pPr>
        <w:pStyle w:val="NormalBold"/>
      </w:pPr>
      <w:r>
        <w:rPr>
          <w:rStyle w:val="HideTWBExt"/>
          <w:b w:val="0"/>
          <w:lang w:val="pl-PL"/>
        </w:rPr>
        <w:t>&lt;RepeatBlock-By&gt;&lt;Members&gt;</w:t>
      </w:r>
      <w:r>
        <w:t>Ewa Zajączkowska-Hernik</w:t>
      </w:r>
      <w:r>
        <w:rPr>
          <w:rStyle w:val="HideTWBExt"/>
          <w:b w:val="0"/>
          <w:lang w:val="pl-PL"/>
        </w:rPr>
        <w:t>&lt;/Members&gt;</w:t>
      </w:r>
    </w:p>
    <w:p w:rsidR="00B92CCE" w:rsidRPr="00BF159C" w:rsidRDefault="00B92CCE" w:rsidP="00B92CCE">
      <w:pPr>
        <w:pStyle w:val="NormalBold"/>
      </w:pPr>
      <w:r>
        <w:rPr>
          <w:rStyle w:val="HideTWBExt"/>
          <w:b w:val="0"/>
          <w:lang w:val="pl-PL"/>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domnívá se, že Komise vede svou vlastní předpojatou politiku a používá právní stát jako slogan, aby – z hlediska financování a komunikace i formálně – upřednostňovala své preferované politiky v členských státech, a očividně porušuje zásadu, podle níž by každá ze složek veřejné správy, včetně soudnictví, měla být povinna prokázat demokratickou legitimitu;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196</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vyzývá Komisi, aby v budoucích zprávách o právním státu vyhodnotila podmínky ve věznicích vzhledem k vážným a rostoucím obavám v celé Evropě, pokud jde o přeplněnost, nevyhovující životní podmínky a alarmující míru sebevražd ve věznicích;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197</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připomíná, že jmenování a povyšování soudců a státních zástupců musí být určováno výhradně jejich předpoklady a nesmí být ovlivňováno politickými nebo osobními zájmy;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198</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2a.</w:t>
            </w:r>
            <w:r>
              <w:tab/>
            </w:r>
            <w:r>
              <w:rPr>
                <w:b/>
                <w:i/>
              </w:rPr>
              <w:t>zdůrazňuje význam nezávislosti a autonomie státních zastupitelství;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199</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2b.</w:t>
            </w:r>
            <w:r>
              <w:tab/>
            </w:r>
            <w:r>
              <w:rPr>
                <w:b/>
                <w:i/>
              </w:rPr>
              <w:t>připomíná, že je třeba zaručit autonomii státních zastupitelství, a zabránit tak jakémukoli politickému vměšování do jejich činnosti; naléhavě žádá, aby byl reformován systém disciplinárních řízení s cílem zabránit tomu, aby je politické orgány zneužívaly ke kontrole soudnictví; v tomto ohledu trvá na tom, aby tyto postupy prováděl nezávislý orgán;</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200</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Ana Catarina Mendes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2b.</w:t>
            </w:r>
            <w:r>
              <w:tab/>
            </w:r>
            <w:r>
              <w:rPr>
                <w:b/>
                <w:i/>
              </w:rPr>
              <w:t>zdůrazňuje, že je třeba zaručit autonomii a odpovědnost státních zastupitelství a chránit je před jakýmkoli nepatřičným politickým tlakem; zdůrazňuje význam transparentních postupů jmenování státních zástupců, které jsou klíčovým faktorem pro zachování důvěry veřejnosti v trestní soudnictví;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201</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2c.</w:t>
            </w:r>
            <w:r>
              <w:tab/>
            </w:r>
            <w:r>
              <w:rPr>
                <w:b/>
                <w:i/>
              </w:rPr>
              <w:t>vyzývá Komisi, aby zachovávala neustálý dohled a zajistila, aby soudci a státní zástupci zůstali nezávislí na orgánech odpovědných za jejich jmenování nebo opětovné jmenování;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202</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2d.</w:t>
            </w:r>
            <w:r>
              <w:tab/>
            </w:r>
            <w:r>
              <w:rPr>
                <w:b/>
                <w:i/>
              </w:rPr>
              <w:t>naléhavě vyzývá k tomu, aby kárná řízení pro soudce byla vedena nezávislými orgány bez politického vlivu;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203</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2 e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2e.</w:t>
            </w:r>
            <w:r>
              <w:tab/>
            </w:r>
            <w:r>
              <w:rPr>
                <w:b/>
                <w:i/>
              </w:rPr>
              <w:t>se znepokojením konstatuje, že politicky motivované zákony o amnestii vyvolávají pochybnosti veřejnosti o dodržování ústavních ustanovení a norem EU; vyjadřuje politování nad jakýmkoli vládním nebo politickým vměšováním do vyšetřování korupce a připomíná, že nikdo nestojí nad zákonem;</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204</w:t>
      </w:r>
      <w:r>
        <w:rPr>
          <w:rStyle w:val="HideTWBExt"/>
          <w:b w:val="0"/>
        </w:rPr>
        <w:t>&lt;/NumAm&gt;</w:t>
      </w:r>
    </w:p>
    <w:p w:rsidR="00B92CCE" w:rsidRPr="00444926" w:rsidRDefault="00B92CCE" w:rsidP="00B92CCE">
      <w:pPr>
        <w:pStyle w:val="NormalBold"/>
      </w:pPr>
      <w:r>
        <w:rPr>
          <w:rStyle w:val="HideTWBExt"/>
          <w:b w:val="0"/>
        </w:rPr>
        <w:t>&lt;RepeatBlock-By&gt;&lt;Members&gt;</w:t>
      </w:r>
      <w:r>
        <w:t>Nicolas Bay</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3.</w:t>
            </w:r>
            <w:r>
              <w:tab/>
            </w:r>
            <w:r>
              <w:rPr>
                <w:b/>
                <w:i/>
              </w:rPr>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{FR}</w:t>
      </w:r>
      <w:r w:rsidRPr="00444926">
        <w:t>fr</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205</w:t>
      </w:r>
      <w:r>
        <w:rPr>
          <w:rStyle w:val="HideTWBExt"/>
          <w:b w:val="0"/>
        </w:rPr>
        <w:t>&lt;/NumAm&gt;</w:t>
      </w:r>
    </w:p>
    <w:p w:rsidR="00B92CCE" w:rsidRPr="00BF159C" w:rsidRDefault="00B92CCE" w:rsidP="00B92CCE">
      <w:pPr>
        <w:pStyle w:val="NormalBold"/>
      </w:pPr>
      <w:r>
        <w:rPr>
          <w:rStyle w:val="HideTWBExt"/>
          <w:b w:val="0"/>
          <w:lang w:val="pl-PL"/>
        </w:rPr>
        <w:t>&lt;RepeatBlock-By&gt;&lt;Members&gt;</w:t>
      </w:r>
      <w:r>
        <w:t>Mary Khan, Milan Uhrík, Ewa Zajączkowska-Hernik</w:t>
      </w:r>
      <w:r>
        <w:rPr>
          <w:rStyle w:val="HideTWBExt"/>
          <w:b w:val="0"/>
          <w:lang w:val="pl-PL"/>
        </w:rPr>
        <w:t>&lt;/Members&gt;</w:t>
      </w:r>
    </w:p>
    <w:p w:rsidR="00B92CCE" w:rsidRPr="00BF159C" w:rsidRDefault="00B92CCE" w:rsidP="00B92CCE">
      <w:pPr>
        <w:pStyle w:val="NormalBold"/>
      </w:pPr>
      <w:r>
        <w:rPr>
          <w:rStyle w:val="HideTWBExt"/>
          <w:b w:val="0"/>
          <w:lang w:val="pl-PL"/>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3.</w:t>
            </w:r>
            <w:r>
              <w:tab/>
            </w:r>
            <w:r>
              <w:rPr>
                <w:b/>
                <w:i/>
              </w:rPr>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206</w:t>
      </w:r>
      <w:r>
        <w:rPr>
          <w:rStyle w:val="HideTWBExt"/>
          <w:b w:val="0"/>
        </w:rPr>
        <w:t>&lt;/NumAm&gt;</w:t>
      </w:r>
    </w:p>
    <w:p w:rsidR="00B92CCE" w:rsidRPr="00444926" w:rsidRDefault="00B92CCE" w:rsidP="00B92CCE">
      <w:pPr>
        <w:pStyle w:val="NormalBold"/>
      </w:pPr>
      <w:r>
        <w:rPr>
          <w:rStyle w:val="HideTWBExt"/>
          <w:b w:val="0"/>
        </w:rPr>
        <w:t>&lt;RepeatBlock-By&gt;&lt;Members&gt;</w:t>
      </w:r>
      <w:r>
        <w:t>Isabel Serra Sánchez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tc>
        <w:tc>
          <w:tcPr>
            <w:tcW w:w="4876" w:type="dxa"/>
            <w:tcBorders>
              <w:top w:val="nil"/>
              <w:left w:val="nil"/>
              <w:bottom w:val="nil"/>
              <w:right w:val="nil"/>
            </w:tcBorders>
          </w:tcPr>
          <w:p w:rsidR="00B92CCE" w:rsidRPr="00444926" w:rsidRDefault="00B92CCE" w:rsidP="00215104">
            <w:pPr>
              <w:pStyle w:val="Normal6a"/>
            </w:pPr>
            <w:r>
              <w:t>3.</w:t>
            </w:r>
            <w:r>
              <w:tab/>
              <w:t xml:space="preserve">vyzývá členské státy, aby neodkladně provedly dosud neprovedené rozsudky, a naléhavě vyzývá Komisi, aby posoudila důsledky jejich neprovedení z hlediska dodržování právních předpisů EU a v případě nutnosti podala žaloby pro neplnění povinností; </w:t>
            </w:r>
            <w:r>
              <w:rPr>
                <w:b/>
                <w:i/>
              </w:rPr>
              <w:t>zdůrazňuje, že neprovedení rozsudků vnitrostátních a mezinárodních soudů vede k porušování lidských práv, které je ponecháno bez nápravy, a které se může dokonce opakovat; zdůrazňuje rovněž, že u veřejnosti vytváří dojem, že rozsudky mohou být přehlíženy, což podkopává nezávislost soudnictví a obecnou důvěru v sílu spravedlivého rozhodování, zejména v případech, kdy státní orgány odmítají vyhovět rozsudkům vydaným jejich vlastními vnitrostátními soudy nebo kdy státy začínají rušit strukturu mezinárodních dohod tím, že nedodržují rozsudky mezinárodních soudů;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207</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tc>
        <w:tc>
          <w:tcPr>
            <w:tcW w:w="4876" w:type="dxa"/>
            <w:tcBorders>
              <w:top w:val="nil"/>
              <w:left w:val="nil"/>
              <w:bottom w:val="nil"/>
              <w:right w:val="nil"/>
            </w:tcBorders>
          </w:tcPr>
          <w:p w:rsidR="00B92CCE" w:rsidRPr="00444926" w:rsidRDefault="00B92CCE" w:rsidP="00215104">
            <w:pPr>
              <w:pStyle w:val="Normal6a"/>
            </w:pPr>
            <w:r>
              <w:t>3.</w:t>
            </w:r>
            <w:r>
              <w:tab/>
              <w:t xml:space="preserve">vyzývá členské státy, aby neodkladně provedly dosud neprovedené rozsudky, a naléhavě vyzývá Komisi, aby posoudila důsledky jejich neprovedení z hlediska dodržování právních předpisů EU a v případě nutnosti podala žaloby pro neplnění povinností; </w:t>
            </w:r>
            <w:r>
              <w:rPr>
                <w:b/>
                <w:i/>
              </w:rPr>
              <w:t>navrhuje, aby byl zřízen monitorovací útvar, který by dohlížel na výkon soudních rozhodnutí a zajišťoval spolupráci s Radou Evropy;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208</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w:t>
            </w:r>
            <w:r>
              <w:rPr>
                <w:b/>
                <w:i/>
              </w:rPr>
              <w:t>, a naléhavě vyzývá Komisi, aby posoudila důsledky jejich neprovedení z hlediska dodržování právních předpisů EU a v případě nutnosti podala žaloby pro neplnění povinností</w:t>
            </w:r>
            <w:r>
              <w:t>;</w:t>
            </w:r>
          </w:p>
        </w:tc>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w:t>
            </w:r>
            <w:r>
              <w:rPr>
                <w:b/>
                <w:i/>
              </w:rPr>
              <w:t xml:space="preserve"> ústavních soudů</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209</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 Ana Catarina Mendes, Moritz Körner</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tc>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w:t>
            </w:r>
            <w:r>
              <w:rPr>
                <w:b/>
                <w:i/>
              </w:rPr>
              <w:t xml:space="preserve"> SDEU a ESLP</w:t>
            </w:r>
            <w:r>
              <w:t>, a naléhavě vyzývá Komisi, aby posoudila důsledky jejich neprovedení z hlediska dodržování právních předpisů EU a v případě nutnosti podala žaloby pro neplnění povinností</w:t>
            </w:r>
            <w:r>
              <w:rPr>
                <w:b/>
                <w:i/>
              </w:rPr>
              <w:t xml:space="preserve"> spolu s návrhy na předběžná opatření</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210</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 a naléhavě vyzývá Komisi, aby posoudila důsledky jejich neprovedení z hlediska dodržování právních předpisů EU a v případě nutnosti podala žaloby pro neplnění povinností;</w:t>
            </w:r>
          </w:p>
        </w:tc>
        <w:tc>
          <w:tcPr>
            <w:tcW w:w="4876" w:type="dxa"/>
            <w:tcBorders>
              <w:top w:val="nil"/>
              <w:left w:val="nil"/>
              <w:bottom w:val="nil"/>
              <w:right w:val="nil"/>
            </w:tcBorders>
          </w:tcPr>
          <w:p w:rsidR="00B92CCE" w:rsidRPr="00444926" w:rsidRDefault="00B92CCE" w:rsidP="00215104">
            <w:pPr>
              <w:pStyle w:val="Normal6a"/>
            </w:pPr>
            <w:r>
              <w:t>3.</w:t>
            </w:r>
            <w:r>
              <w:tab/>
              <w:t xml:space="preserve">vyzývá členské státy, aby neodkladně provedly dosud neprovedené rozsudky, </w:t>
            </w:r>
            <w:r>
              <w:rPr>
                <w:b/>
                <w:i/>
              </w:rPr>
              <w:t>včetně rozsudků Evropského soudu pro lidská práva, a </w:t>
            </w:r>
            <w:r>
              <w:t>naléhavě vyzývá Komisi, aby posoudila důsledky jejich neprovedení z hlediska dodržování právních předpisů EU a v případě nutnosti podala žaloby pro neplnění povinností;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211</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3.</w:t>
            </w:r>
            <w:r>
              <w:tab/>
              <w:t>vyzývá členské státy, aby neodkladně provedly dosud neprovedené rozsudky</w:t>
            </w:r>
            <w:r>
              <w:rPr>
                <w:b/>
                <w:i/>
              </w:rPr>
              <w:t>,</w:t>
            </w:r>
            <w:r>
              <w:t xml:space="preserve"> a </w:t>
            </w:r>
            <w:r>
              <w:rPr>
                <w:b/>
                <w:i/>
              </w:rPr>
              <w:t>naléhavě vyzývá Komisi, aby posoudila důsledky jejich neprovedení z hlediska dodržování právních předpisů EU a v případě nutnosti podala žaloby pro neplnění povinností</w:t>
            </w:r>
            <w:r>
              <w:t>;</w:t>
            </w:r>
          </w:p>
        </w:tc>
        <w:tc>
          <w:tcPr>
            <w:tcW w:w="4876" w:type="dxa"/>
            <w:tcBorders>
              <w:top w:val="nil"/>
              <w:left w:val="nil"/>
              <w:bottom w:val="nil"/>
              <w:right w:val="nil"/>
            </w:tcBorders>
          </w:tcPr>
          <w:p w:rsidR="00B92CCE" w:rsidRPr="00444926" w:rsidRDefault="00B92CCE" w:rsidP="00215104">
            <w:pPr>
              <w:pStyle w:val="Normal6a"/>
            </w:pPr>
            <w:r>
              <w:t>3.</w:t>
            </w:r>
            <w:r>
              <w:tab/>
              <w:t xml:space="preserve">vyzývá členské státy, aby neodkladně provedly </w:t>
            </w:r>
            <w:r>
              <w:rPr>
                <w:b/>
                <w:i/>
              </w:rPr>
              <w:t xml:space="preserve">všechny </w:t>
            </w:r>
            <w:r>
              <w:t>dosud neprovedené rozsudky a </w:t>
            </w:r>
            <w:r>
              <w:rPr>
                <w:b/>
                <w:i/>
              </w:rPr>
              <w:t>zároveň respektovaly diskreční pravomoc Komise zahájit řízení o nesplnění povinnosti, pokud to považuje za odůvodněné</w:t>
            </w:r>
            <w:r>
              <w:t>;</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{SK}</w:t>
      </w:r>
      <w:r w:rsidRPr="00BF159C">
        <w:rPr>
          <w:lang w:val="it-IT"/>
        </w:rPr>
        <w:t>sk</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212</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Jaume Asens Llodrà, Diana Riba i Giner</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 bod 1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w:t>
            </w:r>
            <w:r>
              <w:tab/>
            </w:r>
            <w:r>
              <w:rPr>
                <w:b/>
                <w:i/>
              </w:rPr>
              <w:t>vzhledem k tomu, že právní stát je oslabován, pokud demokraticky přijaté zákony čelí institucionálním překážkám nebo odporu ze strany určitých soudních nebo správních oblastí, což brání jejich řádnému provádění;</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213</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Jaume Asens Llodrà, Diana Riba i Giner</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 bod 2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2)</w:t>
            </w:r>
            <w:r>
              <w:tab/>
            </w:r>
            <w:r>
              <w:rPr>
                <w:b/>
                <w:i/>
              </w:rPr>
              <w:t>vzhledem k tomu, že španělský parlament přijal dne 30. května 2024 zákon o amnestii, jehož cílem je vyřešit politické a soudní důsledky katalánské krize, což odráží vůli demokraticky zvolených zástupců usilovat o dialog a normalizaci; vzhledem k tomu, že tento zákon vstoupil v platnost dne 11. června 2024; vzhledem k tomu, že španělské soudy měly dva měsíce od jeho vstupu v platnost na jeho provedení;</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214</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Jaume Asens Llodrà, Diana Riba i Giner</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 bod 3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w:t>
            </w:r>
            <w:r>
              <w:tab/>
            </w:r>
            <w:r>
              <w:rPr>
                <w:b/>
                <w:i/>
              </w:rPr>
              <w:t>je znepokojen neochotou některých soudních a správních subjektů ve Španělsku plně provádět zákon o amnestii, což může ohrozit právní jistotu, nadřazenost demokracie a dělbu moci; zdůrazňuje, že nevymáhání demokraticky přijatých zákonů může představovat hrozbu pro právní stát a základní práva, jakož i pro sociální a politickou stabilitu;</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215</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Jaume Asens Llodrà, Diana Riba i Giner</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 bod 4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4)</w:t>
            </w:r>
            <w:r>
              <w:tab/>
            </w:r>
            <w:r>
              <w:rPr>
                <w:b/>
                <w:i/>
              </w:rPr>
              <w:t>vzhledem k tomu, že španělský ústavní soud již rozptýlil pochybnosti o ústavní způsobilosti amnestie jako právního institutu v rozsudcích 63/1983, 147/1983 a 147/1986 s odkazem na zákon o amnestii z roku 1977 (přezkoumaný v roce 1984);</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216</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Jaume Asens Llodrà, Diana Riba i Giner</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 bod 5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5)</w:t>
            </w:r>
            <w:r>
              <w:tab/>
            </w:r>
            <w:r>
              <w:rPr>
                <w:b/>
                <w:i/>
              </w:rPr>
              <w:t>důrazně upozorňuje, že méně než polovina lidí, kteří požádali o amnestii, obdržela příznivé rozhodnutí; zdůrazňuje, že soudy při uplatňování práva jen stěží jednaly z vlastního podnětu; konstatuje, že v některých případech se po žádostech o amnestii objevily procedurální problémy, částečně kvůli novotě tohoto zákona a částečně kvůli nedostatečné ochotě dotčené případy rychle vyřešit;</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217</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Jaume Asens Llodrà, Diana Riba i Giner</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 bod 6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6)</w:t>
            </w:r>
            <w:r>
              <w:tab/>
            </w:r>
            <w:r>
              <w:rPr>
                <w:b/>
                <w:i/>
              </w:rPr>
              <w:t>odsuzuje skutečnost, že sedm měsíců po vstupu zákona v platnost zůstává téměř polovina žádostí o amnestii nevyřešena; 13 % z nich je pozastaveno do doby, než budou zodpovězeny právní otázky položené Ústavnímu soudu nebo Soudnímu dvoru Evropské unie; a téměř 15 % žádostí bylo zamítnuto přímo, často bez jasného odůvodnění nebo na základě svévolných a ideologických kritérií;</w:t>
            </w:r>
          </w:p>
        </w:tc>
      </w:tr>
    </w:tbl>
    <w:p w:rsidR="00B92CCE" w:rsidRPr="00BF159C" w:rsidRDefault="00B92CCE" w:rsidP="00B92CCE">
      <w:pPr>
        <w:pStyle w:val="AmOrLang"/>
        <w:rPr>
          <w:lang w:val="fr-FR"/>
        </w:rPr>
      </w:pPr>
      <w:r w:rsidRPr="00BF159C">
        <w:rPr>
          <w:lang w:val="fr-FR"/>
        </w:rPr>
        <w:t xml:space="preserve">Or. </w:t>
      </w:r>
      <w:r w:rsidRPr="00BF159C">
        <w:rPr>
          <w:rStyle w:val="HideTWBExt"/>
          <w:lang w:val="fr-FR"/>
        </w:rPr>
        <w:t>&lt;Original&gt;</w:t>
      </w:r>
      <w:r w:rsidRPr="00BF159C">
        <w:rPr>
          <w:rStyle w:val="HideTWBInt"/>
          <w:lang w:val="fr-FR"/>
        </w:rPr>
        <w:t>{EN}</w:t>
      </w:r>
      <w:r w:rsidRPr="00BF159C">
        <w:rPr>
          <w:lang w:val="fr-FR"/>
        </w:rPr>
        <w:t>en</w:t>
      </w:r>
      <w:r w:rsidRPr="00BF159C">
        <w:rPr>
          <w:rStyle w:val="HideTWBExt"/>
          <w:lang w:val="fr-FR"/>
        </w:rPr>
        <w:t>&lt;/Original&gt;</w:t>
      </w:r>
    </w:p>
    <w:p w:rsidR="00B92CCE" w:rsidRPr="00BF159C" w:rsidRDefault="00B92CCE" w:rsidP="00B92CCE">
      <w:r>
        <w:rPr>
          <w:rStyle w:val="HideTWBExt"/>
          <w:lang w:val="fr-FR"/>
        </w:rPr>
        <w:t>&lt;/Amend&gt;</w:t>
      </w:r>
    </w:p>
    <w:p w:rsidR="00B92CCE" w:rsidRPr="00BF159C" w:rsidRDefault="00B92CCE" w:rsidP="00B92CCE">
      <w:pPr>
        <w:pStyle w:val="AmNumberTabs"/>
      </w:pPr>
      <w:r>
        <w:rPr>
          <w:rStyle w:val="HideTWBExt"/>
          <w:b w:val="0"/>
          <w:lang w:val="fr-FR"/>
        </w:rPr>
        <w:t>&lt;Amend&gt;</w:t>
      </w:r>
      <w:r>
        <w:t>Pozměňovací návrh</w:t>
      </w:r>
      <w:r>
        <w:tab/>
      </w:r>
      <w:r>
        <w:tab/>
      </w:r>
      <w:r>
        <w:rPr>
          <w:rStyle w:val="HideTWBExt"/>
          <w:b w:val="0"/>
          <w:lang w:val="fr-FR"/>
        </w:rPr>
        <w:t>&lt;NumAm&gt;</w:t>
      </w:r>
      <w:r>
        <w:t>218</w:t>
      </w:r>
      <w:r>
        <w:rPr>
          <w:rStyle w:val="HideTWBExt"/>
          <w:b w:val="0"/>
          <w:lang w:val="fr-FR"/>
        </w:rPr>
        <w:t>&lt;/NumAm&gt;</w:t>
      </w:r>
    </w:p>
    <w:p w:rsidR="00B92CCE" w:rsidRPr="00BF159C" w:rsidRDefault="00B92CCE" w:rsidP="00B92CCE">
      <w:pPr>
        <w:pStyle w:val="NormalBold"/>
      </w:pPr>
      <w:r>
        <w:rPr>
          <w:rStyle w:val="HideTWBExt"/>
          <w:b w:val="0"/>
          <w:lang w:val="fr-FR"/>
        </w:rPr>
        <w:t>&lt;RepeatBlock-By&gt;&lt;Members&gt;</w:t>
      </w:r>
      <w:r>
        <w:t>Isabel Serra Sánchez</w:t>
      </w:r>
      <w:r>
        <w:rPr>
          <w:rStyle w:val="HideTWBExt"/>
          <w:b w:val="0"/>
          <w:lang w:val="fr-FR"/>
        </w:rPr>
        <w:t>&lt;/Members&gt;</w:t>
      </w:r>
    </w:p>
    <w:p w:rsidR="00B92CCE" w:rsidRPr="00BF159C" w:rsidRDefault="00B92CCE" w:rsidP="00B92CCE">
      <w:pPr>
        <w:pStyle w:val="NormalBold"/>
      </w:pPr>
      <w:r>
        <w:rPr>
          <w:rStyle w:val="HideTWBExt"/>
          <w:b w:val="0"/>
          <w:lang w:val="fr-FR"/>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3a.</w:t>
            </w:r>
            <w:r>
              <w:tab/>
            </w:r>
            <w:r>
              <w:rPr>
                <w:b/>
                <w:i/>
              </w:rPr>
              <w:t>vyzývá všechny členské státy, aby v návaznosti na doporučení Skupiny států proti korupci (GRECO) přijaly kodex chování pro soudce, s přihlédnutím k tomu, že takové kodexy platí u Evropského soudu pro lidská práva (ESLP) a SDEU, a aby vytvořily nezávislé mechanismy pro vyšetřování údajných porušení tohoto kodexu chování a dalších právních předpisů, zlepšily zveřejňování informací a transparentnost v oblasti střetů zájmů a darů, které soudní orgány obdržely, řešily problematiku „otáčivých dveří“ a požadovaly, aby soudci veřejně vysvětlovali svá rozhodnutí o vyloučení;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219</w:t>
      </w:r>
      <w:r>
        <w:rPr>
          <w:rStyle w:val="HideTWBExt"/>
          <w:b w:val="0"/>
        </w:rPr>
        <w:t>&lt;/NumAm&gt;</w:t>
      </w:r>
    </w:p>
    <w:p w:rsidR="00B92CCE" w:rsidRPr="00444926" w:rsidRDefault="00B92CCE" w:rsidP="00B92CCE">
      <w:pPr>
        <w:pStyle w:val="NormalBold"/>
      </w:pPr>
      <w:r>
        <w:rPr>
          <w:rStyle w:val="HideTWBExt"/>
          <w:b w:val="0"/>
        </w:rPr>
        <w:t>&lt;RepeatBlock-By&gt;&lt;Members&gt;</w:t>
      </w:r>
      <w:r>
        <w:t>Marieke Ehlers, Jorge Buxadé Villalba, Tom Vandendriessche,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3a.</w:t>
            </w:r>
            <w:r>
              <w:tab/>
            </w:r>
            <w:r>
              <w:rPr>
                <w:b/>
                <w:i/>
              </w:rPr>
              <w:t>vybízí členské státy, aby posílily svou schopnost účinně kontrolovat a napadat opatření Unie a zajistit, aby veškeré legislativní iniciativy respektovaly rovnováhu pravomocí mezi Unií a jejími členskými státy;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220</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Raquel García Hermida-Van Der Walle, Abir Al-Sahlani, Ana Catarina Mendes,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3a.</w:t>
            </w:r>
            <w:r>
              <w:tab/>
            </w:r>
            <w:r>
              <w:rPr>
                <w:b/>
                <w:i/>
              </w:rPr>
              <w:t>zdůrazňuje, že systematické nedodržování právních předpisů EU by mělo vést ke konkrétním finančním sankcím, aby se zajistil skutečný odrazující účinek;</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221</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Isabel Serra Sánchez</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3b.</w:t>
            </w:r>
            <w:r>
              <w:tab/>
            </w:r>
            <w:r>
              <w:rPr>
                <w:b/>
                <w:i/>
              </w:rPr>
              <w:t>je pevně přesvědčen, že vzdělávání je klíčovým prvkem, který zaručuje nezávislost soudců, jakož i kvalitu a účinnost soudního systému; je pevně přesvědčen, že odborná příprava by měla být multidisciplinární, neboť soudci potřebují každodenní znalosti o nových tématech a pomohlo by to otevřít myšlenkové nastavení soudců kulturní rozmanitosti a různorodé společenské realitě; vyzývá členské státy, aby soudcům poskytovaly povinné školení o rovnosti žen a mužů, diskriminaci na základě pohlaví, genderově podmíněném násilí a metodách zohledňujících rovnost žen a mužů, které mohou využít ve své praxi, o právech dětí a o zásadě nejlepšího zájmu dítěte s cílem přispět k zajištění spravedlnosti vstřícné k dětem;</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222</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3b.</w:t>
            </w:r>
            <w:r>
              <w:tab/>
            </w:r>
            <w:r>
              <w:rPr>
                <w:b/>
                <w:i/>
              </w:rPr>
              <w:t>vyzývá členské státy, aby vyčlenily dostatečné zdroje na soudnictví s cílem zajistit včasné řešení případů a snížit počet nevyřízených případů; konstatuje, že nedostatečné financování a nedostatek zaměstnanců může oslabit dostupnost a účinnost soudních systémů, a narušit tak důvěru v právní stát;</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223</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Isabel Serra Sánchez</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3c.</w:t>
            </w:r>
            <w:r>
              <w:tab/>
            </w:r>
            <w:r>
              <w:rPr>
                <w:b/>
                <w:i/>
              </w:rPr>
              <w:t>zdůrazňuje, že v Maďarsku přetrvávají vážné obavy ohledně nezávislosti soudnictví, a zdůrazňuje, že jeho soudní systém nesplňuje standard nezávislosti stanovený v Listině a SEU;</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224</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Isabel Serra Sánchez</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3 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3d.</w:t>
            </w:r>
            <w:r>
              <w:tab/>
            </w:r>
            <w:r>
              <w:rPr>
                <w:b/>
                <w:i/>
              </w:rPr>
              <w:t>připomíná, že zpráva Komise o právním státu 2024 uvádí, že v Maďarsku přetrvává politický vliv na státní zastupitelství, což s sebou nese riziko nepatřičného zasahování do jednotlivých případů, a že svoboda projevu soudců zůstává pod tlakem a ve sdělovacích prostředcích pokračují očerňující kampaně proti soudcům;</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225</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aby bylo možné odstranit právní mezery a zajistit, aby měly oběti přístup ke spravedlnosti a aby se jim dostalo podpory;</w:t>
            </w:r>
          </w:p>
        </w:tc>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aby bylo možné odstranit právní mezery a zajistit, aby měly oběti přístup ke spravedlnosti a aby se jim dostalo podpory</w:t>
            </w:r>
            <w:r>
              <w:rPr>
                <w:b/>
                <w:i/>
              </w:rPr>
              <w:t>, včetně možností přezkumu rozhodnutí v trestních řízeních týkajících se obětí, ustanovení o podpoře a ochraně obětí, přístupu k odškodnění, jakož i účinného shromažďování údajů, lepšího přidělování zdrojů na dodržování práv obětí trestných činů a respektování jejich soukromí a ochrany jejich osobních údajů, a to i v případě migrantů bez dokladů a žadatelů o azyl</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https://eur-lex.europa.eu/legal-content/CS/TXT/?uri=CELEX:32012L0029).</w:t>
            </w:r>
          </w:p>
        </w:tc>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https://eur-lex.europa.eu/legal-content/CS/TXT/?uri=CELEX:32012L0029).</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226</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Alessandro Ciriani, Paolo Inselvini</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xml:space="preserve">, aby bylo možné odstranit právní mezery a zajistit, aby </w:t>
            </w:r>
            <w:r>
              <w:rPr>
                <w:b/>
                <w:i/>
              </w:rPr>
              <w:t>měly oběti přístup ke spravedlnosti</w:t>
            </w:r>
            <w:r>
              <w:t xml:space="preserve"> a </w:t>
            </w:r>
            <w:r>
              <w:rPr>
                <w:b/>
                <w:i/>
              </w:rPr>
              <w:t>aby</w:t>
            </w:r>
            <w:r>
              <w:t xml:space="preserve"> se </w:t>
            </w:r>
            <w:r>
              <w:rPr>
                <w:b/>
                <w:i/>
              </w:rPr>
              <w:t>jim dostalo</w:t>
            </w:r>
            <w:r>
              <w:t xml:space="preserve"> podpory;</w:t>
            </w:r>
          </w:p>
        </w:tc>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aby bylo možné odstranit právní mezery a zajistit</w:t>
            </w:r>
            <w:r>
              <w:rPr>
                <w:b/>
                <w:i/>
              </w:rPr>
              <w:t xml:space="preserve"> lepší ochranu a podporu obětí v celé EU;</w:t>
            </w:r>
            <w:r>
              <w:t xml:space="preserve"> </w:t>
            </w:r>
            <w:r>
              <w:rPr>
                <w:b/>
                <w:i/>
              </w:rPr>
              <w:t>měla by být zohledněna složitost vnitrostátních právních předpisů s cílem zajistit, aby změny mohly být skutečně provedeny a vedly k tomu, že se milionům obětí trestných činů v celé EU dostane hmatatelné podpory;</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{IT}</w:t>
      </w:r>
      <w:r w:rsidRPr="00444926">
        <w:t>it</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227</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aby bylo možné odstranit právní mezery a zajistit, aby měly oběti přístup ke spravedlnosti a aby se jim dostalo podpory;</w:t>
            </w:r>
          </w:p>
        </w:tc>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aby bylo možné odstranit právní mezery a zajistit, aby měly oběti přístup ke spravedlnosti a aby se jim dostalo podpory; v </w:t>
            </w:r>
            <w:r>
              <w:rPr>
                <w:b/>
                <w:i/>
              </w:rPr>
              <w:t>této souvislosti zdůrazňuje, že v zájmu ochrany důstojnosti obětí by členské státy měly zabránit oslavování trestných činů a uctívání odsouzených pachatelů;</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228</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Michał Wawrykiewicz</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aby bylo možné odstranit právní mezery a zajistit, aby měly oběti přístup ke spravedlnosti a aby se jim dostalo podpory;</w:t>
            </w:r>
          </w:p>
        </w:tc>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t xml:space="preserve">, aby bylo možné odstranit právní mezery a zajistit, aby měly oběti přístup ke spravedlnosti a aby se jim dostalo podpory; </w:t>
            </w:r>
            <w:r>
              <w:rPr>
                <w:b/>
                <w:i/>
              </w:rPr>
              <w:t>očekává, že spolunormotvůrci naleznou řešení, jejichž středobodem budou oběti;</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https://eur-lex.europa.eu/legal-content/CS/TXT/?uri=CELEX:32012L0029).</w:t>
            </w:r>
          </w:p>
        </w:tc>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229</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rPr>
                <w:b/>
                <w:i/>
              </w:rPr>
              <w:t>, aby bylo možné odstranit právní mezery a </w:t>
            </w:r>
            <w:r>
              <w:t>zajistit, aby měly oběti přístup ke spravedlnosti a aby se jim dostalo podpory;</w:t>
            </w:r>
          </w:p>
        </w:tc>
        <w:tc>
          <w:tcPr>
            <w:tcW w:w="4876" w:type="dxa"/>
            <w:tcBorders>
              <w:top w:val="nil"/>
              <w:left w:val="nil"/>
              <w:bottom w:val="nil"/>
              <w:right w:val="nil"/>
            </w:tcBorders>
          </w:tcPr>
          <w:p w:rsidR="00B92CCE" w:rsidRPr="00444926" w:rsidRDefault="00B92CCE" w:rsidP="00215104">
            <w:pPr>
              <w:pStyle w:val="Normal6a"/>
            </w:pPr>
            <w:r>
              <w:t>4.</w:t>
            </w:r>
            <w:r>
              <w:tab/>
              <w:t>vítá přepracování směrnice o právech obětí</w:t>
            </w:r>
            <w:r>
              <w:rPr>
                <w:vertAlign w:val="superscript"/>
              </w:rPr>
              <w:t>38</w:t>
            </w:r>
            <w:r>
              <w:rPr>
                <w:b/>
                <w:i/>
              </w:rPr>
              <w:t xml:space="preserve"> s cílem </w:t>
            </w:r>
            <w:r>
              <w:t>zajistit, aby měly oběti přístup ke spravedlnosti a aby se jim dostalo podpory;</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c>
          <w:tcPr>
            <w:tcW w:w="4876" w:type="dxa"/>
            <w:tcBorders>
              <w:top w:val="nil"/>
              <w:left w:val="nil"/>
              <w:bottom w:val="nil"/>
              <w:right w:val="nil"/>
            </w:tcBorders>
          </w:tcPr>
          <w:p w:rsidR="00B92CCE" w:rsidRPr="00444926" w:rsidRDefault="00B92CCE" w:rsidP="00215104">
            <w:pPr>
              <w:pStyle w:val="Normal6a"/>
            </w:pPr>
            <w:r>
              <w:rPr>
                <w:vertAlign w:val="superscript"/>
              </w:rPr>
              <w:t>38</w:t>
            </w:r>
            <w:r>
              <w:t xml:space="preserve"> Směrnice Evropského parlamentu a Rady 2012/29/EU ze dne 25. října 2012, kterou se zavádí minimální pravidla pro práva, podporu a ochranu obětí trestného činu a kterou se nahrazuje rámcové rozhodnutí Rady 2001/220/SVV (Úř. věst. L 315, 14.11.2012, s. 57, ELI: http://data.europa.eu/eli/dir/2012/29/oj).</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230</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5.</w:t>
            </w:r>
            <w:r>
              <w:tab/>
              <w:t>opakovaně vyzývá Komisi, aby urychleně uzavřela jednání o členství EU ve Skupině států proti korupci (GRECO) zřízené v rámci Rady Evropy, a požaduje, aby se výroční zpráva o stavu právního státu vztahovala i na orgány a instituce EU;</w:t>
            </w:r>
          </w:p>
        </w:tc>
        <w:tc>
          <w:tcPr>
            <w:tcW w:w="4876" w:type="dxa"/>
            <w:tcBorders>
              <w:top w:val="nil"/>
              <w:left w:val="nil"/>
              <w:bottom w:val="nil"/>
              <w:right w:val="nil"/>
            </w:tcBorders>
          </w:tcPr>
          <w:p w:rsidR="00B92CCE" w:rsidRPr="00444926" w:rsidRDefault="00B92CCE" w:rsidP="00215104">
            <w:pPr>
              <w:pStyle w:val="Normal6a"/>
            </w:pPr>
            <w:r>
              <w:t>5.</w:t>
            </w:r>
            <w:r>
              <w:tab/>
              <w:t>opakovaně vyzývá Komisi, aby urychleně uzavřela jednání o členství EU ve Skupině států proti korupci (GRECO) zřízené v rámci Rady Evropy</w:t>
            </w:r>
            <w:r>
              <w:rPr>
                <w:b/>
                <w:i/>
              </w:rPr>
              <w:t>; uznává, že s ohledem na nedávné skandály není žádný z orgánů EU prostý korupce;</w:t>
            </w:r>
            <w:r>
              <w:t xml:space="preserve"> požaduje, aby se výroční zpráva o stavu právního státu vztahovala i na orgány a instituce</w:t>
            </w:r>
            <w:r>
              <w:rPr>
                <w:b/>
                <w:i/>
              </w:rPr>
              <w:t xml:space="preserve"> EU, zejména pokud jde o otázky korupce, zneužívání pravomocí, lobbování, zvýhodňování vybraných zemí nebo společností a nepřijatelné ideologické předsudky;</w:t>
            </w:r>
            <w:r>
              <w:t xml:space="preserve"> </w:t>
            </w:r>
            <w:r>
              <w:rPr>
                <w:b/>
                <w:i/>
              </w:rPr>
              <w:t>vybízí investigativní novináře a občanskou společnost, aby ještě podrobněji kontrolovali fungování orgánů EU; vyzývá orgány EU, aby zavedly důvěryhodný mechanismus pro oznamovatele, kteří oznamují nesrovnalosti ve fungování orgánů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231</w:t>
      </w:r>
      <w:r>
        <w:rPr>
          <w:rStyle w:val="HideTWBExt"/>
          <w:b w:val="0"/>
        </w:rPr>
        <w:t>&lt;/NumAm&gt;</w:t>
      </w:r>
    </w:p>
    <w:p w:rsidR="00B92CCE" w:rsidRPr="00444926" w:rsidRDefault="00B92CCE" w:rsidP="00B92CCE">
      <w:pPr>
        <w:pStyle w:val="NormalBold"/>
      </w:pPr>
      <w:r>
        <w:rPr>
          <w:rStyle w:val="HideTWBExt"/>
          <w:b w:val="0"/>
        </w:rPr>
        <w:t>&lt;RepeatBlock-By&gt;&lt;Members&gt;</w:t>
      </w:r>
      <w:r>
        <w:t>András László</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5.</w:t>
            </w:r>
            <w:r>
              <w:tab/>
            </w:r>
            <w:r>
              <w:rPr>
                <w:b/>
                <w:i/>
              </w:rPr>
              <w:t>opakovaně vyzývá Komisi, aby urychleně uzavřela jednání o členství EU ve Skupině států proti korupci (GRECO) zřízené v rámci Rady Evropy, a </w:t>
            </w:r>
            <w:r>
              <w:t>požaduje, aby se výroční zpráva o stavu právního státu vztahovala i na orgány a instituce EU;</w:t>
            </w:r>
          </w:p>
        </w:tc>
        <w:tc>
          <w:tcPr>
            <w:tcW w:w="4876" w:type="dxa"/>
            <w:tcBorders>
              <w:top w:val="nil"/>
              <w:left w:val="nil"/>
              <w:bottom w:val="nil"/>
              <w:right w:val="nil"/>
            </w:tcBorders>
          </w:tcPr>
          <w:p w:rsidR="00B92CCE" w:rsidRPr="00444926" w:rsidRDefault="00B92CCE" w:rsidP="00215104">
            <w:pPr>
              <w:pStyle w:val="Normal6a"/>
            </w:pPr>
            <w:r>
              <w:t>5.</w:t>
            </w:r>
            <w:r>
              <w:tab/>
              <w:t>požaduje, aby se výroční zpráva o stavu právního státu vztahovala i na orgány a instituce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232</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5.</w:t>
            </w:r>
            <w:r>
              <w:tab/>
            </w:r>
            <w:r>
              <w:rPr>
                <w:b/>
                <w:i/>
              </w:rPr>
              <w:t>opakovaně vyzývá Komisi, aby urychleně uzavřela jednání o členství EU ve Skupině států proti korupci (GRECO) zřízené v rámci Rady Evropy, a </w:t>
            </w:r>
            <w:r>
              <w:t>požaduje, aby se výroční zpráva o stavu právního státu vztahovala i na orgány a instituce EU;</w:t>
            </w:r>
          </w:p>
        </w:tc>
        <w:tc>
          <w:tcPr>
            <w:tcW w:w="4876" w:type="dxa"/>
            <w:tcBorders>
              <w:top w:val="nil"/>
              <w:left w:val="nil"/>
              <w:bottom w:val="nil"/>
              <w:right w:val="nil"/>
            </w:tcBorders>
          </w:tcPr>
          <w:p w:rsidR="00B92CCE" w:rsidRPr="00444926" w:rsidRDefault="00B92CCE" w:rsidP="00215104">
            <w:pPr>
              <w:pStyle w:val="Normal6a"/>
            </w:pPr>
            <w:r>
              <w:t>5.</w:t>
            </w:r>
            <w:r>
              <w:tab/>
              <w:t>požaduje, aby se výroční zpráva o stavu právního státu vztahovala na </w:t>
            </w:r>
            <w:r>
              <w:rPr>
                <w:b/>
                <w:i/>
              </w:rPr>
              <w:t xml:space="preserve">všechny </w:t>
            </w:r>
            <w:r>
              <w:t>orgány a instituce EU</w:t>
            </w:r>
            <w:r>
              <w:rPr>
                <w:b/>
                <w:i/>
              </w:rPr>
              <w:t xml:space="preserve"> a jejich činnosti</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233</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5.</w:t>
            </w:r>
            <w:r>
              <w:tab/>
              <w:t xml:space="preserve">opakovaně vyzývá Komisi, aby </w:t>
            </w:r>
            <w:r>
              <w:rPr>
                <w:b/>
                <w:i/>
              </w:rPr>
              <w:t>urychleně uzavřela</w:t>
            </w:r>
            <w:r>
              <w:t xml:space="preserve"> jednání o členství EU ve Skupině států proti korupci (GRECO) zřízené v rámci Rady Evropy, a požaduje, aby se výroční zpráva o stavu právního státu vztahovala i na orgány a instituce EU;</w:t>
            </w:r>
          </w:p>
        </w:tc>
        <w:tc>
          <w:tcPr>
            <w:tcW w:w="4876" w:type="dxa"/>
            <w:tcBorders>
              <w:top w:val="nil"/>
              <w:left w:val="nil"/>
              <w:bottom w:val="nil"/>
              <w:right w:val="nil"/>
            </w:tcBorders>
          </w:tcPr>
          <w:p w:rsidR="00B92CCE" w:rsidRPr="00444926" w:rsidRDefault="00B92CCE" w:rsidP="00215104">
            <w:pPr>
              <w:pStyle w:val="Normal6a"/>
            </w:pPr>
            <w:r>
              <w:t>5.</w:t>
            </w:r>
            <w:r>
              <w:tab/>
              <w:t xml:space="preserve">opakovaně vyzývá Komisi, aby </w:t>
            </w:r>
            <w:r>
              <w:rPr>
                <w:b/>
                <w:i/>
              </w:rPr>
              <w:t>okamžitě dokončila</w:t>
            </w:r>
            <w:r>
              <w:t xml:space="preserve"> jednání o členství EU ve Skupině států proti korupci (GRECO) zřízené v rámci Rady Evropy, a požaduje, aby se výroční zpráva o stavu právního státu vztahovala i na orgány a instituce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234</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Chloé Ridel, Abir Al-Sahlani, Fabienne Keller, Lucia Yar, Irena Joveva,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5a.</w:t>
            </w:r>
            <w:r>
              <w:tab/>
            </w:r>
            <w:r>
              <w:rPr>
                <w:b/>
                <w:i/>
              </w:rPr>
              <w:t>vyzývá členské státy, aby přijaly, aktualizovaly, monitorovaly, prováděly a revidovaly své vnitrostátní protikorupční strategie s cílem zajistit, aby opatření proti korupci byla začleněna do všech příslušných oblastí politiky; připomíná důležitost spolupráce mezi vnitrostátními orgány a Úřadem evropského veřejného žalobce (EPPO); doporučuje, aby členské státy, které se spolupráce s úřadem EPPO neúčastní, nebyly způsobilé k přímé správě finančních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235</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5a.</w:t>
            </w:r>
            <w:r>
              <w:tab/>
            </w:r>
            <w:r>
              <w:rPr>
                <w:b/>
                <w:i/>
              </w:rPr>
              <w:t>znovu vyzývá všechny členské státy, aby v návaznosti na doporučení skupiny GRECO přijaly kodex chování pro soudce, s přihlédnutím k tomu, že takové kodexy platí u Evropského soudu pro lidská práva (ESLP);</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236</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5a.</w:t>
            </w:r>
            <w:r>
              <w:tab/>
            </w:r>
            <w:r>
              <w:rPr>
                <w:b/>
                <w:i/>
              </w:rPr>
              <w:t>domnívá se, že právní reformy „ad hominem“ porušují základní zásady právního státu, jako je rovnost před zákonem a nezávislost soudnictví;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237</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5b.</w:t>
            </w:r>
            <w:r>
              <w:tab/>
            </w:r>
            <w:r>
              <w:rPr>
                <w:b/>
                <w:i/>
              </w:rPr>
              <w:t>opakuje, že korupce představuje vážnou hrozbu pro demokracii, základní práva a právní stát; zdůrazňuje, že korupce snižuje důvěru občanů ve veřejné instituce; vyjadřuje politování nad tím, že průzkum Eurobarometr z roku 2024 týkající se korupce ukazuje, že korupce je pro občany a podniky v EU stále vážným problémem, kdy 68 % Evropanů se domnívá, že korupce je v jejich zemi rozšířená, 65 % Evropanů je přesvědčeno, že případy korupce na vysoké úrovni nejsou dostatečně stíhány, a 41 % si myslí, že míra korupce vzrostla; domnívá se, že je úkolem EU, aby zintenzivnila své úsilí v boji proti korupci;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238</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5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5b.</w:t>
            </w:r>
            <w:r>
              <w:tab/>
            </w:r>
            <w:r>
              <w:rPr>
                <w:b/>
                <w:i/>
              </w:rPr>
              <w:t>vyzývá evropské instituce, jako je Europol, Eurojust, Evropský účetní dvůr, EPPO a Evropský úřad pro boj proti podvodům (OLAF), aby zlepšily vzájemnou spolupráci;</w:t>
            </w:r>
          </w:p>
        </w:tc>
      </w:tr>
    </w:tbl>
    <w:p w:rsidR="00B92CCE" w:rsidRPr="00BF159C" w:rsidRDefault="00B92CCE" w:rsidP="00B92CCE">
      <w:pPr>
        <w:pStyle w:val="AmOrLang"/>
        <w:rPr>
          <w:lang w:val="sv-SE"/>
        </w:rPr>
      </w:pPr>
      <w:r w:rsidRPr="00BF159C">
        <w:rPr>
          <w:lang w:val="sv-SE"/>
        </w:rPr>
        <w:t xml:space="preserve">Or. </w:t>
      </w:r>
      <w:r w:rsidRPr="00BF159C">
        <w:rPr>
          <w:rStyle w:val="HideTWBExt"/>
          <w:lang w:val="sv-SE"/>
        </w:rPr>
        <w:t>&lt;Original&gt;</w:t>
      </w:r>
      <w:r w:rsidRPr="00BF159C">
        <w:rPr>
          <w:rStyle w:val="HideTWBInt"/>
          <w:lang w:val="sv-SE"/>
        </w:rPr>
        <w:t>{EN}</w:t>
      </w:r>
      <w:r w:rsidRPr="00BF159C">
        <w:rPr>
          <w:lang w:val="sv-SE"/>
        </w:rPr>
        <w:t>en</w:t>
      </w:r>
      <w:r w:rsidRPr="00BF159C">
        <w:rPr>
          <w:rStyle w:val="HideTWBExt"/>
          <w:lang w:val="sv-SE"/>
        </w:rPr>
        <w:t>&lt;/Original&gt;</w:t>
      </w:r>
    </w:p>
    <w:p w:rsidR="00B92CCE" w:rsidRPr="00BF159C" w:rsidRDefault="00B92CCE" w:rsidP="00B92CCE">
      <w:r>
        <w:rPr>
          <w:rStyle w:val="HideTWBExt"/>
          <w:lang w:val="sv-SE"/>
        </w:rPr>
        <w:t>&lt;/Amend&gt;</w:t>
      </w:r>
    </w:p>
    <w:p w:rsidR="00B92CCE" w:rsidRPr="00BF159C" w:rsidRDefault="00B92CCE" w:rsidP="00B92CCE">
      <w:pPr>
        <w:pStyle w:val="AmNumberTabs"/>
      </w:pPr>
      <w:r>
        <w:rPr>
          <w:rStyle w:val="HideTWBExt"/>
          <w:b w:val="0"/>
          <w:lang w:val="sv-SE"/>
        </w:rPr>
        <w:t>&lt;Amend&gt;</w:t>
      </w:r>
      <w:r>
        <w:t>Pozměňovací návrh</w:t>
      </w:r>
      <w:r>
        <w:tab/>
      </w:r>
      <w:r>
        <w:tab/>
      </w:r>
      <w:r>
        <w:rPr>
          <w:rStyle w:val="HideTWBExt"/>
          <w:b w:val="0"/>
          <w:lang w:val="sv-SE"/>
        </w:rPr>
        <w:t>&lt;NumAm&gt;</w:t>
      </w:r>
      <w:r>
        <w:t>239</w:t>
      </w:r>
      <w:r>
        <w:rPr>
          <w:rStyle w:val="HideTWBExt"/>
          <w:b w:val="0"/>
          <w:lang w:val="sv-SE"/>
        </w:rPr>
        <w:t>&lt;/NumAm&gt;</w:t>
      </w:r>
    </w:p>
    <w:p w:rsidR="00B92CCE" w:rsidRPr="00BF159C" w:rsidRDefault="00B92CCE" w:rsidP="00B92CCE">
      <w:pPr>
        <w:pStyle w:val="NormalBold"/>
      </w:pPr>
      <w:r>
        <w:rPr>
          <w:rStyle w:val="HideTWBExt"/>
          <w:b w:val="0"/>
          <w:lang w:val="sv-SE"/>
        </w:rPr>
        <w:t>&lt;RepeatBlock-By&gt;&lt;Members&gt;</w:t>
      </w:r>
      <w:r>
        <w:t>Sebastian Tynkkynen</w:t>
      </w:r>
      <w:r>
        <w:rPr>
          <w:rStyle w:val="HideTWBExt"/>
          <w:b w:val="0"/>
          <w:lang w:val="sv-SE"/>
        </w:rPr>
        <w:t>&lt;/Members&gt;</w:t>
      </w:r>
    </w:p>
    <w:p w:rsidR="00B92CCE" w:rsidRPr="00BF159C" w:rsidRDefault="00B92CCE" w:rsidP="00B92CCE">
      <w:pPr>
        <w:pStyle w:val="NormalBold"/>
      </w:pPr>
      <w:r>
        <w:rPr>
          <w:rStyle w:val="HideTWBExt"/>
          <w:b w:val="0"/>
          <w:lang w:val="sv-SE"/>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6.</w:t>
            </w:r>
            <w:r>
              <w:tab/>
            </w:r>
            <w:r>
              <w:rPr>
                <w:b/>
                <w:i/>
              </w:rPr>
              <w:t>konstatuje, že existuje trend, kdy některé členské státy odkládají provedení rozsudků Soudního dvora EU nebo je neprovádějí, a vyzývá k tomu, aby se jejich provedení stalo prioritou;</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{FI}</w:t>
      </w:r>
      <w:r w:rsidRPr="00444926">
        <w:t>fi</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240</w:t>
      </w:r>
      <w:r>
        <w:rPr>
          <w:rStyle w:val="HideTWBExt"/>
          <w:b w:val="0"/>
        </w:rPr>
        <w:t>&lt;/NumAm&gt;</w:t>
      </w:r>
    </w:p>
    <w:p w:rsidR="00B92CCE" w:rsidRPr="00444926" w:rsidRDefault="00B92CCE" w:rsidP="00B92CCE">
      <w:pPr>
        <w:pStyle w:val="NormalBold"/>
      </w:pPr>
      <w:r>
        <w:rPr>
          <w:rStyle w:val="HideTWBExt"/>
          <w:b w:val="0"/>
        </w:rPr>
        <w:t>&lt;RepeatBlock-By&gt;&lt;Members&gt;</w:t>
      </w:r>
      <w:r>
        <w:t>Alessandro Ciriani, Paolo Inselvini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6.</w:t>
            </w:r>
            <w:r>
              <w:tab/>
            </w:r>
            <w:r>
              <w:rPr>
                <w:b/>
                <w:i/>
              </w:rPr>
              <w:t>konstatuje, že existuje trend, kdy některé členské státy odkládají provedení rozsudků Soudního dvora EU nebo je neprovádějí, a vyzývá k tomu, aby se jejich provedení stalo prioritou;</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{IT}</w:t>
      </w:r>
      <w:r w:rsidRPr="00444926">
        <w:t>it</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241</w:t>
      </w:r>
      <w:r>
        <w:rPr>
          <w:rStyle w:val="HideTWBExt"/>
          <w:b w:val="0"/>
        </w:rPr>
        <w:t>&lt;/NumAm&gt;</w:t>
      </w:r>
    </w:p>
    <w:p w:rsidR="00B92CCE" w:rsidRPr="00444926" w:rsidRDefault="00B92CCE" w:rsidP="00B92CCE">
      <w:pPr>
        <w:pStyle w:val="NormalBold"/>
      </w:pPr>
      <w:r>
        <w:rPr>
          <w:rStyle w:val="HideTWBExt"/>
          <w:b w:val="0"/>
        </w:rPr>
        <w:t>&lt;RepeatBlock-By&gt;&lt;Members&gt;</w:t>
      </w:r>
      <w:r>
        <w:t>Daniel Freund</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vyzývá k tomu, aby se jejich provedení stalo prioritou;</w:t>
            </w:r>
          </w:p>
        </w:tc>
        <w:tc>
          <w:tcPr>
            <w:tcW w:w="4876" w:type="dxa"/>
            <w:tcBorders>
              <w:top w:val="nil"/>
              <w:left w:val="nil"/>
              <w:bottom w:val="nil"/>
              <w:right w:val="nil"/>
            </w:tcBorders>
          </w:tcPr>
          <w:p w:rsidR="00B92CCE" w:rsidRPr="00444926" w:rsidRDefault="00B92CCE" w:rsidP="00215104">
            <w:pPr>
              <w:pStyle w:val="Normal6a"/>
            </w:pPr>
            <w:r>
              <w:t>6.</w:t>
            </w:r>
            <w:r>
              <w:tab/>
              <w:t xml:space="preserve">konstatuje, že existuje trend, kdy některé členské státy odkládají provedení rozsudků SDEU a ESLP nebo je neprovádějí, a vyzývá k tomu, aby se jejich provedení stalo prioritou; </w:t>
            </w:r>
            <w:r>
              <w:rPr>
                <w:b/>
                <w:i/>
              </w:rPr>
              <w:t>naléhavě vyzývá Komisi, aby jakožto strážkyně Smluv plnila svou povinnost vymáhat právní předpisy EU v oblasti lidských práv a nespoléhala se pouze na to, že uplatňování právních předpisů EU budou zajišťovat sami občané podáváním žalob k soudům; vyzývá Komisi, aby vytvořila srovnávací přehled ukazatelů věnovaný monitorování provádění úplně všech rozsudků SDEU a ESLP, které souvisí s demokracií, právním státem a základními právy, a aby ho plně začlenila do výroční zprávy o právním státu; doporučuje Komisi, aby zejména využívala opatření pro řešení neprovedení rozsudků SDEU podle čl. 260 odst. 2 SFEU a aby v případech nevykonání rozsudků SDEU a ESLP použila nařízení o podmíněnosti dodržováním zásad právního státu; vyzývá Komisi, aby systematicky analyzovala údaje o nevyhovění stanoviskům orgánů zřízených smlouvami OSN týkajícím se jednotlivých sdělení;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242</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 Ana Catarina Mendes, Moritz Körner</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vyzývá k tomu, aby se jejich provedení stalo prioritou;</w:t>
            </w:r>
          </w:p>
        </w:tc>
        <w:tc>
          <w:tcPr>
            <w:tcW w:w="4876" w:type="dxa"/>
            <w:tcBorders>
              <w:top w:val="nil"/>
              <w:left w:val="nil"/>
              <w:bottom w:val="nil"/>
              <w:right w:val="nil"/>
            </w:tcBorders>
          </w:tcPr>
          <w:p w:rsidR="00B92CCE" w:rsidRPr="00444926" w:rsidRDefault="00B92CCE" w:rsidP="00215104">
            <w:pPr>
              <w:pStyle w:val="Normal6a"/>
            </w:pPr>
            <w:r>
              <w:t>6.</w:t>
            </w:r>
            <w:r>
              <w:tab/>
              <w:t xml:space="preserve">konstatuje, že existuje trend, kdy některé členské státy odkládají provedení rozsudků Soudního dvora EU nebo je neprovádějí, a vyzývá k tomu, aby se jejich provedení stalo prioritou; </w:t>
            </w:r>
            <w:r>
              <w:rPr>
                <w:b/>
                <w:i/>
              </w:rPr>
              <w:t>zdůrazňuje, že členské státy a orgány EU musí systematicky začleňovat a provádět nejnovější judikaturu SDEU s cílem prosazovat právní stát a zajistit jednotné uplatňování práva EU; vyzývá k rychlému přizpůsobení vnitrostátních právních předpisů a institucionálních rámců, tak aby byly v souladu se soudními rozhodnutími; naléhavě vyzývá Komisi, aby sledovala dodržování rozhodnutí a přijala opatření v případech jejich přetrvávajícího neprovádění;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243</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vyzývá k </w:t>
            </w:r>
            <w:r>
              <w:rPr>
                <w:b/>
                <w:i/>
              </w:rPr>
              <w:t>tomu</w:t>
            </w:r>
            <w:r>
              <w:t xml:space="preserve">, aby </w:t>
            </w:r>
            <w:r>
              <w:rPr>
                <w:b/>
                <w:i/>
              </w:rPr>
              <w:t>se jejich provedení stalo prioritou</w:t>
            </w:r>
            <w:r>
              <w:t>;</w:t>
            </w:r>
          </w:p>
        </w:tc>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w:t>
            </w:r>
            <w:r>
              <w:rPr>
                <w:b/>
                <w:i/>
              </w:rPr>
              <w:t xml:space="preserve">žádá jejich včasné provedení; zdůrazňuje, že dodržování zásad právního státu zahrnuje plné respektování rozsudků SDEU, zejména v záležitostech ovlivňujících dělbu moci a nezávislost soudnictví; </w:t>
            </w:r>
            <w:r>
              <w:t xml:space="preserve">vyzývá </w:t>
            </w:r>
            <w:r>
              <w:rPr>
                <w:b/>
                <w:i/>
              </w:rPr>
              <w:t>Komisi</w:t>
            </w:r>
            <w:r>
              <w:t xml:space="preserve">, aby </w:t>
            </w:r>
            <w:r>
              <w:rPr>
                <w:b/>
                <w:i/>
              </w:rPr>
              <w:t>posoudila, zda odkládání provedení takového rozhodnutí nebo jeho nerespektování opodstatňuje zahájení řízení o nesplnění povinnosti podle článku 258 SFEU</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244</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vyzývá k tomu, aby se jejich provedení stalo prioritou;</w:t>
            </w:r>
          </w:p>
        </w:tc>
        <w:tc>
          <w:tcPr>
            <w:tcW w:w="4876" w:type="dxa"/>
            <w:tcBorders>
              <w:top w:val="nil"/>
              <w:left w:val="nil"/>
              <w:bottom w:val="nil"/>
              <w:right w:val="nil"/>
            </w:tcBorders>
          </w:tcPr>
          <w:p w:rsidR="00B92CCE" w:rsidRPr="00444926" w:rsidRDefault="00B92CCE" w:rsidP="00215104">
            <w:pPr>
              <w:pStyle w:val="Normal6a"/>
            </w:pPr>
            <w:r>
              <w:t>6.</w:t>
            </w:r>
            <w:r>
              <w:tab/>
              <w:t xml:space="preserve">konstatuje, že existuje trend, kdy některé členské státy odkládají provedení rozsudků Soudního dvora EU nebo je neprovádějí, a vyzývá k tomu, aby se jejich provedení stalo prioritou; </w:t>
            </w:r>
            <w:r>
              <w:rPr>
                <w:b/>
                <w:i/>
              </w:rPr>
              <w:t>opakuje, že účinné provádění rozsudků má zásadní význam pro zajištění ochrany základních práv a hospodářských svobod zakotvených v SEU, SFEU a Listině; vyzývá všechny členské státy, aby včasnému a účinnému provedení rozsudků SDEU daly prioritu;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245</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vyzývá k </w:t>
            </w:r>
            <w:r>
              <w:rPr>
                <w:b/>
                <w:i/>
              </w:rPr>
              <w:t>tomu</w:t>
            </w:r>
            <w:r>
              <w:t xml:space="preserve">, aby </w:t>
            </w:r>
            <w:r>
              <w:rPr>
                <w:b/>
                <w:i/>
              </w:rPr>
              <w:t>se jejich provedení stalo prioritou</w:t>
            </w:r>
            <w:r>
              <w:t>;</w:t>
            </w:r>
          </w:p>
        </w:tc>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w:t>
            </w:r>
            <w:r>
              <w:rPr>
                <w:b/>
                <w:i/>
              </w:rPr>
              <w:t xml:space="preserve">; domnívá se, že některé rozsudky SDEU jsou ultra vires a porušují pravomoci členských států; </w:t>
            </w:r>
            <w:r>
              <w:t xml:space="preserve">vyzývá </w:t>
            </w:r>
            <w:r>
              <w:rPr>
                <w:b/>
                <w:i/>
              </w:rPr>
              <w:t>orgány EU a členské státy</w:t>
            </w:r>
            <w:r>
              <w:t xml:space="preserve">, aby </w:t>
            </w:r>
            <w:r>
              <w:rPr>
                <w:b/>
                <w:i/>
              </w:rPr>
              <w:t>respektovaly ústavní řešení přijatá členskými státy a vnitrostátní judikaturu ústavních soudů</w:t>
            </w:r>
            <w:r>
              <w:t>;</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{PL}</w:t>
      </w:r>
      <w:r w:rsidRPr="009904E7">
        <w:t>pl</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246</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Erik Kaliňák</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r>
            <w:r>
              <w:rPr>
                <w:b/>
                <w:i/>
              </w:rPr>
              <w:t>konstatuje, že existuje trend, kdy některé členské státy odkládají provedení rozsudků Soudního dvora EU nebo je neprovádějí</w:t>
            </w:r>
            <w:r>
              <w:t>, a </w:t>
            </w:r>
            <w:r>
              <w:rPr>
                <w:b/>
                <w:i/>
              </w:rPr>
              <w:t>vyzývá k tomu</w:t>
            </w:r>
            <w:r>
              <w:t xml:space="preserve">, aby </w:t>
            </w:r>
            <w:r>
              <w:rPr>
                <w:b/>
                <w:i/>
              </w:rPr>
              <w:t>se jejich provedení stalo prioritou</w:t>
            </w:r>
            <w:r>
              <w:t>;</w:t>
            </w:r>
          </w:p>
        </w:tc>
        <w:tc>
          <w:tcPr>
            <w:tcW w:w="4876" w:type="dxa"/>
            <w:tcBorders>
              <w:top w:val="nil"/>
              <w:left w:val="nil"/>
              <w:bottom w:val="nil"/>
              <w:right w:val="nil"/>
            </w:tcBorders>
          </w:tcPr>
          <w:p w:rsidR="00B92CCE" w:rsidRPr="00444926" w:rsidRDefault="00B92CCE" w:rsidP="00215104">
            <w:pPr>
              <w:pStyle w:val="Normal6a"/>
            </w:pPr>
            <w:r>
              <w:t>6.</w:t>
            </w:r>
            <w:r>
              <w:tab/>
            </w:r>
            <w:r>
              <w:rPr>
                <w:b/>
                <w:i/>
              </w:rPr>
              <w:t>vyzývá k prošetření opatření Komise ohledně údajných nepřímých lobbistických praktik na podporu Zelené dohody pro Evropu</w:t>
            </w:r>
            <w:r>
              <w:t>, v </w:t>
            </w:r>
            <w:r>
              <w:rPr>
                <w:b/>
                <w:i/>
              </w:rPr>
              <w:t>jejímž rámci Komise údajně přidělila nevládním organizacím evropské finanční prostředky</w:t>
            </w:r>
            <w:r>
              <w:t xml:space="preserve">, aby </w:t>
            </w:r>
            <w:r>
              <w:rPr>
                <w:b/>
                <w:i/>
              </w:rPr>
              <w:t>jim umožnila ovlivňovat ostatní evropské orgány a prosazovat její politiky</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247</w:t>
      </w:r>
      <w:r>
        <w:rPr>
          <w:rStyle w:val="HideTWBExt"/>
          <w:b w:val="0"/>
        </w:rPr>
        <w:t>&lt;/NumAm&gt;</w:t>
      </w:r>
    </w:p>
    <w:p w:rsidR="00B92CCE" w:rsidRPr="00444926" w:rsidRDefault="00B92CCE" w:rsidP="00B92CCE">
      <w:pPr>
        <w:pStyle w:val="NormalBold"/>
      </w:pPr>
      <w:r>
        <w:rPr>
          <w:rStyle w:val="HideTWBExt"/>
          <w:b w:val="0"/>
        </w:rPr>
        <w:t>&lt;RepeatBlock-By&gt;&lt;Members&gt;</w:t>
      </w:r>
      <w:r>
        <w:t>Nicolas Bay</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w:t>
            </w:r>
            <w:r>
              <w:rPr>
                <w:b/>
                <w:i/>
              </w:rPr>
              <w:t>, a vyzývá k tomu, aby se jejich provedení stalo prioritou</w:t>
            </w:r>
            <w:r>
              <w:t>;</w:t>
            </w:r>
          </w:p>
        </w:tc>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{FR}</w:t>
      </w:r>
      <w:r w:rsidRPr="00444926">
        <w:t>fr</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248</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 xml:space="preserve">konstatuje, že existuje trend, kdy některé členské státy </w:t>
            </w:r>
            <w:r>
              <w:rPr>
                <w:b/>
                <w:i/>
              </w:rPr>
              <w:t>odkládají provedení rozsudků</w:t>
            </w:r>
            <w:r>
              <w:t xml:space="preserve"> Soudního dvora EU nebo je neprovádějí, a vyzývá k tomu, aby se jejich provedení stalo prioritou;</w:t>
            </w:r>
          </w:p>
        </w:tc>
        <w:tc>
          <w:tcPr>
            <w:tcW w:w="4876" w:type="dxa"/>
            <w:tcBorders>
              <w:top w:val="nil"/>
              <w:left w:val="nil"/>
              <w:bottom w:val="nil"/>
              <w:right w:val="nil"/>
            </w:tcBorders>
          </w:tcPr>
          <w:p w:rsidR="00B92CCE" w:rsidRPr="00444926" w:rsidRDefault="00B92CCE" w:rsidP="00215104">
            <w:pPr>
              <w:pStyle w:val="Normal6a"/>
            </w:pPr>
            <w:r>
              <w:t>6.</w:t>
            </w:r>
            <w:r>
              <w:tab/>
              <w:t xml:space="preserve">konstatuje, že existuje trend, kdy některé členské státy </w:t>
            </w:r>
            <w:r>
              <w:rPr>
                <w:b/>
                <w:i/>
              </w:rPr>
              <w:t>provádějí rozsudky</w:t>
            </w:r>
            <w:r>
              <w:t xml:space="preserve"> Soudního dvora EU</w:t>
            </w:r>
            <w:r>
              <w:rPr>
                <w:b/>
                <w:i/>
              </w:rPr>
              <w:t xml:space="preserve"> selektivně, odkládají jejich provedení</w:t>
            </w:r>
            <w:r>
              <w:t xml:space="preserve"> nebo je neprovádějí, a vyzývá k tomu, aby se jejich provedení stalo prioritou;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249</w:t>
      </w:r>
      <w:r>
        <w:rPr>
          <w:rStyle w:val="HideTWBExt"/>
          <w:b w:val="0"/>
        </w:rPr>
        <w:t>&lt;/NumAm&gt;</w:t>
      </w:r>
    </w:p>
    <w:p w:rsidR="00B92CCE" w:rsidRPr="00444926" w:rsidRDefault="00B92CCE" w:rsidP="00B92CCE">
      <w:pPr>
        <w:pStyle w:val="NormalBold"/>
      </w:pPr>
      <w:r>
        <w:rPr>
          <w:rStyle w:val="HideTWBExt"/>
          <w:b w:val="0"/>
        </w:rPr>
        <w:t>&lt;RepeatBlock-By&gt;&lt;Members&gt;</w:t>
      </w:r>
      <w:r>
        <w:t>Mary Khan, Milan Uhrík, Ewa Zajączkowska-Hernik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w:t>
            </w:r>
            <w:r>
              <w:rPr>
                <w:b/>
                <w:i/>
              </w:rPr>
              <w:t>vyzývá k tomu, aby se jejich provedení stalo prioritou</w:t>
            </w:r>
            <w:r>
              <w:t>;</w:t>
            </w:r>
          </w:p>
        </w:tc>
        <w:tc>
          <w:tcPr>
            <w:tcW w:w="4876" w:type="dxa"/>
            <w:tcBorders>
              <w:top w:val="nil"/>
              <w:left w:val="nil"/>
              <w:bottom w:val="nil"/>
              <w:right w:val="nil"/>
            </w:tcBorders>
          </w:tcPr>
          <w:p w:rsidR="00B92CCE" w:rsidRPr="00444926" w:rsidRDefault="00B92CCE" w:rsidP="00215104">
            <w:pPr>
              <w:pStyle w:val="Normal6a"/>
            </w:pPr>
            <w:r>
              <w:t>6.</w:t>
            </w:r>
            <w:r>
              <w:tab/>
              <w:t>konstatuje, že existuje trend, kdy některé členské státy odkládají provedení rozsudků Soudního dvora EU nebo je neprovádějí, a </w:t>
            </w:r>
            <w:r>
              <w:rPr>
                <w:b/>
                <w:i/>
              </w:rPr>
              <w:t>respektuje jejich svrchované rozhodnutí tak činit</w:t>
            </w:r>
            <w:r>
              <w:t>;</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250</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Daniel Freund</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6a.</w:t>
            </w:r>
            <w:r>
              <w:tab/>
            </w:r>
            <w:r>
              <w:rPr>
                <w:b/>
                <w:i/>
              </w:rPr>
              <w:t>zdůrazňuje, že demokratické státy zajišťují mechanismy politického a sociálního usmíření, mimo jiné prostřednictvím institutů amnestie a milosti, které podporují soužití, zabraňují nadměrné judicializaci politických konfliktů a posilují demokratický dialog; poukazuje na to, že z oblasti působnosti institutu amnestie musí být vyloučeno závažné porušování lidských práv a že tento institut nemůže být používán k ochraně úředníků před odpovědností v případech přivlastnění veřejného majetku; zdůrazňuje, že amnestie má za následek zrušení soudních rozhodnutí a řízení, nebo jim brání, a soudci jsou povinni uplatňovat právo, a to jak v případě změn trestněprávních předpisů, tak v případě amnestie; domnívá se, že přesun konfliktů z politické na soudní úroveň neodpovídá účelu amnestie jako takové; je znepokojen údajnou neochotou některých aktérů plně provádět schválené zákony o amnestii, což oslabuje právní jistotu a dělbu moci;</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251</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Michał Wawrykiewicz</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6a.</w:t>
            </w:r>
            <w:r>
              <w:tab/>
            </w:r>
            <w:r>
              <w:rPr>
                <w:b/>
                <w:i/>
              </w:rPr>
              <w:t>zdůrazňuje, že jsou zapotřebí cílená opatření, která by řešila konkrétní hrozby pro zásadu vzájemného uznávání v rámci soudní a správní spolupráce a zajistila trvalou integritu a důvěru v rámci vnitřního trhu EU; doporučuje, aby každé nové nařízení obsahovalo ustanovení o účinných mechanismech zablokování nebo změny spolupráce mezi členskými státy nebo orgány EU na základě zásady vzájemné důvěry s členským státem, u něhož bylo zjištěno závažné porušení zásad právního státu;</w:t>
            </w:r>
            <w:r>
              <w:rPr>
                <w:b/>
                <w:i/>
                <w:vertAlign w:val="superscript"/>
              </w:rPr>
              <w:t>1a</w:t>
            </w:r>
          </w:p>
        </w:tc>
      </w:tr>
      <w:tr w:rsidR="00B92CCE" w:rsidTr="00215104">
        <w:trPr>
          <w:jc w:val="center"/>
        </w:trPr>
        <w:tc>
          <w:tcPr>
            <w:tcW w:w="4876" w:type="dxa"/>
            <w:tcBorders>
              <w:top w:val="nil"/>
              <w:left w:val="nil"/>
              <w:bottom w:val="nil"/>
              <w:right w:val="nil"/>
            </w:tcBorders>
          </w:tcPr>
          <w:p w:rsidR="00B92CCE" w:rsidRPr="00444926" w:rsidRDefault="00B92CCE" w:rsidP="00215104"/>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tc>
        <w:tc>
          <w:tcPr>
            <w:tcW w:w="4876" w:type="dxa"/>
            <w:tcBorders>
              <w:top w:val="nil"/>
              <w:left w:val="nil"/>
              <w:bottom w:val="nil"/>
              <w:right w:val="nil"/>
            </w:tcBorders>
          </w:tcPr>
          <w:p w:rsidR="00B92CCE" w:rsidRPr="00444926" w:rsidRDefault="00B92CCE" w:rsidP="00215104">
            <w:pPr>
              <w:pStyle w:val="Normal6a"/>
            </w:pPr>
            <w:r>
              <w:rPr>
                <w:b/>
                <w:i/>
                <w:vertAlign w:val="superscript"/>
              </w:rPr>
              <w:t>1a</w:t>
            </w:r>
            <w:r>
              <w:rPr>
                <w:b/>
                <w:i/>
              </w:rPr>
              <w:t xml:space="preserve"> Jak bylo určeno v rozsudku SDEU ze dne 23. října 2014, věc C-577/12, Sped-Pro GmbH v. Finanzamt Linz.</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252</w:t>
      </w:r>
      <w:r>
        <w:rPr>
          <w:rStyle w:val="HideTWBExt"/>
          <w:b w:val="0"/>
        </w:rPr>
        <w:t>&lt;/NumAm&gt;</w:t>
      </w:r>
    </w:p>
    <w:p w:rsidR="00B92CCE" w:rsidRPr="00444926" w:rsidRDefault="00B92CCE" w:rsidP="00B92CCE">
      <w:pPr>
        <w:pStyle w:val="NormalBold"/>
      </w:pPr>
      <w:r>
        <w:rPr>
          <w:rStyle w:val="HideTWBExt"/>
          <w:b w:val="0"/>
        </w:rPr>
        <w:t>&lt;RepeatBlock-By&gt;&lt;Members&gt;</w:t>
      </w:r>
      <w:r>
        <w:t>Marieke Ehlers, Jorge Buxadé Villalba, Tom Vandendriessche,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6a.</w:t>
            </w:r>
            <w:r>
              <w:tab/>
            </w:r>
            <w:r>
              <w:rPr>
                <w:b/>
                <w:i/>
              </w:rPr>
              <w:t>připomíná, že pouze dva postupy v rámci mechanismu včasného varování vedly k řízení před Soudním dvorem EU, z nichž žádný nevedl k vydání rozhodnutí ve prospěch členského státu; uznává, že to vytváří dojem, že Soudní dvůr je zaujatý vůči členským státům a zvýhodňuje Komisi; uznává, že taková podjatost by představovala závažné porušení zásad právního státu;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253</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6a.</w:t>
            </w:r>
            <w:r>
              <w:tab/>
            </w:r>
            <w:r>
              <w:rPr>
                <w:b/>
                <w:i/>
              </w:rPr>
              <w:t>odsuzuje přetrvávající nedostatečný pokrok v některých členských státech při vyšetřování a stíhání případů korupce na vysoké úrovni; zdůrazňuje, že pravomocné odsouzení a odrazující sankce jsou nezbytné k tomu, aby bylo prokázáno skutečné odhodlání bojovat proti korupci;</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254</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Alessandro Ciriani, Paolo Inselvini</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6a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6a.</w:t>
            </w:r>
            <w:r>
              <w:tab/>
            </w:r>
            <w:r>
              <w:rPr>
                <w:b/>
                <w:i/>
              </w:rPr>
              <w:t>vyzývá členské státy, aby prováděly rozsudky SDEU;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{IT}</w:t>
      </w:r>
      <w:r w:rsidRPr="00444926">
        <w:t>it</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255</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7.</w:t>
            </w:r>
            <w:r>
              <w:tab/>
            </w:r>
            <w:r>
              <w:rPr>
                <w:b/>
                <w:i/>
              </w:rPr>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256</w:t>
      </w:r>
      <w:r>
        <w:rPr>
          <w:rStyle w:val="HideTWBExt"/>
          <w:b w:val="0"/>
        </w:rPr>
        <w:t>&lt;/NumAm&gt;</w:t>
      </w:r>
    </w:p>
    <w:p w:rsidR="00B92CCE" w:rsidRPr="00BF159C" w:rsidRDefault="00B92CCE" w:rsidP="00B92CCE">
      <w:pPr>
        <w:pStyle w:val="NormalBold"/>
      </w:pPr>
      <w:r w:rsidRPr="009904E7">
        <w:rPr>
          <w:rStyle w:val="HideTWBExt"/>
          <w:b w:val="0"/>
        </w:rPr>
        <w:t>&lt;RepeatBlock-By&gt;&lt;Members&gt;</w:t>
      </w:r>
      <w:r>
        <w:t>Alessandro Zan, Cecilia Strada, Sandro Ruotolo, Pina Picierno, Marco Tarquinio</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t>7.</w:t>
            </w:r>
            <w:r>
              <w:tab/>
              <w:t xml:space="preserve">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 </w:t>
            </w:r>
            <w:r>
              <w:rPr>
                <w:b/>
                <w:i/>
              </w:rPr>
              <w:t>vyjadřuje politování nad tím, že Itálie neprovedla doporučení Komise týkající se korupce, pravidel pro financování politických stran a volebních kampaní a regulace lobbistické činnosti; konstatuje, že zrušení trestného činu zneužití pravomoci veřejného činitele a omezení rozsahu trestného činu obchodování s vlivem oslabuje rámec transparentnosti a boje proti korupci a je rovněž v rozporu s mezinárodními protikorupčními úmluvami;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257</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Abir Al-Sahlani, Chloé Ridel, Alessandro Zan, Fabienne Keller, Lucia Yar, Irena Joveva,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w:t>
            </w:r>
            <w:r>
              <w:rPr>
                <w:b/>
                <w:i/>
              </w:rPr>
              <w:t> </w:t>
            </w:r>
            <w:r>
              <w:t xml:space="preserve">veřejných institucích tím, že zpřísní </w:t>
            </w:r>
            <w:r>
              <w:rPr>
                <w:b/>
                <w:i/>
              </w:rPr>
              <w:t>protikorupční</w:t>
            </w:r>
            <w:r>
              <w:t xml:space="preserve">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w:t>
            </w:r>
            <w:r>
              <w:rPr>
                <w:b/>
                <w:i/>
              </w:rPr>
              <w:t xml:space="preserve"> </w:t>
            </w:r>
            <w:r>
              <w:t xml:space="preserve">veřejných institucích tím, že zpřísní </w:t>
            </w:r>
            <w:r>
              <w:rPr>
                <w:b/>
                <w:i/>
              </w:rPr>
              <w:t>právní</w:t>
            </w:r>
            <w:r>
              <w:t xml:space="preserve"> rámce</w:t>
            </w:r>
            <w:r>
              <w:rPr>
                <w:b/>
                <w:i/>
              </w:rPr>
              <w:t xml:space="preserve"> pro boj proti korupci a bezúhonnost a postupů podávání zpráv s cílem zajistit účinné vyšetřování a stíhání případů korupce, a to i v případech korupce na vysoké úrovni se zvláštním důrazem na vysoce rizikové oblasti, jako jsou přístavy nebo pozemní hranice</w:t>
            </w:r>
            <w:r>
              <w:t>,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258</w:t>
      </w:r>
      <w:r>
        <w:rPr>
          <w:rStyle w:val="HideTWBExt"/>
          <w:b w:val="0"/>
        </w:rPr>
        <w:t>&lt;/NumAm&gt;</w:t>
      </w:r>
    </w:p>
    <w:p w:rsidR="00B92CCE" w:rsidRPr="00444926" w:rsidRDefault="00B92CCE" w:rsidP="00B92CCE">
      <w:pPr>
        <w:pStyle w:val="NormalBold"/>
      </w:pPr>
      <w:r>
        <w:rPr>
          <w:rStyle w:val="HideTWBExt"/>
          <w:b w:val="0"/>
        </w:rPr>
        <w:t>&lt;RepeatBlock-By&gt;&lt;Members&gt;</w:t>
      </w:r>
      <w:r>
        <w:t>Daniel Freund, Jaume Asens Llodrà, Vicent Marzà Ibáñez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t>7.</w:t>
            </w:r>
            <w:r>
              <w:tab/>
              <w:t xml:space="preserve">vyzývá členské státy, aby zvýšily transparentnost a odpovědnost ve veřejných institucích tím, že zpřísní protikorupční rámce, zajistí vytvoření nezávislých orgánů dohledu, </w:t>
            </w:r>
            <w:r>
              <w:rPr>
                <w:b/>
                <w:i/>
              </w:rPr>
              <w:t xml:space="preserve">nezávislost a řádné fungování stávajících agentur, </w:t>
            </w:r>
            <w:r>
              <w:t>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r>
              <w:rPr>
                <w:b/>
                <w:i/>
              </w:rPr>
              <w:t>, včetně případů spojených se zadáváním veřejných zakázek</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259</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w:t>
            </w:r>
            <w:r>
              <w:rPr>
                <w:b/>
                <w:i/>
              </w:rPr>
              <w:t>potírání korupce</w:t>
            </w:r>
            <w:r>
              <w:t xml:space="preserve"> na vysokých místech;</w:t>
            </w:r>
          </w:p>
        </w:tc>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w:t>
            </w:r>
            <w:r>
              <w:rPr>
                <w:b/>
                <w:i/>
              </w:rPr>
              <w:t>boj proti korupci</w:t>
            </w:r>
            <w:r>
              <w:t xml:space="preserve"> na vysokých místech</w:t>
            </w:r>
            <w:r>
              <w:rPr>
                <w:b/>
                <w:i/>
              </w:rPr>
              <w:t xml:space="preserve"> a používání zákonů o amnestii nebo milostí pro vysoce postavené úředníky zapojené do případů korupce</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260</w:t>
      </w:r>
      <w:r>
        <w:rPr>
          <w:rStyle w:val="HideTWBExt"/>
          <w:b w:val="0"/>
        </w:rPr>
        <w:t>&lt;/NumAm&gt;</w:t>
      </w:r>
    </w:p>
    <w:p w:rsidR="00B92CCE" w:rsidRPr="00444926" w:rsidRDefault="00B92CCE" w:rsidP="00B92CCE">
      <w:pPr>
        <w:pStyle w:val="NormalBold"/>
      </w:pPr>
      <w:r>
        <w:rPr>
          <w:rStyle w:val="HideTWBExt"/>
          <w:b w:val="0"/>
        </w:rPr>
        <w:t>&lt;RepeatBlock-By&gt;&lt;Members&gt;</w:t>
      </w:r>
      <w:r>
        <w:t>András László</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 xml:space="preserve">vyzývá </w:t>
            </w:r>
            <w:r>
              <w:rPr>
                <w:b/>
                <w:i/>
              </w:rPr>
              <w:t>členské státy</w:t>
            </w:r>
            <w:r>
              <w:t xml:space="preserve">, aby </w:t>
            </w:r>
            <w:r>
              <w:rPr>
                <w:b/>
                <w:i/>
              </w:rPr>
              <w:t>zvýšily</w:t>
            </w:r>
            <w:r>
              <w:t xml:space="preserve"> transparentnost a odpovědnost </w:t>
            </w:r>
            <w:r>
              <w:rPr>
                <w:b/>
                <w:i/>
              </w:rPr>
              <w:t>ve veřejných</w:t>
            </w:r>
            <w:r>
              <w:t xml:space="preserve"> institucích tím, že zpřísní protikorupční rámce, zajistí vytvoření nezávislých orgánů dohledu, </w:t>
            </w:r>
            <w:r>
              <w:rPr>
                <w:b/>
                <w:i/>
              </w:rPr>
              <w:t xml:space="preserve">podpoří ochranu informátorů, </w:t>
            </w:r>
            <w:r>
              <w:t>zlepší rámce zajišťující bezúhonnost a lobbování v případě právních předpisů; s politováním konstatuje, že v </w:t>
            </w:r>
            <w:r>
              <w:rPr>
                <w:b/>
                <w:i/>
              </w:rPr>
              <w:t>některých členských státech</w:t>
            </w:r>
            <w:r>
              <w:t xml:space="preserve">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t>7.</w:t>
            </w:r>
            <w:r>
              <w:tab/>
              <w:t xml:space="preserve">vyzývá </w:t>
            </w:r>
            <w:r>
              <w:rPr>
                <w:b/>
                <w:i/>
              </w:rPr>
              <w:t>Komis</w:t>
            </w:r>
            <w:r>
              <w:t xml:space="preserve">i, aby </w:t>
            </w:r>
            <w:r>
              <w:rPr>
                <w:b/>
                <w:i/>
              </w:rPr>
              <w:t>zvýšila</w:t>
            </w:r>
            <w:r>
              <w:t xml:space="preserve"> transparentnost a odpovědnost v </w:t>
            </w:r>
            <w:r>
              <w:rPr>
                <w:b/>
                <w:i/>
              </w:rPr>
              <w:t>orgánech a </w:t>
            </w:r>
            <w:r>
              <w:t>institucích</w:t>
            </w:r>
            <w:r>
              <w:rPr>
                <w:b/>
                <w:i/>
              </w:rPr>
              <w:t xml:space="preserve"> EU</w:t>
            </w:r>
            <w:r>
              <w:t xml:space="preserve"> tím, že zpřísní protikorupční rámce, zajistí vytvoření nezávislých orgánů dohledu, zlepší rámce zajišťující bezúhonnost a lobbování v případě právních předpisů; s politováním konstatuje, že v </w:t>
            </w:r>
            <w:r>
              <w:rPr>
                <w:b/>
                <w:i/>
              </w:rPr>
              <w:t>orgánech a institucích EU</w:t>
            </w:r>
            <w:r>
              <w:t xml:space="preserve"> nebylo dosaženo náležitého pokroku, pokud jde o potírání korupce na vysokých místech;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261</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t>7.</w:t>
            </w:r>
            <w:r>
              <w:tab/>
              <w:t>vyzývá členské státy, aby zvýšily transparentnost a odpovědnost ve veřejných institucích tím, že zpřísní protikorupční rámce, zajistí vytvoření nezávislých orgánů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r>
              <w:rPr>
                <w:b/>
                <w:i/>
              </w:rPr>
              <w:t xml:space="preserve"> a v orgánech a institucích EU</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262</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7.</w:t>
            </w:r>
            <w:r>
              <w:tab/>
              <w:t xml:space="preserve">vyzývá členské státy, aby zvýšily transparentnost a odpovědnost ve veřejných institucích tím, že zpřísní protikorupční rámce, </w:t>
            </w:r>
            <w:r>
              <w:rPr>
                <w:b/>
                <w:i/>
              </w:rPr>
              <w:t>zajistí vytvoření nezávislých orgánů</w:t>
            </w:r>
            <w:r>
              <w:t xml:space="preserve">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c>
          <w:tcPr>
            <w:tcW w:w="4876" w:type="dxa"/>
            <w:tcBorders>
              <w:top w:val="nil"/>
              <w:left w:val="nil"/>
              <w:bottom w:val="nil"/>
              <w:right w:val="nil"/>
            </w:tcBorders>
          </w:tcPr>
          <w:p w:rsidR="00B92CCE" w:rsidRPr="00444926" w:rsidRDefault="00B92CCE" w:rsidP="00215104">
            <w:pPr>
              <w:pStyle w:val="Normal6a"/>
            </w:pPr>
            <w:r>
              <w:t>7.</w:t>
            </w:r>
            <w:r>
              <w:tab/>
              <w:t xml:space="preserve">vyzývá členské státy, aby zvýšily transparentnost a odpovědnost ve veřejných institucích tím, že zpřísní protikorupční rámce, </w:t>
            </w:r>
            <w:r>
              <w:rPr>
                <w:b/>
                <w:i/>
              </w:rPr>
              <w:t>posílí mechanismy a orgány</w:t>
            </w:r>
            <w:r>
              <w:t xml:space="preserve"> dohledu, podpoří ochranu informátorů, zlepší rámce zajišťující bezúhonnost a lobbování v případě právních předpisů; s politováním konstatuje, že v některých členských státech nebylo dosaženo náležitého pokroku, pokud jde o potírání korupce na vysokých místech;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263</w:t>
      </w:r>
      <w:r>
        <w:rPr>
          <w:rStyle w:val="HideTWBExt"/>
          <w:b w:val="0"/>
        </w:rPr>
        <w:t>&lt;/NumAm&gt;</w:t>
      </w:r>
    </w:p>
    <w:p w:rsidR="00B92CCE" w:rsidRPr="00444926" w:rsidRDefault="00B92CCE" w:rsidP="00B92CCE">
      <w:pPr>
        <w:pStyle w:val="NormalBold"/>
      </w:pPr>
      <w:r>
        <w:rPr>
          <w:rStyle w:val="HideTWBExt"/>
          <w:b w:val="0"/>
        </w:rPr>
        <w:t>&lt;RepeatBlock-By&gt;&lt;Members&gt;</w:t>
      </w:r>
      <w:r>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 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opakuje, že korupce představuje vážnou hrozbu pro demokracii, základní práva a právní stát; zdůrazňuje, že korupce snižuje důvěru občanů ve veřejné instituce; vyjadřuje politování nad tím, že průzkum Eurobarometr z roku 2024 týkající se korupce ukazuje, že korupce je pro občany a podniky v EU stále vážným problémem, kdy 68 % Evropanů se domnívá, že korupce je v jejich zemi rozšířená, 65 % Evropanů je přesvědčeno, že případy korupce na vysoké úrovni nejsou dostatečně stíhány, a 41 % si myslí, že míra korupce vzrostla; domnívá se, že je úkolem EU, aby zintenzivnila své úsilí v boji proti korupci;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264</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vyzývá představitele zákonodárné a výkonné moci v členských státech, aby se zdrželi veřejných prohlášení, která by mohla oslabit důvěru veřejnosti v soudnictví; připomíná, že Komise v předchozích zprávách varovala, že tato prohlášení poškozují vnímání nezávislosti soudnictví ze strany občanů; zdůrazňuje, že toto zhoršení vnímání je obzvláště znepokojivé, pokud kritika pochází od samotných představitelů zákonodárné a výkonné moci; zdůrazňuje, že všechny složky veřejné moci mají odpovědnost za podporu a zachování důvěry veřejnosti v ústavní instituce, včetně nezávislosti soudnictví;</w:t>
            </w:r>
          </w:p>
        </w:tc>
      </w:tr>
    </w:tbl>
    <w:p w:rsidR="00B92CCE" w:rsidRPr="009904E7" w:rsidRDefault="00B92CCE" w:rsidP="00B92CCE">
      <w:pPr>
        <w:pStyle w:val="AmOrLang"/>
      </w:pPr>
      <w:r w:rsidRPr="009904E7">
        <w:t xml:space="preserve">Or. </w:t>
      </w:r>
      <w:r w:rsidRPr="009904E7">
        <w:rPr>
          <w:rStyle w:val="HideTWBExt"/>
        </w:rPr>
        <w:t>&lt;Original&gt;</w:t>
      </w:r>
      <w:r w:rsidRPr="009904E7">
        <w:rPr>
          <w:rStyle w:val="HideTWBInt"/>
        </w:rPr>
        <w:t>{EN}</w:t>
      </w:r>
      <w:r w:rsidRPr="009904E7">
        <w:t>en</w:t>
      </w:r>
      <w:r w:rsidRPr="009904E7">
        <w:rPr>
          <w:rStyle w:val="HideTWBExt"/>
        </w:rPr>
        <w:t>&lt;/Original&gt;</w:t>
      </w:r>
    </w:p>
    <w:p w:rsidR="00B92CCE" w:rsidRPr="00BF159C" w:rsidRDefault="00B92CCE" w:rsidP="00B92CCE">
      <w:r w:rsidRPr="009904E7">
        <w:rPr>
          <w:rStyle w:val="HideTWBExt"/>
        </w:rPr>
        <w:t>&lt;/Amend&gt;</w:t>
      </w:r>
    </w:p>
    <w:p w:rsidR="00B92CCE" w:rsidRPr="00BF159C" w:rsidRDefault="00B92CCE" w:rsidP="00B92CCE">
      <w:pPr>
        <w:pStyle w:val="AmNumberTabs"/>
      </w:pPr>
      <w:r w:rsidRPr="009904E7">
        <w:rPr>
          <w:rStyle w:val="HideTWBExt"/>
          <w:b w:val="0"/>
        </w:rPr>
        <w:t>&lt;Amend&gt;</w:t>
      </w:r>
      <w:r>
        <w:t>Pozměňovací návrh</w:t>
      </w:r>
      <w:r>
        <w:tab/>
      </w:r>
      <w:r>
        <w:tab/>
      </w:r>
      <w:r w:rsidRPr="009904E7">
        <w:rPr>
          <w:rStyle w:val="HideTWBExt"/>
          <w:b w:val="0"/>
        </w:rPr>
        <w:t>&lt;NumAm&gt;</w:t>
      </w:r>
      <w:r>
        <w:t>265</w:t>
      </w:r>
      <w:r w:rsidRPr="009904E7">
        <w:rPr>
          <w:rStyle w:val="HideTWBExt"/>
          <w:b w:val="0"/>
        </w:rPr>
        <w:t>&lt;/NumAm&gt;</w:t>
      </w:r>
    </w:p>
    <w:p w:rsidR="00B92CCE" w:rsidRPr="00BF159C" w:rsidRDefault="00B92CCE" w:rsidP="00B92CCE">
      <w:pPr>
        <w:pStyle w:val="NormalBold"/>
      </w:pPr>
      <w:r w:rsidRPr="009904E7">
        <w:rPr>
          <w:rStyle w:val="HideTWBExt"/>
          <w:b w:val="0"/>
        </w:rPr>
        <w:t>&lt;RepeatBlock-By&gt;&lt;Members&gt;</w:t>
      </w:r>
      <w:r>
        <w:t>Isabel Serra Sánchez</w:t>
      </w:r>
      <w:r w:rsidRPr="009904E7">
        <w:rPr>
          <w:rStyle w:val="HideTWBExt"/>
          <w:b w:val="0"/>
        </w:rPr>
        <w:t>&lt;/Members&gt;</w:t>
      </w:r>
    </w:p>
    <w:p w:rsidR="00B92CCE" w:rsidRPr="00BF159C" w:rsidRDefault="00B92CCE" w:rsidP="00B92CCE">
      <w:pPr>
        <w:pStyle w:val="NormalBold"/>
      </w:pPr>
      <w:r w:rsidRPr="009904E7">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trvá na tom, že významným problémem zůstává absence účinného vyšetřování případů porušování práv obránců lidských práv, jichž se dopouštějí státní i nestátní subjekty; odsuzuje skutečnost, že některé vlády upřednostňují otázky národní a veřejné bezpečnosti před lidskými právy; je znepokojen tím, že aktivisté v oblasti lidských práv a političtí oponenti čelí soudnímu obtěžování, stíhání, zneužívání kontrol a dohledu ze strany státních subjektů; odsuzuje špionáž vůči politickým oponentům ze strany státních subjektů ve Španělsku;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266</w:t>
      </w:r>
      <w:r>
        <w:rPr>
          <w:rStyle w:val="HideTWBExt"/>
          <w:b w:val="0"/>
        </w:rPr>
        <w:t>&lt;/NumAm&gt;</w:t>
      </w:r>
    </w:p>
    <w:p w:rsidR="00B92CCE" w:rsidRPr="00444926" w:rsidRDefault="00B92CCE" w:rsidP="00B92CCE">
      <w:pPr>
        <w:pStyle w:val="NormalBold"/>
      </w:pPr>
      <w:r>
        <w:rPr>
          <w:rStyle w:val="HideTWBExt"/>
          <w:b w:val="0"/>
        </w:rPr>
        <w:t>&lt;RepeatBlock-By&gt;&lt;Members&gt;</w:t>
      </w:r>
      <w:r>
        <w:t>Mary Khan, Christine Anderson, Milan Uhrík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vyjadřuje politování nad očividným opomenutím vládních právních válek, kdy vlády členských států systematicky zneužívají soudního systému k ochraně výkonné moci před kritikou občanů; poukazuje zejména na porušování svobody slova německou vládou, kdy jenom úřadující spolkový ministr hospodářství Robert Habeck podal během svého funkčního období více než 800 stížností;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267</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vyjadřuje hluboké znepokojení nad nedostatečným pokrokem ve vyšetřování aféry Katargate a také nad tím, že i další skandály, které odhalily sdělovací prostředky, jsou zametány pod koberec, včetně otázek týkajících se zapojení předsedkyně Komise do zadávání veřejných zakázek na očkovací látky proti onemocnění COVID-19, jakož i střetů zájmů a nepřímého úplatkářství pozorovaných u soudců Soudního dvora a nesrovnalostí připisovaných členům Evropského účetního dvora;</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268</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se znepokojením bere na vědomí nedávná odhalení tzv. kauzy zelené lobby, která se týkala využívání finančních prostředků EU Evropskou komisí k zasahování do zákonodárné složky EU ve snaze získat podporu pro Zelenou dohodu pro Evropu; vyzývá v této souvislosti k důkladnému prošetření tohoto případu a k navrácení všech neoprávněně vynaložených peněz daňových poplatníků;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269</w:t>
      </w:r>
      <w:r>
        <w:rPr>
          <w:rStyle w:val="HideTWBExt"/>
          <w:b w:val="0"/>
        </w:rPr>
        <w:t>&lt;/NumAm&gt;</w:t>
      </w:r>
    </w:p>
    <w:p w:rsidR="00B92CCE" w:rsidRPr="00444926" w:rsidRDefault="00B92CCE" w:rsidP="00B92CCE">
      <w:pPr>
        <w:pStyle w:val="NormalBold"/>
      </w:pPr>
      <w:r>
        <w:rPr>
          <w:rStyle w:val="HideTWBExt"/>
          <w:b w:val="0"/>
        </w:rPr>
        <w:t>&lt;RepeatBlock-By&gt;&lt;Members&gt;</w:t>
      </w:r>
      <w:r>
        <w:t>Lukas Mandl, Hannes Heide</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uznává úlohu notářů v mnoha členských státech, kteří funkčně vykonávají soudní úkoly; domnívá se, že příspěvek notářů k normám právního státu je třeba řešit v příslušných kapitolách věnovaných jednotlivým zemím v následných vydáních zprávy o právním státu;</w:t>
            </w:r>
            <w:r>
              <w:rPr>
                <w:b/>
                <w:i/>
                <w:vertAlign w:val="superscript"/>
              </w:rPr>
              <w:t>1a</w:t>
            </w:r>
          </w:p>
        </w:tc>
      </w:tr>
      <w:tr w:rsidR="00B92CCE" w:rsidTr="00215104">
        <w:trPr>
          <w:jc w:val="center"/>
        </w:trPr>
        <w:tc>
          <w:tcPr>
            <w:tcW w:w="4876" w:type="dxa"/>
            <w:tcBorders>
              <w:top w:val="nil"/>
              <w:left w:val="nil"/>
              <w:bottom w:val="nil"/>
              <w:right w:val="nil"/>
            </w:tcBorders>
          </w:tcPr>
          <w:p w:rsidR="00B92CCE" w:rsidRPr="00444926" w:rsidRDefault="00B92CCE" w:rsidP="00215104"/>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tc>
        <w:tc>
          <w:tcPr>
            <w:tcW w:w="4876" w:type="dxa"/>
            <w:tcBorders>
              <w:top w:val="nil"/>
              <w:left w:val="nil"/>
              <w:bottom w:val="nil"/>
              <w:right w:val="nil"/>
            </w:tcBorders>
          </w:tcPr>
          <w:p w:rsidR="00B92CCE" w:rsidRPr="00444926" w:rsidRDefault="00B92CCE" w:rsidP="00215104">
            <w:pPr>
              <w:pStyle w:val="Normal6a"/>
            </w:pPr>
            <w:r>
              <w:rPr>
                <w:b/>
                <w:i/>
                <w:vertAlign w:val="superscript"/>
              </w:rPr>
              <w:t>1a</w:t>
            </w:r>
            <w:r>
              <w:rPr>
                <w:b/>
                <w:i/>
              </w:rPr>
              <w:t xml:space="preserve"> Text z usnesení Evropského parlamentu ze dne 28. února 2024 o zprávě Komise o právním státu za rok 2023 (2023/2113(INI))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270</w:t>
      </w:r>
      <w:r>
        <w:rPr>
          <w:rStyle w:val="HideTWBExt"/>
          <w:b w:val="0"/>
        </w:rPr>
        <w:t>&lt;/NumAm&gt;</w:t>
      </w:r>
    </w:p>
    <w:p w:rsidR="00B92CCE" w:rsidRPr="00444926" w:rsidRDefault="00B92CCE" w:rsidP="00B92CCE">
      <w:pPr>
        <w:pStyle w:val="NormalBold"/>
      </w:pPr>
      <w:r>
        <w:rPr>
          <w:rStyle w:val="HideTWBExt"/>
          <w:b w:val="0"/>
        </w:rPr>
        <w:t>&lt;RepeatBlock-By&gt;&lt;Members&gt;</w:t>
      </w:r>
      <w:r>
        <w:t>Tomáš Zdechovský</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souhlasí, že Úřad evropského veřejného žalobce (EPPO) úspěšně plní své úkoly týkající se boje proti korupci v členských státech; podporuje posílení monitorovacích a koordinačních pravomocí Úřadu evropského veřejného žalobce za účelem zlepšení jeho schopností v boji proti korupci v členských státech;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271</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 Ana Catarina Mendes, Moritz Körner, 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naléhavě vyzývá všechny členské státy, které tak dosud neučinily, aby se připojily k Úřadu evropského veřejného žalobce (EPPO), a zvýšily tak efektivitu boje proti korupci, zejména pokud jde o ochranu finančních prostředků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272</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Isabel Serra Sánchez,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vítá dohodu o zřízení interinstitucionálního orgánu pro etiku; vyzývá všechny orgány EU a poradní instituce, které se k němu nepřipojily, aby tak učinily; se zájmem očekává první výroční zprávu orgánu;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273</w:t>
      </w:r>
      <w:r>
        <w:rPr>
          <w:rStyle w:val="HideTWBExt"/>
          <w:b w:val="0"/>
        </w:rPr>
        <w:t>&lt;/NumAm&gt;</w:t>
      </w:r>
    </w:p>
    <w:p w:rsidR="00B92CCE" w:rsidRPr="00444926" w:rsidRDefault="00B92CCE" w:rsidP="00B92CCE">
      <w:pPr>
        <w:pStyle w:val="NormalBold"/>
      </w:pPr>
      <w:r>
        <w:rPr>
          <w:rStyle w:val="HideTWBExt"/>
          <w:b w:val="0"/>
        </w:rPr>
        <w:t>&lt;RepeatBlock-By&gt;&lt;Members&gt;</w:t>
      </w:r>
      <w:r>
        <w:t>Romana Tomc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vyzývá Komisi, aby zvýšila transparentnost a odpovědnost ve všech svých dokumentech, návštěvách a setkáních, zejména v komunikaci s vnitrostátními aktéry na vysoké úrovni;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274</w:t>
      </w:r>
      <w:r>
        <w:rPr>
          <w:rStyle w:val="HideTWBExt"/>
          <w:b w:val="0"/>
        </w:rPr>
        <w:t>&lt;/NumAm&gt;</w:t>
      </w:r>
    </w:p>
    <w:p w:rsidR="00B92CCE" w:rsidRPr="00444926" w:rsidRDefault="00B92CCE" w:rsidP="00B92CCE">
      <w:pPr>
        <w:pStyle w:val="NormalBold"/>
      </w:pPr>
      <w:r>
        <w:rPr>
          <w:rStyle w:val="HideTWBExt"/>
          <w:b w:val="0"/>
        </w:rPr>
        <w:t>&lt;RepeatBlock-By&gt;&lt;Members&gt;</w:t>
      </w:r>
      <w:r>
        <w:t>Chloé Ridel, Emma Rafowicz, Sandro Ruotolo, Eric Sargiacomo, Michał Wawrykiewicz, Alessandro Zan, Giuseppe Antoci, Klára Dobrev, Csaba Molnár, Bruno Gonçalves, Nora Mebarek, Raphaël Glucksmann, Nikola Minchev, Estelle Ceulemans, Krzysztof Śmiszek, Daniel Freund, Birgit Sippel, Katarina Barley, David Casa, Evin Incir, Matjaž Nemec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7b.</w:t>
            </w:r>
            <w:r>
              <w:tab/>
            </w:r>
            <w:r>
              <w:rPr>
                <w:b/>
                <w:i/>
              </w:rPr>
              <w:t>vítá návrh směrnice o boji proti korupci, který předložila Komise a který harmonizuje definici trestných činů korupce ve veřejném a soukromém sektoru a odpovídající sankce; zdůrazňuje, že na seznam trestných činů souvisejících s korupcí v této směrnici je třeba zahrnout nezákonné politické financování; vítá zahrnutí preventivních opatření a odborné přípravy do směrnice o boji proti korupci, např. účinná pravidla pro zveřejňování a řešení střetů zájmů, otevřený přístup k informacím a účinná pravidla upravující interakci mezi soukromým a veřejným sektorem; vyzývá členské státy, aby rovněž zavedly účinná pravidla pro řešení efektu otáčivých dveří, vytvořily kodexy chování pro veřejné činitele, stanovily veřejnou legislativní stopu a zajistily transparentnost při financování kandidatur volených veřejných činitelů a politických stran; oceňuje, že téměř všechny členské státy mají v současné době zavedeny protikorupční strategie; zároveň vyjadřuje politování nad tím, že provádění a efektivita se liší; vyzývá členské státy, které tak dosud neučinily, aby vypracovaly a uplatňovaly spolehlivé a účinné protikorupční strategie se zapojením občanské společnosti; zdůrazňuje význam identifikace, oznamování, zastoupení a koordinace obětí korupce; vyzývá členské státy, aby chránily oběti korupce a umožnily jim, aby byly jejich názory a obavy prezentovány a zohledněny ve vhodných fázích trestního řízení; vyzývá členské státy, aby zajistily, že oběti korupce budou mít právo na odpovídající a přiměřené odškodnění;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275</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7b.</w:t>
            </w:r>
            <w:r>
              <w:tab/>
            </w:r>
            <w:r>
              <w:rPr>
                <w:b/>
                <w:i/>
              </w:rPr>
              <w:t>uznává důležitou úlohu Úřadu evropského veřejného žalobce (EPPO) při ochraně právního státu a boji proti korupci v Unii a vybízí Komisi, aby v následných zprávách bedlivě sledovala úroveň spolupráce členských států s úřadem EPPO, zejména pokud jde o řešení sporů o pravomoc a trestné činy korupce;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276</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7b.</w:t>
            </w:r>
            <w:r>
              <w:tab/>
            </w:r>
            <w:r>
              <w:rPr>
                <w:b/>
                <w:i/>
              </w:rPr>
              <w:t>vyjadřuje politování nad tím, že Komise udělila bývalému komisaři Thierrymu Bretonovi povolení pracovat pro Bank of America, a to navzdory dvouletému přechodnému období po skončení funkce; vyzývá v této souvislosti k posílení uplatňování kodexu chování komisařů, aby se zabránilo škodlivým dopadům efektu otáčivých dveří;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277</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7b.</w:t>
            </w:r>
            <w:r>
              <w:tab/>
            </w:r>
            <w:r>
              <w:rPr>
                <w:b/>
                <w:i/>
              </w:rPr>
              <w:t>vyzývá Komisi, aby úzce spolupracovala s belgickými orgány na případu bývalého komisaře pro spravedlnost, který je podezřelý z praní peněz; vyzývá Komisi, aby provedla vlastní vyšetřování veškerých případných střetů zájmů na straně Reynderse, které mohly ovlivnit způsob, jakým plnil své úkoly;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278</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7c.</w:t>
            </w:r>
            <w:r>
              <w:tab/>
            </w:r>
            <w:r>
              <w:rPr>
                <w:b/>
                <w:i/>
              </w:rPr>
              <w:t>vítá návrh směrnice o boji proti korupci, který předložila Komise a který harmonizuje definici trestných činů korupce ve veřejném a soukromém sektoru a odpovídající sankce; zdůrazňuje, že na seznam trestných činů souvisejících s korupcí v této směrnici je třeba zahrnout nezákonné politické financování; vítá zahrnutí preventivních opatření a odborné přípravy do směrnice o boji proti korupci, např. účinná pravidla pro zveřejňování a řešení střetů zájmů, otevřený přístup k informacím a účinná pravidla upravující interakci mezi soukromým a veřejným sektorem; vyzývá členské státy, aby rovněž zavedly účinná pravidla pro řešení efektu otáčivých dveří, vytvořily kodexy chování pro veřejné činitele, stanovily veřejnou legislativní stopu a zajistily transparentnost při financování kandidatur volených veřejných činitelů a politických stran; oceňuje, že téměř všechny členské státy mají v současné době zavedeny protikorupční strategie; zároveň vyjadřuje politování nad tím, že provádění a efektivita se liší; vyzývá členské státy, které tak dosud neučinily, aby vypracovaly a uplatňovaly spolehlivé a účinné protikorupční strategie se zapojením občanské společnosti; zdůrazňuje význam identifikace, oznamování, zastoupení a koordinace obětí korupce; vyzývá členské státy, aby chránily oběti korupce a umožnily jim, aby byly jejich názory a obavy prezentovány a zohledněny ve vhodných fázích trestního řízení; vyzývá členské státy, aby zajistily, že oběti korupce budou mít právo na odpovídající a přiměřené odškodnění;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279</w:t>
      </w:r>
      <w:r>
        <w:rPr>
          <w:rStyle w:val="HideTWBExt"/>
          <w:b w:val="0"/>
        </w:rPr>
        <w:t>&lt;/NumAm&gt;</w:t>
      </w:r>
    </w:p>
    <w:p w:rsidR="00B92CCE" w:rsidRPr="00444926" w:rsidRDefault="00B92CCE" w:rsidP="00B92CCE">
      <w:pPr>
        <w:pStyle w:val="NormalBold"/>
      </w:pPr>
      <w:r>
        <w:rPr>
          <w:rStyle w:val="HideTWBExt"/>
          <w:b w:val="0"/>
        </w:rPr>
        <w:t>&lt;RepeatBlock-By&gt;&lt;Members&gt;</w:t>
      </w:r>
      <w:r>
        <w:t>Chloé Ridel, Emma Rafowicz, Sandro Ruotolo, Eric Sargiacomo, Alessandro Zan, Giuseppe Antoci, Klára Dobrev, Csaba Molnár, Bruno Gonçalves, Nora Mebarek, Raphaël Glucksmann, Nikola Minchev, Estelle Ceulemans, Krzysztof Śmiszek, Raquel García Hermida-Van Der Walle, Birgit Sippel, Katarina Barley, David Casa, Evin Incir, Matjaž Nemec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7c.</w:t>
            </w:r>
            <w:r>
              <w:tab/>
            </w:r>
            <w:r>
              <w:rPr>
                <w:b/>
                <w:i/>
              </w:rPr>
              <w:t>vyzývá všechny orgány, instituce a jiné subjekty EU, aby posílily svá preventivní opatření týkající se zveřejňování a řešení střetů zájmů, otevřeného přístupu k informacím, pravidel upravujících interakci se soukromým sektorem, řešení efektu otáčivých dveří a kodexu chování veřejných činitelů; domnívá se, že během svého mandátu by se poslanci Evropského parlamentu neměli zapojovat do placených vedlejších činností se ziskovými organizacemi nebo podniky, které se snaží ovlivňovat tvorbu politik EU; vyzývá všechny orgány EU a poradní instituce, aby se připojily k interinstitucionálnímu orgánu pro etiku;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280</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7c.</w:t>
            </w:r>
            <w:r>
              <w:tab/>
            </w:r>
            <w:r>
              <w:rPr>
                <w:b/>
                <w:i/>
              </w:rPr>
              <w:t>vyzývá vládu Donalda Tuska, aby se zdržela jakéhokoli dalšího porušování ústavy Polské republiky a jakéhokoli dalšího rušení nezávislých institucí, na nichž je založen polský právní řád, včetně útoků na Ústavní soud, který slouží jako páteř polského právního systému; konstatuje, že vláda Donalda Tuska bude čelit trestněprávním důsledkům za radikální změny ústavního pořádku Polské republiky a zavádění systémového bezpráví;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281</w:t>
      </w:r>
      <w:r>
        <w:rPr>
          <w:rStyle w:val="HideTWBExt"/>
          <w:b w:val="0"/>
        </w:rPr>
        <w:t>&lt;/NumAm&gt;</w:t>
      </w:r>
    </w:p>
    <w:p w:rsidR="00B92CCE" w:rsidRPr="00444926" w:rsidRDefault="00B92CCE" w:rsidP="00B92CCE">
      <w:pPr>
        <w:pStyle w:val="NormalBold"/>
      </w:pPr>
      <w:r>
        <w:rPr>
          <w:rStyle w:val="HideTWBExt"/>
          <w:b w:val="0"/>
        </w:rPr>
        <w:t>&lt;RepeatBlock-By&gt;&lt;Members&gt;</w:t>
      </w:r>
      <w:r>
        <w:t>Chloé Ridel, Emma Rafowicz, Sandro Ruotolo, Eric Sargiacomo, Michał Wawrykiewicz, Alessandro Zan, Giuseppe Antoci, Klára Dobrev, Csaba Molnár, Bruno Gonçalves, Nora Mebarek, Raphaël Glucksmann, Nikola Minchev, Estelle Ceulemans, Krzysztof Śmiszek, Raquel García Hermida-Van Der Walle, Marta Wcisło, Daniel Freund, Birgit Sippel, Katarina Barley, David Casa, Evin Incir, Matjaž Nemec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7d.</w:t>
            </w:r>
            <w:r>
              <w:tab/>
            </w:r>
            <w:r>
              <w:rPr>
                <w:b/>
                <w:i/>
              </w:rPr>
              <w:t>uznává důležitou úlohu Úřadu evropského veřejného žalobce (EPPO) při ochraně právního státu a boji proti korupci v Unii a vybízí Komisi, aby v následných zprávách bedlivě sledovala úroveň spolupráce členských států s úřadem EPPO, zejména pokud jde o řešení sporů o pravomoc a trestné činy korupce; vítá cíl nové irské vlády připojit se k Úřadu evropského veřejného žalobce a vyzývá zbývající členské státy, aby ji následovaly; domnívá se, členství v úřadu EPPO by mělo být podmínkou pro získání finančních prostředků EU; vyzývá Komisi, aby v souladu s čl. 86 odst. 4 Smlouvy o fungování EU navrhla rozšíření mandátu Úřadu evropského veřejného žalobce, aby se zabránilo obcházení omezujících opatření EU a přeshraniční trestné činnosti proti životnímu prostředí, a aby se urychlila revize nařízení o Úřadu evropského veřejného žalobce a směrnice o ochraně finančních zájmů s cílem chránit a vyjasnit primární pravomoc Úřadu evropského veřejného žalobce, pokud jde o trestné činy korupce poškozující finanční zájmy EU nebo spáchané úředníky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282</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7d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7d.</w:t>
            </w:r>
            <w:r>
              <w:tab/>
            </w:r>
            <w:r>
              <w:rPr>
                <w:b/>
                <w:i/>
              </w:rPr>
              <w:t>vyjadřuje politování nad tím, že vláda Donalda Tuska jednala protiprávně s cílem politicky si podmanit úřad státního zastupitelství, včetně pokusu o odvolání národního státního zástupce z funkce, přičemž jeho odvolání vyžaduje, aby nejvyšší státní zástupce získal písemný souhlas prezidenta Polské republiky, což znamená, že tento krok je v rozporu se zákonem o úřadu státního zastupitelství a rovněž v rozporu s ústavou Polské republiky a se zásadou zákonnosti; vyzývá vládu Donalda Tuska, aby přestala útočit na úřad státního zastupitelství a podkopávat pravomoci národního státního zástupce, a v důsledku toho i všech státních zástupců, nad nimiž vykonává dohled; poukazuje na to, že je třeba umožnit národnímu státnímu zástupci, aby okamžitě vykonával své povinnosti, a zároveň konstatuje, že jinak činnost nejvyššího státního zástupce Adama Bodnara povede k tomu, že tisíce pachatelů trestné činnosti budou zbaveny trestní odpovědnosti;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283</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7e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7e.</w:t>
            </w:r>
            <w:r>
              <w:tab/>
            </w:r>
            <w:r>
              <w:rPr>
                <w:b/>
                <w:i/>
              </w:rPr>
              <w:t>vyjadřuje politování nad tím, že v zemích, jako je Polsko, jsou po uzurpování moci politickým táborem, který se považuje za demokratický, zásady demokratického právního státu nahrazovány politikou revanšismu, pronásledování opozice, politických procesů, „extraktivních“ zatýkání a dokonce případů mučení;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284</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7f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7f.</w:t>
            </w:r>
            <w:r>
              <w:tab/>
            </w:r>
            <w:r>
              <w:rPr>
                <w:b/>
                <w:i/>
              </w:rPr>
              <w:t>vyzývá vládu Donalda Tuska, aby dodržovala ústavu Polské republiky a zákony a respektovala a uplatňovala rozsudky Ústavního soudu, které jsou konečné a všeobecně závazné;</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285</w:t>
      </w:r>
      <w:r>
        <w:rPr>
          <w:rStyle w:val="HideTWBExt"/>
          <w:b w:val="0"/>
        </w:rPr>
        <w:t>&lt;/NumAm&gt;</w:t>
      </w:r>
    </w:p>
    <w:p w:rsidR="00B92CCE" w:rsidRPr="00444926" w:rsidRDefault="00B92CCE" w:rsidP="00B92CCE">
      <w:pPr>
        <w:pStyle w:val="NormalBold"/>
      </w:pPr>
      <w:r>
        <w:rPr>
          <w:rStyle w:val="HideTWBExt"/>
          <w:b w:val="0"/>
        </w:rPr>
        <w:t>&lt;RepeatBlock-By&gt;&lt;Members&gt;</w:t>
      </w:r>
      <w:r>
        <w:t>Juan Fernando López Aguilar, Nacho Sánchez Amor, Javier Moreno Sánchez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uznává klíčovou úlohu oznamovatelů při odhalování korupce a podpoře transparentnosti ve veřejném i soukromém sektoru; zdůrazňuje, že je třeba chránit oznamovatele před odvetnými opatřeními a šikanou; vyzývá k dalšímu posílení nezávislých a autonomních orgánů na ochranu oznamovatelů a k jejich dalšímu začlenění do širších vnitrostátních protikorupčních rámců, čímž se zajistí jednotný a spolehlivý přístup k boji proti korupci ve všech členských státech;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286</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Abir Al-Sahlani, Alessandro Zan, Chloé Ridel, Fabienne Keller, Lucia Yar, Irena Joveva,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připomíná, že spolehlivé vnitrostátní právní systémy jsou nezbytné vzhledem k tomu, že Komise se při prosazování právních předpisů EU spoléhá na vnitrostátní soudní orgány, a že mají zásadní význam pro justiční spolupráci v celé EU a pro podporu vzájemné důvěry;</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287</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Alessandro Ciriani, Paolo Inselvini</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7a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7a.</w:t>
            </w:r>
            <w:r>
              <w:tab/>
            </w:r>
            <w:r>
              <w:rPr>
                <w:b/>
                <w:i/>
              </w:rPr>
              <w:t>konstatuje, že Komise v různých členských státech nalezla důkazy o existenci řádného regulačního rámce, kterým se řídí mediální odvětví a který rovněž zajišťuje účinné fungování nezávislého regulačního orgánu;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{IT}</w:t>
      </w:r>
      <w:r w:rsidRPr="00444926">
        <w:t>it</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288</w:t>
      </w:r>
      <w:r>
        <w:rPr>
          <w:rStyle w:val="HideTWBExt"/>
          <w:b w:val="0"/>
        </w:rPr>
        <w:t>&lt;/NumAm&gt;</w:t>
      </w:r>
    </w:p>
    <w:p w:rsidR="00B92CCE" w:rsidRPr="00444926" w:rsidRDefault="00B92CCE" w:rsidP="00B92CCE">
      <w:pPr>
        <w:pStyle w:val="NormalBold"/>
      </w:pPr>
      <w:r>
        <w:rPr>
          <w:rStyle w:val="HideTWBExt"/>
          <w:b w:val="0"/>
        </w:rPr>
        <w:t>&lt;RepeatBlock-By&gt;&lt;Members&gt;</w:t>
      </w:r>
      <w:r>
        <w:t>Daniel Freund, Diana Riba i Giner</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t>vítá iniciativy</w:t>
            </w:r>
            <w:r>
              <w:rPr>
                <w:b/>
                <w:i/>
              </w:rPr>
              <w:t xml:space="preserve"> na podporu svobodných, nezávislých a pluralitních sdělovacích prostředků a bezpečného a příznivého prostředí pro novináře</w:t>
            </w:r>
            <w:r>
              <w:t>,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w:t>
            </w:r>
            <w:r>
              <w:rPr>
                <w:b/>
                <w:i/>
              </w:rPr>
              <w:t xml:space="preserve"> a aby se řídily doporučeními obsaženými v doporučení Komise ze dne 16. září 2021 o zajištění ochrany, bezpečnosti a posílení postavení novinářů a dalších pracovníků sdělovacích prostředků v Evropské unii</w:t>
            </w:r>
            <w:r>
              <w:t>; vyzývá Komisi, aby členským státům při provádění aktu EMFA</w:t>
            </w:r>
            <w:r>
              <w:rPr>
                <w:b/>
                <w:i/>
              </w:rPr>
              <w:t xml:space="preserve"> a dodržování doporučení Komise</w:t>
            </w:r>
            <w:r>
              <w:t xml:space="preserve"> poskytovala nezbytnou pomoc;</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289</w:t>
      </w:r>
      <w:r>
        <w:rPr>
          <w:rStyle w:val="HideTWBExt"/>
          <w:b w:val="0"/>
        </w:rPr>
        <w:t>&lt;/NumAm&gt;</w:t>
      </w:r>
    </w:p>
    <w:p w:rsidR="00B92CCE" w:rsidRPr="00444926" w:rsidRDefault="00B92CCE" w:rsidP="00B92CCE">
      <w:pPr>
        <w:pStyle w:val="NormalBold"/>
      </w:pPr>
      <w:r>
        <w:rPr>
          <w:rStyle w:val="HideTWBExt"/>
          <w:b w:val="0"/>
        </w:rPr>
        <w:t>&lt;RepeatBlock-By&gt;&lt;Members&gt;</w:t>
      </w:r>
      <w:r>
        <w:t>Juan Fernando López Aguilar, Nacho Sánchez Amor, Javier Moreno Sánchez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vyzývá k jeho urychlenému provedení</w:t>
            </w:r>
            <w:r>
              <w:rPr>
                <w:b/>
                <w:i/>
              </w:rPr>
              <w:t xml:space="preserve"> a ke stanovení kritérií, která definují, co představuje mediální kanál ve srovnání s jinými platformami, jejichž účelem není informovat</w:t>
            </w:r>
            <w:r>
              <w:t xml:space="preserve">; vyzývá členské státy, aby zlepšily transparentnost při přidělování veřejných prostředků na reklamu zadávanou státem; vyzývá Komisi, aby členským státům při provádění aktu EMFA poskytovala nezbytnou pomoc; </w:t>
            </w:r>
            <w:r>
              <w:rPr>
                <w:b/>
                <w:i/>
              </w:rPr>
              <w:t>vítá iniciativy na vnitrostátní úrovni zaměřené na vytvoření rejstříku sdělovacích prostředků, který by obsahoval veřejné informace o vlastnictví a investicích do reklamy s cílem zajistit transparentnost, nestrannost a ověřitelnost;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290</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r>
            <w:r>
              <w:rPr>
                <w:b/>
                <w:i/>
              </w:rPr>
              <w:t>vítá</w:t>
            </w:r>
            <w:r>
              <w:t xml:space="preserve"> iniciativy, jako je Evropský akt o svobodě sdělovacích prostředků (EMFA)</w:t>
            </w:r>
            <w:r>
              <w:rPr>
                <w:vertAlign w:val="superscript"/>
              </w:rPr>
              <w:t>39</w:t>
            </w:r>
            <w:r>
              <w:rPr>
                <w:b/>
                <w:i/>
              </w:rPr>
              <w:t>, a vyzývá k jeho urychlenému provedení;</w:t>
            </w:r>
            <w:r>
              <w:t xml:space="preserve"> </w:t>
            </w:r>
            <w:r>
              <w:rPr>
                <w:b/>
                <w:i/>
              </w:rPr>
              <w:t>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r>
            <w:r>
              <w:rPr>
                <w:b/>
                <w:i/>
              </w:rPr>
              <w:t>bere na vědomí</w:t>
            </w:r>
            <w:r>
              <w:t xml:space="preserve"> iniciativy, jako je Evropský akt o svobodě sdělovacích prostředků (EMFA)</w:t>
            </w:r>
            <w:r>
              <w:rPr>
                <w:vertAlign w:val="superscript"/>
              </w:rPr>
              <w:t>39</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291</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Alessandro Zan, Fabienne Keller, Lucia Yar,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xml:space="preserve">, a vyzývá k jeho urychlenému provedení; vyzývá členské státy, aby zlepšily transparentnost při přidělování veřejných prostředků na reklamu zadávanou státem; vyzývá </w:t>
            </w:r>
            <w:r>
              <w:rPr>
                <w:b/>
                <w:i/>
              </w:rPr>
              <w:t xml:space="preserve">členské státy, aby zavedly zvláštní ustanovení o transparentnosti vlastnictví sdělovacích prostředků a nezávislém fungování veřejnoprávních sdělovacích prostředků; vyzývá </w:t>
            </w:r>
            <w:r>
              <w:t>Komisi, aby členským státům při provádění aktu EMFA poskytovala nezbytnou pomoc;</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292</w:t>
      </w:r>
      <w:r>
        <w:rPr>
          <w:rStyle w:val="HideTWBExt"/>
          <w:b w:val="0"/>
        </w:rPr>
        <w:t>&lt;/NumAm&gt;</w:t>
      </w:r>
    </w:p>
    <w:p w:rsidR="00B92CCE" w:rsidRPr="00444926" w:rsidRDefault="00B92CCE" w:rsidP="00B92CCE">
      <w:pPr>
        <w:pStyle w:val="NormalBold"/>
      </w:pPr>
      <w:r>
        <w:rPr>
          <w:rStyle w:val="HideTWBExt"/>
          <w:b w:val="0"/>
        </w:rPr>
        <w:t>&lt;RepeatBlock-By&gt;&lt;Members&gt;</w:t>
      </w:r>
      <w:r>
        <w:t>Romana Tomc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xml:space="preserve">, a vyzývá k jeho urychlenému provedení; vyzývá členské státy, aby zlepšily transparentnost při přidělování veřejných prostředků na reklamu zadávanou státem; vyzývá Komisi, aby členským státům při provádění aktu EMFA poskytovala nezbytnou pomoc; </w:t>
            </w:r>
            <w:r>
              <w:rPr>
                <w:b/>
                <w:i/>
              </w:rPr>
              <w:t>vyzývá členské státy, aby nepřijímaly další vnitrostátní právní předpisy, dokud neprovedou akt EMFA do svých právních předpisů;</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293</w:t>
      </w:r>
      <w:r>
        <w:rPr>
          <w:rStyle w:val="HideTWBExt"/>
          <w:b w:val="0"/>
        </w:rPr>
        <w:t>&lt;/NumAm&gt;</w:t>
      </w:r>
    </w:p>
    <w:p w:rsidR="00B92CCE" w:rsidRPr="00444926" w:rsidRDefault="00B92CCE" w:rsidP="00B92CCE">
      <w:pPr>
        <w:pStyle w:val="NormalBold"/>
      </w:pPr>
      <w:r>
        <w:rPr>
          <w:rStyle w:val="HideTWBExt"/>
          <w:b w:val="0"/>
        </w:rPr>
        <w:t>&lt;RepeatBlock-By&gt;&lt;Members&gt;</w:t>
      </w:r>
      <w:r>
        <w:t>András László</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r>
            <w:r>
              <w:rPr>
                <w:b/>
                <w:i/>
              </w:rPr>
              <w:t>vítá iniciativy</w:t>
            </w:r>
            <w:r>
              <w:t>, jako je Evropský akt o svobodě sdělovacích prostředků (EMFA)</w:t>
            </w:r>
            <w:r>
              <w:rPr>
                <w:vertAlign w:val="superscript"/>
              </w:rPr>
              <w:t>39</w:t>
            </w:r>
            <w:r>
              <w:t>, a </w:t>
            </w:r>
            <w:r>
              <w:rPr>
                <w:b/>
                <w:i/>
              </w:rPr>
              <w:t>vyzývá k jeho urychlenému provedení; vyzývá členské státy, aby zlepšily transparentnost při přidělování veřejných prostředků na reklamu zadávanou státem; vyzývá Komisi, aby členským státům při provádění aktu EMFA poskytovala nezbytnou pomoc</w:t>
            </w:r>
            <w:r>
              <w:t>;</w:t>
            </w:r>
          </w:p>
        </w:tc>
        <w:tc>
          <w:tcPr>
            <w:tcW w:w="4876" w:type="dxa"/>
            <w:tcBorders>
              <w:top w:val="nil"/>
              <w:left w:val="nil"/>
              <w:bottom w:val="nil"/>
              <w:right w:val="nil"/>
            </w:tcBorders>
          </w:tcPr>
          <w:p w:rsidR="00B92CCE" w:rsidRPr="00444926" w:rsidRDefault="00B92CCE" w:rsidP="00215104">
            <w:pPr>
              <w:pStyle w:val="Normal6a"/>
            </w:pPr>
            <w:r>
              <w:t>8.</w:t>
            </w:r>
            <w:r>
              <w:tab/>
            </w:r>
            <w:r>
              <w:rPr>
                <w:b/>
                <w:i/>
              </w:rPr>
              <w:t>je znepokojen iniciativami</w:t>
            </w:r>
            <w:r>
              <w:t>, jako je Evropský akt o svobodě sdělovacích prostředků (EMFA)</w:t>
            </w:r>
            <w:r>
              <w:rPr>
                <w:vertAlign w:val="superscript"/>
              </w:rPr>
              <w:t>39</w:t>
            </w:r>
            <w:r>
              <w:t xml:space="preserve">, </w:t>
            </w:r>
            <w:r>
              <w:rPr>
                <w:b/>
                <w:i/>
              </w:rPr>
              <w:t>který je jen dalším pokusem bruselské elity cenzurovat opoziční hlasy a zasahovat do svrchovanosti členských států</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294</w:t>
      </w:r>
      <w:r>
        <w:rPr>
          <w:rStyle w:val="HideTWBExt"/>
          <w:b w:val="0"/>
        </w:rPr>
        <w:t>&lt;/NumAm&gt;</w:t>
      </w:r>
    </w:p>
    <w:p w:rsidR="00B92CCE" w:rsidRPr="00444926" w:rsidRDefault="00B92CCE" w:rsidP="00B92CCE">
      <w:pPr>
        <w:pStyle w:val="NormalBold"/>
      </w:pPr>
      <w:r>
        <w:rPr>
          <w:rStyle w:val="HideTWBExt"/>
          <w:b w:val="0"/>
        </w:rPr>
        <w:t>&lt;RepeatBlock-By&gt;&lt;Members&gt;</w:t>
      </w:r>
      <w:r>
        <w:t>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xml:space="preserve">, a vyzývá k jeho urychlenému provedení; vyzývá členské státy, aby zlepšily transparentnost při přidělování veřejných prostředků na reklamu zadávanou státem; </w:t>
            </w:r>
            <w:r>
              <w:rPr>
                <w:b/>
                <w:i/>
              </w:rPr>
              <w:t>vyzývá Komisi</w:t>
            </w:r>
            <w:r>
              <w:t xml:space="preserve">, aby </w:t>
            </w:r>
            <w:r>
              <w:rPr>
                <w:b/>
                <w:i/>
              </w:rPr>
              <w:t>členským státům při provádění aktu EMFA poskytovala nezbytnou pomoc</w:t>
            </w:r>
            <w:r>
              <w:t>;</w:t>
            </w:r>
          </w:p>
        </w:tc>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xml:space="preserve">, a vyzývá k jeho urychlenému provedení; vyzývá členské státy, aby zlepšily transparentnost při přidělování veřejných prostředků na reklamu zadávanou státem; </w:t>
            </w:r>
            <w:r>
              <w:rPr>
                <w:b/>
                <w:i/>
              </w:rPr>
              <w:t>doporučuje</w:t>
            </w:r>
            <w:r>
              <w:t xml:space="preserve">, aby </w:t>
            </w:r>
            <w:r>
              <w:rPr>
                <w:b/>
                <w:i/>
              </w:rPr>
              <w:t>vnitrostátní orgány tyto zdroje plně využívaly k zajištění právně řádného, důsledného a účinného provádění</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295</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r>
            <w:r>
              <w:rPr>
                <w:b/>
                <w:i/>
              </w:rPr>
              <w:t>vítá</w:t>
            </w:r>
            <w:r>
              <w:t xml:space="preserve"> iniciativy, jako je Evropský akt o svobodě sdělovacích prostředků (EMFA)</w:t>
            </w:r>
            <w:r>
              <w:rPr>
                <w:vertAlign w:val="superscript"/>
              </w:rPr>
              <w:t>39</w:t>
            </w:r>
            <w:r>
              <w:t>, a </w:t>
            </w:r>
            <w:r>
              <w:rPr>
                <w:b/>
                <w:i/>
              </w:rPr>
              <w:t>vyzývá k jeho urychlenému provedení</w:t>
            </w:r>
            <w:r>
              <w:t xml:space="preserve">; vyzývá členské státy, aby zlepšily transparentnost při přidělování veřejných prostředků na reklamu zadávanou státem; vyzývá Komisi, aby </w:t>
            </w:r>
            <w:r>
              <w:rPr>
                <w:b/>
                <w:i/>
              </w:rPr>
              <w:t>členským státům při provádění aktu EMFA poskytovala nezbytnou pomoc</w:t>
            </w:r>
            <w:r>
              <w:t>;</w:t>
            </w:r>
          </w:p>
        </w:tc>
        <w:tc>
          <w:tcPr>
            <w:tcW w:w="4876" w:type="dxa"/>
            <w:tcBorders>
              <w:top w:val="nil"/>
              <w:left w:val="nil"/>
              <w:bottom w:val="nil"/>
              <w:right w:val="nil"/>
            </w:tcBorders>
          </w:tcPr>
          <w:p w:rsidR="00B92CCE" w:rsidRPr="00444926" w:rsidRDefault="00B92CCE" w:rsidP="00215104">
            <w:pPr>
              <w:pStyle w:val="Normal6a"/>
            </w:pPr>
            <w:r>
              <w:t>8.</w:t>
            </w:r>
            <w:r>
              <w:tab/>
            </w:r>
            <w:r>
              <w:rPr>
                <w:b/>
                <w:i/>
              </w:rPr>
              <w:t>konstatuje, že</w:t>
            </w:r>
            <w:r>
              <w:t xml:space="preserve"> iniciativy, jako je Evropský akt o svobodě sdělovacích prostředků (EMFA)</w:t>
            </w:r>
            <w:r>
              <w:rPr>
                <w:vertAlign w:val="superscript"/>
              </w:rPr>
              <w:t>39</w:t>
            </w:r>
            <w:r>
              <w:t xml:space="preserve">, </w:t>
            </w:r>
            <w:r>
              <w:rPr>
                <w:b/>
                <w:i/>
              </w:rPr>
              <w:t>neposkytují odpovídající úroveň ochrany práva na informace a svobody projevu</w:t>
            </w:r>
            <w:r>
              <w:t>; vyzývá členské státy, aby zlepšily transparentnost</w:t>
            </w:r>
            <w:r>
              <w:rPr>
                <w:b/>
                <w:i/>
              </w:rPr>
              <w:t xml:space="preserve"> a spravedlnost</w:t>
            </w:r>
            <w:r>
              <w:t xml:space="preserve"> při přidělování veřejných prostředků na reklamu zadávanou státem; vyzývá Komisi, aby </w:t>
            </w:r>
            <w:r>
              <w:rPr>
                <w:b/>
                <w:i/>
              </w:rPr>
              <w:t>předložila návrhy, kterými bude tyto problémy řádně řešit</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BF159C" w:rsidRDefault="00B92CCE" w:rsidP="00B92CCE">
      <w:pPr>
        <w:pStyle w:val="AmOrLang"/>
        <w:rPr>
          <w:lang w:val="fr-FR"/>
        </w:rPr>
      </w:pPr>
      <w:r w:rsidRPr="00BF159C">
        <w:rPr>
          <w:lang w:val="fr-FR"/>
        </w:rPr>
        <w:t xml:space="preserve">Or. </w:t>
      </w:r>
      <w:r w:rsidRPr="00BF159C">
        <w:rPr>
          <w:rStyle w:val="HideTWBExt"/>
          <w:lang w:val="fr-FR"/>
        </w:rPr>
        <w:t>&lt;Original&gt;</w:t>
      </w:r>
      <w:r w:rsidRPr="00BF159C">
        <w:rPr>
          <w:rStyle w:val="HideTWBInt"/>
          <w:lang w:val="fr-FR"/>
        </w:rPr>
        <w:t>{EN}</w:t>
      </w:r>
      <w:r w:rsidRPr="00BF159C">
        <w:rPr>
          <w:lang w:val="fr-FR"/>
        </w:rPr>
        <w:t>en</w:t>
      </w:r>
      <w:r w:rsidRPr="00BF159C">
        <w:rPr>
          <w:rStyle w:val="HideTWBExt"/>
          <w:lang w:val="fr-FR"/>
        </w:rPr>
        <w:t>&lt;/Original&gt;</w:t>
      </w:r>
    </w:p>
    <w:p w:rsidR="00B92CCE" w:rsidRPr="00BF159C" w:rsidRDefault="00B92CCE" w:rsidP="00B92CCE">
      <w:r>
        <w:rPr>
          <w:rStyle w:val="HideTWBExt"/>
          <w:lang w:val="fr-FR"/>
        </w:rPr>
        <w:t>&lt;/Amend&gt;</w:t>
      </w:r>
    </w:p>
    <w:p w:rsidR="00B92CCE" w:rsidRPr="00BF159C" w:rsidRDefault="00B92CCE" w:rsidP="00B92CCE">
      <w:pPr>
        <w:pStyle w:val="AmNumberTabs"/>
      </w:pPr>
      <w:r>
        <w:rPr>
          <w:rStyle w:val="HideTWBExt"/>
          <w:b w:val="0"/>
          <w:lang w:val="fr-FR"/>
        </w:rPr>
        <w:t>&lt;Amend&gt;</w:t>
      </w:r>
      <w:r>
        <w:t>Pozměňovací návrh</w:t>
      </w:r>
      <w:r>
        <w:tab/>
      </w:r>
      <w:r>
        <w:tab/>
      </w:r>
      <w:r>
        <w:rPr>
          <w:rStyle w:val="HideTWBExt"/>
          <w:b w:val="0"/>
          <w:lang w:val="fr-FR"/>
        </w:rPr>
        <w:t>&lt;NumAm&gt;</w:t>
      </w:r>
      <w:r>
        <w:t>296</w:t>
      </w:r>
      <w:r>
        <w:rPr>
          <w:rStyle w:val="HideTWBExt"/>
          <w:b w:val="0"/>
          <w:lang w:val="fr-FR"/>
        </w:rPr>
        <w:t>&lt;/NumAm&gt;</w:t>
      </w:r>
    </w:p>
    <w:p w:rsidR="00B92CCE" w:rsidRPr="00BF159C" w:rsidRDefault="00B92CCE" w:rsidP="00B92CCE">
      <w:pPr>
        <w:pStyle w:val="NormalBold"/>
      </w:pPr>
      <w:r>
        <w:rPr>
          <w:rStyle w:val="HideTWBExt"/>
          <w:b w:val="0"/>
          <w:lang w:val="fr-FR"/>
        </w:rPr>
        <w:t>&lt;RepeatBlock-By&gt;&lt;Members&gt;</w:t>
      </w:r>
      <w:r>
        <w:t>Michał Wawrykiewicz</w:t>
      </w:r>
      <w:r>
        <w:rPr>
          <w:rStyle w:val="HideTWBExt"/>
          <w:b w:val="0"/>
          <w:lang w:val="fr-FR"/>
        </w:rPr>
        <w:t>&lt;/Members&gt;</w:t>
      </w:r>
    </w:p>
    <w:p w:rsidR="00B92CCE" w:rsidRPr="00BF159C" w:rsidRDefault="00B92CCE" w:rsidP="00B92CCE">
      <w:pPr>
        <w:pStyle w:val="NormalBold"/>
      </w:pPr>
      <w:r>
        <w:rPr>
          <w:rStyle w:val="HideTWBExt"/>
          <w:b w:val="0"/>
          <w:lang w:val="fr-FR"/>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a </w:t>
            </w:r>
            <w:r>
              <w:rPr>
                <w:b/>
                <w:i/>
              </w:rPr>
              <w:t xml:space="preserve">sledování jeho provádění </w:t>
            </w:r>
            <w:r>
              <w:t>poskytovala nezbytnou pomoc;</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297</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 vyzývá Komisi, aby členským státům při provádění aktu EMFA poskytovala nezbytnou pomoc;</w:t>
            </w:r>
          </w:p>
        </w:tc>
        <w:tc>
          <w:tcPr>
            <w:tcW w:w="4876" w:type="dxa"/>
            <w:tcBorders>
              <w:top w:val="nil"/>
              <w:left w:val="nil"/>
              <w:bottom w:val="nil"/>
              <w:right w:val="nil"/>
            </w:tcBorders>
          </w:tcPr>
          <w:p w:rsidR="00B92CCE" w:rsidRPr="00444926" w:rsidRDefault="00B92CCE" w:rsidP="00215104">
            <w:pPr>
              <w:pStyle w:val="Normal6a"/>
            </w:pPr>
            <w:r>
              <w:t>8.</w:t>
            </w:r>
            <w:r>
              <w:tab/>
              <w:t>vítá iniciativy, jako je Evropský akt o svobodě sdělovacích prostředků (EMFA)</w:t>
            </w:r>
            <w:r>
              <w:rPr>
                <w:vertAlign w:val="superscript"/>
              </w:rPr>
              <w:t>39</w:t>
            </w:r>
            <w:r>
              <w:t>, a vyzývá k jeho urychlenému provedení; vyzývá členské státy, aby zlepšily transparentnost při přidělování veřejných prostředků na reklamu zadávanou státem</w:t>
            </w:r>
            <w:r>
              <w:rPr>
                <w:b/>
                <w:i/>
              </w:rPr>
              <w:t xml:space="preserve"> online i offline</w:t>
            </w:r>
            <w:r>
              <w:t>; vyzývá Komisi, aby členským státům při provádění aktu EMFA poskytovala nezbytnou pomoc;</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c>
          <w:tcPr>
            <w:tcW w:w="4876" w:type="dxa"/>
            <w:tcBorders>
              <w:top w:val="nil"/>
              <w:left w:val="nil"/>
              <w:bottom w:val="nil"/>
              <w:right w:val="nil"/>
            </w:tcBorders>
          </w:tcPr>
          <w:p w:rsidR="00B92CCE" w:rsidRPr="00444926" w:rsidRDefault="00B92CCE" w:rsidP="00215104">
            <w:pPr>
              <w:pStyle w:val="Normal6a"/>
            </w:pPr>
            <w:r>
              <w:rPr>
                <w:vertAlign w:val="superscript"/>
              </w:rPr>
              <w:t>39</w:t>
            </w:r>
            <w:r>
              <w:t xml:space="preserve"> Nařízení Evropského parlamentu a Rady (EU) 2024/1083 ze dne 11. dubna 2024, kterým se stanoví společný rámec pro mediální služby na vnitřním trhu a mění směrnice 2010/13/EU (Evropský akt o svobodě médií) (Úř. věst. L, 2024/1083, 17.4.2024, ELI: https://eur-lex.europa.eu/legal-content/CS/TXT/?uri=CELEX:32024R1083).</w:t>
            </w:r>
          </w:p>
        </w:tc>
      </w:tr>
    </w:tbl>
    <w:p w:rsidR="00B92CCE" w:rsidRPr="00BF159C" w:rsidRDefault="00B92CCE" w:rsidP="00B92CCE">
      <w:pPr>
        <w:pStyle w:val="AmOrLang"/>
        <w:rPr>
          <w:lang w:val="it-IT"/>
        </w:rPr>
      </w:pPr>
      <w:r w:rsidRPr="00BF159C">
        <w:rPr>
          <w:lang w:val="it-IT"/>
        </w:rPr>
        <w:t xml:space="preserve">Or. </w:t>
      </w:r>
      <w:r w:rsidRPr="00BF159C">
        <w:rPr>
          <w:rStyle w:val="HideTWBExt"/>
          <w:lang w:val="it-IT"/>
        </w:rPr>
        <w:t>&lt;Original&gt;</w:t>
      </w:r>
      <w:r w:rsidRPr="00BF159C">
        <w:rPr>
          <w:rStyle w:val="HideTWBInt"/>
          <w:lang w:val="it-IT"/>
        </w:rPr>
        <w:t>{EN}</w:t>
      </w:r>
      <w:r w:rsidRPr="00BF159C">
        <w:rPr>
          <w:lang w:val="it-IT"/>
        </w:rPr>
        <w:t>en</w:t>
      </w:r>
      <w:r w:rsidRPr="00BF159C">
        <w:rPr>
          <w:rStyle w:val="HideTWBExt"/>
          <w:lang w:val="it-IT"/>
        </w:rPr>
        <w:t>&lt;/Original&gt;</w:t>
      </w:r>
    </w:p>
    <w:p w:rsidR="00B92CCE" w:rsidRPr="00BF159C" w:rsidRDefault="00B92CCE" w:rsidP="00B92CCE">
      <w:r>
        <w:rPr>
          <w:rStyle w:val="HideTWBExt"/>
          <w:lang w:val="it-IT"/>
        </w:rPr>
        <w:t>&lt;/Amend&gt;</w:t>
      </w:r>
    </w:p>
    <w:p w:rsidR="00B92CCE" w:rsidRPr="00BF159C" w:rsidRDefault="00B92CCE" w:rsidP="00B92CCE">
      <w:pPr>
        <w:pStyle w:val="AmNumberTabs"/>
      </w:pPr>
      <w:r>
        <w:rPr>
          <w:rStyle w:val="HideTWBExt"/>
          <w:b w:val="0"/>
          <w:lang w:val="it-IT"/>
        </w:rPr>
        <w:t>&lt;Amend&gt;</w:t>
      </w:r>
      <w:r>
        <w:t>Pozměňovací návrh</w:t>
      </w:r>
      <w:r>
        <w:tab/>
      </w:r>
      <w:r>
        <w:tab/>
      </w:r>
      <w:r>
        <w:rPr>
          <w:rStyle w:val="HideTWBExt"/>
          <w:b w:val="0"/>
          <w:lang w:val="it-IT"/>
        </w:rPr>
        <w:t>&lt;NumAm&gt;</w:t>
      </w:r>
      <w:r>
        <w:t>298</w:t>
      </w:r>
      <w:r>
        <w:rPr>
          <w:rStyle w:val="HideTWBExt"/>
          <w:b w:val="0"/>
          <w:lang w:val="it-IT"/>
        </w:rPr>
        <w:t>&lt;/NumAm&gt;</w:t>
      </w:r>
    </w:p>
    <w:p w:rsidR="00B92CCE" w:rsidRPr="00BF159C" w:rsidRDefault="00B92CCE" w:rsidP="00B92CCE">
      <w:pPr>
        <w:pStyle w:val="NormalBold"/>
      </w:pPr>
      <w:r>
        <w:rPr>
          <w:rStyle w:val="HideTWBExt"/>
          <w:b w:val="0"/>
          <w:lang w:val="it-IT"/>
        </w:rPr>
        <w:t>&lt;RepeatBlock-By&gt;&lt;Members&gt;</w:t>
      </w:r>
      <w:r>
        <w:t>Giuseppe Antoci, Isabel Serra Sánchez</w:t>
      </w:r>
      <w:r>
        <w:rPr>
          <w:rStyle w:val="HideTWBExt"/>
          <w:b w:val="0"/>
          <w:lang w:val="it-IT"/>
        </w:rPr>
        <w:t>&lt;/Members&gt;</w:t>
      </w:r>
    </w:p>
    <w:p w:rsidR="00B92CCE" w:rsidRPr="00BF159C" w:rsidRDefault="00B92CCE" w:rsidP="00B92CCE">
      <w:pPr>
        <w:pStyle w:val="NormalBold"/>
      </w:pPr>
      <w:r>
        <w:rPr>
          <w:rStyle w:val="HideTWBExt"/>
          <w:b w:val="0"/>
          <w:lang w:val="it-IT"/>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8a.</w:t>
            </w:r>
            <w:r>
              <w:tab/>
            </w:r>
            <w:r>
              <w:rPr>
                <w:b/>
                <w:i/>
              </w:rPr>
              <w:t>domnívá se, že legislativní iniciativy italské vlády, které reformují trestní řád a které se týkají přístupu novinářů k soudním dokumentům a odposlechům, narušují svobodu sdělovacích prostředků a nepřiměřeně omezují svobodu informací; odsuzuje svévolný extenzivní výklad směrnice (EU) 2016/343, který italská vláda používá k odůvodnění reforem; konstatuje, že Komise tuto otázku uvedla v kapitole o Itálii; vyzývá Komisi, aby pečlivě sledovala dopady zákona na svobodu projevu a informací v Itálii, jelikož se jedná o hodnoty chráněné článkem 11 Listiny základních práv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299</w:t>
      </w:r>
      <w:r>
        <w:rPr>
          <w:rStyle w:val="HideTWBExt"/>
          <w:b w:val="0"/>
        </w:rPr>
        <w:t>&lt;/NumAm&gt;</w:t>
      </w:r>
    </w:p>
    <w:p w:rsidR="00B92CCE" w:rsidRPr="00444926" w:rsidRDefault="00B92CCE" w:rsidP="00B92CCE">
      <w:pPr>
        <w:pStyle w:val="NormalBold"/>
      </w:pPr>
      <w:r>
        <w:rPr>
          <w:rStyle w:val="HideTWBExt"/>
          <w:b w:val="0"/>
        </w:rPr>
        <w:t>&lt;RepeatBlock-By&gt;&lt;Members&gt;</w:t>
      </w:r>
      <w:r>
        <w:t>Juan Fernando López Aguilar, Nacho Sánchez Amor, Javier Moreno Sánchez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8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8a.</w:t>
            </w:r>
            <w:r>
              <w:tab/>
            </w:r>
            <w:r>
              <w:rPr>
                <w:b/>
                <w:i/>
              </w:rPr>
              <w:t>je si vědom toho, že občané vnímají známky oslabování demokracie způsobovaného zavádějícími informacemi a dezinformacemi a že šíření nepravdivých informací prostřednictvím sociálních médií by mohlo vést k narušení evropské myšlenky právního státu, základních práv a hodnot;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300</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9.</w:t>
            </w:r>
            <w:r>
              <w:tab/>
              <w:t>vyzývá členské státy, aby v plné míře provedly směrnici proti strategickým žalobám proti účasti veřejnosti</w:t>
            </w:r>
            <w:r>
              <w:rPr>
                <w:vertAlign w:val="superscript"/>
              </w:rPr>
              <w:t>40</w:t>
            </w:r>
            <w:r>
              <w:rPr>
                <w:b/>
                <w:i/>
              </w:rPr>
              <w:t xml:space="preserve"> a doporučení Komise (EU) 2022/758 ze dne 27. dubna 2022 o ochraně novinářů a obránců lidských práv zapojenými do účasti veřejnosti před zjevně neopodstatněnými nebo zneužívajícími soudními řízeními („strategické žaloby proti účasti veřejnosti“)</w:t>
            </w:r>
            <w:r>
              <w:rPr>
                <w:b/>
                <w:i/>
                <w:vertAlign w:val="superscript"/>
              </w:rPr>
              <w:t>41</w:t>
            </w:r>
            <w:r>
              <w:rPr>
                <w:b/>
                <w:i/>
              </w:rPr>
              <w:t xml:space="preserve"> a aby proti strategickým žalobám proti účasti veřejnosti přijaly komplexní vnitrostátní opatření, jimiž budou chránit novináře a poskytnou podporu těm, kteří jsou vystaveni rizikům</w:t>
            </w:r>
            <w:r>
              <w:t>;</w:t>
            </w:r>
          </w:p>
        </w:tc>
        <w:tc>
          <w:tcPr>
            <w:tcW w:w="4876" w:type="dxa"/>
            <w:tcBorders>
              <w:top w:val="nil"/>
              <w:left w:val="nil"/>
              <w:bottom w:val="nil"/>
              <w:right w:val="nil"/>
            </w:tcBorders>
          </w:tcPr>
          <w:p w:rsidR="00B92CCE" w:rsidRPr="00444926" w:rsidRDefault="00B92CCE" w:rsidP="00215104">
            <w:pPr>
              <w:pStyle w:val="Normal6a"/>
            </w:pPr>
            <w:r>
              <w:t>9.</w:t>
            </w:r>
            <w:r>
              <w:tab/>
              <w:t>vyzývá členské státy, aby v plné míře provedly směrnici proti strategickým žalobám proti účasti veřejnosti</w:t>
            </w:r>
            <w:r>
              <w:rPr>
                <w:vertAlign w:val="superscript"/>
              </w:rPr>
              <w:t>40</w:t>
            </w:r>
            <w:r>
              <w:t>;</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40</w:t>
            </w:r>
            <w:r>
              <w:t xml:space="preserve"> 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https://eur-lex.europa.eu/legal-content/CS/TXT/?uri=CELEX:32024L1069).</w:t>
            </w:r>
          </w:p>
        </w:tc>
        <w:tc>
          <w:tcPr>
            <w:tcW w:w="4876" w:type="dxa"/>
            <w:tcBorders>
              <w:top w:val="nil"/>
              <w:left w:val="nil"/>
              <w:bottom w:val="nil"/>
              <w:right w:val="nil"/>
            </w:tcBorders>
          </w:tcPr>
          <w:p w:rsidR="00B92CCE" w:rsidRPr="00444926" w:rsidRDefault="00B92CCE" w:rsidP="00215104">
            <w:pPr>
              <w:pStyle w:val="Normal6a"/>
            </w:pPr>
            <w:r>
              <w:rPr>
                <w:vertAlign w:val="superscript"/>
              </w:rPr>
              <w:t>40</w:t>
            </w:r>
            <w:r>
              <w:t xml:space="preserve"> 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https://eur-lex.europa.eu/legal-content/CS/TXT/?uri=CELEX:32024L1069).</w:t>
            </w:r>
          </w:p>
        </w:tc>
      </w:tr>
      <w:tr w:rsidR="00B92CCE" w:rsidTr="00215104">
        <w:trPr>
          <w:jc w:val="center"/>
        </w:trPr>
        <w:tc>
          <w:tcPr>
            <w:tcW w:w="4876" w:type="dxa"/>
            <w:tcBorders>
              <w:top w:val="nil"/>
              <w:left w:val="nil"/>
              <w:bottom w:val="nil"/>
              <w:right w:val="nil"/>
            </w:tcBorders>
          </w:tcPr>
          <w:p w:rsidR="00B92CCE" w:rsidRPr="00BF159C" w:rsidRDefault="00B92CCE" w:rsidP="00215104">
            <w:pPr>
              <w:pStyle w:val="Normal6a"/>
            </w:pPr>
            <w:r>
              <w:rPr>
                <w:b/>
                <w:i/>
              </w:rPr>
              <w:t>41 Úř. věst. L 138, 17.5.2022, s. 30., ELI: https://eur-lex.europa.eu/legal-content/CS/TXT/?uri=CELEX:32022H0758.</w:t>
            </w:r>
          </w:p>
        </w:tc>
        <w:tc>
          <w:tcPr>
            <w:tcW w:w="4876" w:type="dxa"/>
            <w:tcBorders>
              <w:top w:val="nil"/>
              <w:left w:val="nil"/>
              <w:bottom w:val="nil"/>
              <w:right w:val="nil"/>
            </w:tcBorders>
          </w:tcPr>
          <w:p w:rsidR="00B92CCE" w:rsidRPr="00BF159C" w:rsidRDefault="00B92CCE" w:rsidP="00215104">
            <w:pPr>
              <w:rPr>
                <w:lang w:val="fi-FI"/>
              </w:rPr>
            </w:pPr>
          </w:p>
        </w:tc>
      </w:tr>
    </w:tbl>
    <w:p w:rsidR="00B92CCE" w:rsidRPr="00BF159C" w:rsidRDefault="00B92CCE" w:rsidP="00B92CCE">
      <w:pPr>
        <w:pStyle w:val="AmOrLang"/>
        <w:rPr>
          <w:lang w:val="fi-FI"/>
        </w:rPr>
      </w:pPr>
      <w:r w:rsidRPr="00BF159C">
        <w:rPr>
          <w:lang w:val="fi-FI"/>
        </w:rPr>
        <w:t xml:space="preserve">Or. </w:t>
      </w:r>
      <w:r w:rsidRPr="00BF159C">
        <w:rPr>
          <w:rStyle w:val="HideTWBExt"/>
          <w:lang w:val="fi-FI"/>
        </w:rPr>
        <w:t>&lt;Original&gt;</w:t>
      </w:r>
      <w:r w:rsidRPr="00BF159C">
        <w:rPr>
          <w:rStyle w:val="HideTWBInt"/>
          <w:lang w:val="fi-FI"/>
        </w:rPr>
        <w:t>{SK}</w:t>
      </w:r>
      <w:r w:rsidRPr="00BF159C">
        <w:rPr>
          <w:lang w:val="fi-FI"/>
        </w:rPr>
        <w:t>sk</w:t>
      </w:r>
      <w:r w:rsidRPr="00BF159C">
        <w:rPr>
          <w:rStyle w:val="HideTWBExt"/>
          <w:lang w:val="fi-FI"/>
        </w:rPr>
        <w:t>&lt;/Original&gt;</w:t>
      </w:r>
    </w:p>
    <w:p w:rsidR="00B92CCE" w:rsidRPr="00BF159C" w:rsidRDefault="00B92CCE" w:rsidP="00B92CCE">
      <w:r>
        <w:rPr>
          <w:rStyle w:val="HideTWBExt"/>
          <w:lang w:val="fi-FI"/>
        </w:rPr>
        <w:t>&lt;/Amend&gt;</w:t>
      </w:r>
    </w:p>
    <w:p w:rsidR="00B92CCE" w:rsidRPr="00BF159C" w:rsidRDefault="00B92CCE" w:rsidP="00B92CCE">
      <w:pPr>
        <w:pStyle w:val="AmNumberTabs"/>
      </w:pPr>
      <w:r>
        <w:rPr>
          <w:rStyle w:val="HideTWBExt"/>
          <w:b w:val="0"/>
          <w:lang w:val="fi-FI"/>
        </w:rPr>
        <w:t>&lt;Amend&gt;</w:t>
      </w:r>
      <w:r>
        <w:t>Pozměňovací návrh</w:t>
      </w:r>
      <w:r>
        <w:tab/>
      </w:r>
      <w:r>
        <w:tab/>
      </w:r>
      <w:r>
        <w:rPr>
          <w:rStyle w:val="HideTWBExt"/>
          <w:b w:val="0"/>
          <w:lang w:val="fi-FI"/>
        </w:rPr>
        <w:t>&lt;NumAm&gt;</w:t>
      </w:r>
      <w:r>
        <w:t>301</w:t>
      </w:r>
      <w:r>
        <w:rPr>
          <w:rStyle w:val="HideTWBExt"/>
          <w:b w:val="0"/>
          <w:lang w:val="fi-FI"/>
        </w:rPr>
        <w:t>&lt;/NumAm&gt;</w:t>
      </w:r>
    </w:p>
    <w:p w:rsidR="00B92CCE" w:rsidRPr="00BF159C" w:rsidRDefault="00B92CCE" w:rsidP="00B92CCE">
      <w:pPr>
        <w:pStyle w:val="NormalBold"/>
      </w:pPr>
      <w:r>
        <w:rPr>
          <w:rStyle w:val="HideTWBExt"/>
          <w:b w:val="0"/>
          <w:lang w:val="fi-FI"/>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Pr>
          <w:rStyle w:val="HideTWBExt"/>
          <w:b w:val="0"/>
          <w:lang w:val="fi-FI"/>
        </w:rPr>
        <w:t>&lt;/Members&gt;</w:t>
      </w:r>
    </w:p>
    <w:p w:rsidR="00B92CCE" w:rsidRPr="00BF159C" w:rsidRDefault="00B92CCE" w:rsidP="00B92CCE">
      <w:pPr>
        <w:pStyle w:val="NormalBold"/>
      </w:pPr>
      <w:r>
        <w:rPr>
          <w:rStyle w:val="HideTWBExt"/>
          <w:b w:val="0"/>
          <w:lang w:val="fi-FI"/>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9.</w:t>
            </w:r>
            <w:r>
              <w:tab/>
              <w:t>vyzývá členské státy, aby v plné míře provedly směrnici proti strategickým žalobám proti účasti veřejnosti</w:t>
            </w:r>
            <w:r>
              <w:rPr>
                <w:vertAlign w:val="superscript"/>
              </w:rPr>
              <w:t>40</w:t>
            </w:r>
            <w:r>
              <w:t xml:space="preserve"> a doporučení Komise (EU) 2022/758 ze dne 27. dubna 2022 o ochraně novinářů a obránců lidských práv zapojenými do účasti veřejnosti před zjevně neopodstatněnými nebo zneužívajícími soudními řízeními („strategické žaloby proti účasti veřejnosti“)</w:t>
            </w:r>
            <w:r>
              <w:rPr>
                <w:vertAlign w:val="superscript"/>
              </w:rPr>
              <w:t>41</w:t>
            </w:r>
            <w:r>
              <w:t xml:space="preserve"> a aby proti strategickým žalobám proti účasti veřejnosti přijaly komplexní vnitrostátní opatření, jimiž budou chránit novináře a poskytnou podporu těm, kteří jsou vystaveni </w:t>
            </w:r>
            <w:r>
              <w:rPr>
                <w:b/>
                <w:i/>
              </w:rPr>
              <w:t>rizikům</w:t>
            </w:r>
            <w:r>
              <w:t>;</w:t>
            </w:r>
          </w:p>
        </w:tc>
        <w:tc>
          <w:tcPr>
            <w:tcW w:w="4876" w:type="dxa"/>
            <w:tcBorders>
              <w:top w:val="nil"/>
              <w:left w:val="nil"/>
              <w:bottom w:val="nil"/>
              <w:right w:val="nil"/>
            </w:tcBorders>
          </w:tcPr>
          <w:p w:rsidR="00B92CCE" w:rsidRPr="00444926" w:rsidRDefault="00B92CCE" w:rsidP="00215104">
            <w:pPr>
              <w:pStyle w:val="Normal6a"/>
            </w:pPr>
            <w:r>
              <w:t>9.</w:t>
            </w:r>
            <w:r>
              <w:tab/>
              <w:t>vyzývá členské státy, aby v plné míře provedly směrnici proti strategickým žalobám proti účasti veřejnosti</w:t>
            </w:r>
            <w:r>
              <w:rPr>
                <w:vertAlign w:val="superscript"/>
              </w:rPr>
              <w:t>40</w:t>
            </w:r>
            <w:r>
              <w:t xml:space="preserve"> a doporučení Komise (EU) 2022/758 ze dne 27. dubna 2022 o ochraně novinářů a obránců lidských práv zapojenými do účasti veřejnosti před zjevně neopodstatněnými nebo zneužívajícími soudními řízeními („strategické žaloby proti účasti veřejnosti“)</w:t>
            </w:r>
            <w:r>
              <w:rPr>
                <w:vertAlign w:val="superscript"/>
              </w:rPr>
              <w:t>41</w:t>
            </w:r>
            <w:r>
              <w:t xml:space="preserve"> a aby proti strategickým žalobám proti účasti veřejnosti přijaly komplexní vnitrostátní opatření, jimiž budou chránit novináře a poskytnou podporu těm, kteří jsou vystaveni </w:t>
            </w:r>
            <w:r>
              <w:rPr>
                <w:b/>
                <w:i/>
              </w:rPr>
              <w:t>zastrašování, pomluvám a omezením při výkonu své profese;</w:t>
            </w:r>
            <w:r>
              <w:t xml:space="preserve"> </w:t>
            </w:r>
            <w:r>
              <w:rPr>
                <w:b/>
                <w:i/>
              </w:rPr>
              <w:t>doporučuje členským státům, aby při provádění směrnice do vnitrostátního práva rozšířily její uplatňování i na vnitrostátní případy, neboť většina strategických žalob proti účasti veřejnosti probíhá na vnitrostátní úrovni;</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40</w:t>
            </w:r>
            <w:r>
              <w:t xml:space="preserve"> 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https://eur-lex.europa.eu/legal-content/CS/TXT/?uri=CELEX:32024L1069).</w:t>
            </w:r>
          </w:p>
        </w:tc>
        <w:tc>
          <w:tcPr>
            <w:tcW w:w="4876" w:type="dxa"/>
            <w:tcBorders>
              <w:top w:val="nil"/>
              <w:left w:val="nil"/>
              <w:bottom w:val="nil"/>
              <w:right w:val="nil"/>
            </w:tcBorders>
          </w:tcPr>
          <w:p w:rsidR="00B92CCE" w:rsidRPr="00444926" w:rsidRDefault="00B92CCE" w:rsidP="00215104">
            <w:pPr>
              <w:pStyle w:val="Normal6a"/>
            </w:pPr>
            <w:r>
              <w:rPr>
                <w:vertAlign w:val="superscript"/>
              </w:rPr>
              <w:t>40</w:t>
            </w:r>
            <w:r>
              <w:t xml:space="preserve"> 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https://eur-lex.europa.eu/legal-content/CS/TXT/?uri=CELEX:32024L1069).</w:t>
            </w:r>
          </w:p>
        </w:tc>
      </w:tr>
      <w:tr w:rsidR="00B92CCE" w:rsidTr="00215104">
        <w:trPr>
          <w:jc w:val="center"/>
        </w:trPr>
        <w:tc>
          <w:tcPr>
            <w:tcW w:w="4876" w:type="dxa"/>
            <w:tcBorders>
              <w:top w:val="nil"/>
              <w:left w:val="nil"/>
              <w:bottom w:val="nil"/>
              <w:right w:val="nil"/>
            </w:tcBorders>
          </w:tcPr>
          <w:p w:rsidR="00B92CCE" w:rsidRPr="00BF159C" w:rsidRDefault="00B92CCE" w:rsidP="00215104">
            <w:pPr>
              <w:pStyle w:val="Normal6a"/>
            </w:pPr>
            <w:r>
              <w:rPr>
                <w:vertAlign w:val="superscript"/>
              </w:rPr>
              <w:t>41</w:t>
            </w:r>
            <w:r>
              <w:t xml:space="preserve"> Úř. věst. L 138, 17.5.2022, s. 30., ELI: https://eur-lex.europa.eu/legal-content/CS/TXT/?uri=CELEX:32022H0758.</w:t>
            </w:r>
          </w:p>
        </w:tc>
        <w:tc>
          <w:tcPr>
            <w:tcW w:w="4876" w:type="dxa"/>
            <w:tcBorders>
              <w:top w:val="nil"/>
              <w:left w:val="nil"/>
              <w:bottom w:val="nil"/>
              <w:right w:val="nil"/>
            </w:tcBorders>
          </w:tcPr>
          <w:p w:rsidR="00B92CCE" w:rsidRPr="00BF159C" w:rsidRDefault="00B92CCE" w:rsidP="00215104">
            <w:pPr>
              <w:pStyle w:val="Normal6a"/>
            </w:pPr>
            <w:r>
              <w:rPr>
                <w:vertAlign w:val="superscript"/>
              </w:rPr>
              <w:t>41</w:t>
            </w:r>
            <w:r>
              <w:t xml:space="preserve"> Úř. věst. L 138, 17.5.2022, s. 30., ELI: https://eur-lex.europa.eu/legal-content/CS/TXT/?uri=CELEX:32022H0758.</w:t>
            </w:r>
          </w:p>
        </w:tc>
      </w:tr>
    </w:tbl>
    <w:p w:rsidR="00B92CCE" w:rsidRPr="00BF159C" w:rsidRDefault="00B92CCE" w:rsidP="00B92CCE">
      <w:pPr>
        <w:pStyle w:val="AmOrLang"/>
        <w:rPr>
          <w:lang w:val="de-DE"/>
        </w:rPr>
      </w:pPr>
      <w:r w:rsidRPr="00BF159C">
        <w:rPr>
          <w:lang w:val="de-DE"/>
        </w:rPr>
        <w:t xml:space="preserve">Or. </w:t>
      </w:r>
      <w:r w:rsidRPr="00BF159C">
        <w:rPr>
          <w:rStyle w:val="HideTWBExt"/>
          <w:lang w:val="de-DE"/>
        </w:rPr>
        <w:t>&lt;Original&gt;</w:t>
      </w:r>
      <w:r w:rsidRPr="00BF159C">
        <w:rPr>
          <w:rStyle w:val="HideTWBInt"/>
          <w:lang w:val="de-DE"/>
        </w:rPr>
        <w:t>{EN}</w:t>
      </w:r>
      <w:r w:rsidRPr="00BF159C">
        <w:rPr>
          <w:lang w:val="de-DE"/>
        </w:rPr>
        <w:t>en</w:t>
      </w:r>
      <w:r w:rsidRPr="00BF159C">
        <w:rPr>
          <w:rStyle w:val="HideTWBExt"/>
          <w:lang w:val="de-DE"/>
        </w:rPr>
        <w:t>&lt;/Original&gt;</w:t>
      </w:r>
    </w:p>
    <w:p w:rsidR="00B92CCE" w:rsidRPr="00BF159C" w:rsidRDefault="00B92CCE" w:rsidP="00B92CCE">
      <w:r>
        <w:rPr>
          <w:rStyle w:val="HideTWBExt"/>
          <w:lang w:val="de-DE"/>
        </w:rPr>
        <w:t>&lt;/Amend&gt;</w:t>
      </w:r>
    </w:p>
    <w:p w:rsidR="00B92CCE" w:rsidRPr="004C29F3" w:rsidRDefault="00B92CCE" w:rsidP="00B92CCE">
      <w:pPr>
        <w:pStyle w:val="AmNumberTabs"/>
      </w:pPr>
      <w:r>
        <w:rPr>
          <w:rStyle w:val="HideTWBExt"/>
          <w:b w:val="0"/>
        </w:rPr>
        <w:t>&lt;Amend&gt;</w:t>
      </w:r>
      <w:r>
        <w:t>Pozměňovací návrh</w:t>
      </w:r>
      <w:r>
        <w:tab/>
      </w:r>
      <w:r>
        <w:tab/>
      </w:r>
      <w:r>
        <w:rPr>
          <w:rStyle w:val="HideTWBExt"/>
          <w:b w:val="0"/>
        </w:rPr>
        <w:t>&lt;NumAm&gt;</w:t>
      </w:r>
      <w:r>
        <w:t>302</w:t>
      </w:r>
      <w:r>
        <w:rPr>
          <w:rStyle w:val="HideTWBExt"/>
          <w:b w:val="0"/>
        </w:rPr>
        <w:t>&lt;/NumAm&gt;</w:t>
      </w:r>
    </w:p>
    <w:p w:rsidR="00B92CCE" w:rsidRPr="004C29F3" w:rsidRDefault="00B92CCE" w:rsidP="00B92CCE">
      <w:pPr>
        <w:pStyle w:val="NormalBold"/>
      </w:pPr>
      <w:r>
        <w:rPr>
          <w:rStyle w:val="HideTWBExt"/>
          <w:b w:val="0"/>
        </w:rPr>
        <w:t>&lt;RepeatBlock-By&gt;&lt;Members&gt;</w:t>
      </w:r>
      <w:r>
        <w:t>Daniel Freund, Diana Riba i Giner</w:t>
      </w:r>
      <w:r>
        <w:rPr>
          <w:rStyle w:val="HideTWBExt"/>
          <w:b w:val="0"/>
        </w:rPr>
        <w:t>&lt;/Members&gt;</w:t>
      </w:r>
    </w:p>
    <w:p w:rsidR="00B92CCE" w:rsidRPr="004C29F3"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9.</w:t>
            </w:r>
            <w:r>
              <w:tab/>
              <w:t>vyzývá členské státy, aby v plné míře provedly směrnici proti strategickým žalobám proti účasti veřejnosti</w:t>
            </w:r>
            <w:r>
              <w:rPr>
                <w:vertAlign w:val="superscript"/>
              </w:rPr>
              <w:t>40</w:t>
            </w:r>
            <w:r>
              <w:t xml:space="preserve"> a doporučení Komise (EU) 2022/758 ze dne 27. dubna 2022 o ochraně novinářů a obránců lidských práv zapojenými do účasti veřejnosti před zjevně neopodstatněnými nebo zneužívajícími soudními řízeními („strategické žaloby proti účasti veřejnosti“)</w:t>
            </w:r>
            <w:r>
              <w:rPr>
                <w:vertAlign w:val="superscript"/>
              </w:rPr>
              <w:t>41</w:t>
            </w:r>
            <w:r>
              <w:t xml:space="preserve"> a aby proti strategickým žalobám proti účasti veřejnosti přijaly komplexní vnitrostátní opatření, jimiž budou chránit novináře a poskytnou podporu těm, kteří jsou vystaveni rizikům;</w:t>
            </w:r>
          </w:p>
        </w:tc>
        <w:tc>
          <w:tcPr>
            <w:tcW w:w="4876" w:type="dxa"/>
            <w:tcBorders>
              <w:top w:val="nil"/>
              <w:left w:val="nil"/>
              <w:bottom w:val="nil"/>
              <w:right w:val="nil"/>
            </w:tcBorders>
          </w:tcPr>
          <w:p w:rsidR="00B92CCE" w:rsidRPr="00444926" w:rsidRDefault="00B92CCE" w:rsidP="00215104">
            <w:pPr>
              <w:pStyle w:val="Normal6a"/>
            </w:pPr>
            <w:r>
              <w:t>9.</w:t>
            </w:r>
            <w:r>
              <w:tab/>
              <w:t>vyzývá členské státy, aby v plné míře provedly směrnici proti strategickým žalobám proti účasti veřejnosti</w:t>
            </w:r>
            <w:r>
              <w:rPr>
                <w:vertAlign w:val="superscript"/>
              </w:rPr>
              <w:t>40</w:t>
            </w:r>
            <w:r>
              <w:t xml:space="preserve"> a doporučení Komise (EU) 2022/758 ze dne 27. dubna 2022 o ochraně novinářů a obránců lidských práv zapojenými do účasti veřejnosti před zjevně neopodstatněnými nebo zneužívajícími soudními řízeními („strategické žaloby proti účasti veřejnosti“)</w:t>
            </w:r>
            <w:r>
              <w:rPr>
                <w:vertAlign w:val="superscript"/>
              </w:rPr>
              <w:t>41</w:t>
            </w:r>
            <w:r>
              <w:t xml:space="preserve"> a aby proti strategickým žalobám proti účasti veřejnosti přijaly komplexní vnitrostátní opatření, jimiž budou chránit novináře a poskytnou podporu těm, kteří jsou vystaveni rizikům; </w:t>
            </w:r>
            <w:r>
              <w:rPr>
                <w:b/>
                <w:i/>
              </w:rPr>
              <w:t>vyzývá Komisi, aby předložila návrhy na řešení případů strategických žalob proti účasti veřejnosti, na něž se stávající směrnice nevztahuje;</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_________________</w:t>
            </w:r>
          </w:p>
        </w:tc>
        <w:tc>
          <w:tcPr>
            <w:tcW w:w="4876" w:type="dxa"/>
            <w:tcBorders>
              <w:top w:val="nil"/>
              <w:left w:val="nil"/>
              <w:bottom w:val="nil"/>
              <w:right w:val="nil"/>
            </w:tcBorders>
          </w:tcPr>
          <w:p w:rsidR="00B92CCE" w:rsidRPr="00444926" w:rsidRDefault="00B92CCE" w:rsidP="00215104">
            <w:pPr>
              <w:pStyle w:val="Normal6a"/>
            </w:pPr>
            <w:r>
              <w:rPr>
                <w:b/>
                <w:i/>
              </w:rPr>
              <w:t>_________________</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vertAlign w:val="superscript"/>
              </w:rPr>
              <w:t>40</w:t>
            </w:r>
            <w:r>
              <w:t xml:space="preserve"> 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https://eur-lex.europa.eu/legal-content/CS/TXT/?uri=CELEX:32024L1069).</w:t>
            </w:r>
          </w:p>
        </w:tc>
        <w:tc>
          <w:tcPr>
            <w:tcW w:w="4876" w:type="dxa"/>
            <w:tcBorders>
              <w:top w:val="nil"/>
              <w:left w:val="nil"/>
              <w:bottom w:val="nil"/>
              <w:right w:val="nil"/>
            </w:tcBorders>
          </w:tcPr>
          <w:p w:rsidR="00B92CCE" w:rsidRPr="00444926" w:rsidRDefault="00B92CCE" w:rsidP="00215104">
            <w:pPr>
              <w:pStyle w:val="Normal6a"/>
            </w:pPr>
            <w:r>
              <w:rPr>
                <w:vertAlign w:val="superscript"/>
              </w:rPr>
              <w:t>40</w:t>
            </w:r>
            <w:r>
              <w:t xml:space="preserve"> Směrnice Evropského parlamentu a Rady (EU) 2024/1069 ze dne 11. dubna 2024 o ochraně osob zapojených do účasti veřejnosti před zjevně neopodstatněnými žalobními návrhy nebo zneužívajícími soudními řízeními („strategická soudní řízení proti účasti veřejnosti“) (Úř. věst. L, 2024/1069, 16.4.2024, ELI: https://eur-lex.europa.eu/legal-content/CS/TXT/?uri=CELEX:32024L1069).</w:t>
            </w:r>
          </w:p>
        </w:tc>
      </w:tr>
      <w:tr w:rsidR="00B92CCE" w:rsidTr="00215104">
        <w:trPr>
          <w:jc w:val="center"/>
        </w:trPr>
        <w:tc>
          <w:tcPr>
            <w:tcW w:w="4876" w:type="dxa"/>
            <w:tcBorders>
              <w:top w:val="nil"/>
              <w:left w:val="nil"/>
              <w:bottom w:val="nil"/>
              <w:right w:val="nil"/>
            </w:tcBorders>
          </w:tcPr>
          <w:p w:rsidR="00B92CCE" w:rsidRPr="00BF159C" w:rsidRDefault="00B92CCE" w:rsidP="00215104">
            <w:pPr>
              <w:pStyle w:val="Normal6a"/>
            </w:pPr>
            <w:r>
              <w:rPr>
                <w:vertAlign w:val="superscript"/>
              </w:rPr>
              <w:t>41</w:t>
            </w:r>
            <w:r>
              <w:t xml:space="preserve"> Úř. věst. L 138, 17.5.2022, s. 30., ELI: https://eur-lex.europa.eu/legal-content/CS/TXT/?uri=CELEX:32022H0758.</w:t>
            </w:r>
          </w:p>
        </w:tc>
        <w:tc>
          <w:tcPr>
            <w:tcW w:w="4876" w:type="dxa"/>
            <w:tcBorders>
              <w:top w:val="nil"/>
              <w:left w:val="nil"/>
              <w:bottom w:val="nil"/>
              <w:right w:val="nil"/>
            </w:tcBorders>
          </w:tcPr>
          <w:p w:rsidR="00B92CCE" w:rsidRPr="00BF159C" w:rsidRDefault="00B92CCE" w:rsidP="00215104">
            <w:pPr>
              <w:pStyle w:val="Normal6a"/>
            </w:pPr>
            <w:r>
              <w:rPr>
                <w:vertAlign w:val="superscript"/>
              </w:rPr>
              <w:t>41</w:t>
            </w:r>
            <w:r>
              <w:t xml:space="preserve"> Úř. věst. L 138, 17.5.2022, s. 30., ELI: https://eur-lex.europa.eu/legal-content/CS/TXT/?uri=CELEX:32022H0758.</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303</w:t>
      </w:r>
      <w:r>
        <w:rPr>
          <w:rStyle w:val="HideTWBExt"/>
          <w:b w:val="0"/>
        </w:rPr>
        <w:t>&lt;/NumAm&gt;</w:t>
      </w:r>
    </w:p>
    <w:p w:rsidR="00B92CCE" w:rsidRPr="00444926" w:rsidRDefault="00B92CCE" w:rsidP="00B92CCE">
      <w:pPr>
        <w:pStyle w:val="NormalBold"/>
      </w:pPr>
      <w:r>
        <w:rPr>
          <w:rStyle w:val="HideTWBExt"/>
          <w:b w:val="0"/>
        </w:rPr>
        <w:t>&lt;RepeatBlock-By&gt;&lt;Members&gt;</w:t>
      </w:r>
      <w:r>
        <w:t>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9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9a.</w:t>
            </w:r>
            <w:r>
              <w:tab/>
            </w:r>
            <w:r>
              <w:rPr>
                <w:b/>
                <w:i/>
              </w:rPr>
              <w:t>vyjadřuje hluboké znepokojení nad rostoucím počtem útoků na novináře, které mají nepřiměřený dopad na novinářky; zdůrazňuje, že mezi nejčastější formy hrozeb patří slovní útoky, šikanování na internetu a zastrašování prostřednictvím sociálních médií a emailu; je hluboce znepokojen výskytem právních hrozeb, včetně případů strategických žalob proti účasti veřejnosti, a případů pronásledování a osobního obtěžování; vyzývá Komisi a členské státy, aby zajistily účinné prosazování opatření proti obtěžování a šikaně a aby pohnaly digitální platformy k odpovědnosti za umožnění šíření těchto hrozeb;</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304</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9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9a.</w:t>
            </w:r>
            <w:r>
              <w:tab/>
            </w:r>
            <w:r>
              <w:rPr>
                <w:b/>
                <w:i/>
              </w:rPr>
              <w:t>vyjadřuje znepokojení nad riziky pro bezpečnost novinářů, včetně jejich digitální bezpečnosti a pracovních podmínek v některých členských státech;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305</w:t>
      </w:r>
      <w:r>
        <w:rPr>
          <w:rStyle w:val="HideTWBExt"/>
          <w:b w:val="0"/>
        </w:rPr>
        <w:t>&lt;/NumAm&gt;</w:t>
      </w:r>
    </w:p>
    <w:p w:rsidR="00B92CCE" w:rsidRPr="00444926" w:rsidRDefault="00B92CCE" w:rsidP="00B92CCE">
      <w:pPr>
        <w:pStyle w:val="NormalBold"/>
      </w:pPr>
      <w:r>
        <w:rPr>
          <w:rStyle w:val="HideTWBExt"/>
          <w:b w:val="0"/>
        </w:rPr>
        <w:t>&lt;RepeatBlock-By&gt;&lt;Members&gt;</w:t>
      </w:r>
      <w:r>
        <w:t>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9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9b.</w:t>
            </w:r>
            <w:r>
              <w:tab/>
            </w:r>
            <w:r>
              <w:rPr>
                <w:b/>
                <w:i/>
              </w:rPr>
              <w:t>odsuzuje šíření cílených nenávistných kampaní proti novinářům na sociálních médiích, včetně případů, kdy byly tyto útoky placenými reklamami; vyzývá digitální platformy, aby přijaly okamžitá opatření a zajistily soulad se svými vlastními komunitními normami a evropskými právními předpisy, včetně nařízení o digitálních službách.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306</w:t>
      </w:r>
      <w:r>
        <w:rPr>
          <w:rStyle w:val="HideTWBExt"/>
          <w:b w:val="0"/>
        </w:rPr>
        <w:t>&lt;/NumAm&gt;</w:t>
      </w:r>
    </w:p>
    <w:p w:rsidR="00B92CCE" w:rsidRPr="00444926" w:rsidRDefault="00B92CCE" w:rsidP="00B92CCE">
      <w:pPr>
        <w:pStyle w:val="NormalBold"/>
      </w:pPr>
      <w:r>
        <w:rPr>
          <w:rStyle w:val="HideTWBExt"/>
          <w:b w:val="0"/>
        </w:rPr>
        <w:t>&lt;RepeatBlock-By&gt;&lt;Members&gt;</w:t>
      </w:r>
      <w:r>
        <w:t>Alessandro Zan, Cecilia Strada, Sandro Ruotolo, Pina Picierno, Marco Tarquinio</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 </w:t>
            </w:r>
            <w:r>
              <w:rPr>
                <w:b/>
                <w:i/>
              </w:rPr>
              <w:t>vyjadřuje znepokojení nad přetrvávajícím vládním a politickým vměšováním, kterému čelí italské veřejnoprávní sdělovací prostředky RAI, a výsledným negativním dopadem na nezávislost sdělovacích prostředků, jak již uvedla Komise; odsuzuje omezování svobody sdělovacích prostředků v Itálii; odsuzuje nátlak na novináře a údajné případy jejich cenzury i nová pravidla „par condicio“, která podporují viditelnost stávajících vládnoucích stran ve sdělovacích prostředcích;</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307</w:t>
      </w:r>
      <w:r>
        <w:rPr>
          <w:rStyle w:val="HideTWBExt"/>
          <w:b w:val="0"/>
        </w:rPr>
        <w:t>&lt;/NumAm&gt;</w:t>
      </w:r>
    </w:p>
    <w:p w:rsidR="00B92CCE" w:rsidRPr="00444926" w:rsidRDefault="00B92CCE" w:rsidP="00B92CCE">
      <w:pPr>
        <w:pStyle w:val="NormalBold"/>
      </w:pPr>
      <w:r>
        <w:rPr>
          <w:rStyle w:val="HideTWBExt"/>
          <w:b w:val="0"/>
        </w:rPr>
        <w:t>&lt;RepeatBlock-By&gt;&lt;Members&gt;</w:t>
      </w:r>
      <w:r>
        <w:t>Nicolas Bay</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w:t>
            </w:r>
            <w:r>
              <w:rPr>
                <w:b/>
                <w:i/>
              </w:rPr>
              <w:t>, předcházely koncentraci vlastnictví sdělovacích prostředků a bojovaly proti dezinformacím, zejména prostřednictvím propracovaných právních předpisů a nezávislých regulačních orgánů</w:t>
            </w:r>
            <w:r>
              <w:t>;</w:t>
            </w:r>
            <w:r>
              <w:rPr>
                <w:b/>
                <w:i/>
              </w:rPr>
              <w:t xml:space="preserve">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w:t>
            </w:r>
            <w:r>
              <w:rPr>
                <w:b/>
                <w:i/>
              </w:rPr>
              <w:t> </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{FR}</w:t>
      </w:r>
      <w:r w:rsidRPr="00444926">
        <w:t>fr</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308</w:t>
      </w:r>
      <w:r>
        <w:rPr>
          <w:rStyle w:val="HideTWBExt"/>
          <w:b w:val="0"/>
        </w:rPr>
        <w:t>&lt;/NumAm&gt;</w:t>
      </w:r>
    </w:p>
    <w:p w:rsidR="00B92CCE" w:rsidRPr="00444926" w:rsidRDefault="00B92CCE" w:rsidP="00B92CCE">
      <w:pPr>
        <w:pStyle w:val="NormalBold"/>
      </w:pPr>
      <w:r>
        <w:rPr>
          <w:rStyle w:val="HideTWBExt"/>
          <w:b w:val="0"/>
        </w:rPr>
        <w:t>&lt;RepeatBlock-By&gt;&lt;Members&gt;</w:t>
      </w:r>
      <w:r>
        <w:t>Emmanuel Fragkos, Geadis Geadi, Galato Alexandraki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w:t>
            </w:r>
            <w:r>
              <w:rPr>
                <w:b/>
                <w:i/>
              </w:rPr>
              <w:t>konstatuje, že současný systém jmenování vedoucích představitelů nezávislých orgánů nefunguje a mění je v nástroj pro provádění vládní politiky;</w:t>
            </w:r>
            <w:r>
              <w:t xml:space="preserve"> zdůrazňuje demokratický význam nezávislého a stabilního veřejnoprávního vysílání a potřebu zajistit financování veřejnoprávních sdělovacích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{EL}</w:t>
      </w:r>
      <w:r w:rsidRPr="00444926">
        <w:t>el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309</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w:t>
            </w:r>
            <w:r>
              <w:rPr>
                <w:b/>
                <w:i/>
              </w:rPr>
              <w:t>bojovaly proti dezinformacím</w:t>
            </w:r>
            <w:r>
              <w:t xml:space="preserve">, </w:t>
            </w:r>
            <w:r>
              <w:rPr>
                <w:b/>
                <w:i/>
              </w:rPr>
              <w:t>zejména</w:t>
            </w:r>
            <w:r>
              <w:t xml:space="preserve"> prostřednictvím propracovaných právních předpisů a nezávislých regulačních orgánů; zdůrazňuje demokratický význam </w:t>
            </w:r>
            <w:r>
              <w:rPr>
                <w:b/>
                <w:i/>
              </w:rPr>
              <w:t>nezávislého</w:t>
            </w:r>
            <w:r>
              <w:t xml:space="preserve"> a </w:t>
            </w:r>
            <w:r>
              <w:rPr>
                <w:b/>
                <w:i/>
              </w:rPr>
              <w:t>stabilního veřejnoprávního vysílání</w:t>
            </w:r>
            <w:r>
              <w:t xml:space="preserve"> a </w:t>
            </w:r>
            <w:r>
              <w:rPr>
                <w:b/>
                <w:i/>
              </w:rPr>
              <w:t>potřebu zajistit</w:t>
            </w:r>
            <w:r>
              <w:t xml:space="preserve"> financování </w:t>
            </w:r>
            <w:r>
              <w:rPr>
                <w:b/>
                <w:i/>
              </w:rPr>
              <w:t>veřejnoprávních</w:t>
            </w:r>
            <w:r>
              <w:t xml:space="preserve">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w:t>
            </w:r>
            <w:r>
              <w:rPr>
                <w:b/>
                <w:i/>
              </w:rPr>
              <w:t>podporovaly redakční nezávislost a transparentnost médií</w:t>
            </w:r>
            <w:r>
              <w:t>, a </w:t>
            </w:r>
            <w:r>
              <w:rPr>
                <w:b/>
                <w:i/>
              </w:rPr>
              <w:t>to</w:t>
            </w:r>
            <w:r>
              <w:t xml:space="preserve"> prostřednictvím propracovaných právních předpisů a nezávislých regulačních orgánů; zdůrazňuje demokratický význam </w:t>
            </w:r>
            <w:r>
              <w:rPr>
                <w:b/>
                <w:i/>
              </w:rPr>
              <w:t>nezávislých sdělovacích prostředků</w:t>
            </w:r>
            <w:r>
              <w:t xml:space="preserve"> a </w:t>
            </w:r>
            <w:r>
              <w:rPr>
                <w:b/>
                <w:i/>
              </w:rPr>
              <w:t>připravenosti bojovat proti propagandistickým operacím státních i nestátních zahraničních aktérů; vyzývá orgány EU</w:t>
            </w:r>
            <w:r>
              <w:t xml:space="preserve"> a </w:t>
            </w:r>
            <w:r>
              <w:rPr>
                <w:b/>
                <w:i/>
              </w:rPr>
              <w:t>členské státy, aby ukončily</w:t>
            </w:r>
            <w:r>
              <w:t xml:space="preserve"> financování a </w:t>
            </w:r>
            <w:r>
              <w:rPr>
                <w:b/>
                <w:i/>
              </w:rPr>
              <w:t>dotace poskytovatelům</w:t>
            </w:r>
            <w:r>
              <w:t xml:space="preserve"> sdělovacích prostředků;</w:t>
            </w:r>
          </w:p>
        </w:tc>
      </w:tr>
    </w:tbl>
    <w:p w:rsidR="00B92CCE" w:rsidRPr="006D5E9B" w:rsidRDefault="00B92CCE" w:rsidP="00B92CCE">
      <w:pPr>
        <w:pStyle w:val="AmOrLang"/>
      </w:pPr>
      <w:r w:rsidRPr="006D5E9B">
        <w:t xml:space="preserve">Or. </w:t>
      </w:r>
      <w:r w:rsidRPr="006D5E9B">
        <w:rPr>
          <w:rStyle w:val="HideTWBExt"/>
        </w:rPr>
        <w:t>&lt;Original&gt;</w:t>
      </w:r>
      <w:r w:rsidRPr="006D5E9B">
        <w:rPr>
          <w:rStyle w:val="HideTWBInt"/>
        </w:rPr>
        <w:t>{EN}</w:t>
      </w:r>
      <w:r w:rsidRPr="006D5E9B">
        <w:t>en</w:t>
      </w:r>
      <w:r w:rsidRPr="006D5E9B">
        <w:rPr>
          <w:rStyle w:val="HideTWBExt"/>
        </w:rPr>
        <w:t>&lt;/Original&gt;</w:t>
      </w:r>
    </w:p>
    <w:p w:rsidR="00B92CCE" w:rsidRPr="00BF159C" w:rsidRDefault="00B92CCE" w:rsidP="00B92CCE">
      <w:r w:rsidRPr="006D5E9B">
        <w:rPr>
          <w:rStyle w:val="HideTWBExt"/>
        </w:rPr>
        <w:t>&lt;/Amend&gt;</w:t>
      </w:r>
    </w:p>
    <w:p w:rsidR="00B92CCE" w:rsidRPr="004C29F3" w:rsidRDefault="00B92CCE" w:rsidP="00B92CCE">
      <w:pPr>
        <w:pStyle w:val="AmNumberTabs"/>
      </w:pPr>
      <w:r>
        <w:rPr>
          <w:rStyle w:val="HideTWBExt"/>
          <w:b w:val="0"/>
        </w:rPr>
        <w:t>&lt;Amend&gt;</w:t>
      </w:r>
      <w:r>
        <w:t>Pozměňovací návrh</w:t>
      </w:r>
      <w:r>
        <w:tab/>
      </w:r>
      <w:r>
        <w:tab/>
      </w:r>
      <w:r>
        <w:rPr>
          <w:rStyle w:val="HideTWBExt"/>
          <w:b w:val="0"/>
        </w:rPr>
        <w:t>&lt;NumAm&gt;</w:t>
      </w:r>
      <w:r>
        <w:t>310</w:t>
      </w:r>
      <w:r>
        <w:rPr>
          <w:rStyle w:val="HideTWBExt"/>
          <w:b w:val="0"/>
        </w:rPr>
        <w:t>&lt;/NumAm&gt;</w:t>
      </w:r>
    </w:p>
    <w:p w:rsidR="00B92CCE" w:rsidRPr="004C29F3" w:rsidRDefault="00B92CCE" w:rsidP="00B92CCE">
      <w:pPr>
        <w:pStyle w:val="NormalBold"/>
      </w:pPr>
      <w:r>
        <w:rPr>
          <w:rStyle w:val="HideTWBExt"/>
          <w:b w:val="0"/>
        </w:rPr>
        <w:t>&lt;RepeatBlock-By&gt;&lt;Members&gt;</w:t>
      </w:r>
      <w:r>
        <w:t>Daniel Freund, Diana Riba i Giner</w:t>
      </w:r>
      <w:r>
        <w:rPr>
          <w:rStyle w:val="HideTWBExt"/>
          <w:b w:val="0"/>
        </w:rPr>
        <w:t>&lt;/Members&gt;</w:t>
      </w:r>
    </w:p>
    <w:p w:rsidR="00B92CCE" w:rsidRPr="004C29F3"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w:t>
            </w:r>
            <w:r>
              <w:rPr>
                <w:b/>
                <w:i/>
              </w:rPr>
              <w:t>potřebu zajistit</w:t>
            </w:r>
            <w:r>
              <w:t xml:space="preserve"> financování </w:t>
            </w:r>
            <w:r>
              <w:rPr>
                <w:b/>
                <w:i/>
              </w:rPr>
              <w:t>veřejnoprávních sdělovacích prostředků</w:t>
            </w:r>
            <w:r>
              <w:t>;</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a </w:t>
            </w:r>
            <w:r>
              <w:rPr>
                <w:b/>
                <w:i/>
              </w:rPr>
              <w:t xml:space="preserve">podporovaly </w:t>
            </w:r>
            <w:r>
              <w:t>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w:t>
            </w:r>
            <w:r>
              <w:rPr>
                <w:b/>
                <w:i/>
              </w:rPr>
              <w:t>regulačních orgánů; dále vyzývá členské státy, aby pro veřejnoprávní sdělovací prostředky zajistily odpovídající, udržitelné a předvídatelné</w:t>
            </w:r>
            <w:r>
              <w:t xml:space="preserve"> financování </w:t>
            </w:r>
            <w:r>
              <w:rPr>
                <w:b/>
                <w:i/>
              </w:rPr>
              <w:t>založené na transparentních a objektivních kritériích</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311</w:t>
      </w:r>
      <w:r>
        <w:rPr>
          <w:rStyle w:val="HideTWBExt"/>
          <w:b w:val="0"/>
        </w:rPr>
        <w:t>&lt;/NumAm&gt;</w:t>
      </w:r>
    </w:p>
    <w:p w:rsidR="00B92CCE" w:rsidRPr="00444926" w:rsidRDefault="00B92CCE" w:rsidP="00B92CCE">
      <w:pPr>
        <w:pStyle w:val="NormalBold"/>
      </w:pPr>
      <w:r>
        <w:rPr>
          <w:rStyle w:val="HideTWBExt"/>
          <w:b w:val="0"/>
        </w:rPr>
        <w:t>&lt;RepeatBlock-By&gt;&lt;Members&gt;</w:t>
      </w:r>
      <w:r>
        <w:t>Mary Khan, Christine Anderson, Milan Uhrík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w:t>
            </w:r>
            <w:r>
              <w:rPr>
                <w:b/>
                <w:i/>
              </w:rPr>
              <w:t>, předcházely koncentraci vlastnictví sdělovacích prostředků a bojovaly proti dezinformacím</w:t>
            </w:r>
            <w:r>
              <w:t xml:space="preserve">, </w:t>
            </w:r>
            <w:r>
              <w:rPr>
                <w:b/>
                <w:i/>
              </w:rPr>
              <w:t>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r>
              <w:t>;</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w:t>
            </w:r>
            <w:r>
              <w:rPr>
                <w:b/>
                <w:i/>
              </w:rPr>
              <w:t>; vyjadřuje znepokojení nad tím</w:t>
            </w:r>
            <w:r>
              <w:t xml:space="preserve">, </w:t>
            </w:r>
            <w:r>
              <w:rPr>
                <w:b/>
                <w:i/>
              </w:rPr>
              <w:t>že některé subjekty televizního vysílání financované z veřejných zdrojů vykazují jasnou politickou předpojatost, jako je ARD v Německu</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312</w:t>
      </w:r>
      <w:r>
        <w:rPr>
          <w:rStyle w:val="HideTWBExt"/>
          <w:b w:val="0"/>
        </w:rPr>
        <w:t>&lt;/NumAm&gt;</w:t>
      </w:r>
    </w:p>
    <w:p w:rsidR="00B92CCE" w:rsidRPr="00444926" w:rsidRDefault="00B92CCE" w:rsidP="00B92CCE">
      <w:pPr>
        <w:pStyle w:val="NormalBold"/>
      </w:pPr>
      <w:r>
        <w:rPr>
          <w:rStyle w:val="HideTWBExt"/>
          <w:b w:val="0"/>
        </w:rPr>
        <w:t>&lt;RepeatBlock-By&gt;&lt;Members&gt;</w:t>
      </w:r>
      <w:r>
        <w:t>Javier Zarzalejos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w:t>
            </w:r>
            <w:r>
              <w:rPr>
                <w:b/>
                <w:i/>
              </w:rPr>
              <w:t>předcházely</w:t>
            </w:r>
            <w:r>
              <w:t xml:space="preserve"> koncentraci vlastnictví sdělovacích prostředků a </w:t>
            </w:r>
            <w:r>
              <w:rPr>
                <w:b/>
                <w:i/>
              </w:rPr>
              <w:t>bojovaly proti dezinformacím, zejména prostřednictvím propracovaných právních předpisů a nezávislých regulačních orgánů; zdůrazňuje demokratický význam nezávislého a stabilního</w:t>
            </w:r>
            <w:r>
              <w:t xml:space="preserve"> veřejnoprávního vysílání a </w:t>
            </w:r>
            <w:r>
              <w:rPr>
                <w:b/>
                <w:i/>
              </w:rPr>
              <w:t>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w:t>
            </w:r>
            <w:r>
              <w:rPr>
                <w:b/>
                <w:i/>
              </w:rPr>
              <w:t>bránily</w:t>
            </w:r>
            <w:r>
              <w:t xml:space="preserve"> koncentraci vlastnictví sdělovacích prostředků a </w:t>
            </w:r>
            <w:r>
              <w:rPr>
                <w:b/>
                <w:i/>
              </w:rPr>
              <w:t>zajistily nezávislost služeb</w:t>
            </w:r>
            <w:r>
              <w:t xml:space="preserve"> veřejnoprávního vysílání </w:t>
            </w:r>
            <w:r>
              <w:rPr>
                <w:b/>
                <w:i/>
              </w:rPr>
              <w:t>na politickém vměšování.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313</w:t>
      </w:r>
      <w:r>
        <w:rPr>
          <w:rStyle w:val="HideTWBExt"/>
          <w:b w:val="0"/>
        </w:rPr>
        <w:t>&lt;/NumAm&gt;</w:t>
      </w:r>
    </w:p>
    <w:p w:rsidR="00B92CCE" w:rsidRPr="00444926" w:rsidRDefault="00B92CCE" w:rsidP="00B92CCE">
      <w:pPr>
        <w:pStyle w:val="NormalBold"/>
      </w:pPr>
      <w:r>
        <w:rPr>
          <w:rStyle w:val="HideTWBExt"/>
          <w:b w:val="0"/>
        </w:rPr>
        <w:t>&lt;RepeatBlock-By&gt;&lt;Members&gt;</w:t>
      </w:r>
      <w:r>
        <w:t>Emmanuel Fragkos, Geadis Geadi, Galato Alexandraki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w:t>
            </w:r>
            <w:r>
              <w:rPr>
                <w:b/>
                <w:i/>
              </w:rPr>
              <w:t>vyzývá k zvláštní obezřetnosti vůči účelovým televizním sítím vlastněným třetími zeměmi;</w:t>
            </w:r>
            <w:r>
              <w:t xml:space="preserve"> zdůrazňuje demokratický význam nezávislého a stabilního veřejnoprávního vysílání a potřebu zajistit financování veřejnoprávních sdělovacích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{EL}</w:t>
      </w:r>
      <w:r w:rsidRPr="00444926">
        <w:t>el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314</w:t>
      </w:r>
      <w:r>
        <w:rPr>
          <w:rStyle w:val="HideTWBExt"/>
          <w:b w:val="0"/>
        </w:rPr>
        <w:t>&lt;/NumAm&gt;</w:t>
      </w:r>
    </w:p>
    <w:p w:rsidR="00B92CCE" w:rsidRPr="00444926" w:rsidRDefault="00B92CCE" w:rsidP="00B92CCE">
      <w:pPr>
        <w:pStyle w:val="NormalBold"/>
      </w:pPr>
      <w:r>
        <w:rPr>
          <w:rStyle w:val="HideTWBExt"/>
          <w:b w:val="0"/>
        </w:rPr>
        <w:t>&lt;RepeatBlock-By&gt;&lt;Members&gt;</w:t>
      </w:r>
      <w:r>
        <w:t>Tomáš Zdechovský</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w:t>
            </w:r>
            <w:r>
              <w:rPr>
                <w:b/>
                <w:i/>
              </w:rPr>
              <w:t>vybízí k plné transparentnosti vlastnictví sdělovacích prostředků;</w:t>
            </w:r>
            <w:r>
              <w:t xml:space="preserve"> zdůrazňuje demokratický význam nezávislého a stabilního veřejnoprávního vysílání a potřebu zajistit financování veřejnoprávních sdělovacích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315</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Alessandro Zan, Fabienne Keller, Lucia Yar, Irena Joveva, Isabel Wiseler-Lima</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w:t>
            </w:r>
            <w:r>
              <w:rPr>
                <w:b/>
                <w:i/>
              </w:rPr>
              <w:t>, chránily redakční nezávislost</w:t>
            </w:r>
            <w:r>
              <w:t xml:space="preserve">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316</w:t>
      </w:r>
      <w:r>
        <w:rPr>
          <w:rStyle w:val="HideTWBExt"/>
          <w:b w:val="0"/>
        </w:rPr>
        <w:t>&lt;/NumAm&gt;</w:t>
      </w:r>
    </w:p>
    <w:p w:rsidR="00B92CCE" w:rsidRPr="00444926" w:rsidRDefault="00B92CCE" w:rsidP="00B92CCE">
      <w:pPr>
        <w:pStyle w:val="NormalBold"/>
      </w:pPr>
      <w:r>
        <w:rPr>
          <w:rStyle w:val="HideTWBExt"/>
          <w:b w:val="0"/>
        </w:rPr>
        <w:t>&lt;RepeatBlock-By&gt;&lt;Members&gt;</w:t>
      </w:r>
      <w:r>
        <w:t>Raquel García Hermida-Van Der Walle, Fabienne Keller, Sophie Wilmès, Moritz Körner, Abir Al-Sahlani, Sigrid Friis, Lucia Yar</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zdůrazňuje demokratický význam nezávislého a stabilního veřejnoprávního vysílání a potřebu zajistit financování a </w:t>
            </w:r>
            <w:r>
              <w:rPr>
                <w:b/>
                <w:i/>
              </w:rPr>
              <w:t xml:space="preserve">rozpočtovou stabilitu </w:t>
            </w:r>
            <w:r>
              <w:t>veřejnoprávních sdělovacích prostředků;</w:t>
            </w:r>
          </w:p>
        </w:tc>
      </w:tr>
    </w:tbl>
    <w:p w:rsidR="00B92CCE" w:rsidRPr="00BF159C" w:rsidRDefault="00B92CCE" w:rsidP="00B92CCE">
      <w:pPr>
        <w:pStyle w:val="AmOrLang"/>
        <w:rPr>
          <w:lang w:val="sv-SE"/>
        </w:rPr>
      </w:pPr>
      <w:r w:rsidRPr="00BF159C">
        <w:rPr>
          <w:lang w:val="sv-SE"/>
        </w:rPr>
        <w:t xml:space="preserve">Or. </w:t>
      </w:r>
      <w:r w:rsidRPr="00BF159C">
        <w:rPr>
          <w:rStyle w:val="HideTWBExt"/>
          <w:lang w:val="sv-SE"/>
        </w:rPr>
        <w:t>&lt;Original&gt;</w:t>
      </w:r>
      <w:r w:rsidRPr="00BF159C">
        <w:rPr>
          <w:rStyle w:val="HideTWBInt"/>
          <w:lang w:val="sv-SE"/>
        </w:rPr>
        <w:t>{EN}</w:t>
      </w:r>
      <w:r w:rsidRPr="00BF159C">
        <w:rPr>
          <w:lang w:val="sv-SE"/>
        </w:rPr>
        <w:t>en</w:t>
      </w:r>
      <w:r w:rsidRPr="00BF159C">
        <w:rPr>
          <w:rStyle w:val="HideTWBExt"/>
          <w:lang w:val="sv-SE"/>
        </w:rPr>
        <w:t>&lt;/Original&gt;</w:t>
      </w:r>
    </w:p>
    <w:p w:rsidR="00B92CCE" w:rsidRPr="00BF159C" w:rsidRDefault="00B92CCE" w:rsidP="00B92CCE">
      <w:r>
        <w:rPr>
          <w:rStyle w:val="HideTWBExt"/>
          <w:lang w:val="sv-SE"/>
        </w:rPr>
        <w:t>&lt;/Amend&gt;</w:t>
      </w:r>
    </w:p>
    <w:p w:rsidR="00B92CCE" w:rsidRPr="00BF159C" w:rsidRDefault="00B92CCE" w:rsidP="00B92CCE">
      <w:pPr>
        <w:pStyle w:val="AmNumberTabs"/>
      </w:pPr>
      <w:r>
        <w:rPr>
          <w:rStyle w:val="HideTWBExt"/>
          <w:b w:val="0"/>
          <w:lang w:val="sv-SE"/>
        </w:rPr>
        <w:t>&lt;Amend&gt;</w:t>
      </w:r>
      <w:r>
        <w:t>Pozměňovací návrh</w:t>
      </w:r>
      <w:r>
        <w:tab/>
      </w:r>
      <w:r>
        <w:tab/>
      </w:r>
      <w:r>
        <w:rPr>
          <w:rStyle w:val="HideTWBExt"/>
          <w:b w:val="0"/>
          <w:lang w:val="sv-SE"/>
        </w:rPr>
        <w:t>&lt;NumAm&gt;</w:t>
      </w:r>
      <w:r>
        <w:t>317</w:t>
      </w:r>
      <w:r>
        <w:rPr>
          <w:rStyle w:val="HideTWBExt"/>
          <w:b w:val="0"/>
          <w:lang w:val="sv-SE"/>
        </w:rPr>
        <w:t>&lt;/NumAm&gt;</w:t>
      </w:r>
    </w:p>
    <w:p w:rsidR="00B92CCE" w:rsidRPr="00BF159C" w:rsidRDefault="00B92CCE" w:rsidP="00B92CCE">
      <w:pPr>
        <w:pStyle w:val="NormalBold"/>
      </w:pPr>
      <w:r>
        <w:rPr>
          <w:rStyle w:val="HideTWBExt"/>
          <w:b w:val="0"/>
          <w:lang w:val="sv-SE"/>
        </w:rPr>
        <w:t>&lt;RepeatBlock-By&gt;&lt;Members&gt;</w:t>
      </w:r>
      <w:r>
        <w:t>Sebastian Tynkkynen</w:t>
      </w:r>
      <w:r>
        <w:rPr>
          <w:rStyle w:val="HideTWBExt"/>
          <w:b w:val="0"/>
          <w:lang w:val="sv-SE"/>
        </w:rPr>
        <w:t>&lt;/Members&gt;</w:t>
      </w:r>
    </w:p>
    <w:p w:rsidR="00B92CCE" w:rsidRPr="00BF159C" w:rsidRDefault="00B92CCE" w:rsidP="00B92CCE">
      <w:pPr>
        <w:pStyle w:val="NormalBold"/>
      </w:pPr>
      <w:r>
        <w:rPr>
          <w:rStyle w:val="HideTWBExt"/>
          <w:b w:val="0"/>
          <w:lang w:val="sv-SE"/>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w:t>
            </w:r>
            <w:r>
              <w:rPr>
                <w:b/>
                <w:i/>
              </w:rPr>
              <w:t>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naléhavě vyzývá členské státy, aby chránily svobodu a pluralitu sdělovacích prostředků, předcházely koncentraci vlastnictví sdělovacích prostředků a bojovaly proti dezinformacím, zejména prostřednictvím propracovaných právních předpisů a nezávislých regulačních orgánů; </w:t>
            </w:r>
            <w:r>
              <w:rPr>
                <w:b/>
                <w:i/>
              </w:rPr>
              <w:t>zdůrazňuje, že boj proti dezinformacím by neměl vést k cenzuře ani bránit vyjadřování odlišných politických názorů;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{FI}</w:t>
      </w:r>
      <w:r w:rsidRPr="00444926">
        <w:t>fi</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318</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r>
            <w:r>
              <w:rPr>
                <w:b/>
                <w:i/>
              </w:rPr>
              <w:t>naléhavě</w:t>
            </w:r>
            <w:r>
              <w:t xml:space="preserve"> vyzývá členské státy, aby chránily svobodu a pluralitu sdělovacích prostředků, </w:t>
            </w:r>
            <w:r>
              <w:rPr>
                <w:b/>
                <w:i/>
              </w:rPr>
              <w:t>předcházely</w:t>
            </w:r>
            <w:r>
              <w:t xml:space="preserve"> koncentraci vlastnictví sdělovacích prostředků a bojovaly proti </w:t>
            </w:r>
            <w:r>
              <w:rPr>
                <w:b/>
                <w:i/>
              </w:rPr>
              <w:t>dezinformacím, zejména prostřednictvím propracovaných právních předpisů a nezávislých regulačních orgánů</w:t>
            </w:r>
            <w:r>
              <w:t>;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 xml:space="preserve">vyzývá členské státy, aby chránily svobodu a pluralitu sdělovacích prostředků, </w:t>
            </w:r>
            <w:r>
              <w:rPr>
                <w:b/>
                <w:i/>
              </w:rPr>
              <w:t>bránily</w:t>
            </w:r>
            <w:r>
              <w:t xml:space="preserve"> koncentraci vlastnictví sdělovacích prostředků a bojovaly proti </w:t>
            </w:r>
            <w:r>
              <w:rPr>
                <w:b/>
                <w:i/>
              </w:rPr>
              <w:t>cenzuře a neodůvodněným zásahům do svobody projevu</w:t>
            </w:r>
            <w:r>
              <w:t>; zdůrazňuje demokratický význam nezávislého a stabilního veřejnoprávního vysílání a potřebu zajistit financování veřejnoprávních sdělovacích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319</w:t>
      </w:r>
      <w:r>
        <w:rPr>
          <w:rStyle w:val="HideTWBExt"/>
          <w:b w:val="0"/>
        </w:rPr>
        <w:t>&lt;/NumAm&gt;</w:t>
      </w:r>
    </w:p>
    <w:p w:rsidR="00B92CCE" w:rsidRPr="00444926" w:rsidRDefault="00B92CCE" w:rsidP="00B92CCE">
      <w:pPr>
        <w:pStyle w:val="NormalBold"/>
      </w:pPr>
      <w:r>
        <w:rPr>
          <w:rStyle w:val="HideTWBExt"/>
          <w:b w:val="0"/>
        </w:rPr>
        <w:t>&lt;RepeatBlock-By&gt;&lt;Members&gt;</w:t>
      </w:r>
      <w:r>
        <w:t>Romana Tomc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w:t>
            </w:r>
            <w:r>
              <w:rPr>
                <w:b/>
                <w:i/>
              </w:rPr>
              <w:t xml:space="preserve"> a nezávislých regulačních orgánů</w:t>
            </w:r>
            <w:r>
              <w:t>; zdůrazňuje demokratický význam nezávislého a stabilního veřejnoprávního vysílání a potřebu zajistit financování veřejnoprávních sdělovacích prostředků;</w:t>
            </w:r>
          </w:p>
        </w:tc>
        <w:tc>
          <w:tcPr>
            <w:tcW w:w="4876" w:type="dxa"/>
            <w:tcBorders>
              <w:top w:val="nil"/>
              <w:left w:val="nil"/>
              <w:bottom w:val="nil"/>
              <w:right w:val="nil"/>
            </w:tcBorders>
          </w:tcPr>
          <w:p w:rsidR="00B92CCE" w:rsidRPr="00444926" w:rsidRDefault="00B92CCE" w:rsidP="00215104">
            <w:pPr>
              <w:pStyle w:val="Normal6a"/>
            </w:pPr>
            <w:r>
              <w:t>10.</w:t>
            </w:r>
            <w:r>
              <w:tab/>
              <w:t>naléhavě vyzývá členské státy, aby chránily svobodu a pluralitu sdělovacích prostředků, předcházely koncentraci vlastnictví sdělovacích prostředků a bojovaly proti dezinformacím, zejména prostřednictvím propracovaných právních předpisů; zdůrazňuje demokratický význam nezávislého a stabilního veřejnoprávního vysílání a potřebu zajistit financování veřejnoprávních sdělovacích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320</w:t>
      </w:r>
      <w:r>
        <w:rPr>
          <w:rStyle w:val="HideTWBExt"/>
          <w:b w:val="0"/>
        </w:rPr>
        <w:t>&lt;/NumAm&gt;</w:t>
      </w:r>
    </w:p>
    <w:p w:rsidR="00B92CCE" w:rsidRPr="00444926" w:rsidRDefault="00B92CCE" w:rsidP="00B92CCE">
      <w:pPr>
        <w:pStyle w:val="NormalBold"/>
      </w:pPr>
      <w:r>
        <w:rPr>
          <w:rStyle w:val="HideTWBExt"/>
          <w:b w:val="0"/>
        </w:rPr>
        <w:t>&lt;RepeatBlock-By&gt;&lt;Members&gt;</w:t>
      </w:r>
      <w:r>
        <w:t>Alessandro Zan, Cecilia Strada, Sandro Ruotolo, Pina Picierno, Marco Tarquinio</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10a.</w:t>
            </w:r>
            <w:r>
              <w:tab/>
            </w:r>
            <w:r>
              <w:rPr>
                <w:b/>
                <w:i/>
              </w:rPr>
              <w:t>konstatuje, že situace novinářů v Itálii se zhoršuje, včetně rostoucího počtu případů strategických žalob proti účasti veřejnosti a pohrůžek právními kroky ze strany politických představitelů; vyjadřuje politování nad rostoucími obtížemi, s nimiž se novináři potýkají při získávání informací a přístupu k dokumentům v Itálii; konstatuje, že nebylo dosaženo žádného pokroku v reformě právní úpravy pomluvy a že existuje trend zneužívání soudních kroků a dalších preventivních postupů proti novinářům na úkor svobody tisku;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321</w:t>
      </w:r>
      <w:r>
        <w:rPr>
          <w:rStyle w:val="HideTWBExt"/>
          <w:b w:val="0"/>
        </w:rPr>
        <w:t>&lt;/NumAm&gt;</w:t>
      </w:r>
    </w:p>
    <w:p w:rsidR="00B92CCE" w:rsidRPr="00444926" w:rsidRDefault="00B92CCE" w:rsidP="00B92CCE">
      <w:pPr>
        <w:pStyle w:val="NormalBold"/>
      </w:pPr>
      <w:r>
        <w:rPr>
          <w:rStyle w:val="HideTWBExt"/>
          <w:b w:val="0"/>
        </w:rPr>
        <w:t>&lt;RepeatBlock-By&gt;&lt;Members&gt;</w:t>
      </w:r>
      <w:r>
        <w:t>Emma Rafowicz, Chloé Ridel, Krzysztof Śmiszek, Hannes Heide</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10a.</w:t>
            </w:r>
            <w:r>
              <w:tab/>
            </w:r>
            <w:r>
              <w:rPr>
                <w:b/>
                <w:i/>
              </w:rPr>
              <w:t>se znepokojením konstatuje, že ve Francii existuje ohrožení plurality a svobody sdělovacích prostředků; zejména návrh zákona o reformě veřejného audiovizuálního odvětví s cílem sloučit všechny veřejné audiovizuální instituce pod francouzskou vládou zdůrazňuje, že koncentrace sdělovacích prostředků prostřednictvím veřejných i soukromých subjektů představuje nebezpečí pro přístup ke spolehlivým a objektivním informacím, které jsou nezávislé na politickém a ideologickém tlaku;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322</w:t>
      </w:r>
      <w:r>
        <w:rPr>
          <w:rStyle w:val="HideTWBExt"/>
          <w:b w:val="0"/>
        </w:rPr>
        <w:t>&lt;/NumAm&gt;</w:t>
      </w:r>
    </w:p>
    <w:p w:rsidR="00B92CCE" w:rsidRPr="00444926" w:rsidRDefault="00B92CCE" w:rsidP="00B92CCE">
      <w:pPr>
        <w:pStyle w:val="NormalBold"/>
      </w:pPr>
      <w:r>
        <w:rPr>
          <w:rStyle w:val="HideTWBExt"/>
          <w:b w:val="0"/>
        </w:rPr>
        <w:t>&lt;RepeatBlock-By&gt;&lt;Members&gt;</w:t>
      </w:r>
      <w:r>
        <w:t>Chloé Ridel, Emma Rafowicz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10a.</w:t>
            </w:r>
            <w:r>
              <w:tab/>
            </w:r>
            <w:r>
              <w:rPr>
                <w:b/>
                <w:i/>
              </w:rPr>
              <w:t>konstatuje, že v Bulharsku, Česku, Francii, Nizozemsku a na Kypru přetrvávají problémy týkající se transparentnosti vlastnictví sdělovacích prostředků; vyzývá všechny členské státy, aby plně provedly normy EU týkající se transparentnosti vlastnictví sdělovacích prostředků, mimo jiné zřízením komplexních a veřejně přístupných registrů vlastnictví;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323</w:t>
      </w:r>
      <w:r>
        <w:rPr>
          <w:rStyle w:val="HideTWBExt"/>
          <w:b w:val="0"/>
        </w:rPr>
        <w:t>&lt;/NumAm&gt;</w:t>
      </w:r>
    </w:p>
    <w:p w:rsidR="00B92CCE" w:rsidRPr="00444926" w:rsidRDefault="00B92CCE" w:rsidP="00B92CCE">
      <w:pPr>
        <w:pStyle w:val="NormalBold"/>
      </w:pPr>
      <w:r>
        <w:rPr>
          <w:rStyle w:val="HideTWBExt"/>
          <w:b w:val="0"/>
        </w:rPr>
        <w:t>&lt;RepeatBlock-By&gt;&lt;Members&gt;</w:t>
      </w:r>
      <w:r>
        <w:t>Marco Tarquinio, Alessandro Zan, Damien Carême, Mélissa Camara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10a.</w:t>
            </w:r>
            <w:r>
              <w:tab/>
            </w:r>
            <w:r>
              <w:rPr>
                <w:b/>
                <w:i/>
              </w:rPr>
              <w:t>odsuzuje šíření rasistických a xenofobních nenávistných projevů, a to i v běžných a sociálních médiích, neboť představují vážnou hrozbu pro demokracii a právní stát; vyzývá k důslednějšímu prosazování předpisů v oblasti sdělovacích prostředků s cílem bojovat proti rasistickému narativu a chránit rozmanité a inkluzivní mediální prostředí;</w:t>
            </w:r>
          </w:p>
        </w:tc>
      </w:tr>
    </w:tbl>
    <w:p w:rsidR="00B92CCE" w:rsidRPr="006D5E9B" w:rsidRDefault="00B92CCE" w:rsidP="00B92CCE">
      <w:pPr>
        <w:pStyle w:val="AmOrLang"/>
      </w:pPr>
      <w:r w:rsidRPr="006D5E9B">
        <w:t xml:space="preserve">Or. </w:t>
      </w:r>
      <w:r w:rsidRPr="006D5E9B">
        <w:rPr>
          <w:rStyle w:val="HideTWBExt"/>
        </w:rPr>
        <w:t>&lt;Original&gt;</w:t>
      </w:r>
      <w:r w:rsidRPr="006D5E9B">
        <w:rPr>
          <w:rStyle w:val="HideTWBInt"/>
        </w:rPr>
        <w:t>{EN}</w:t>
      </w:r>
      <w:r w:rsidRPr="006D5E9B">
        <w:t>en</w:t>
      </w:r>
      <w:r w:rsidRPr="006D5E9B">
        <w:rPr>
          <w:rStyle w:val="HideTWBExt"/>
        </w:rPr>
        <w:t>&lt;/Original&gt;</w:t>
      </w:r>
    </w:p>
    <w:p w:rsidR="00B92CCE" w:rsidRPr="00BF159C" w:rsidRDefault="00B92CCE" w:rsidP="00B92CCE">
      <w:r w:rsidRPr="006D5E9B">
        <w:rPr>
          <w:rStyle w:val="HideTWBExt"/>
        </w:rPr>
        <w:t>&lt;/Amend&gt;</w:t>
      </w:r>
    </w:p>
    <w:p w:rsidR="00B92CCE" w:rsidRPr="00BF159C" w:rsidRDefault="00B92CCE" w:rsidP="00B92CCE">
      <w:pPr>
        <w:pStyle w:val="AmNumberTabs"/>
      </w:pPr>
      <w:r w:rsidRPr="006D5E9B">
        <w:rPr>
          <w:rStyle w:val="HideTWBExt"/>
          <w:b w:val="0"/>
        </w:rPr>
        <w:t>&lt;Amend&gt;</w:t>
      </w:r>
      <w:r>
        <w:t>Pozměňovací návrh</w:t>
      </w:r>
      <w:r>
        <w:tab/>
      </w:r>
      <w:r>
        <w:tab/>
      </w:r>
      <w:r w:rsidRPr="006D5E9B">
        <w:rPr>
          <w:rStyle w:val="HideTWBExt"/>
          <w:b w:val="0"/>
        </w:rPr>
        <w:t>&lt;NumAm&gt;</w:t>
      </w:r>
      <w:r>
        <w:t>324</w:t>
      </w:r>
      <w:r w:rsidRPr="006D5E9B">
        <w:rPr>
          <w:rStyle w:val="HideTWBExt"/>
          <w:b w:val="0"/>
        </w:rPr>
        <w:t>&lt;/NumAm&gt;</w:t>
      </w:r>
    </w:p>
    <w:p w:rsidR="00B92CCE" w:rsidRPr="00BF159C" w:rsidRDefault="00B92CCE" w:rsidP="00B92CCE">
      <w:pPr>
        <w:pStyle w:val="NormalBold"/>
      </w:pPr>
      <w:r w:rsidRPr="006D5E9B">
        <w:rPr>
          <w:rStyle w:val="HideTWBExt"/>
          <w:b w:val="0"/>
        </w:rPr>
        <w:t>&lt;RepeatBlock-By&gt;&lt;Members&gt;</w:t>
      </w:r>
      <w:r>
        <w:t>Sandro Ruotolo</w:t>
      </w:r>
      <w:r w:rsidRPr="006D5E9B">
        <w:rPr>
          <w:rStyle w:val="HideTWBExt"/>
          <w:b w:val="0"/>
        </w:rPr>
        <w:t>&lt;/Members&gt;</w:t>
      </w:r>
    </w:p>
    <w:p w:rsidR="00B92CCE" w:rsidRPr="00BF159C" w:rsidRDefault="00B92CCE" w:rsidP="00B92CCE">
      <w:pPr>
        <w:pStyle w:val="NormalBold"/>
      </w:pPr>
      <w:r w:rsidRPr="006D5E9B">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10a.</w:t>
            </w:r>
            <w:r>
              <w:tab/>
            </w:r>
            <w:r>
              <w:rPr>
                <w:b/>
                <w:i/>
              </w:rPr>
              <w:t>konstatuje, že Komise zjistila, že v Maďarsku, Slovinsku, Chorvatsku, Bulharsku, Polsku a Řecku přetrvávají obavy ohledně nezávislosti nebo nestrannosti regulačních orgánů;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325</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Raquel García Hermida-Van Der Walle, Abir Al-Sahlani, 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10a.</w:t>
            </w:r>
            <w:r>
              <w:tab/>
            </w:r>
            <w:r>
              <w:rPr>
                <w:b/>
                <w:i/>
              </w:rPr>
              <w:t>doporučuje vytvoření zvláštního fondu EU pro svobodu sdělovacích prostředků, který by podporoval nezávislou žurnalistiku a místní sdělovací prostředky;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326</w:t>
      </w:r>
      <w:r>
        <w:rPr>
          <w:rStyle w:val="HideTWBExt"/>
          <w:b w:val="0"/>
        </w:rPr>
        <w:t>&lt;/NumAm&gt;</w:t>
      </w:r>
    </w:p>
    <w:p w:rsidR="00B92CCE" w:rsidRPr="00444926" w:rsidRDefault="00B92CCE" w:rsidP="00B92CCE">
      <w:pPr>
        <w:pStyle w:val="NormalBold"/>
      </w:pPr>
      <w:r>
        <w:rPr>
          <w:rStyle w:val="HideTWBExt"/>
          <w:b w:val="0"/>
        </w:rPr>
        <w:t>&lt;RepeatBlock-By&gt;&lt;Members&gt;</w:t>
      </w:r>
      <w:r>
        <w:t>Alessandro Zan, Cecilia Strada, Sandro Ruotolo, Pina Picierno, Marco Tarquinio</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10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10b.</w:t>
            </w:r>
            <w:r>
              <w:tab/>
            </w:r>
            <w:r>
              <w:rPr>
                <w:b/>
                <w:i/>
              </w:rPr>
              <w:t>je hluboce znepokojen nedávnými případy nezákonného používání špionážního softwaru proti novinářům a aktivistům v Itálii a dalším občanům v Evropě; konstatuje, že svoboda tisku je jedním z klíčových pilířů právního státu v členských státech EU; důrazně odsuzuje veškeré činy, jako je nezákonné používání špionážního softwaru vládami, jejichž cílem je kontrolovat, sledovat a omezovat svobodný tisk, individuální práva a základní svobody;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327</w:t>
      </w:r>
      <w:r>
        <w:rPr>
          <w:rStyle w:val="HideTWBExt"/>
          <w:b w:val="0"/>
        </w:rPr>
        <w:t>&lt;/NumAm&gt;</w:t>
      </w:r>
    </w:p>
    <w:p w:rsidR="00B92CCE" w:rsidRPr="00444926" w:rsidRDefault="00B92CCE" w:rsidP="00B92CCE">
      <w:pPr>
        <w:pStyle w:val="NormalBold"/>
      </w:pPr>
      <w:r>
        <w:rPr>
          <w:rStyle w:val="HideTWBExt"/>
          <w:b w:val="0"/>
        </w:rPr>
        <w:t>&lt;RepeatBlock-By&gt;&lt;Members&gt;</w:t>
      </w:r>
      <w:r>
        <w:t>Romana Tomc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státní kontrolu nad činností sdělovacích prostředků a politické vměšování do ní a vyzývá k většímu úsilí o zajištění bezpečnosti a ochrany novinářů; </w:t>
            </w:r>
            <w:r>
              <w:rPr>
                <w:b/>
                <w:i/>
              </w:rPr>
              <w:t>zdůrazňuje skutečnost, že přední veřejní činitelé a politici, včetně členů vlád, musí jít příkladem a musí zajistit uctivou diskuzi bez zastrašování, útoků, zpomalování a obtěžování; v této souvislosti odsuzuje prohlášení slovinského předsedy vlády, že plánuje „vyčistit“ veřejnoprávní vysílací prostředky a policii od členů konkrétní politické strany;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328</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státní kontrolu nad činností sdělovacích prostředků a politické vměšování do ní a vyzývá k většímu úsilí o zajištění bezpečnosti a ochrany novinářů; </w:t>
            </w:r>
            <w:r>
              <w:rPr>
                <w:b/>
                <w:i/>
              </w:rPr>
              <w:t>považuje za neslučitelné s evropskými normami zejména nezákonné a násilné převzetí veřejných sdělovacích prostředků v Polsku, které zahrnuje použití metod tajných služeb a porušování všech zákonů a norem ze strany vlády Donalda Tuska, a vyzývá ke zrušení těchto rozhodnutí, vyvození příslušných právních důsledků a k náhradě způsobené škody;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329</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r>
              <w:rPr>
                <w:b/>
                <w:i/>
              </w:rPr>
              <w:t>, stejně jako svobody tisku;</w:t>
            </w:r>
            <w:r>
              <w:t xml:space="preserve"> </w:t>
            </w:r>
            <w:r>
              <w:rPr>
                <w:b/>
                <w:i/>
              </w:rPr>
              <w:t>vyzývá k zavedení zvláštních přitěžujících okolností do trestního práva u trestných činů spáchaných proti novinářům, pokud jsou tyto činy motivovány jejich profesní činností nebo s ní souvisejí;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330</w:t>
      </w:r>
      <w:r>
        <w:rPr>
          <w:rStyle w:val="HideTWBExt"/>
          <w:b w:val="0"/>
        </w:rPr>
        <w:t>&lt;/NumAm&gt;</w:t>
      </w:r>
    </w:p>
    <w:p w:rsidR="00B92CCE" w:rsidRPr="00444926" w:rsidRDefault="00B92CCE" w:rsidP="00B92CCE">
      <w:pPr>
        <w:pStyle w:val="NormalBold"/>
      </w:pPr>
      <w:r>
        <w:rPr>
          <w:rStyle w:val="HideTWBExt"/>
          <w:b w:val="0"/>
        </w:rPr>
        <w:t>&lt;RepeatBlock-By&gt;&lt;Members&gt;</w:t>
      </w:r>
      <w:r>
        <w:t>Marieke Ehlers, Jorge Buxadé Villalba, Tom Vandendriessche,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státní kontrolu nad činností sdělovacích prostředků a politické vměšování do ní a vyzývá k většímu úsilí o zajištění bezpečnosti a ochrany novinářů; </w:t>
            </w:r>
            <w:r>
              <w:rPr>
                <w:b/>
                <w:i/>
              </w:rPr>
              <w:t>vyzývá proto EU, aby ukončila veškeré financování činnosti sdělovacích prostředků z unijního rozpočtu coby krok na ochranu jejich nezávislosti;</w:t>
            </w:r>
          </w:p>
        </w:tc>
      </w:tr>
    </w:tbl>
    <w:p w:rsidR="00B92CCE" w:rsidRPr="00BF159C" w:rsidRDefault="00B92CCE" w:rsidP="00B92CCE">
      <w:pPr>
        <w:pStyle w:val="AmOrLang"/>
        <w:rPr>
          <w:lang w:val="sv-SE"/>
        </w:rPr>
      </w:pPr>
      <w:r w:rsidRPr="00BF159C">
        <w:rPr>
          <w:lang w:val="sv-SE"/>
        </w:rPr>
        <w:t xml:space="preserve">Or. </w:t>
      </w:r>
      <w:r w:rsidRPr="00BF159C">
        <w:rPr>
          <w:rStyle w:val="HideTWBExt"/>
          <w:lang w:val="sv-SE"/>
        </w:rPr>
        <w:t>&lt;Original&gt;</w:t>
      </w:r>
      <w:r w:rsidRPr="00BF159C">
        <w:rPr>
          <w:rStyle w:val="HideTWBInt"/>
          <w:lang w:val="sv-SE"/>
        </w:rPr>
        <w:t>{EN}</w:t>
      </w:r>
      <w:r w:rsidRPr="00BF159C">
        <w:rPr>
          <w:lang w:val="sv-SE"/>
        </w:rPr>
        <w:t>en</w:t>
      </w:r>
      <w:r w:rsidRPr="00BF159C">
        <w:rPr>
          <w:rStyle w:val="HideTWBExt"/>
          <w:lang w:val="sv-SE"/>
        </w:rPr>
        <w:t>&lt;/Original&gt;</w:t>
      </w:r>
    </w:p>
    <w:p w:rsidR="00B92CCE" w:rsidRPr="00BF159C" w:rsidRDefault="00B92CCE" w:rsidP="00B92CCE">
      <w:r>
        <w:rPr>
          <w:rStyle w:val="HideTWBExt"/>
          <w:lang w:val="sv-SE"/>
        </w:rPr>
        <w:t>&lt;/Amend&gt;</w:t>
      </w:r>
    </w:p>
    <w:p w:rsidR="00B92CCE" w:rsidRPr="004C29F3" w:rsidRDefault="00B92CCE" w:rsidP="00B92CCE">
      <w:pPr>
        <w:pStyle w:val="AmNumberTabs"/>
      </w:pPr>
      <w:r>
        <w:rPr>
          <w:rStyle w:val="HideTWBExt"/>
          <w:b w:val="0"/>
        </w:rPr>
        <w:t>&lt;Amend&gt;</w:t>
      </w:r>
      <w:r>
        <w:t>Pozměňovací návrh</w:t>
      </w:r>
      <w:r>
        <w:tab/>
      </w:r>
      <w:r>
        <w:tab/>
      </w:r>
      <w:r>
        <w:rPr>
          <w:rStyle w:val="HideTWBExt"/>
          <w:b w:val="0"/>
        </w:rPr>
        <w:t>&lt;NumAm&gt;</w:t>
      </w:r>
      <w:r>
        <w:t>331</w:t>
      </w:r>
      <w:r>
        <w:rPr>
          <w:rStyle w:val="HideTWBExt"/>
          <w:b w:val="0"/>
        </w:rPr>
        <w:t>&lt;/NumAm&gt;</w:t>
      </w:r>
    </w:p>
    <w:p w:rsidR="00B92CCE" w:rsidRPr="004C29F3" w:rsidRDefault="00B92CCE" w:rsidP="00B92CCE">
      <w:pPr>
        <w:pStyle w:val="NormalBold"/>
      </w:pPr>
      <w:r>
        <w:rPr>
          <w:rStyle w:val="HideTWBExt"/>
          <w:b w:val="0"/>
        </w:rPr>
        <w:t>&lt;RepeatBlock-By&gt;&lt;Members&gt;</w:t>
      </w:r>
      <w:r>
        <w:t>Sebastian Tynkkynen</w:t>
      </w:r>
      <w:r>
        <w:rPr>
          <w:rStyle w:val="HideTWBExt"/>
          <w:b w:val="0"/>
        </w:rPr>
        <w:t>&lt;/Members&gt;</w:t>
      </w:r>
    </w:p>
    <w:p w:rsidR="00B92CCE" w:rsidRPr="004C29F3"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w:t>
            </w:r>
            <w:r>
              <w:rPr>
                <w:b/>
                <w:i/>
              </w:rPr>
              <w:t>; zdůrazňuje, že materiál produkovaný veřejnoprávními vysílacími stanicemi by měl být skutečně nestranný a neměl by nadržovat žádnému politickému směru;</w:t>
            </w:r>
            <w:r>
              <w:t xml:space="preserve"> vyzývá k většímu úsilí o zajištění bezpečnosti a ochrany novinářů;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{FI}</w:t>
      </w:r>
      <w:r w:rsidRPr="00444926">
        <w:t>fi</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332</w:t>
      </w:r>
      <w:r>
        <w:rPr>
          <w:rStyle w:val="HideTWBExt"/>
          <w:b w:val="0"/>
        </w:rPr>
        <w:t>&lt;/NumAm&gt;</w:t>
      </w:r>
    </w:p>
    <w:p w:rsidR="00B92CCE" w:rsidRPr="00444926" w:rsidRDefault="00B92CCE" w:rsidP="00B92CCE">
      <w:pPr>
        <w:pStyle w:val="NormalBold"/>
      </w:pPr>
      <w:r>
        <w:rPr>
          <w:rStyle w:val="HideTWBExt"/>
          <w:b w:val="0"/>
        </w:rPr>
        <w:t>&lt;RepeatBlock-By&gt;&lt;Members&gt;</w:t>
      </w:r>
      <w:r>
        <w:t>Daniel Freund, Diana Riba i Giner</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w:t>
            </w:r>
            <w:r>
              <w:rPr>
                <w:b/>
                <w:i/>
              </w:rPr>
              <w:t>většímu úsilí o zajištění bezpečnosti</w:t>
            </w:r>
            <w:r>
              <w:t xml:space="preserve"> a </w:t>
            </w:r>
            <w:r>
              <w:rPr>
                <w:b/>
                <w:i/>
              </w:rPr>
              <w:t>ochrany</w:t>
            </w:r>
            <w:r>
              <w:t xml:space="preserve"> novinářů;</w:t>
            </w:r>
          </w:p>
        </w:tc>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státní kontrolu nad činností sdělovacích prostředků a politické vměšování do ní a vyzývá </w:t>
            </w:r>
            <w:r>
              <w:rPr>
                <w:b/>
                <w:i/>
              </w:rPr>
              <w:t>Komisi a členské státy, aby zajistily bezpečnost</w:t>
            </w:r>
            <w:r>
              <w:t xml:space="preserve"> a </w:t>
            </w:r>
            <w:r>
              <w:rPr>
                <w:b/>
                <w:i/>
              </w:rPr>
              <w:t>ochranu novinářů, zejména investigativních</w:t>
            </w:r>
            <w:r>
              <w:t xml:space="preserve"> novinářů;</w:t>
            </w:r>
          </w:p>
        </w:tc>
      </w:tr>
    </w:tbl>
    <w:p w:rsidR="00B92CCE" w:rsidRPr="006D5E9B" w:rsidRDefault="00B92CCE" w:rsidP="00B92CCE">
      <w:pPr>
        <w:pStyle w:val="AmOrLang"/>
      </w:pPr>
      <w:r w:rsidRPr="006D5E9B">
        <w:t xml:space="preserve">Or. </w:t>
      </w:r>
      <w:r w:rsidRPr="006D5E9B">
        <w:rPr>
          <w:rStyle w:val="HideTWBExt"/>
        </w:rPr>
        <w:t>&lt;Original&gt;</w:t>
      </w:r>
      <w:r w:rsidRPr="006D5E9B">
        <w:rPr>
          <w:rStyle w:val="HideTWBInt"/>
        </w:rPr>
        <w:t>{EN}</w:t>
      </w:r>
      <w:r w:rsidRPr="006D5E9B">
        <w:t>en</w:t>
      </w:r>
      <w:r w:rsidRPr="006D5E9B">
        <w:rPr>
          <w:rStyle w:val="HideTWBExt"/>
        </w:rPr>
        <w:t>&lt;/Original&gt;</w:t>
      </w:r>
    </w:p>
    <w:p w:rsidR="00B92CCE" w:rsidRPr="00BF159C" w:rsidRDefault="00B92CCE" w:rsidP="00B92CCE">
      <w:r w:rsidRPr="006D5E9B">
        <w:rPr>
          <w:rStyle w:val="HideTWBExt"/>
        </w:rPr>
        <w:t>&lt;/Amend&gt;</w:t>
      </w:r>
    </w:p>
    <w:p w:rsidR="00B92CCE" w:rsidRPr="00BF159C" w:rsidRDefault="00B92CCE" w:rsidP="00B92CCE">
      <w:pPr>
        <w:pStyle w:val="AmNumberTabs"/>
      </w:pPr>
      <w:r w:rsidRPr="006D5E9B">
        <w:rPr>
          <w:rStyle w:val="HideTWBExt"/>
          <w:b w:val="0"/>
        </w:rPr>
        <w:t>&lt;Amend&gt;</w:t>
      </w:r>
      <w:r>
        <w:t>Pozměňovací návrh</w:t>
      </w:r>
      <w:r>
        <w:tab/>
      </w:r>
      <w:r>
        <w:tab/>
      </w:r>
      <w:r w:rsidRPr="006D5E9B">
        <w:rPr>
          <w:rStyle w:val="HideTWBExt"/>
          <w:b w:val="0"/>
        </w:rPr>
        <w:t>&lt;NumAm&gt;</w:t>
      </w:r>
      <w:r>
        <w:t>333</w:t>
      </w:r>
      <w:r w:rsidRPr="006D5E9B">
        <w:rPr>
          <w:rStyle w:val="HideTWBExt"/>
          <w:b w:val="0"/>
        </w:rPr>
        <w:t>&lt;/NumAm&gt;</w:t>
      </w:r>
    </w:p>
    <w:p w:rsidR="00B92CCE" w:rsidRPr="00BF159C" w:rsidRDefault="00B92CCE" w:rsidP="00B92CCE">
      <w:pPr>
        <w:pStyle w:val="NormalBold"/>
      </w:pPr>
      <w:r w:rsidRPr="006D5E9B">
        <w:rPr>
          <w:rStyle w:val="HideTWBExt"/>
          <w:b w:val="0"/>
        </w:rPr>
        <w:t>&lt;RepeatBlock-By&gt;&lt;Members&gt;</w:t>
      </w:r>
      <w:r>
        <w:t>Isabel Wiseler-Lima, Sophie Wilmès</w:t>
      </w:r>
      <w:r w:rsidRPr="006D5E9B">
        <w:rPr>
          <w:rStyle w:val="HideTWBExt"/>
          <w:b w:val="0"/>
        </w:rPr>
        <w:t>&lt;/Members&gt;</w:t>
      </w:r>
    </w:p>
    <w:p w:rsidR="00B92CCE" w:rsidRPr="00BF159C" w:rsidRDefault="00B92CCE" w:rsidP="00B92CCE">
      <w:pPr>
        <w:pStyle w:val="NormalBold"/>
      </w:pPr>
      <w:r w:rsidRPr="006D5E9B">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r>
              <w:rPr>
                <w:b/>
                <w:i/>
              </w:rPr>
              <w:t>, zejména ověřovatelů faktů, kteří jsou nebezpečí zvláště vystaveni</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334</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důrazně odsuzuje státní kontrolu nad činností sdělovacích prostředků a politické vměšování do ní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w:t>
            </w:r>
            <w:r>
              <w:rPr>
                <w:b/>
                <w:i/>
              </w:rPr>
              <w:t>cenzuru a </w:t>
            </w:r>
            <w:r>
              <w:t>státní kontrolu nad činností sdělovacích prostředků a politické vměšování do ní a vyzývá k většímu úsilí o zajištění bezpečnosti a ochrany novinářů;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335</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w:t>
            </w:r>
            <w:r>
              <w:rPr>
                <w:b/>
                <w:i/>
              </w:rPr>
              <w:t>státní kontrolu nad činností</w:t>
            </w:r>
            <w:r>
              <w:t xml:space="preserve"> sdělovacích prostředků</w:t>
            </w:r>
            <w:r>
              <w:rPr>
                <w:b/>
                <w:i/>
              </w:rPr>
              <w:t xml:space="preserve"> a politické vměšování do ní</w:t>
            </w:r>
            <w:r>
              <w:t xml:space="preserve"> a vyzývá k většímu úsilí o zajištění bezpečnosti a ochrany novinářů;</w:t>
            </w:r>
          </w:p>
        </w:tc>
        <w:tc>
          <w:tcPr>
            <w:tcW w:w="4876" w:type="dxa"/>
            <w:tcBorders>
              <w:top w:val="nil"/>
              <w:left w:val="nil"/>
              <w:bottom w:val="nil"/>
              <w:right w:val="nil"/>
            </w:tcBorders>
          </w:tcPr>
          <w:p w:rsidR="00B92CCE" w:rsidRPr="00444926" w:rsidRDefault="00B92CCE" w:rsidP="00215104">
            <w:pPr>
              <w:pStyle w:val="Normal6a"/>
            </w:pPr>
            <w:r>
              <w:t>11.</w:t>
            </w:r>
            <w:r>
              <w:tab/>
              <w:t xml:space="preserve">důrazně odsuzuje </w:t>
            </w:r>
            <w:r>
              <w:rPr>
                <w:b/>
                <w:i/>
              </w:rPr>
              <w:t>politické vměšování do činnosti</w:t>
            </w:r>
            <w:r>
              <w:t xml:space="preserve"> sdělovacích prostředků</w:t>
            </w:r>
            <w:r>
              <w:rPr>
                <w:b/>
                <w:i/>
              </w:rPr>
              <w:t>, které respektují novinářskou etiku,</w:t>
            </w:r>
            <w:r>
              <w:t xml:space="preserve"> a vyzývá k většímu úsilí o zajištění bezpečnosti a ochrany novinářů;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336</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vyjadřuje znepokojení nad tím, že Tuskova vláda vyloučila opoziční sdělovací prostředky, zejména televizní stanici „Telewizja Republika“, z tiskových konferencí, což je v rozporu s mezinárodními normami, a nad souvisejícími omezeními přístupu k informacím, za něž je odpovědna vláda; odsuzuje zejména odmítnutí umožnit největšímu televiznímu zpravodajskému kanálu („Telewizja Republika“) účast na mimořádných tiskových konferencích pořádaných v souvislosti s nedávnými záplavami v Polsku, neboť se nejednalo pouze o porušení práva na přístup k informacím, ale také o nepříznivý dopad na bezpečnost některých společenských skupin; odsuzuje kroky, které přijala vláda Donalda Tuska s cílem vyvíjet tlak na veřejné a soukromé firmy, aby odstoupily od reklamních smluv uzavřených s opozičními sdělovacími prostředky;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337</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 Ana Catarina Mendes, Moritz Körner, 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vyjadřuje hluboké znepokojení nad zneužíváním sledovacích technologií, včetně špionážního softwaru, v několika členských státech, zejména pokud jsou nasazeny proti novinářům, představitelům opozice, aktérům občanské společnosti a obráncům lidských práv; zdůrazňuje, že svévolné nebo nezákonné používání těchto technologií představuje vážnou hrozbu pro základní práva, demokratickou správu věcí veřejných a nezávislost soudnictví; vyzývá Komisi, aby provedla doporučení vyšetřovacího výboru Evropského parlamentu PEGA, zejména pokud jde o zákaz politicky motivovaného sledování;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338</w:t>
      </w:r>
      <w:r>
        <w:rPr>
          <w:rStyle w:val="HideTWBExt"/>
          <w:b w:val="0"/>
        </w:rPr>
        <w:t>&lt;/NumAm&gt;</w:t>
      </w:r>
    </w:p>
    <w:p w:rsidR="00B92CCE" w:rsidRPr="00444926" w:rsidRDefault="00B92CCE" w:rsidP="00B92CCE">
      <w:pPr>
        <w:pStyle w:val="NormalBold"/>
      </w:pPr>
      <w:r>
        <w:rPr>
          <w:rStyle w:val="HideTWBExt"/>
          <w:b w:val="0"/>
        </w:rPr>
        <w:t>&lt;RepeatBlock-By&gt;&lt;Members&gt;</w:t>
      </w:r>
      <w:r>
        <w:t>Veronika Cifrová Ostrihoňová</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vyzývá Komisi, aby analyzovala dopad platforem sociálních médií na hospodářskou životaschopnost a demokratickou udržitelnost mediálního odvětví; zdůrazňuje obavy, že algoritmické zvyšování dosahu, změny v příjmech z reklamy a distribuce obsahu řízené platformami mohou oslabit nezávislou žurnalistiku a pluralitu sdělovacích prostředků; vyzývá Komisi, aby posoudila, do jaké míry digitální platformy přispívají k nerovnováze na trhu, finanční nejistotě sdělovacích prostředků a šíření dezinformací;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339</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naléhavě vyzývá členské státy, aby zajistily, že provedení směrnice (EU) 2016/343 o presumpci neviny nezavede omezení práva na oznamování a informování veřejnosti o záležitostech veřejného zájmu, včetně soudních řízení, které směrnice nestanoví; vyzývá členské státy, aby přezkoumaly a v případě potřeby upravily stávající vnitrostátní zákony, které by mohly omezit novinářskou svobodu;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340</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důrazně odsuzuje veškeré pokusy o cenzuru legálního obsahu nebo o kontrolu politické debaty na sociálních médiích; vyzývá Komisi, aby neprodleně předložila návrh na zrušení a nahrazení stávajícího aktu o digitálních službách s cílem ukončit podporu moderování obsahu a využívání nezávislých ověřovatelů faktů a nahradila jej novým nařízením, které podpoří svobodu projevu a právo na informace;</w:t>
            </w:r>
          </w:p>
        </w:tc>
      </w:tr>
    </w:tbl>
    <w:p w:rsidR="00B92CCE" w:rsidRPr="006D5E9B" w:rsidRDefault="00B92CCE" w:rsidP="00B92CCE">
      <w:pPr>
        <w:pStyle w:val="AmOrLang"/>
      </w:pPr>
      <w:r w:rsidRPr="006D5E9B">
        <w:t xml:space="preserve">Or. </w:t>
      </w:r>
      <w:r w:rsidRPr="006D5E9B">
        <w:rPr>
          <w:rStyle w:val="HideTWBExt"/>
        </w:rPr>
        <w:t>&lt;Original&gt;</w:t>
      </w:r>
      <w:r w:rsidRPr="006D5E9B">
        <w:rPr>
          <w:rStyle w:val="HideTWBInt"/>
        </w:rPr>
        <w:t>{EN}</w:t>
      </w:r>
      <w:r w:rsidRPr="006D5E9B">
        <w:t>en</w:t>
      </w:r>
      <w:r w:rsidRPr="006D5E9B">
        <w:rPr>
          <w:rStyle w:val="HideTWBExt"/>
        </w:rPr>
        <w:t>&lt;/Original&gt;</w:t>
      </w:r>
    </w:p>
    <w:p w:rsidR="00B92CCE" w:rsidRPr="00BF159C" w:rsidRDefault="00B92CCE" w:rsidP="00B92CCE">
      <w:r w:rsidRPr="006D5E9B">
        <w:rPr>
          <w:rStyle w:val="HideTWBExt"/>
        </w:rPr>
        <w:t>&lt;/Amend&gt;</w:t>
      </w:r>
    </w:p>
    <w:p w:rsidR="00B92CCE" w:rsidRPr="00BF159C" w:rsidRDefault="00B92CCE" w:rsidP="00B92CCE">
      <w:pPr>
        <w:pStyle w:val="AmNumberTabs"/>
      </w:pPr>
      <w:r w:rsidRPr="006D5E9B">
        <w:rPr>
          <w:rStyle w:val="HideTWBExt"/>
          <w:b w:val="0"/>
        </w:rPr>
        <w:t>&lt;Amend&gt;</w:t>
      </w:r>
      <w:r>
        <w:t>Pozměňovací návrh</w:t>
      </w:r>
      <w:r>
        <w:tab/>
      </w:r>
      <w:r>
        <w:tab/>
      </w:r>
      <w:r w:rsidRPr="006D5E9B">
        <w:rPr>
          <w:rStyle w:val="HideTWBExt"/>
          <w:b w:val="0"/>
        </w:rPr>
        <w:t>&lt;NumAm&gt;</w:t>
      </w:r>
      <w:r>
        <w:t>341</w:t>
      </w:r>
      <w:r w:rsidRPr="006D5E9B">
        <w:rPr>
          <w:rStyle w:val="HideTWBExt"/>
          <w:b w:val="0"/>
        </w:rPr>
        <w:t>&lt;/NumAm&gt;</w:t>
      </w:r>
    </w:p>
    <w:p w:rsidR="00B92CCE" w:rsidRPr="00BF159C" w:rsidRDefault="00B92CCE" w:rsidP="00B92CCE">
      <w:pPr>
        <w:pStyle w:val="NormalBold"/>
      </w:pPr>
      <w:r w:rsidRPr="006D5E9B">
        <w:rPr>
          <w:rStyle w:val="HideTWBExt"/>
          <w:b w:val="0"/>
        </w:rPr>
        <w:t>&lt;RepeatBlock-By&gt;&lt;Members&gt;</w:t>
      </w:r>
      <w:r>
        <w:t>Isabel Serra Sánchez</w:t>
      </w:r>
      <w:r w:rsidRPr="006D5E9B">
        <w:rPr>
          <w:rStyle w:val="HideTWBExt"/>
          <w:b w:val="0"/>
        </w:rPr>
        <w:t>&lt;/Members&gt;</w:t>
      </w:r>
    </w:p>
    <w:p w:rsidR="00B92CCE" w:rsidRPr="00BF159C" w:rsidRDefault="00B92CCE" w:rsidP="00B92CCE">
      <w:pPr>
        <w:pStyle w:val="NormalBold"/>
      </w:pPr>
      <w:r w:rsidRPr="006D5E9B">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zdůrazňuje, že je naléhavě nutné řešit využívání pravicových sdělovacích prostředků k umlčování politických oponentů a zakročit proti všem osobám, které zpochybňují držitele moci, vedou protiimigrantskou a rasistickou rétoriku a záměrně vytvářejí nepravdivé nebo zavádějící informace ke svému politickému prospěchu;</w:t>
            </w:r>
          </w:p>
        </w:tc>
      </w:tr>
    </w:tbl>
    <w:p w:rsidR="00B92CCE" w:rsidRPr="006D5E9B" w:rsidRDefault="00B92CCE" w:rsidP="00B92CCE">
      <w:pPr>
        <w:pStyle w:val="AmOrLang"/>
      </w:pPr>
      <w:r w:rsidRPr="006D5E9B">
        <w:t xml:space="preserve">Or. </w:t>
      </w:r>
      <w:r w:rsidRPr="006D5E9B">
        <w:rPr>
          <w:rStyle w:val="HideTWBExt"/>
        </w:rPr>
        <w:t>&lt;Original&gt;</w:t>
      </w:r>
      <w:r w:rsidRPr="006D5E9B">
        <w:rPr>
          <w:rStyle w:val="HideTWBInt"/>
        </w:rPr>
        <w:t>{EN}</w:t>
      </w:r>
      <w:r w:rsidRPr="006D5E9B">
        <w:t>en</w:t>
      </w:r>
      <w:r w:rsidRPr="006D5E9B">
        <w:rPr>
          <w:rStyle w:val="HideTWBExt"/>
        </w:rPr>
        <w:t>&lt;/Original&gt;</w:t>
      </w:r>
    </w:p>
    <w:p w:rsidR="00B92CCE" w:rsidRPr="00BF159C" w:rsidRDefault="00B92CCE" w:rsidP="00B92CCE">
      <w:r w:rsidRPr="006D5E9B">
        <w:rPr>
          <w:rStyle w:val="HideTWBExt"/>
        </w:rPr>
        <w:t>&lt;/Amend&gt;</w:t>
      </w:r>
    </w:p>
    <w:p w:rsidR="00B92CCE" w:rsidRPr="004C29F3" w:rsidRDefault="00B92CCE" w:rsidP="00B92CCE">
      <w:pPr>
        <w:pStyle w:val="AmNumberTabs"/>
      </w:pPr>
      <w:r>
        <w:rPr>
          <w:rStyle w:val="HideTWBExt"/>
          <w:b w:val="0"/>
        </w:rPr>
        <w:t>&lt;Amend&gt;</w:t>
      </w:r>
      <w:r>
        <w:t>Pozměňovací návrh</w:t>
      </w:r>
      <w:r>
        <w:tab/>
      </w:r>
      <w:r>
        <w:tab/>
      </w:r>
      <w:r>
        <w:rPr>
          <w:rStyle w:val="HideTWBExt"/>
          <w:b w:val="0"/>
        </w:rPr>
        <w:t>&lt;NumAm&gt;</w:t>
      </w:r>
      <w:r>
        <w:t>342</w:t>
      </w:r>
      <w:r>
        <w:rPr>
          <w:rStyle w:val="HideTWBExt"/>
          <w:b w:val="0"/>
        </w:rPr>
        <w:t>&lt;/NumAm&gt;</w:t>
      </w:r>
    </w:p>
    <w:p w:rsidR="00B92CCE" w:rsidRPr="004C29F3" w:rsidRDefault="00B92CCE" w:rsidP="00B92CCE">
      <w:pPr>
        <w:pStyle w:val="NormalBold"/>
      </w:pPr>
      <w:r>
        <w:rPr>
          <w:rStyle w:val="HideTWBExt"/>
          <w:b w:val="0"/>
        </w:rPr>
        <w:t>&lt;RepeatBlock-By&gt;&lt;Members&gt;</w:t>
      </w:r>
      <w:r>
        <w:t>Daniel Freund, Diana Riba i Giner</w:t>
      </w:r>
      <w:r>
        <w:rPr>
          <w:rStyle w:val="HideTWBExt"/>
          <w:b w:val="0"/>
        </w:rPr>
        <w:t>&lt;/Members&gt;</w:t>
      </w:r>
    </w:p>
    <w:p w:rsidR="00B92CCE" w:rsidRPr="004C29F3"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zdůrazňuje, že svoboda informací a přístup k informacím veřejného zájmu nejsou pouze základním právem, ale také jednou ze základních záruk transparentnosti státu;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343</w:t>
      </w:r>
      <w:r>
        <w:rPr>
          <w:rStyle w:val="HideTWBExt"/>
          <w:b w:val="0"/>
        </w:rPr>
        <w:t>&lt;/NumAm&gt;</w:t>
      </w:r>
    </w:p>
    <w:p w:rsidR="00B92CCE" w:rsidRPr="00444926" w:rsidRDefault="00B92CCE" w:rsidP="00B92CCE">
      <w:pPr>
        <w:pStyle w:val="NormalBold"/>
      </w:pPr>
      <w:r>
        <w:rPr>
          <w:rStyle w:val="HideTWBExt"/>
          <w:b w:val="0"/>
        </w:rPr>
        <w:t>&lt;RepeatBlock-By&gt;&lt;Members&gt;</w:t>
      </w:r>
      <w:r>
        <w:t>Moritz Körner, Malik Azmani, Dainius Žalimas, Lucia Yar, Fabienne Keller, Sophie Wilmès, Raquel García Hermida-Van Der Walle, Abir Al-Sahlani, Veronika Cifrová Ostrihoňová, 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zdůrazňuje, že regulační orgány pro sdělovací prostředky musí být odpovídajícím způsobem chráněny právními zárukami, aby byla zajištěna jejich nezávislost, dostatečné rozpočtové zdroje a ochrana před politickým tlakem;</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344</w:t>
      </w:r>
      <w:r>
        <w:rPr>
          <w:rStyle w:val="HideTWBExt"/>
          <w:b w:val="0"/>
        </w:rPr>
        <w:t>&lt;/NumAm&gt;</w:t>
      </w:r>
    </w:p>
    <w:p w:rsidR="00B92CCE" w:rsidRPr="00444926" w:rsidRDefault="00B92CCE" w:rsidP="00B92CCE">
      <w:pPr>
        <w:pStyle w:val="NormalBold"/>
      </w:pPr>
      <w:r>
        <w:rPr>
          <w:rStyle w:val="HideTWBExt"/>
          <w:b w:val="0"/>
        </w:rPr>
        <w:t>&lt;RepeatBlock-By&gt;&lt;Members&gt;</w:t>
      </w:r>
      <w:r>
        <w:t>Romana Tomc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odsuzuje slovinskou vládu, která přijala nový zákon o sdělovacích prostředcích, jehož cílem je přenést soudní pravomoci na inspektory a která pokládá základ pro zpolitizované přidělování státních prostředků;</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345</w:t>
      </w:r>
      <w:r>
        <w:rPr>
          <w:rStyle w:val="HideTWBExt"/>
          <w:b w:val="0"/>
        </w:rPr>
        <w:t>&lt;/NumAm&gt;</w:t>
      </w:r>
    </w:p>
    <w:p w:rsidR="00B92CCE" w:rsidRPr="00444926" w:rsidRDefault="00B92CCE" w:rsidP="00B92CCE">
      <w:pPr>
        <w:pStyle w:val="NormalBold"/>
      </w:pPr>
      <w:r>
        <w:rPr>
          <w:rStyle w:val="HideTWBExt"/>
          <w:b w:val="0"/>
        </w:rPr>
        <w:t>&lt;RepeatBlock-By&gt;&lt;Members&gt;</w:t>
      </w:r>
      <w:r>
        <w:t>Emmanuel Fragkos, Geadis Geadi, Galato Alexandraki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Nadpis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Organizace občanské společnosti</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{EL}</w:t>
      </w:r>
      <w:r w:rsidRPr="00444926">
        <w:t>el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346</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Alessandro Zan, Fabienne Keller, Lucia Yar,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11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11a.</w:t>
            </w:r>
            <w:r>
              <w:tab/>
            </w:r>
            <w:r>
              <w:rPr>
                <w:b/>
                <w:i/>
              </w:rPr>
              <w:t>vyzývá členské státy, aby vytvořily rámec, který zaručí lidem svobodu vyhledávat, přijímat a rozšiřovat informace, a aby zajistily, že vnitrostátní koordinátoři, s nimiž počítá akt o digitálních službách, budou schopni řádně plnit svou úlohu při usnadňování výměny informací a spolupráce na evropské úrovni;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347</w:t>
      </w:r>
      <w:r>
        <w:rPr>
          <w:rStyle w:val="HideTWBExt"/>
          <w:b w:val="0"/>
        </w:rPr>
        <w:t>&lt;/NumAm&gt;</w:t>
      </w:r>
    </w:p>
    <w:p w:rsidR="00B92CCE" w:rsidRPr="00444926" w:rsidRDefault="00B92CCE" w:rsidP="00B92CCE">
      <w:pPr>
        <w:pStyle w:val="NormalBold"/>
      </w:pPr>
      <w:r>
        <w:rPr>
          <w:rStyle w:val="HideTWBExt"/>
          <w:b w:val="0"/>
        </w:rPr>
        <w:t>&lt;RepeatBlock-By&gt;&lt;Members&gt;</w:t>
      </w:r>
      <w:r>
        <w:t>Emmanuel Fragkos, Geadis Geadi, Galato Alexandraki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12.</w:t>
            </w:r>
            <w:r>
              <w:tab/>
            </w:r>
            <w:r>
              <w:rPr>
                <w:b/>
                <w:i/>
              </w:rPr>
              <w:t>souhlasí se stanoviskem Komise, že organizace občanské společnosti a obránci lidských práv mají zásadní význam pro rovnováhu sil ve společnosti;</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C29F3" w:rsidRDefault="00B92CCE" w:rsidP="00B92CCE">
      <w:pPr>
        <w:pStyle w:val="AmOrLang"/>
        <w:rPr>
          <w:lang w:val="es-ES"/>
        </w:rPr>
      </w:pPr>
      <w:r w:rsidRPr="004C29F3">
        <w:rPr>
          <w:lang w:val="es-ES"/>
        </w:rPr>
        <w:t xml:space="preserve">Or. </w:t>
      </w:r>
      <w:r w:rsidRPr="004C29F3">
        <w:rPr>
          <w:rStyle w:val="HideTWBExt"/>
          <w:lang w:val="es-ES"/>
        </w:rPr>
        <w:t>&lt;Original&gt;</w:t>
      </w:r>
      <w:r w:rsidRPr="004C29F3">
        <w:rPr>
          <w:rStyle w:val="HideTWBInt"/>
          <w:lang w:val="es-ES"/>
        </w:rPr>
        <w:t>{EL}</w:t>
      </w:r>
      <w:r w:rsidRPr="004C29F3">
        <w:rPr>
          <w:lang w:val="es-ES"/>
        </w:rPr>
        <w:t>el</w:t>
      </w:r>
      <w:r w:rsidRPr="004C29F3">
        <w:rPr>
          <w:rStyle w:val="HideTWBExt"/>
          <w:lang w:val="es-ES"/>
        </w:rPr>
        <w:t>&lt;/Original&gt;</w:t>
      </w:r>
    </w:p>
    <w:p w:rsidR="00B92CCE" w:rsidRPr="004C29F3" w:rsidRDefault="00B92CCE" w:rsidP="00B92CCE">
      <w:r>
        <w:rPr>
          <w:rStyle w:val="HideTWBExt"/>
          <w:lang w:val="es-ES"/>
        </w:rPr>
        <w:t>&lt;/Amend&gt;</w:t>
      </w:r>
    </w:p>
    <w:p w:rsidR="00B92CCE" w:rsidRPr="004C29F3" w:rsidRDefault="00B92CCE" w:rsidP="00B92CCE">
      <w:pPr>
        <w:pStyle w:val="AmNumberTabs"/>
      </w:pPr>
      <w:r>
        <w:rPr>
          <w:rStyle w:val="HideTWBExt"/>
          <w:b w:val="0"/>
          <w:lang w:val="es-ES"/>
        </w:rPr>
        <w:t>&lt;Amend&gt;</w:t>
      </w:r>
      <w:r>
        <w:t>Pozměňovací návrh</w:t>
      </w:r>
      <w:r>
        <w:tab/>
      </w:r>
      <w:r>
        <w:tab/>
      </w:r>
      <w:r>
        <w:rPr>
          <w:rStyle w:val="HideTWBExt"/>
          <w:b w:val="0"/>
          <w:lang w:val="es-ES"/>
        </w:rPr>
        <w:t>&lt;NumAm&gt;</w:t>
      </w:r>
      <w:r>
        <w:t>348</w:t>
      </w:r>
      <w:r>
        <w:rPr>
          <w:rStyle w:val="HideTWBExt"/>
          <w:b w:val="0"/>
          <w:lang w:val="es-ES"/>
        </w:rPr>
        <w:t>&lt;/NumAm&gt;</w:t>
      </w:r>
    </w:p>
    <w:p w:rsidR="00B92CCE" w:rsidRPr="004C29F3" w:rsidRDefault="00B92CCE" w:rsidP="00B92CCE">
      <w:pPr>
        <w:pStyle w:val="NormalBold"/>
      </w:pPr>
      <w:r>
        <w:rPr>
          <w:rStyle w:val="HideTWBExt"/>
          <w:b w:val="0"/>
          <w:lang w:val="es-ES"/>
        </w:rPr>
        <w:t>&lt;RepeatBlock-By&gt;&lt;Members&gt;</w:t>
      </w:r>
      <w:r>
        <w:t>Nicolas Bay</w:t>
      </w:r>
      <w:r>
        <w:rPr>
          <w:rStyle w:val="HideTWBExt"/>
          <w:b w:val="0"/>
          <w:lang w:val="es-ES"/>
        </w:rPr>
        <w:t>&lt;/Members&gt;</w:t>
      </w:r>
    </w:p>
    <w:p w:rsidR="00B92CCE" w:rsidRPr="004C29F3" w:rsidRDefault="00B92CCE" w:rsidP="00B92CCE">
      <w:pPr>
        <w:pStyle w:val="NormalBold"/>
      </w:pPr>
      <w:r>
        <w:rPr>
          <w:rStyle w:val="HideTWBExt"/>
          <w:b w:val="0"/>
          <w:lang w:val="es-ES"/>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12.</w:t>
            </w:r>
            <w:r>
              <w:tab/>
            </w:r>
            <w:r>
              <w:rPr>
                <w:b/>
                <w:i/>
              </w:rPr>
              <w:t>souhlasí se stanoviskem Komise, že organizace občanské společnosti a obránci lidských práv mají zásadní význam pro rovnováhu sil ve společnosti;</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{FR}</w:t>
      </w:r>
      <w:r w:rsidRPr="00444926">
        <w:t>fr</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349</w:t>
      </w:r>
      <w:r>
        <w:rPr>
          <w:rStyle w:val="HideTWBExt"/>
          <w:b w:val="0"/>
        </w:rPr>
        <w:t>&lt;/NumAm&gt;</w:t>
      </w:r>
    </w:p>
    <w:p w:rsidR="00B92CCE" w:rsidRPr="00444926" w:rsidRDefault="00B92CCE" w:rsidP="00B92CCE">
      <w:pPr>
        <w:pStyle w:val="NormalBold"/>
      </w:pPr>
      <w:r>
        <w:rPr>
          <w:rStyle w:val="HideTWBExt"/>
          <w:b w:val="0"/>
        </w:rPr>
        <w:t>&lt;RepeatBlock-By&gt;&lt;Members&gt;</w:t>
      </w:r>
      <w:r>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Daniel Freund, Michał Wawrykiewicz, Cecilia Strada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t xml:space="preserve">souhlasí </w:t>
            </w:r>
            <w:r>
              <w:rPr>
                <w:b/>
                <w:i/>
              </w:rPr>
              <w:t>se stanoviskem</w:t>
            </w:r>
            <w:r>
              <w:t xml:space="preserve"> Komise, že organizace občanské společnosti a obránci lidských práv mají zásadní význam pro rovnováhu </w:t>
            </w:r>
            <w:r>
              <w:rPr>
                <w:b/>
                <w:i/>
              </w:rPr>
              <w:t>sil ve</w:t>
            </w:r>
            <w:r>
              <w:t xml:space="preserve"> společnosti;</w:t>
            </w:r>
          </w:p>
        </w:tc>
        <w:tc>
          <w:tcPr>
            <w:tcW w:w="4876" w:type="dxa"/>
            <w:tcBorders>
              <w:top w:val="nil"/>
              <w:left w:val="nil"/>
              <w:bottom w:val="nil"/>
              <w:right w:val="nil"/>
            </w:tcBorders>
          </w:tcPr>
          <w:p w:rsidR="00B92CCE" w:rsidRPr="00444926" w:rsidRDefault="00B92CCE" w:rsidP="00215104">
            <w:pPr>
              <w:pStyle w:val="Normal6a"/>
            </w:pPr>
            <w:r>
              <w:t>12.</w:t>
            </w:r>
            <w:r>
              <w:tab/>
              <w:t>souhlasí s </w:t>
            </w:r>
            <w:r>
              <w:rPr>
                <w:b/>
                <w:i/>
              </w:rPr>
              <w:t>hodnocením</w:t>
            </w:r>
            <w:r>
              <w:t xml:space="preserve"> Komise, že organizace občanské společnosti a obránci lidských práv mají zásadní význam pro rovnováhu </w:t>
            </w:r>
            <w:r>
              <w:rPr>
                <w:b/>
                <w:i/>
              </w:rPr>
              <w:t>moci, neboť působí jako strážci proti porušování zásad právního státu a aktivně přispívají k prosazování a ochraně základních hodnot Unie;</w:t>
            </w:r>
            <w:r>
              <w:t xml:space="preserve"> </w:t>
            </w:r>
            <w:r>
              <w:rPr>
                <w:b/>
                <w:i/>
              </w:rPr>
              <w:t>připomíná, že v této souvislosti Komise naléhavě vyzvala členské státy, aby vytvořily prostředí příznivé pro práci těchto organizací a obránců lidských práv; naléhavě vyzývá Komisi, aby přijala opatření na posílení ochrany organizací občanské společnosti a aktivistů a pokračovala v úsilí o zajištění nezbytných podmínek pro podporu činností v oblasti lidských práv;</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350</w:t>
      </w:r>
      <w:r>
        <w:rPr>
          <w:rStyle w:val="HideTWBExt"/>
          <w:b w:val="0"/>
        </w:rPr>
        <w:t>&lt;/NumAm&gt;</w:t>
      </w:r>
    </w:p>
    <w:p w:rsidR="00B92CCE" w:rsidRPr="00444926" w:rsidRDefault="00B92CCE" w:rsidP="00B92CCE">
      <w:pPr>
        <w:pStyle w:val="NormalBold"/>
      </w:pPr>
      <w:r>
        <w:rPr>
          <w:rStyle w:val="HideTWBExt"/>
          <w:b w:val="0"/>
        </w:rPr>
        <w:t>&lt;RepeatBlock-By&gt;&lt;Members&gt;</w:t>
      </w:r>
      <w:r>
        <w:t>András László</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r>
            <w:r>
              <w:rPr>
                <w:b/>
                <w:i/>
              </w:rPr>
              <w:t>souhlasí se stanoviskem</w:t>
            </w:r>
            <w:r>
              <w:t xml:space="preserve"> Komise, že organizace občanské společnosti a obránci lidských práv mají zásadní význam pro rovnováhu </w:t>
            </w:r>
            <w:r>
              <w:rPr>
                <w:b/>
                <w:i/>
              </w:rPr>
              <w:t>sil ve společnosti</w:t>
            </w:r>
            <w:r>
              <w:t>;</w:t>
            </w:r>
          </w:p>
        </w:tc>
        <w:tc>
          <w:tcPr>
            <w:tcW w:w="4876" w:type="dxa"/>
            <w:tcBorders>
              <w:top w:val="nil"/>
              <w:left w:val="nil"/>
              <w:bottom w:val="nil"/>
              <w:right w:val="nil"/>
            </w:tcBorders>
          </w:tcPr>
          <w:p w:rsidR="00B92CCE" w:rsidRPr="00444926" w:rsidRDefault="00B92CCE" w:rsidP="00215104">
            <w:pPr>
              <w:pStyle w:val="Normal6a"/>
            </w:pPr>
            <w:r>
              <w:t>12.</w:t>
            </w:r>
            <w:r>
              <w:tab/>
            </w:r>
            <w:r>
              <w:rPr>
                <w:b/>
                <w:i/>
              </w:rPr>
              <w:t>je krajně znepokojen hodnocením</w:t>
            </w:r>
            <w:r>
              <w:t xml:space="preserve"> Komise, že organizace občanské společnosti a obránci lidských práv </w:t>
            </w:r>
            <w:r>
              <w:rPr>
                <w:b/>
                <w:i/>
              </w:rPr>
              <w:t xml:space="preserve">podporovaní Nadací otevřené společnosti George Sorose </w:t>
            </w:r>
            <w:r>
              <w:t xml:space="preserve">mají zásadní význam pro rovnováhu </w:t>
            </w:r>
            <w:r>
              <w:rPr>
                <w:b/>
                <w:i/>
              </w:rPr>
              <w:t>moci;</w:t>
            </w:r>
            <w:r>
              <w:t xml:space="preserve"> </w:t>
            </w:r>
            <w:r>
              <w:rPr>
                <w:b/>
                <w:i/>
              </w:rPr>
              <w:t>vyzývá Komisi, aby od nevládních organizací, s nimiž spolupracuje, vyžadovala plnou transparentnost;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351</w:t>
      </w:r>
      <w:r>
        <w:rPr>
          <w:rStyle w:val="HideTWBExt"/>
          <w:b w:val="0"/>
        </w:rPr>
        <w:t>&lt;/NumAm&gt;</w:t>
      </w:r>
    </w:p>
    <w:p w:rsidR="00B92CCE" w:rsidRPr="00444926" w:rsidRDefault="00B92CCE" w:rsidP="00B92CCE">
      <w:pPr>
        <w:pStyle w:val="NormalBold"/>
      </w:pPr>
      <w:r>
        <w:rPr>
          <w:rStyle w:val="HideTWBExt"/>
          <w:b w:val="0"/>
        </w:rPr>
        <w:t>&lt;RepeatBlock-By&gt;&lt;Members&gt;</w:t>
      </w:r>
      <w:r>
        <w:t>Moritz Körner, Hilde Vautmans, Nikola Minchev, Veronika Cifrová Ostrihoňová, Chloé Ridel, Abir Al-Sahlani, Fabienne Keller, Lucia Yar, Irena Joveva, Isabel Wiseler-Lima, Daniel Freund</w:t>
      </w:r>
      <w:r>
        <w:rPr>
          <w:rStyle w:val="HideTWBExt"/>
          <w:b w:val="0"/>
        </w:rPr>
        <w:t>&lt;/Members&gt;</w:t>
      </w:r>
    </w:p>
    <w:p w:rsidR="00B92CCE" w:rsidRPr="00444926" w:rsidRDefault="00B92CCE" w:rsidP="00B92CCE">
      <w:r>
        <w:rPr>
          <w:rStyle w:val="HideTWBExt"/>
        </w:rPr>
        <w:t>&lt;AuNomDe&gt;</w:t>
      </w:r>
      <w:r>
        <w:rPr>
          <w:rStyle w:val="HideTWBInt"/>
          <w:color w:val="auto"/>
        </w:rPr>
        <w:t>{LIBE}</w:t>
      </w:r>
      <w:r>
        <w:t>za Výbor pro občanské svobody, spravedlnost a vnitřní věci</w:t>
      </w:r>
      <w:r>
        <w:rPr>
          <w:rStyle w:val="HideTWBExt"/>
        </w:rPr>
        <w:t>&lt;/AuNomDe&gt;</w:t>
      </w:r>
    </w:p>
    <w:p w:rsidR="00B92CCE" w:rsidRPr="00444926" w:rsidRDefault="00B92CCE" w:rsidP="00B92CCE">
      <w:pPr>
        <w:pStyle w:val="NormalBold"/>
      </w:pPr>
      <w:r>
        <w:rPr>
          <w:rStyle w:val="HideTWBExt"/>
          <w:b w:val="0"/>
        </w:rPr>
        <w:t>&lt;Members&gt;</w:t>
      </w:r>
      <w:r>
        <w:t>Sophie Wilmès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t>souhlasí se stanoviskem Komise, že organizace občanské společnosti a obránci lidských práv mají zásadní význam pro rovnováhu sil ve společnosti;</w:t>
            </w:r>
          </w:p>
        </w:tc>
        <w:tc>
          <w:tcPr>
            <w:tcW w:w="4876" w:type="dxa"/>
            <w:tcBorders>
              <w:top w:val="nil"/>
              <w:left w:val="nil"/>
              <w:bottom w:val="nil"/>
              <w:right w:val="nil"/>
            </w:tcBorders>
          </w:tcPr>
          <w:p w:rsidR="00B92CCE" w:rsidRPr="00444926" w:rsidRDefault="00B92CCE" w:rsidP="00215104">
            <w:pPr>
              <w:pStyle w:val="Normal6a"/>
            </w:pPr>
            <w:r>
              <w:t>12.</w:t>
            </w:r>
            <w:r>
              <w:tab/>
              <w:t>souhlasí se stanoviskem Komise, že organizace občanské společnosti</w:t>
            </w:r>
            <w:r>
              <w:rPr>
                <w:b/>
                <w:i/>
              </w:rPr>
              <w:t>, nezávislé orgány, veřejní ochránci práv</w:t>
            </w:r>
            <w:r>
              <w:t xml:space="preserve"> a obránci lidských práv mají zásadní význam pro rovnováhu sil ve společnosti; </w:t>
            </w:r>
            <w:r>
              <w:rPr>
                <w:b/>
                <w:i/>
              </w:rPr>
              <w:t>připomíná, že je pro ně nezbytné bezpečné, podpůrné a příznivé prostředí;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352</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r>
            <w:r>
              <w:rPr>
                <w:b/>
                <w:i/>
              </w:rPr>
              <w:t>souhlasí se stanoviskem Komise, že</w:t>
            </w:r>
            <w:r>
              <w:t xml:space="preserve"> organizace občanské společnosti a obránci lidských práv mají zásadní význam pro rovnováhu </w:t>
            </w:r>
            <w:r>
              <w:rPr>
                <w:b/>
                <w:i/>
              </w:rPr>
              <w:t>sil ve společnosti</w:t>
            </w:r>
            <w:r>
              <w:t>;</w:t>
            </w:r>
          </w:p>
        </w:tc>
        <w:tc>
          <w:tcPr>
            <w:tcW w:w="4876" w:type="dxa"/>
            <w:tcBorders>
              <w:top w:val="nil"/>
              <w:left w:val="nil"/>
              <w:bottom w:val="nil"/>
              <w:right w:val="nil"/>
            </w:tcBorders>
          </w:tcPr>
          <w:p w:rsidR="00B92CCE" w:rsidRPr="00444926" w:rsidRDefault="00B92CCE" w:rsidP="00215104">
            <w:pPr>
              <w:pStyle w:val="Normal6a"/>
            </w:pPr>
            <w:r>
              <w:t>12.</w:t>
            </w:r>
            <w:r>
              <w:tab/>
              <w:t xml:space="preserve">organizace občanské společnosti a obránci lidských práv mají zásadní význam pro rovnováhu </w:t>
            </w:r>
            <w:r>
              <w:rPr>
                <w:b/>
                <w:i/>
              </w:rPr>
              <w:t>moci, pokud jsou skutečně nezávislí a zastupují zájmy občanů členských států;</w:t>
            </w:r>
            <w:r>
              <w:t xml:space="preserve"> v </w:t>
            </w:r>
            <w:r>
              <w:rPr>
                <w:b/>
                <w:i/>
              </w:rPr>
              <w:t>této souvislosti zdůrazňuje, že je třeba zajistit transparentnost jejich financování a řádné označování zahraničních organizací;</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353</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r>
            <w:r>
              <w:rPr>
                <w:b/>
                <w:i/>
              </w:rPr>
              <w:t>souhlasí se stanoviskem Komise</w:t>
            </w:r>
            <w:r>
              <w:t xml:space="preserve">, že organizace občanské společnosti a obránci lidských práv mají zásadní význam pro </w:t>
            </w:r>
            <w:r>
              <w:rPr>
                <w:b/>
                <w:i/>
              </w:rPr>
              <w:t>rovnováhu sil ve společnosti</w:t>
            </w:r>
            <w:r>
              <w:t>;</w:t>
            </w:r>
          </w:p>
        </w:tc>
        <w:tc>
          <w:tcPr>
            <w:tcW w:w="4876" w:type="dxa"/>
            <w:tcBorders>
              <w:top w:val="nil"/>
              <w:left w:val="nil"/>
              <w:bottom w:val="nil"/>
              <w:right w:val="nil"/>
            </w:tcBorders>
          </w:tcPr>
          <w:p w:rsidR="00B92CCE" w:rsidRPr="00444926" w:rsidRDefault="00B92CCE" w:rsidP="00215104">
            <w:pPr>
              <w:pStyle w:val="Normal6a"/>
            </w:pPr>
            <w:r>
              <w:t>12.</w:t>
            </w:r>
            <w:r>
              <w:tab/>
            </w:r>
            <w:r>
              <w:rPr>
                <w:b/>
                <w:i/>
              </w:rPr>
              <w:t>zdůrazňuje</w:t>
            </w:r>
            <w:r>
              <w:t xml:space="preserve">, že organizace občanské společnosti a obránci lidských práv mají zásadní význam pro </w:t>
            </w:r>
            <w:r>
              <w:rPr>
                <w:b/>
                <w:i/>
              </w:rPr>
              <w:t>řádné fungování demokracie;</w:t>
            </w:r>
            <w:r>
              <w:t xml:space="preserve"> </w:t>
            </w:r>
            <w:r>
              <w:rPr>
                <w:b/>
                <w:i/>
              </w:rPr>
              <w:t>vyjadřuje politování nad tím, že orgány EU podporují liberální a levicové organizace tím, že překračují své pravomoci a staví se v ideologických sporech na jednu stranu;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354</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t>souhlasí se stanoviskem Komise, že organizace občanské společnosti a obránci lidských práv mají zásadní význam pro rovnováhu sil ve společnosti;</w:t>
            </w:r>
          </w:p>
        </w:tc>
        <w:tc>
          <w:tcPr>
            <w:tcW w:w="4876" w:type="dxa"/>
            <w:tcBorders>
              <w:top w:val="nil"/>
              <w:left w:val="nil"/>
              <w:bottom w:val="nil"/>
              <w:right w:val="nil"/>
            </w:tcBorders>
          </w:tcPr>
          <w:p w:rsidR="00B92CCE" w:rsidRPr="00444926" w:rsidRDefault="00B92CCE" w:rsidP="00215104">
            <w:pPr>
              <w:pStyle w:val="Normal6a"/>
            </w:pPr>
            <w:r>
              <w:t>12.</w:t>
            </w:r>
            <w:r>
              <w:tab/>
              <w:t>souhlasí se stanoviskem Komise, že organizace občanské společnosti a obránci lidských práv mají zásadní význam pro rovnováhu sil ve společnosti</w:t>
            </w:r>
            <w:r>
              <w:rPr>
                <w:b/>
                <w:i/>
              </w:rPr>
              <w:t xml:space="preserve"> a pro ochranu základních hodnot, které jsou základním kamenem EU</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355</w:t>
      </w:r>
      <w:r>
        <w:rPr>
          <w:rStyle w:val="HideTWBExt"/>
          <w:b w:val="0"/>
        </w:rPr>
        <w:t>&lt;/NumAm&gt;</w:t>
      </w:r>
    </w:p>
    <w:p w:rsidR="00B92CCE" w:rsidRPr="00444926" w:rsidRDefault="00B92CCE" w:rsidP="00B92CCE">
      <w:pPr>
        <w:pStyle w:val="NormalBold"/>
      </w:pPr>
      <w:r>
        <w:rPr>
          <w:rStyle w:val="HideTWBExt"/>
          <w:b w:val="0"/>
        </w:rPr>
        <w:t>&lt;RepeatBlock-By&gt;&lt;Members&gt;</w:t>
      </w:r>
      <w:r>
        <w:t>Romana Tomc</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t xml:space="preserve">souhlasí se stanoviskem Komise, že organizace občanské společnosti a obránci lidských práv mají </w:t>
            </w:r>
            <w:r>
              <w:rPr>
                <w:b/>
                <w:i/>
              </w:rPr>
              <w:t xml:space="preserve">zásadní </w:t>
            </w:r>
            <w:r>
              <w:t>význam pro rovnováhu sil ve společnosti;</w:t>
            </w:r>
          </w:p>
        </w:tc>
        <w:tc>
          <w:tcPr>
            <w:tcW w:w="4876" w:type="dxa"/>
            <w:tcBorders>
              <w:top w:val="nil"/>
              <w:left w:val="nil"/>
              <w:bottom w:val="nil"/>
              <w:right w:val="nil"/>
            </w:tcBorders>
          </w:tcPr>
          <w:p w:rsidR="00B92CCE" w:rsidRPr="00444926" w:rsidRDefault="00B92CCE" w:rsidP="00215104">
            <w:pPr>
              <w:pStyle w:val="Normal6a"/>
            </w:pPr>
            <w:r>
              <w:t>12.</w:t>
            </w:r>
            <w:r>
              <w:tab/>
              <w:t>souhlasí se stanoviskem Komise, že organizace občanské společnosti a obránci lidských práv mají význam pro rovnováhu sil ve společnosti;</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356</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12.</w:t>
            </w:r>
            <w:r>
              <w:tab/>
            </w:r>
            <w:r>
              <w:rPr>
                <w:b/>
                <w:i/>
              </w:rPr>
              <w:t>souhlasí se stanoviskem</w:t>
            </w:r>
            <w:r>
              <w:t xml:space="preserve"> Komise, že organizace občanské společnosti a obránci lidských práv mají </w:t>
            </w:r>
            <w:r>
              <w:rPr>
                <w:b/>
                <w:i/>
              </w:rPr>
              <w:t>zásadní význam pro</w:t>
            </w:r>
            <w:r>
              <w:t xml:space="preserve"> rovnováhu </w:t>
            </w:r>
            <w:r>
              <w:rPr>
                <w:b/>
                <w:i/>
              </w:rPr>
              <w:t>sil ve společnosti</w:t>
            </w:r>
            <w:r>
              <w:t>;</w:t>
            </w:r>
          </w:p>
        </w:tc>
        <w:tc>
          <w:tcPr>
            <w:tcW w:w="4876" w:type="dxa"/>
            <w:tcBorders>
              <w:top w:val="nil"/>
              <w:left w:val="nil"/>
              <w:bottom w:val="nil"/>
              <w:right w:val="nil"/>
            </w:tcBorders>
          </w:tcPr>
          <w:p w:rsidR="00B92CCE" w:rsidRPr="00444926" w:rsidRDefault="00B92CCE" w:rsidP="00215104">
            <w:pPr>
              <w:pStyle w:val="Normal6a"/>
            </w:pPr>
            <w:r>
              <w:t>12.</w:t>
            </w:r>
            <w:r>
              <w:tab/>
            </w:r>
            <w:r>
              <w:rPr>
                <w:b/>
                <w:i/>
              </w:rPr>
              <w:t>bere na vědomí hodnocení</w:t>
            </w:r>
            <w:r>
              <w:t xml:space="preserve"> Komise, že organizace občanské společnosti a obránci lidských práv mají </w:t>
            </w:r>
            <w:r>
              <w:rPr>
                <w:b/>
                <w:i/>
              </w:rPr>
              <w:t>vliv na</w:t>
            </w:r>
            <w:r>
              <w:t xml:space="preserve"> rovnováhu </w:t>
            </w:r>
            <w:r>
              <w:rPr>
                <w:b/>
                <w:i/>
              </w:rPr>
              <w:t>moci</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357</w:t>
      </w:r>
      <w:r>
        <w:rPr>
          <w:rStyle w:val="HideTWBExt"/>
          <w:b w:val="0"/>
        </w:rPr>
        <w:t>&lt;/NumAm&gt;</w:t>
      </w:r>
    </w:p>
    <w:p w:rsidR="00B92CCE" w:rsidRPr="00444926" w:rsidRDefault="00B92CCE" w:rsidP="00B92CCE">
      <w:pPr>
        <w:pStyle w:val="NormalBold"/>
      </w:pPr>
      <w:r>
        <w:rPr>
          <w:rStyle w:val="HideTWBExt"/>
          <w:b w:val="0"/>
        </w:rPr>
        <w:t>&lt;RepeatBlock-By&gt;&lt;Members&gt;</w:t>
      </w:r>
      <w:r>
        <w:t>Alessandro Zan, Cecilia Strada, Sandro Ruotolo, Pina Picierno, Marco Tarquinio</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12a.</w:t>
            </w:r>
            <w:r>
              <w:tab/>
            </w:r>
            <w:r>
              <w:rPr>
                <w:b/>
                <w:i/>
              </w:rPr>
              <w:t>je hluboce znepokojen výzvami, kterým čelí občanská společnost v Itálii; zdůrazňuje kritiku Rady Evropy, OECD a OSN týkající se italského návrhu „zákona o veřejné bezpečnosti“ a odstranění právní ochrany a ochrany lidských práv, které by z jeho přijetí vyplývalo; vyjadřuje vážné znepokojení nad omezeními, která tento návrh zákona představuje pro právo na svobodu a bezpečnost jednotlivce, zákaz svévolného zadržování, právo na svobodu pohybu, právo na spravedlivý proces, právo na soukromí, právo na svobodu projevu a přesvědčení, svobodu shromažďování a sdružování, jakož i pro základní práva;</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358</w:t>
      </w:r>
      <w:r>
        <w:rPr>
          <w:rStyle w:val="HideTWBExt"/>
          <w:b w:val="0"/>
        </w:rPr>
        <w:t>&lt;/NumAm&gt;</w:t>
      </w:r>
    </w:p>
    <w:p w:rsidR="00B92CCE" w:rsidRPr="00444926" w:rsidRDefault="00B92CCE" w:rsidP="00B92CCE">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12a.</w:t>
            </w:r>
            <w:r>
              <w:tab/>
            </w:r>
            <w:r>
              <w:rPr>
                <w:b/>
                <w:i/>
              </w:rPr>
              <w:t>vyjadřuje hluboký nesouhlas s tím, aby Komise a její agentury financovaly organizace, jejichž úkolem je ovlivňovat postoje ostatních orgánů EU, včetně Evropského parlamentu; považuje to za nepřijatelné, vyzývá Komisi, aby na toto téma zveřejnila podrobnou zprávu, a navrhuje, aby Evropský účetní dvůr prováděl v této oblasti kontroly; domnívá se, že Komise a ostatní orgány EU nemohou libovolně vyčleňovat finanční prostředky nebo jiné formy podpory na ideologická opatření jakéhokoli druhu, a to ani na opatření, která mají ovlivnit orgány EU a členské státy;</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{PL}</w:t>
      </w:r>
      <w:r w:rsidRPr="00444926">
        <w:t>pl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359</w:t>
      </w:r>
      <w:r>
        <w:rPr>
          <w:rStyle w:val="HideTWBExt"/>
          <w:b w:val="0"/>
        </w:rPr>
        <w:t>&lt;/NumAm&gt;</w:t>
      </w:r>
    </w:p>
    <w:p w:rsidR="00B92CCE" w:rsidRPr="00444926" w:rsidRDefault="00B92CCE" w:rsidP="00B92CCE">
      <w:pPr>
        <w:pStyle w:val="NormalBold"/>
      </w:pPr>
      <w:r>
        <w:rPr>
          <w:rStyle w:val="HideTWBExt"/>
          <w:b w:val="0"/>
        </w:rPr>
        <w:t>&lt;RepeatBlock-By&gt;&lt;Members&gt;</w:t>
      </w:r>
      <w:r>
        <w:t>Isabel Serra Sánchez, Ana Catarina Mendes</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12a.</w:t>
            </w:r>
            <w:r>
              <w:tab/>
            </w:r>
            <w:r>
              <w:rPr>
                <w:b/>
                <w:i/>
              </w:rPr>
              <w:t>vyjadřuje hluboké znepokojení nad rostoucím pronásledováním a kriminalizací klimatického aktivismu v několika členských státech EU; odsuzuje klasifikaci klimatických aktivistů jako členů „zločineckých organizací“ a zneužívání zákonů postihujících terorismus a organizovanou trestnou činnost k potlačování pokojných protestních hnutí; zdůrazňuje, že tato opatření nejen porušují základní právo na pokojné shromažďování a svobodu projevu, ale působí také tak, že odrazují od občanské angažovanosti a účasti na demokratických procesech; vyzývá členské státy, aby se zdržely nepřiměřených právních kroků proti klimatickým aktivistům;</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360</w:t>
      </w:r>
      <w:r>
        <w:rPr>
          <w:rStyle w:val="HideTWBExt"/>
          <w:b w:val="0"/>
        </w:rPr>
        <w:t>&lt;/NumAm&gt;</w:t>
      </w:r>
    </w:p>
    <w:p w:rsidR="00B92CCE" w:rsidRPr="00444926" w:rsidRDefault="00B92CCE" w:rsidP="00B92CCE">
      <w:pPr>
        <w:pStyle w:val="NormalBold"/>
      </w:pPr>
      <w:r>
        <w:rPr>
          <w:rStyle w:val="HideTWBExt"/>
          <w:b w:val="0"/>
        </w:rPr>
        <w:t>&lt;RepeatBlock-By&gt;&lt;Members&gt;</w:t>
      </w:r>
      <w:r>
        <w:t>Mary Khan, Christine Anderson, Milan Uhrík, Ewa Zajączkowska-Hernik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12a.</w:t>
            </w:r>
            <w:r>
              <w:tab/>
            </w:r>
            <w:r>
              <w:rPr>
                <w:b/>
                <w:i/>
              </w:rPr>
              <w:t xml:space="preserve">je znepokojen stále rostoucím financováním nevládních organizací z rozpočtu Unie; zdůrazňuje, že pojem nevládních organizací, které přitom financuje vláda, je z definice paradoxní; vyzývá k důkladnému přezkumu všech plateb z rozpočtu Unie ve prospěch nevládních organizací, zejména s ohledem na program „Lobby-Loop“ bývalého komisaře Timmermanse, v jehož rámci Komise financovala nevládní organizace, které lobbovaly u europoslanců, aby podpořili návrhy Komise; </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361</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12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p>
        </w:tc>
        <w:tc>
          <w:tcPr>
            <w:tcW w:w="4876" w:type="dxa"/>
            <w:tcBorders>
              <w:top w:val="nil"/>
              <w:left w:val="nil"/>
              <w:bottom w:val="nil"/>
              <w:right w:val="nil"/>
            </w:tcBorders>
          </w:tcPr>
          <w:p w:rsidR="00B92CCE" w:rsidRPr="00444926" w:rsidRDefault="00B92CCE" w:rsidP="00215104">
            <w:pPr>
              <w:pStyle w:val="Normal6a"/>
            </w:pPr>
            <w:r>
              <w:rPr>
                <w:b/>
                <w:i/>
              </w:rPr>
              <w:t>12a.</w:t>
            </w:r>
            <w:r>
              <w:tab/>
            </w:r>
            <w:r>
              <w:rPr>
                <w:b/>
                <w:i/>
              </w:rPr>
              <w:t>odsuzuje využívání organizací občanské společnosti a obránců lidských práv k provádění zahraničních plánů státních i nestátních subjektů ze třetích zemí; zdůrazňuje, že Komise by se při navrhování nových politik neměla spoléhat na organizace financované ze zahraničí, neboť jejich cíle nemusí být nutně v souladu s cíli EU;</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362</w:t>
      </w:r>
      <w:r>
        <w:rPr>
          <w:rStyle w:val="HideTWBExt"/>
          <w:b w:val="0"/>
        </w:rPr>
        <w:t>&lt;/NumAm&gt;</w:t>
      </w:r>
    </w:p>
    <w:p w:rsidR="00B92CCE" w:rsidRPr="00444926" w:rsidRDefault="00B92CCE" w:rsidP="00B92CCE">
      <w:pPr>
        <w:pStyle w:val="NormalBold"/>
      </w:pPr>
      <w:r>
        <w:rPr>
          <w:rStyle w:val="HideTWBExt"/>
          <w:b w:val="0"/>
        </w:rPr>
        <w:t>&lt;RepeatBlock-By&gt;&lt;Members&gt;</w:t>
      </w:r>
      <w:r>
        <w:t>Nicolas Bay</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13.</w:t>
            </w:r>
            <w:r>
              <w:tab/>
            </w:r>
            <w:r>
              <w:rPr>
                <w:b/>
                <w:i/>
              </w:rPr>
              <w:t>je znepokojen sílícím trendem, kdy organizace občanské společnosti a obránci lidských práv 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prostředky poskytované na financování organizací občanské společnosti zvýšit;</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{FR}</w:t>
      </w:r>
      <w:r w:rsidRPr="00444926">
        <w:t>fr</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363</w:t>
      </w:r>
      <w:r>
        <w:rPr>
          <w:rStyle w:val="HideTWBExt"/>
          <w:b w:val="0"/>
        </w:rPr>
        <w:t>&lt;/NumAm&gt;</w:t>
      </w:r>
    </w:p>
    <w:p w:rsidR="00B92CCE" w:rsidRPr="00444926" w:rsidRDefault="00B92CCE" w:rsidP="00B92CCE">
      <w:pPr>
        <w:pStyle w:val="NormalBold"/>
      </w:pPr>
      <w:r>
        <w:rPr>
          <w:rStyle w:val="HideTWBExt"/>
          <w:b w:val="0"/>
        </w:rPr>
        <w:t>&lt;RepeatBlock-By&gt;&lt;Members&gt;</w:t>
      </w:r>
      <w:r>
        <w:t>Emmanuel Fragkos, Geadis Geadi, Galato Alexandraki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13.</w:t>
            </w:r>
            <w:r>
              <w:tab/>
            </w:r>
            <w:r>
              <w:rPr>
                <w:b/>
                <w:i/>
              </w:rPr>
              <w:t>je znepokojen sílícím trendem, kdy organizace občanské společnosti a obránci lidských práv 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prostředky poskytované na financování organizací občanské společnosti zvýšit;</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{EL}</w:t>
      </w:r>
      <w:r w:rsidRPr="00444926">
        <w:t>el</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364</w:t>
      </w:r>
      <w:r>
        <w:rPr>
          <w:rStyle w:val="HideTWBExt"/>
          <w:b w:val="0"/>
        </w:rPr>
        <w:t>&lt;/NumAm&gt;</w:t>
      </w:r>
    </w:p>
    <w:p w:rsidR="00B92CCE" w:rsidRPr="00444926" w:rsidRDefault="00B92CCE" w:rsidP="00B92CCE">
      <w:pPr>
        <w:pStyle w:val="NormalBold"/>
      </w:pPr>
      <w:r>
        <w:rPr>
          <w:rStyle w:val="HideTWBExt"/>
          <w:b w:val="0"/>
        </w:rPr>
        <w:t>&lt;RepeatBlock-By&gt;&lt;Members&gt;</w:t>
      </w:r>
      <w:r>
        <w:t>Jorge Buxadé Villalba, Marieke Ehlers, Malika Sorel, Fabrice Leggeri</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rPr>
                <w:b/>
                <w:i/>
              </w:rPr>
              <w:t>13.</w:t>
            </w:r>
            <w:r>
              <w:tab/>
            </w:r>
            <w:r>
              <w:rPr>
                <w:b/>
                <w:i/>
              </w:rPr>
              <w:t>je znepokojen sílícím trendem, kdy organizace občanské společnosti a obránci lidských práv 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prostředky poskytované na financování organizací občanské společnosti zvýšit;</w:t>
            </w:r>
          </w:p>
        </w:tc>
        <w:tc>
          <w:tcPr>
            <w:tcW w:w="4876" w:type="dxa"/>
            <w:tcBorders>
              <w:top w:val="nil"/>
              <w:left w:val="nil"/>
              <w:bottom w:val="nil"/>
              <w:right w:val="nil"/>
            </w:tcBorders>
          </w:tcPr>
          <w:p w:rsidR="00B92CCE" w:rsidRPr="00444926" w:rsidRDefault="00B92CCE" w:rsidP="00215104">
            <w:pPr>
              <w:pStyle w:val="Normal6a"/>
            </w:pPr>
            <w:r>
              <w:rPr>
                <w:b/>
                <w:i/>
              </w:rPr>
              <w:t>vypouští se</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365</w:t>
      </w:r>
      <w:r>
        <w:rPr>
          <w:rStyle w:val="HideTWBExt"/>
          <w:b w:val="0"/>
        </w:rPr>
        <w:t>&lt;/NumAm&gt;</w:t>
      </w:r>
    </w:p>
    <w:p w:rsidR="00B92CCE" w:rsidRPr="00444926" w:rsidRDefault="00B92CCE" w:rsidP="00B92CCE">
      <w:pPr>
        <w:pStyle w:val="NormalBold"/>
      </w:pPr>
      <w:r>
        <w:rPr>
          <w:rStyle w:val="HideTWBExt"/>
          <w:b w:val="0"/>
        </w:rPr>
        <w:t>&lt;RepeatBlock-By&gt;&lt;Members&gt;</w:t>
      </w:r>
      <w:r>
        <w:t>Erik Kaliňák</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13.</w:t>
            </w:r>
            <w:r>
              <w:tab/>
              <w:t xml:space="preserve">je znepokojen </w:t>
            </w:r>
            <w:r>
              <w:rPr>
                <w:b/>
                <w:i/>
              </w:rPr>
              <w:t>sílícím</w:t>
            </w:r>
            <w:r>
              <w:t xml:space="preserve"> trendem</w:t>
            </w:r>
            <w:r>
              <w:rPr>
                <w:b/>
                <w:i/>
              </w:rPr>
              <w:t>, kdy organizace</w:t>
            </w:r>
            <w:r>
              <w:t xml:space="preserve"> občanské společnosti a </w:t>
            </w:r>
            <w:r>
              <w:rPr>
                <w:b/>
                <w:i/>
              </w:rPr>
              <w:t>obránci</w:t>
            </w:r>
            <w:r>
              <w:t xml:space="preserve"> lidských práv </w:t>
            </w:r>
            <w:r>
              <w:rPr>
                <w:b/>
                <w:i/>
              </w:rPr>
              <w:t>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prostředky poskytované na financování organizací občanské společnosti zvýšit;</w:t>
            </w:r>
          </w:p>
        </w:tc>
        <w:tc>
          <w:tcPr>
            <w:tcW w:w="4876" w:type="dxa"/>
            <w:tcBorders>
              <w:top w:val="nil"/>
              <w:left w:val="nil"/>
              <w:bottom w:val="nil"/>
              <w:right w:val="nil"/>
            </w:tcBorders>
          </w:tcPr>
          <w:p w:rsidR="00B92CCE" w:rsidRPr="00444926" w:rsidRDefault="00B92CCE" w:rsidP="00215104">
            <w:pPr>
              <w:pStyle w:val="Normal6a"/>
            </w:pPr>
            <w:r>
              <w:t>13.</w:t>
            </w:r>
            <w:r>
              <w:tab/>
              <w:t xml:space="preserve">je znepokojen </w:t>
            </w:r>
            <w:r>
              <w:rPr>
                <w:b/>
                <w:i/>
              </w:rPr>
              <w:t>rostoucím</w:t>
            </w:r>
            <w:r>
              <w:t xml:space="preserve"> trendem</w:t>
            </w:r>
            <w:r>
              <w:rPr>
                <w:b/>
                <w:i/>
              </w:rPr>
              <w:t xml:space="preserve"> zneužívání organizací</w:t>
            </w:r>
            <w:r>
              <w:t xml:space="preserve"> občanské společnosti a </w:t>
            </w:r>
            <w:r>
              <w:rPr>
                <w:b/>
                <w:i/>
              </w:rPr>
              <w:t>obránců</w:t>
            </w:r>
            <w:r>
              <w:t xml:space="preserve"> lidských práv </w:t>
            </w:r>
            <w:r>
              <w:rPr>
                <w:b/>
                <w:i/>
              </w:rPr>
              <w:t>jako prostředku boje</w:t>
            </w:r>
            <w:r>
              <w:t xml:space="preserve"> proti </w:t>
            </w:r>
            <w:r>
              <w:rPr>
                <w:b/>
                <w:i/>
              </w:rPr>
              <w:t>legitimně zvoleným vládám</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{SK}</w:t>
      </w:r>
      <w:r w:rsidRPr="00444926">
        <w:t>sk</w:t>
      </w:r>
      <w:r w:rsidRPr="00444926">
        <w:rPr>
          <w:rStyle w:val="HideTWBExt"/>
        </w:rPr>
        <w:t>&lt;/Original&gt;</w:t>
      </w:r>
    </w:p>
    <w:p w:rsidR="00B92CCE" w:rsidRPr="00444926" w:rsidRDefault="00B92CCE" w:rsidP="00B92CCE">
      <w:r>
        <w:rPr>
          <w:rStyle w:val="HideTWBExt"/>
        </w:rPr>
        <w:t>&lt;/Amend&gt;</w:t>
      </w:r>
    </w:p>
    <w:p w:rsidR="00B92CCE" w:rsidRPr="00444926" w:rsidRDefault="00B92CCE" w:rsidP="00B92CCE">
      <w:pPr>
        <w:pStyle w:val="AmNumberTabs"/>
      </w:pPr>
      <w:r>
        <w:rPr>
          <w:rStyle w:val="HideTWBExt"/>
          <w:b w:val="0"/>
        </w:rPr>
        <w:t>&lt;Amend&gt;</w:t>
      </w:r>
      <w:r>
        <w:t>Pozměňovací návrh</w:t>
      </w:r>
      <w:r>
        <w:tab/>
      </w:r>
      <w:r>
        <w:tab/>
      </w:r>
      <w:r>
        <w:rPr>
          <w:rStyle w:val="HideTWBExt"/>
          <w:b w:val="0"/>
        </w:rPr>
        <w:t>&lt;NumAm&gt;</w:t>
      </w:r>
      <w:r>
        <w:t>366</w:t>
      </w:r>
      <w:r>
        <w:rPr>
          <w:rStyle w:val="HideTWBExt"/>
          <w:b w:val="0"/>
        </w:rPr>
        <w:t>&lt;/NumAm&gt;</w:t>
      </w:r>
    </w:p>
    <w:p w:rsidR="00B92CCE" w:rsidRPr="00444926" w:rsidRDefault="00B92CCE" w:rsidP="00B92CCE">
      <w:pPr>
        <w:pStyle w:val="NormalBold"/>
      </w:pPr>
      <w:r>
        <w:rPr>
          <w:rStyle w:val="HideTWBExt"/>
          <w:b w:val="0"/>
        </w:rPr>
        <w:t>&lt;RepeatBlock-By&gt;&lt;Members&gt;</w:t>
      </w:r>
      <w:r>
        <w:t>Michał Wawrykiewicz</w:t>
      </w:r>
      <w:r>
        <w:rPr>
          <w:rStyle w:val="HideTWBExt"/>
          <w:b w:val="0"/>
        </w:rPr>
        <w:t>&lt;/Members&gt;</w:t>
      </w:r>
    </w:p>
    <w:p w:rsidR="00B92CCE" w:rsidRPr="00444926" w:rsidRDefault="00B92CCE" w:rsidP="00B92CCE">
      <w:pPr>
        <w:pStyle w:val="NormalBold"/>
      </w:pPr>
      <w:r>
        <w:rPr>
          <w:rStyle w:val="HideTWBExt"/>
          <w:b w:val="0"/>
        </w:rPr>
        <w:t>&lt;/RepeatBlock-By&gt;</w:t>
      </w:r>
    </w:p>
    <w:p w:rsidR="00B92CCE" w:rsidRPr="00444926" w:rsidRDefault="00B92CCE" w:rsidP="00B92CCE">
      <w:pPr>
        <w:pStyle w:val="NormalBold"/>
      </w:pPr>
      <w:r>
        <w:rPr>
          <w:rStyle w:val="HideTWBExt"/>
          <w:b w:val="0"/>
        </w:rPr>
        <w:t>&lt;DocAmend&gt;</w:t>
      </w:r>
      <w:r>
        <w:t>Návrh usnesení</w:t>
      </w:r>
      <w:r>
        <w:rPr>
          <w:rStyle w:val="HideTWBExt"/>
          <w:b w:val="0"/>
        </w:rPr>
        <w:t>&lt;/DocAmend&gt;</w:t>
      </w:r>
    </w:p>
    <w:p w:rsidR="00B92CCE" w:rsidRPr="00444926" w:rsidRDefault="00B92CCE" w:rsidP="00B92CCE">
      <w:pPr>
        <w:pStyle w:val="NormalBold"/>
      </w:pPr>
      <w:r>
        <w:rPr>
          <w:rStyle w:val="HideTWBExt"/>
          <w:b w:val="0"/>
        </w:rPr>
        <w:t>&lt;Article&gt;</w:t>
      </w:r>
      <w:r>
        <w:t>Bod 13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B92CCE" w:rsidTr="00215104">
        <w:trPr>
          <w:trHeight w:hRule="exact" w:val="240"/>
          <w:jc w:val="center"/>
        </w:trPr>
        <w:tc>
          <w:tcPr>
            <w:tcW w:w="9752" w:type="dxa"/>
            <w:gridSpan w:val="2"/>
            <w:tcBorders>
              <w:top w:val="nil"/>
              <w:left w:val="nil"/>
              <w:bottom w:val="nil"/>
              <w:right w:val="nil"/>
            </w:tcBorders>
          </w:tcPr>
          <w:p w:rsidR="00B92CCE" w:rsidRPr="00444926" w:rsidRDefault="00B92CCE" w:rsidP="00215104"/>
        </w:tc>
      </w:tr>
      <w:tr w:rsidR="00B92CCE" w:rsidTr="00215104">
        <w:trPr>
          <w:trHeight w:val="240"/>
          <w:jc w:val="center"/>
        </w:trPr>
        <w:tc>
          <w:tcPr>
            <w:tcW w:w="4876" w:type="dxa"/>
            <w:tcBorders>
              <w:top w:val="nil"/>
              <w:left w:val="nil"/>
              <w:bottom w:val="nil"/>
              <w:right w:val="nil"/>
            </w:tcBorders>
          </w:tcPr>
          <w:p w:rsidR="00B92CCE" w:rsidRPr="00444926" w:rsidRDefault="00B92CCE" w:rsidP="00215104">
            <w:pPr>
              <w:pStyle w:val="AmColumnHeading"/>
            </w:pPr>
            <w:r>
              <w:t>Návrh usnesení</w:t>
            </w:r>
          </w:p>
        </w:tc>
        <w:tc>
          <w:tcPr>
            <w:tcW w:w="4876" w:type="dxa"/>
            <w:tcBorders>
              <w:top w:val="nil"/>
              <w:left w:val="nil"/>
              <w:bottom w:val="nil"/>
              <w:right w:val="nil"/>
            </w:tcBorders>
          </w:tcPr>
          <w:p w:rsidR="00B92CCE" w:rsidRPr="00444926" w:rsidRDefault="00B92CCE" w:rsidP="00215104">
            <w:pPr>
              <w:pStyle w:val="AmColumnHeading"/>
            </w:pPr>
            <w:r>
              <w:t>Pozměňovací návrh</w:t>
            </w:r>
          </w:p>
        </w:tc>
      </w:tr>
      <w:tr w:rsidR="00B92CCE" w:rsidTr="00215104">
        <w:trPr>
          <w:jc w:val="center"/>
        </w:trPr>
        <w:tc>
          <w:tcPr>
            <w:tcW w:w="4876" w:type="dxa"/>
            <w:tcBorders>
              <w:top w:val="nil"/>
              <w:left w:val="nil"/>
              <w:bottom w:val="nil"/>
              <w:right w:val="nil"/>
            </w:tcBorders>
          </w:tcPr>
          <w:p w:rsidR="00B92CCE" w:rsidRPr="00444926" w:rsidRDefault="00B92CCE" w:rsidP="00215104">
            <w:pPr>
              <w:pStyle w:val="Normal6a"/>
            </w:pPr>
            <w:r>
              <w:t>13.</w:t>
            </w:r>
            <w:r>
              <w:tab/>
              <w:t xml:space="preserve">je znepokojen sílícím trendem, kdy organizace občanské společnosti a obránci lidských práv 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w:t>
            </w:r>
            <w:r>
              <w:rPr>
                <w:b/>
                <w:i/>
              </w:rPr>
              <w:t>prostředky poskytované na</w:t>
            </w:r>
            <w:r>
              <w:t xml:space="preserve"> financování organizací občanské společnosti </w:t>
            </w:r>
            <w:r>
              <w:rPr>
                <w:b/>
                <w:i/>
              </w:rPr>
              <w:t>zvýšit</w:t>
            </w:r>
            <w:r>
              <w:t>;</w:t>
            </w:r>
          </w:p>
        </w:tc>
        <w:tc>
          <w:tcPr>
            <w:tcW w:w="4876" w:type="dxa"/>
            <w:tcBorders>
              <w:top w:val="nil"/>
              <w:left w:val="nil"/>
              <w:bottom w:val="nil"/>
              <w:right w:val="nil"/>
            </w:tcBorders>
          </w:tcPr>
          <w:p w:rsidR="00B92CCE" w:rsidRPr="00444926" w:rsidRDefault="00B92CCE" w:rsidP="00215104">
            <w:pPr>
              <w:pStyle w:val="Normal6a"/>
            </w:pPr>
            <w:r>
              <w:t>13.</w:t>
            </w:r>
            <w:r>
              <w:tab/>
              <w:t xml:space="preserve">je znepokojen sílícím trendem, kdy organizace občanské společnosti a obránci lidských práv čelí dalším a dalším právním omezením, nedostatku finančních prostředků a útokům; vyzývá k vytvoření podpůrného rámce pro občanskou společnost a opakuje, že je na ochranu organizací občanské společnosti třeba přijmout směrnici proti strategickým žalobám proti účasti veřejnosti a doporučení Komise (EU) 2022/758; domnívá se, že Komise a členské státy by měly </w:t>
            </w:r>
            <w:r>
              <w:rPr>
                <w:b/>
                <w:i/>
              </w:rPr>
              <w:t>rozšířit</w:t>
            </w:r>
            <w:r>
              <w:t xml:space="preserve"> financování organizací občanské společnosti a </w:t>
            </w:r>
            <w:r>
              <w:rPr>
                <w:b/>
                <w:i/>
              </w:rPr>
              <w:t>zajistit jejich kapacitu svobodně a nezávisle působit jako klíčoví obránci demokratických hodnot a právního státu</w:t>
            </w:r>
            <w:r>
              <w:t>;</w:t>
            </w:r>
          </w:p>
        </w:tc>
      </w:tr>
    </w:tbl>
    <w:p w:rsidR="00B92CCE" w:rsidRPr="00444926" w:rsidRDefault="00B92CCE" w:rsidP="00B92CCE">
      <w:pPr>
        <w:pStyle w:val="AmOrLang"/>
      </w:pPr>
      <w:r w:rsidRPr="00444926">
        <w:t xml:space="preserve">Or. </w:t>
      </w:r>
      <w:r w:rsidRPr="00444926">
        <w:rPr>
          <w:rStyle w:val="HideTWBExt"/>
        </w:rPr>
        <w:t>&lt;Original&gt;</w:t>
      </w:r>
      <w:r w:rsidRPr="00444926">
        <w:rPr>
          <w:rStyle w:val="HideTWBInt"/>
        </w:rPr>
        <w:t>{EN}</w:t>
      </w:r>
      <w:r w:rsidRPr="00444926">
        <w:t>en</w:t>
      </w:r>
      <w:r w:rsidRPr="00444926">
        <w:rPr>
          <w:rStyle w:val="HideTWBExt"/>
        </w:rPr>
        <w:t>&lt;/Original&gt;</w:t>
      </w:r>
    </w:p>
    <w:p w:rsidR="00B92CCE" w:rsidRDefault="00B92CCE" w:rsidP="00B92CCE">
      <w:r>
        <w:rPr>
          <w:rStyle w:val="HideTWBExt"/>
        </w:rPr>
        <w:t>&lt;/Amend&gt;</w:t>
      </w:r>
      <w:r w:rsidRPr="00B92CCE">
        <w:rPr>
          <w:rStyle w:val="HideTWBExt"/>
        </w:rPr>
        <w:t>&lt;/RepeatBlock-Amend&gt;</w:t>
      </w:r>
    </w:p>
    <w:p w:rsidR="00522590" w:rsidRPr="00444926" w:rsidRDefault="00522590" w:rsidP="00B92CCE"/>
    <w:p w:rsidR="00794E41" w:rsidRPr="00914ED8" w:rsidRDefault="00794E41" w:rsidP="00522590">
      <w:pPr>
        <w:pStyle w:val="AmNumberTabs"/>
        <w:keepNext/>
      </w:pPr>
    </w:p>
    <w:sectPr w:rsidR="00794E41" w:rsidRPr="00914ED8" w:rsidSect="0052259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ED8" w:rsidRPr="00914ED8" w:rsidRDefault="00914ED8">
      <w:r w:rsidRPr="00914ED8">
        <w:separator/>
      </w:r>
    </w:p>
  </w:endnote>
  <w:endnote w:type="continuationSeparator" w:id="0">
    <w:p w:rsidR="00914ED8" w:rsidRPr="00914ED8" w:rsidRDefault="00914ED8">
      <w:r w:rsidRPr="00914E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590" w:rsidRDefault="00522590" w:rsidP="00522590">
    <w:pPr>
      <w:pStyle w:val="EPFooter"/>
    </w:pPr>
    <w:r>
      <w:t>PE</w:t>
    </w:r>
    <w:r w:rsidRPr="00522590">
      <w:rPr>
        <w:rStyle w:val="HideTWBExt"/>
      </w:rPr>
      <w:t>&lt;NoPE&gt;</w:t>
    </w:r>
    <w:r>
      <w:t>768.144</w:t>
    </w:r>
    <w:r w:rsidRPr="00522590">
      <w:rPr>
        <w:rStyle w:val="HideTWBExt"/>
      </w:rPr>
      <w:t>&lt;/NoPE&gt;&lt;Version&gt;</w:t>
    </w:r>
    <w:r>
      <w:t>v01-00</w:t>
    </w:r>
    <w:r w:rsidRPr="00522590">
      <w:rPr>
        <w:rStyle w:val="HideTWBExt"/>
      </w:rPr>
      <w:t>&lt;/Version&gt;</w:t>
    </w:r>
    <w:r>
      <w:tab/>
    </w:r>
    <w:r>
      <w:fldChar w:fldCharType="begin"/>
    </w:r>
    <w:r>
      <w:instrText xml:space="preserve"> PAGE  \* MERGEFORMAT </w:instrText>
    </w:r>
    <w:r>
      <w:fldChar w:fldCharType="separate"/>
    </w:r>
    <w:r w:rsidR="00540633">
      <w:rPr>
        <w:noProof/>
      </w:rPr>
      <w:t>2</w:t>
    </w:r>
    <w:r>
      <w:fldChar w:fldCharType="end"/>
    </w:r>
    <w:r>
      <w:t>/</w:t>
    </w:r>
    <w:r w:rsidR="00540633">
      <w:fldChar w:fldCharType="begin"/>
    </w:r>
    <w:r w:rsidR="00540633">
      <w:instrText xml:space="preserve"> NUMPAGES  \* MERGEFORMAT </w:instrText>
    </w:r>
    <w:r w:rsidR="00540633">
      <w:fldChar w:fldCharType="separate"/>
    </w:r>
    <w:r w:rsidR="00540633">
      <w:rPr>
        <w:noProof/>
      </w:rPr>
      <w:t>187</w:t>
    </w:r>
    <w:r w:rsidR="00540633">
      <w:rPr>
        <w:noProof/>
      </w:rPr>
      <w:fldChar w:fldCharType="end"/>
    </w:r>
    <w:r>
      <w:tab/>
    </w:r>
    <w:r w:rsidRPr="00522590">
      <w:rPr>
        <w:rStyle w:val="HideTWBExt"/>
      </w:rPr>
      <w:t>&lt;PathFdR&gt;</w:t>
    </w:r>
    <w:r>
      <w:t>AM\1314503CS.docx</w:t>
    </w:r>
    <w:r w:rsidRPr="00522590">
      <w:rPr>
        <w:rStyle w:val="HideTWBExt"/>
      </w:rPr>
      <w:t>&lt;/PathFdR&gt;</w:t>
    </w:r>
  </w:p>
  <w:p w:rsidR="00AD3D9F" w:rsidRPr="00914ED8" w:rsidRDefault="00522590" w:rsidP="00522590">
    <w:pPr>
      <w:pStyle w:val="EPFooter2"/>
    </w:pPr>
    <w: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590" w:rsidRDefault="00522590" w:rsidP="00522590">
    <w:pPr>
      <w:pStyle w:val="EPFooter"/>
    </w:pPr>
    <w:r w:rsidRPr="00522590">
      <w:rPr>
        <w:rStyle w:val="HideTWBExt"/>
      </w:rPr>
      <w:t>&lt;PathFdR&gt;</w:t>
    </w:r>
    <w:r>
      <w:t>AM\1314503CS.docx</w:t>
    </w:r>
    <w:r w:rsidRPr="00522590">
      <w:rPr>
        <w:rStyle w:val="HideTWBExt"/>
      </w:rPr>
      <w:t>&lt;/PathFdR&gt;</w:t>
    </w:r>
    <w:r>
      <w:tab/>
    </w:r>
    <w:r>
      <w:fldChar w:fldCharType="begin"/>
    </w:r>
    <w:r>
      <w:instrText xml:space="preserve"> PAGE  \* MERGEFORMAT </w:instrText>
    </w:r>
    <w:r>
      <w:fldChar w:fldCharType="separate"/>
    </w:r>
    <w:r w:rsidR="00540633">
      <w:rPr>
        <w:noProof/>
      </w:rPr>
      <w:t>5</w:t>
    </w:r>
    <w:r>
      <w:fldChar w:fldCharType="end"/>
    </w:r>
    <w:r>
      <w:t>/</w:t>
    </w:r>
    <w:r w:rsidR="00540633">
      <w:fldChar w:fldCharType="begin"/>
    </w:r>
    <w:r w:rsidR="00540633">
      <w:instrText xml:space="preserve"> NUMPAGES  \* MERGEFORMAT </w:instrText>
    </w:r>
    <w:r w:rsidR="00540633">
      <w:fldChar w:fldCharType="separate"/>
    </w:r>
    <w:r w:rsidR="00540633">
      <w:rPr>
        <w:noProof/>
      </w:rPr>
      <w:t>5</w:t>
    </w:r>
    <w:r w:rsidR="00540633">
      <w:rPr>
        <w:noProof/>
      </w:rPr>
      <w:fldChar w:fldCharType="end"/>
    </w:r>
    <w:r>
      <w:tab/>
      <w:t>PE</w:t>
    </w:r>
    <w:r w:rsidRPr="00522590">
      <w:rPr>
        <w:rStyle w:val="HideTWBExt"/>
      </w:rPr>
      <w:t>&lt;NoPE&gt;</w:t>
    </w:r>
    <w:r>
      <w:t>768.144</w:t>
    </w:r>
    <w:r w:rsidRPr="00522590">
      <w:rPr>
        <w:rStyle w:val="HideTWBExt"/>
      </w:rPr>
      <w:t>&lt;/NoPE&gt;&lt;Version&gt;</w:t>
    </w:r>
    <w:r>
      <w:t>v01-00</w:t>
    </w:r>
    <w:r w:rsidRPr="00522590">
      <w:rPr>
        <w:rStyle w:val="HideTWBExt"/>
      </w:rPr>
      <w:t>&lt;/Version&gt;</w:t>
    </w:r>
  </w:p>
  <w:p w:rsidR="00AD3D9F" w:rsidRPr="00914ED8" w:rsidRDefault="00522590" w:rsidP="00522590">
    <w:pPr>
      <w:pStyle w:val="EPFooter2"/>
    </w:pPr>
    <w:r>
      <w:tab/>
    </w:r>
    <w:r>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590" w:rsidRDefault="00522590" w:rsidP="00522590">
    <w:pPr>
      <w:pStyle w:val="EPFooter"/>
    </w:pPr>
    <w:r w:rsidRPr="00522590">
      <w:rPr>
        <w:rStyle w:val="HideTWBExt"/>
      </w:rPr>
      <w:t>&lt;PathFdR&gt;</w:t>
    </w:r>
    <w:r>
      <w:t>AM\1314503CS.docx</w:t>
    </w:r>
    <w:r w:rsidRPr="00522590">
      <w:rPr>
        <w:rStyle w:val="HideTWBExt"/>
      </w:rPr>
      <w:t>&lt;/PathFdR&gt;</w:t>
    </w:r>
    <w:r>
      <w:tab/>
    </w:r>
    <w:r>
      <w:tab/>
      <w:t>PE</w:t>
    </w:r>
    <w:r w:rsidRPr="00522590">
      <w:rPr>
        <w:rStyle w:val="HideTWBExt"/>
      </w:rPr>
      <w:t>&lt;NoPE&gt;</w:t>
    </w:r>
    <w:r>
      <w:t>768.144</w:t>
    </w:r>
    <w:r w:rsidRPr="00522590">
      <w:rPr>
        <w:rStyle w:val="HideTWBExt"/>
      </w:rPr>
      <w:t>&lt;/NoPE&gt;&lt;Version&gt;</w:t>
    </w:r>
    <w:r>
      <w:t>v01-00</w:t>
    </w:r>
    <w:r w:rsidRPr="00522590">
      <w:rPr>
        <w:rStyle w:val="HideTWBExt"/>
      </w:rPr>
      <w:t>&lt;/Version&gt;</w:t>
    </w:r>
  </w:p>
  <w:p w:rsidR="00AD3D9F" w:rsidRPr="00914ED8" w:rsidRDefault="00522590" w:rsidP="00522590">
    <w:pPr>
      <w:pStyle w:val="EPFooter2"/>
    </w:pPr>
    <w:r>
      <w:t>CS</w:t>
    </w:r>
    <w:r>
      <w:tab/>
    </w:r>
    <w:r w:rsidRPr="00522590">
      <w:rPr>
        <w:b w:val="0"/>
        <w:i/>
        <w:color w:val="C0C0C0"/>
        <w:sz w:val="22"/>
      </w:rPr>
      <w:t>Jednotná v rozmanitosti</w:t>
    </w:r>
    <w:r>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ED8" w:rsidRPr="00914ED8" w:rsidRDefault="00914ED8">
      <w:r w:rsidRPr="00914ED8">
        <w:separator/>
      </w:r>
    </w:p>
  </w:footnote>
  <w:footnote w:type="continuationSeparator" w:id="0">
    <w:p w:rsidR="00914ED8" w:rsidRPr="00914ED8" w:rsidRDefault="00914ED8">
      <w:r w:rsidRPr="00914ED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CCE" w:rsidRDefault="00B92C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CCE" w:rsidRDefault="00B92C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CCE" w:rsidRDefault="00B92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activeWritingStyle w:appName="MSWord" w:lang="fi-FI" w:vendorID="64" w:dllVersion="131078" w:nlCheck="1" w:checkStyle="0"/>
  <w:activeWritingStyle w:appName="MSWord" w:lang="da-DK" w:vendorID="64" w:dllVersion="131078" w:nlCheck="1" w:checkStyle="0"/>
  <w:activeWritingStyle w:appName="MSWord" w:lang="fr-FR"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es-ES" w:vendorID="64" w:dllVersion="131078" w:nlCheck="1" w:checkStyle="0"/>
  <w:activeWritingStyle w:appName="MSWord" w:lang="fr-FR" w:vendorID="9" w:dllVersion="512" w:checkStyle="0"/>
  <w:activeWritingStyle w:appName="MSWord" w:lang="cs-CZ" w:vendorID="7" w:dllVersion="514" w:checkStyle="1"/>
  <w:activeWritingStyle w:appName="MSWord" w:lang="pl-PL" w:vendorID="12" w:dllVersion="512" w:checkStyle="1"/>
  <w:activeWritingStyle w:appName="MSWord" w:lang="sv-SE" w:vendorID="22"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1"/>
    <w:docVar w:name="COMMKEY" w:val="LIBE"/>
    <w:docVar w:name="LastEditedSection" w:val=" 1"/>
    <w:docVar w:name="RepeatBlock-Amend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60703 HideTWBExt;}{\*\cs18 \additive \v\f1\fs20\cf15 _x000d__x000a_\spriority0 \styrsid4460703 HideTWBInt;}{\s19\qr \li0\ri0\sb240\sa240\nowidctlpar\wrapdefault\aspalpha\aspnum\faauto\adjustright\rin0\lin0\itap0 \rtlch\fcs1 \af0\afs20\alang1025 \ltrch\fcs0 \fs24\lang1029\langfe2057\cgrid\langnp1029\langfenp2057 _x000d__x000a_\sbasedon0 \snext19 \spriority0 \styrsid4460703 AmOrLang;}{\s20\ql \li0\ri0\sa120\nowidctlpar\wrapdefault\aspalpha\aspnum\faauto\adjustright\rin0\lin0\itap0 \rtlch\fcs1 \af0\afs20\alang1025 \ltrch\fcs0 _x000d__x000a_\fs24\lang1029\langfe2057\cgrid\langnp1029\langfenp2057 \sbasedon0 \snext20 \spriority0 \styrsid4460703 Normal6a;}{\s21\ql \li0\ri0\nowidctlpar\wrapdefault\aspalpha\aspnum\faauto\adjustright\rin0\lin0\itap0 \rtlch\fcs1 \af0\afs20\alang1025 \ltrch\fcs0 _x000d__x000a_\b\fs24\lang1029\langfe2057\cgrid\langnp1029\langfenp2057 \sbasedon0 \snext21 \spriority0 \styrsid4460703 NormalBold;}{\s22\qc \li0\ri0\sa240\nowidctlpar\wrapdefault\aspalpha\aspnum\faauto\adjustright\rin0\lin0\itap0 \rtlch\fcs1 \af0\afs20\alang1025 _x000d__x000a_\ltrch\fcs0 \i\fs24\lang1029\langfe2057\cgrid\langnp1029\langfenp2057 \sbasedon0 \snext22 \spriority0 \styrsid446070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3 \spriority0 \styrsid4460703 AmNumberTabs;}}{\*\rsidtbl \rsid24658\rsid223860\rsid735077\rsid1718133\rsid2892074\rsid3565327\rsid4460703\rsid4666813\rsid6641733_x000d__x000a_\rsid7821495\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SODOMKOVA Renata}{\operator SODOMKOVA Renata}{\creatim\yr2024\mo11\dy22\hr8\min38}{\revtim\yr2024\mo11\dy22\hr8\min38}{\version1}{\edmins0}{\nofpages1}{\nofwords94}{\nofchars542}_x000d__x000a_{\nofcharsws6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60703\newtblstyruls\nogrowautofit\usenormstyforlist\noindnmbrts\felnbrelev\nocxsptable\indrlsweleven\noafcnsttbl\afelev\utinl\hwelev\spltpgpar\notcvasp\notbrkcnstfrctbl\notvatxbx\krnprsnet\cachedcolbal _x000d__x000a_\nouicompat \fet0{\*\wgrffmtfilter 013f}\nofeaturethrottle1\ilfomacatclnup0{\*\template C:\\Users\\RSODOM~1\\AppData\\Local\\Temp\\Blank1.dotx}{\*\ftnsep \ltrpar \pard\plain \ltrpar_x000d__x000a_\ql \li0\ri0\widctlpar\wrapdefault\aspalpha\aspnum\faauto\adjustright\rin0\lin0\itap0 \rtlch\fcs1 \af0\afs20\alang1025 \ltrch\fcs0 \fs24\lang2057\langfe2057\cgrid\langnp2057\langfenp2057 {\rtlch\fcs1 \af0 \ltrch\fcs0 \insrsid7821495 \chftnsep _x000d__x000a_\par }}{\*\ftnsepc \ltrpar \pard\plain \ltrpar\ql \li0\ri0\widctlpar\wrapdefault\aspalpha\aspnum\faauto\adjustright\rin0\lin0\itap0 \rtlch\fcs1 \af0\afs20\alang1025 \ltrch\fcs0 \fs24\lang2057\langfe2057\cgrid\langnp2057\langfenp2057 {\rtlch\fcs1 \af0 _x000d__x000a_\ltrch\fcs0 \insrsid7821495 \chftnsepc _x000d__x000a_\par }}{\*\aftnsep \ltrpar \pard\plain \ltrpar\ql \li0\ri0\widctlpar\wrapdefault\aspalpha\aspnum\faauto\adjustright\rin0\lin0\itap0 \rtlch\fcs1 \af0\afs20\alang1025 \ltrch\fcs0 \fs24\lang2057\langfe2057\cgrid\langnp2057\langfenp2057 {\rtlch\fcs1 \af0 _x000d__x000a_\ltrch\fcs0 \insrsid7821495 \chftnsep _x000d__x000a_\par }}{\*\aftnsepc \ltrpar \pard\plain \ltrpar\ql \li0\ri0\widctlpar\wrapdefault\aspalpha\aspnum\faauto\adjustright\rin0\lin0\itap0 \rtlch\fcs1 \af0\afs20\alang1025 \ltrch\fcs0 \fs24\lang2057\langfe2057\cgrid\langnp2057\langfenp2057 {\rtlch\fcs1 \af0 _x000d__x000a_\ltrch\fcs0 \insrsid78214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4460703 \rtlch\fcs1 _x000d__x000a_\af0\afs20\alang1025 \ltrch\fcs0 \b\fs24\lang1029\langfe2057\cgrid\langnp1029\langfenp2057 {\rtlch\fcs1 \af0 \ltrch\fcs0 \cs17\b0\v\f1\fs20\cf9\lang1024\langfe1024\noproof\insrsid4460703\charrsid9973719 {\*\bkmkstart restart}&lt;Amend&gt;}{\rtlch\fcs1 \af45 _x000d__x000a_\ltrch\fcs0 \f45\insrsid4460703\charrsid9973719 Pozm\'ec\'f2ovac\'ed n\'e1vrh}{\rtlch\fcs1 \af0 \ltrch\fcs0 \insrsid4460703\charrsid9973719 \tab \tab }{\rtlch\fcs1 \af0 \ltrch\fcs0 _x000d__x000a_\cs17\b0\v\f1\fs20\cf9\lang1024\langfe1024\noproof\insrsid4460703\charrsid9973719 &lt;NumAm&gt;}{\rtlch\fcs1 \af0 \ltrch\fcs0 \insrsid4460703\charrsid9973719 #}{\rtlch\fcs1 \af1 \ltrch\fcs0 \cs18\v\f1\fs20\cf15\insrsid4460703\charrsid9973719 ENMIENDA@NRAM@}{_x000d__x000a_\rtlch\fcs1 \af0 \ltrch\fcs0 \insrsid4460703\charrsid9973719 #}{\rtlch\fcs1 \af0 \ltrch\fcs0 \cs17\b0\v\f1\fs20\cf9\lang1024\langfe1024\noproof\insrsid4460703\charrsid9973719 &lt;/NumAm&gt;}{\rtlch\fcs1 \af0 \ltrch\fcs0 \insrsid4460703\charrsid9973719 _x000d__x000a_\par }\pard\plain \ltrpar\s21\ql \li0\ri0\nowidctlpar\wrapdefault\aspalpha\aspnum\faauto\adjustright\rin0\lin0\itap0\pararsid4460703 \rtlch\fcs1 \af0\afs20\alang1025 \ltrch\fcs0 \b\fs24\lang1029\langfe2057\cgrid\langnp1029\langfenp2057 {\rtlch\fcs1 \af0 _x000d__x000a_\ltrch\fcs0 \cs17\b0\v\f1\fs20\cf9\lang1024\langfe1024\noproof\insrsid4460703\charrsid9973719 &lt;RepeatBlock-By&gt;}{\rtlch\fcs1 \af0 \ltrch\fcs0 \insrsid4460703\charrsid9973719 #}{\rtlch\fcs1 \af1 \ltrch\fcs0 _x000d__x000a_\cs18\v\f1\fs20\cf15\insrsid4460703\charrsid9973719 (MOD@InsideLoop()}{\rtlch\fcs1 \af0 \ltrch\fcs0 \insrsid4460703\charrsid9973719 ##}{\rtlch\fcs1 \af1 \ltrch\fcs0 \cs18\v\f1\fs20\cf15\insrsid4460703\charrsid9973719 &gt;&gt;&gt;@[ZMEMBERSMSG]@}{\rtlch\fcs1 \af0 _x000d__x000a_\ltrch\fcs0 \insrsid4460703\charrsid9973719 #}{\rtlch\fcs1 \af0 \ltrch\fcs0 \cs17\b0\v\f1\fs20\cf9\lang1024\langfe1024\noproof\insrsid4460703\charrsid9973719 &lt;Members&gt;}{\rtlch\fcs1 \af0 \ltrch\fcs0 \insrsid4460703\charrsid9973719 #}{\rtlch\fcs1 \af1 _x000d__x000a_\ltrch\fcs0 \cs18\v\f1\fs20\cf15\insrsid4460703\charrsid9973719 (MOD@InsideLoop(\'a7)}{\rtlch\fcs1 \af0 \ltrch\fcs0 \insrsid4460703\charrsid9973719 #}{\rtlch\fcs1 \af0 \ltrch\fcs0 \cf10\insrsid4460703\charrsid9973719 \u9668\'3f}{\rtlch\fcs1 \af0 _x000d__x000a_\ltrch\fcs0 \insrsid4460703\charrsid9973719 #}{\rtlch\fcs1 \af1 \ltrch\fcs0 \cs18\v\f1\fs20\cf15\insrsid4460703\charrsid9973719 TVTMEMBERS\'a7@MEMBERS@}{\rtlch\fcs1 \af0 \ltrch\fcs0 \insrsid4460703\charrsid9973719 #}{\rtlch\fcs1 \af0 \ltrch\fcs0 _x000d__x000a_\cf10\insrsid4460703\charrsid9973719 \u9658\'3f}{\rtlch\fcs1 \af0 \ltrch\fcs0 \cs17\b0\v\f1\fs20\cf9\lang1024\langfe1024\noproof\insrsid4460703\charrsid9973719 &lt;/Members&gt;}{\rtlch\fcs1 \af0 \ltrch\fcs0 \insrsid4460703\charrsid9973719 _x000d__x000a_\par }\pard\plain \ltrpar\ql \li0\ri0\widctlpar\wrapdefault\aspalpha\aspnum\faauto\adjustright\rin0\lin0\itap0\pararsid4460703 \rtlch\fcs1 \af0\afs20\alang1025 \ltrch\fcs0 \fs24\lang2057\langfe2057\cgrid\langnp2057\langfenp2057 {\rtlch\fcs1 \af0 \ltrch\fcs0 _x000d__x000a_\cs17\v\f1\fs20\cf9\lang1024\langfe1024\noproof\langnp1029\insrsid4460703\charrsid9973719 &lt;AuNomDe&gt;&lt;OptDel&gt;}{\rtlch\fcs1 \af0 \ltrch\fcs0 \lang1029\langfe2057\langnp1029\insrsid4460703\charrsid9973719 #}{\rtlch\fcs1 \af1 \ltrch\fcs0 _x000d__x000a_\cs18\v\f1\fs20\cf15\lang1029\langfe2057\langnp1029\insrsid4460703\charrsid9973719 MNU[ONBEHALFYES][NOTAPP]@CHOICE@}{\rtlch\fcs1 \af0 \ltrch\fcs0 \lang1029\langfe2057\langnp1029\insrsid4460703\charrsid9973719 #}{\rtlch\fcs1 \af0 \ltrch\fcs0 _x000d__x000a_\cs17\v\f1\fs20\cf9\lang1024\langfe1024\noproof\langnp1029\insrsid4460703\charrsid9973719 &lt;/OptDel&gt;&lt;/AuNomDe&gt;}{\rtlch\fcs1 \af0 \ltrch\fcs0 \lang1029\langfe2057\langnp1029\insrsid4460703\charrsid9973719 _x000d__x000a_\par &lt;&lt;&lt;}{\rtlch\fcs1 \af0 \ltrch\fcs0 \cs17\v\f1\fs20\cf9\lang1024\langfe1024\noproof\langnp1029\insrsid4460703\charrsid9973719 &lt;/RepeatBlock-By&gt;}{\rtlch\fcs1 \af0 \ltrch\fcs0 \lang1029\langfe2057\langnp1029\insrsid4460703\charrsid9973719 _x000d__x000a_\par }\pard\plain \ltrpar\s21\ql \li0\ri0\nowidctlpar\wrapdefault\aspalpha\aspnum\faauto\adjustright\rin0\lin0\itap0\pararsid4460703 \rtlch\fcs1 \af0\afs20\alang1025 \ltrch\fcs0 \b\fs24\lang1029\langfe2057\cgrid\langnp1029\langfenp2057 {\rtlch\fcs1 \af0 _x000d__x000a_\ltrch\fcs0 \cs17\b0\v\f1\fs20\cf9\lang1024\langfe1024\noproof\insrsid4460703\charrsid9973719 &lt;DocAmend&gt;}{\rtlch\fcs1 \af0 \ltrch\fcs0 \insrsid4460703\charrsid9973719 #}{\rtlch\fcs1 \af1 \ltrch\fcs0 \cs18\v\f1\fs20\cf15\insrsid4460703\charrsid9973719 _x000d__x000a_MNU[OPTAMDOCINI][AMDOCA1][OPTAMDOCNLE][AMDOCA1][AMDOCA2][AMDOCA1][AMDOCA1][OPTAMDOCDEC]@CHOICE@CODEMNU}{\rtlch\fcs1 \af0 \ltrch\fcs0 \insrsid4460703\charrsid9973719 #}{\rtlch\fcs1 \af0 \ltrch\fcs0 _x000d__x000a_\cs17\b0\v\f1\fs20\cf9\lang1024\langfe1024\noproof\insrsid4460703\charrsid9973719 &lt;/DocAmend&gt;}{\rtlch\fcs1 \af0 \ltrch\fcs0 \insrsid4460703\charrsid9973719 _x000d__x000a_\par }{\rtlch\fcs1 \af0 \ltrch\fcs0 \cs17\b0\v\f1\fs20\cf9\lang1024\langfe1024\noproof\insrsid4460703\charrsid9973719 &lt;Article&gt;}{\rtlch\fcs1 \af0 \ltrch\fcs0 \cf10\insrsid4460703\charrsid9973719 \u9668\'3f}{\rtlch\fcs1 \af0 \ltrch\fcs0 _x000d__x000a_\insrsid4460703\charrsid9973719 #}{\rtlch\fcs1 \af1 \ltrch\fcs0 \cs18\v\f1\fs20\cf15\insrsid4460703\charrsid9973719 TVTAMPART@AMPART@}{\rtlch\fcs1 \af0 \ltrch\fcs0 \insrsid4460703\charrsid9973719 #}{\rtlch\fcs1 \af0 \ltrch\fcs0 _x000d__x000a_\cf10\insrsid4460703\charrsid9973719 \u9658\'3f}{\rtlch\fcs1 \af0 \ltrch\fcs0 \cs17\b0\v\f1\fs20\cf9\lang1024\langfe1024\noproof\insrsid4460703\charrsid9973719 &lt;/Article&gt;}{\rtlch\fcs1 \af0 \ltrch\fcs0 \insrsid4460703\charrsid9973719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lang1029\langfe2057\langnp1029\insrsid4460703\charrsid9973719 \cell }\pard\plain \ltrpar_x000d__x000a_\ql \li0\ri0\widctlpar\intbl\wrapdefault\aspalpha\aspnum\faauto\adjustright\rin0\lin0 \rtlch\fcs1 \af0\afs20\alang1025 \ltrch\fcs0 \fs24\lang2057\langfe2057\cgrid\langnp2057\langfenp2057 {\rtlch\fcs1 \af0 \ltrch\fcs0 _x000d__x000a_\lang1029\langfe2057\langnp1029\insrsid4460703\charrsid9973719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29\langfe2057\cgrid\langnp1029\langfenp2057 {\rtlch\fcs1 \af0 \ltrch\fcs0 _x000d__x000a_\insrsid4460703\charrsid9973719 #}{\rtlch\fcs1 \af1 \ltrch\fcs0 \cs18\v\f1\fs20\cf15\insrsid4460703\charrsid9973719 MNU[OPTAMDOCINI][AMDOCA1][OPTAMDOCNLE][AMDOCA1][AMDOCA2][AMDOCA1][AMDOCA1][OPTAMDOCDEC]@CHOICE@CODEMNU}{\rtlch\fcs1 \af0 \ltrch\fcs0 _x000d__x000a_\insrsid4460703\charrsid9973719 #\cell }{\rtlch\fcs1 \af45 \ltrch\fcs0 \f45\insrsid4460703\charrsid9973719 Pozm\'ec\'f2ovac\'ed n\'e1vrh}{\rtlch\fcs1 \af0 \ltrch\fcs0 \insrsid4460703\charrsid9973719 \cell }\pard\plain \ltrpar_x000d__x000a_\ql \li0\ri0\widctlpar\intbl\wrapdefault\aspalpha\aspnum\faauto\adjustright\rin0\lin0 \rtlch\fcs1 \af0\afs20\alang1025 \ltrch\fcs0 \fs24\lang2057\langfe2057\cgrid\langnp2057\langfenp2057 {\rtlch\fcs1 \af0 \ltrch\fcs0 _x000d__x000a_\lang1029\langfe2057\langnp1029\insrsid4460703\charrsid9973719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1029\langfe2057\cgrid\langnp1029\langfenp2057 {\rtlch\fcs1 \af0 \ltrch\fcs0 _x000d__x000a_\insrsid4460703\charrsid9973719 ##\cell ##}{\rtlch\fcs1 \af0\afs24 \ltrch\fcs0 \insrsid4460703\charrsid9973719 \cell }\pard\plain \ltrpar\ql \li0\ri0\widctlpar\intbl\wrapdefault\aspalpha\aspnum\faauto\adjustright\rin0\lin0 \rtlch\fcs1 _x000d__x000a_\af0\afs20\alang1025 \ltrch\fcs0 \fs24\lang2057\langfe2057\cgrid\langnp2057\langfenp2057 {\rtlch\fcs1 \af0 \ltrch\fcs0 \lang1029\langfe2057\langnp1029\insrsid4460703\charrsid9973719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4460703 \rtlch\fcs1 \af0\afs20\alang1025 \ltrch\fcs0 \fs24\lang1029\langfe2057\cgrid\langnp1029\langfenp2057 {\rtlch\fcs1 \af0 \ltrch\fcs0 _x000d__x000a_\insrsid4460703\charrsid9973719 Or. }{\rtlch\fcs1 \af0 \ltrch\fcs0 \cs17\v\f1\fs20\cf9\lang1024\langfe1024\noproof\insrsid4460703\charrsid9973719 &lt;Original&gt;}{\rtlch\fcs1 \af0 \ltrch\fcs0 \insrsid4460703\charrsid9973719 #}{\rtlch\fcs1 \af1 \ltrch\fcs0 _x000d__x000a_\cs18\v\f1\fs20\cf15\insrsid4460703\charrsid9973719 KEY(MAIN/LANGMIN)sh@ORLANGMSG@}{\rtlch\fcs1 \af0 \ltrch\fcs0 \insrsid4460703\charrsid9973719 #}{\rtlch\fcs1 \af0 \ltrch\fcs0 _x000d__x000a_\cs17\v\f1\fs20\cf9\lang1024\langfe1024\noproof\insrsid4460703\charrsid9973719 &lt;/Original&gt;}{\rtlch\fcs1 \af0 \ltrch\fcs0 \insrsid4460703\charrsid9973719 _x000d__x000a_\par }\pard\plain \ltrpar\ql \li0\ri0\widctlpar\wrapdefault\aspalpha\aspnum\faauto\adjustright\rin0\lin0\itap0\pararsid4460703 \rtlch\fcs1 \af0\afs20\alang1025 \ltrch\fcs0 \fs24\lang2057\langfe2057\cgrid\langnp2057\langfenp2057 {\rtlch\fcs1 \af0 \ltrch\fcs0 _x000d__x000a_\cs17\v\f1\fs20\cf9\lang1024\langfe1024\noproof\langnp1029\insrsid4460703\charrsid997371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a_x000d__x000a_0680b13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OREDT" w:val="19/02/2025"/>
    <w:docVar w:name="strDocTypeID" w:val="AM_Com_NonLegReport"/>
    <w:docVar w:name="strSubDir" w:val="1314"/>
    <w:docVar w:name="TXTAUTHOR" w:val="Ana Catarina Mendes"/>
    <w:docVar w:name="TXTLANGUE" w:val="CS"/>
    <w:docVar w:name="TXTLANGUEMIN" w:val="cs"/>
    <w:docVar w:name="TXTNRFIRSTAM" w:val="1"/>
    <w:docVar w:name="TXTNRLASTAM" w:val="366"/>
    <w:docVar w:name="TXTNRPE" w:val="768.144"/>
    <w:docVar w:name="TXTNRPE2" w:val="767.867"/>
    <w:docVar w:name="TXTNRPROC" w:val="2024/2078"/>
    <w:docVar w:name="TXTPEorAP" w:val="PE"/>
    <w:docVar w:name="TXTROUTE" w:val="AM\1314503CS.docx"/>
    <w:docVar w:name="TXTTITLE" w:val="Zpráva Komise o právním státu za rok 2024"/>
    <w:docVar w:name="TXTVERSION" w:val="01-00"/>
    <w:docVar w:name="TXTVERSION2" w:val="01-00"/>
  </w:docVars>
  <w:rsids>
    <w:rsidRoot w:val="00914ED8"/>
    <w:rsid w:val="000058AA"/>
    <w:rsid w:val="00072B4B"/>
    <w:rsid w:val="0011298B"/>
    <w:rsid w:val="0012108E"/>
    <w:rsid w:val="00125041"/>
    <w:rsid w:val="0015022B"/>
    <w:rsid w:val="00172FF2"/>
    <w:rsid w:val="00175062"/>
    <w:rsid w:val="001767FD"/>
    <w:rsid w:val="001B1694"/>
    <w:rsid w:val="001C108E"/>
    <w:rsid w:val="001C6BFC"/>
    <w:rsid w:val="00262416"/>
    <w:rsid w:val="002A3EAA"/>
    <w:rsid w:val="002B6DE3"/>
    <w:rsid w:val="002B799B"/>
    <w:rsid w:val="002F0149"/>
    <w:rsid w:val="00307E56"/>
    <w:rsid w:val="003C7A69"/>
    <w:rsid w:val="003D7856"/>
    <w:rsid w:val="004106BA"/>
    <w:rsid w:val="0044299E"/>
    <w:rsid w:val="00444941"/>
    <w:rsid w:val="004B02E9"/>
    <w:rsid w:val="004D02AB"/>
    <w:rsid w:val="004E4A92"/>
    <w:rsid w:val="00522590"/>
    <w:rsid w:val="00540633"/>
    <w:rsid w:val="005D04A2"/>
    <w:rsid w:val="005E5FA1"/>
    <w:rsid w:val="00663E24"/>
    <w:rsid w:val="006838B3"/>
    <w:rsid w:val="006961A1"/>
    <w:rsid w:val="00742225"/>
    <w:rsid w:val="00794E41"/>
    <w:rsid w:val="007964AA"/>
    <w:rsid w:val="007B1846"/>
    <w:rsid w:val="007C1252"/>
    <w:rsid w:val="007E54B7"/>
    <w:rsid w:val="007F22E4"/>
    <w:rsid w:val="008305E9"/>
    <w:rsid w:val="00866CBA"/>
    <w:rsid w:val="00873A27"/>
    <w:rsid w:val="008B040A"/>
    <w:rsid w:val="00914ED8"/>
    <w:rsid w:val="0093376E"/>
    <w:rsid w:val="0095177E"/>
    <w:rsid w:val="00952F4F"/>
    <w:rsid w:val="009531F4"/>
    <w:rsid w:val="00954A54"/>
    <w:rsid w:val="009B54E9"/>
    <w:rsid w:val="009C2758"/>
    <w:rsid w:val="00A530BE"/>
    <w:rsid w:val="00A57C56"/>
    <w:rsid w:val="00A7559D"/>
    <w:rsid w:val="00A771CC"/>
    <w:rsid w:val="00A804CE"/>
    <w:rsid w:val="00A836A6"/>
    <w:rsid w:val="00AD3D9F"/>
    <w:rsid w:val="00AE20EB"/>
    <w:rsid w:val="00B4019F"/>
    <w:rsid w:val="00B43C20"/>
    <w:rsid w:val="00B92CCE"/>
    <w:rsid w:val="00BE6658"/>
    <w:rsid w:val="00BF6585"/>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06682E"/>
  <w15:chartTrackingRefBased/>
  <w15:docId w15:val="{6CE42FAF-4172-479A-BA01-CDBDA2B76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lang w:val="cs-CZ"/>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rsid w:val="00F20F19"/>
    <w:rPr>
      <w:sz w:val="24"/>
    </w:rPr>
  </w:style>
  <w:style w:type="paragraph" w:customStyle="1" w:styleId="AmCrossRef">
    <w:name w:val="AmCrossRef"/>
    <w:basedOn w:val="Normal"/>
    <w:rsid w:val="00522590"/>
    <w:pPr>
      <w:spacing w:before="240" w:after="240"/>
      <w:jc w:val="center"/>
    </w:pPr>
    <w:rPr>
      <w:i/>
      <w:szCs w:val="24"/>
      <w:lang w:val="en-GB" w:eastAsia="en-US"/>
    </w:rPr>
  </w:style>
  <w:style w:type="character" w:customStyle="1" w:styleId="EPFooter2Motto">
    <w:name w:val="EPFooter2Motto"/>
    <w:rsid w:val="00522590"/>
    <w:rPr>
      <w:rFonts w:ascii="Arial" w:hAnsi="Arial"/>
      <w:b/>
      <w:i/>
      <w:color w:val="C0C0C0"/>
      <w:sz w:val="22"/>
    </w:rPr>
  </w:style>
  <w:style w:type="paragraph" w:customStyle="1" w:styleId="EPFooterLandscape">
    <w:name w:val="EPFooterLandscape"/>
    <w:rsid w:val="00522590"/>
    <w:pPr>
      <w:widowControl w:val="0"/>
      <w:tabs>
        <w:tab w:val="center" w:pos="6800"/>
        <w:tab w:val="right" w:pos="15020"/>
      </w:tabs>
    </w:pPr>
    <w:rPr>
      <w:sz w:val="22"/>
      <w:lang w:eastAsia="en-US"/>
    </w:rPr>
  </w:style>
  <w:style w:type="paragraph" w:customStyle="1" w:styleId="Normal0">
    <w:name w:val="Normal0"/>
    <w:basedOn w:val="Normal"/>
    <w:rsid w:val="00522590"/>
    <w:rPr>
      <w:sz w:val="0"/>
      <w:szCs w:val="24"/>
      <w:lang w:val="en-GB" w:eastAsia="en-US"/>
    </w:rPr>
  </w:style>
  <w:style w:type="paragraph" w:customStyle="1" w:styleId="EPFooter2Landscape">
    <w:name w:val="EPFooter2Landscape"/>
    <w:rsid w:val="00522590"/>
    <w:pPr>
      <w:widowControl w:val="0"/>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522590"/>
    <w:rPr>
      <w:rFonts w:ascii="Arial" w:hAnsi="Arial"/>
      <w:b w:val="0"/>
      <w:i/>
      <w:color w:val="AEAAAA"/>
      <w:sz w:val="22"/>
      <w:shd w:val="pct50" w:color="auto" w:fill="auto"/>
    </w:rPr>
  </w:style>
  <w:style w:type="paragraph" w:customStyle="1" w:styleId="PMissingStyle">
    <w:name w:val="P_MissingStyle"/>
    <w:basedOn w:val="Normal"/>
    <w:rsid w:val="00522590"/>
    <w:rPr>
      <w:color w:val="FFFFFF"/>
      <w:szCs w:val="24"/>
      <w:shd w:val="clear" w:color="000000" w:fill="000000"/>
      <w:lang w:val="en-GB" w:eastAsia="en-US"/>
    </w:rPr>
  </w:style>
  <w:style w:type="character" w:customStyle="1" w:styleId="CMissingStyle">
    <w:name w:val="C_MissingStyle"/>
    <w:rsid w:val="00522590"/>
    <w:rPr>
      <w:color w:val="FFFFFF"/>
      <w:sz w:val="22"/>
      <w:shd w:val="clear" w:color="000000" w:fill="000000"/>
    </w:rPr>
  </w:style>
  <w:style w:type="paragraph" w:customStyle="1" w:styleId="Normal12a">
    <w:name w:val="Normal12a"/>
    <w:basedOn w:val="Normal"/>
    <w:rsid w:val="00522590"/>
    <w:pPr>
      <w:spacing w:after="240"/>
    </w:pPr>
    <w:rPr>
      <w:szCs w:val="24"/>
      <w:lang w:val="en-GB" w:eastAsia="en-US"/>
    </w:rPr>
  </w:style>
  <w:style w:type="paragraph" w:styleId="Footer">
    <w:name w:val="footer"/>
    <w:basedOn w:val="Normal"/>
    <w:link w:val="FooterChar"/>
    <w:rsid w:val="00522590"/>
    <w:pPr>
      <w:tabs>
        <w:tab w:val="center" w:pos="4513"/>
        <w:tab w:val="right" w:pos="9026"/>
      </w:tabs>
    </w:pPr>
    <w:rPr>
      <w:szCs w:val="24"/>
      <w:lang w:val="en-GB" w:eastAsia="en-US"/>
    </w:rPr>
  </w:style>
  <w:style w:type="character" w:customStyle="1" w:styleId="FooterChar">
    <w:name w:val="Footer Char"/>
    <w:basedOn w:val="DefaultParagraphFont"/>
    <w:link w:val="Footer"/>
    <w:rsid w:val="00522590"/>
    <w:rPr>
      <w:sz w:val="24"/>
      <w:szCs w:val="24"/>
      <w:lang w:eastAsia="en-US"/>
    </w:rPr>
  </w:style>
  <w:style w:type="paragraph" w:styleId="BalloonText">
    <w:name w:val="Balloon Text"/>
    <w:basedOn w:val="Normal"/>
    <w:link w:val="BalloonTextChar"/>
    <w:rsid w:val="00522590"/>
    <w:rPr>
      <w:rFonts w:ascii="Segoe UI" w:hAnsi="Segoe UI" w:cs="Segoe UI"/>
      <w:sz w:val="18"/>
      <w:szCs w:val="18"/>
      <w:lang w:val="en-GB" w:eastAsia="en-US"/>
    </w:rPr>
  </w:style>
  <w:style w:type="character" w:customStyle="1" w:styleId="BalloonTextChar">
    <w:name w:val="Balloon Text Char"/>
    <w:basedOn w:val="DefaultParagraphFont"/>
    <w:link w:val="BalloonText"/>
    <w:rsid w:val="0052259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ODOM~1\AppData\Local\Temp\AM_Com_Non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AM_Com_NonLegReport.dotx</Template>
  <TotalTime>0</TotalTime>
  <Pages>187</Pages>
  <Words>32609</Words>
  <Characters>258612</Characters>
  <Application>Microsoft Office Word</Application>
  <DocSecurity>0</DocSecurity>
  <Lines>2155</Lines>
  <Paragraphs>581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290640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2025-03-21T08:30:00Z</dcterms:created>
  <dcterms:modified xsi:type="dcterms:W3CDTF">2025-03-21T08:30:00Z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10.0.1 Build [20250114]</vt:lpwstr>
  </property>
  <property fmtid="{D5CDD505-2E9C-101B-9397-08002B2CF9AE}" pid="4" name="LastEdited with">
    <vt:lpwstr>10.0.1 Build [20250114]</vt:lpwstr>
  </property>
  <property fmtid="{D5CDD505-2E9C-101B-9397-08002B2CF9AE}" pid="5" name="&lt;FdR&gt;">
    <vt:lpwstr>1314503</vt:lpwstr>
  </property>
  <property fmtid="{D5CDD505-2E9C-101B-9397-08002B2CF9AE}" pid="6" name="&lt;Type&gt;">
    <vt:lpwstr>AM</vt:lpwstr>
  </property>
  <property fmtid="{D5CDD505-2E9C-101B-9397-08002B2CF9AE}" pid="7" name="&lt;ModelCod&gt;">
    <vt:lpwstr>\\eiciLUXpr1\pdocep$\DocEP\DOCS\General\AM\AM_NonLeg\AM_Com_NonLeg\AM_Com_NonLegReport.dotx(03/03/2023 13:39:05)</vt:lpwstr>
  </property>
  <property fmtid="{D5CDD505-2E9C-101B-9397-08002B2CF9AE}" pid="8" name="&lt;ModelTra&gt;">
    <vt:lpwstr>\\eiciLUXpr1\pdocep$\DocEP\TRANSFIL\CS\AM_Com_NonLegReport.CS(17/08/2024 00:22:01)</vt:lpwstr>
  </property>
  <property fmtid="{D5CDD505-2E9C-101B-9397-08002B2CF9AE}" pid="9" name="&lt;Model&gt;">
    <vt:lpwstr>AM_Com_NonLegReport</vt:lpwstr>
  </property>
  <property fmtid="{D5CDD505-2E9C-101B-9397-08002B2CF9AE}" pid="10" name="FooterPath">
    <vt:lpwstr>AM\1314503CS.docx</vt:lpwstr>
  </property>
  <property fmtid="{D5CDD505-2E9C-101B-9397-08002B2CF9AE}" pid="11" name="PE number">
    <vt:lpwstr>768.144</vt:lpwstr>
  </property>
  <property fmtid="{D5CDD505-2E9C-101B-9397-08002B2CF9AE}" pid="12" name="Bookout">
    <vt:lpwstr>OK - 2025/03/21 08:53</vt:lpwstr>
  </property>
</Properties>
</file>