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E5FA1" w:rsidRPr="008019B1" w:rsidTr="00104ED4">
        <w:trPr>
          <w:trHeight w:hRule="exact" w:val="1418"/>
        </w:trPr>
        <w:tc>
          <w:tcPr>
            <w:tcW w:w="6804" w:type="dxa"/>
            <w:shd w:val="clear" w:color="auto" w:fill="auto"/>
            <w:vAlign w:val="center"/>
          </w:tcPr>
          <w:p w:rsidR="005E5FA1" w:rsidRPr="008019B1" w:rsidRDefault="008019B1" w:rsidP="00104ED4">
            <w:pPr>
              <w:pStyle w:val="EPName"/>
            </w:pPr>
            <w:r>
              <w:t>Europäisches Parlament</w:t>
            </w:r>
          </w:p>
          <w:p w:rsidR="005E5FA1" w:rsidRPr="00F50054" w:rsidRDefault="00F50054" w:rsidP="00F50054">
            <w:pPr>
              <w:pStyle w:val="EPTerm"/>
            </w:pPr>
            <w:r>
              <w:t>2024-2029</w:t>
            </w:r>
          </w:p>
        </w:tc>
        <w:tc>
          <w:tcPr>
            <w:tcW w:w="2268" w:type="dxa"/>
            <w:shd w:val="clear" w:color="auto" w:fill="auto"/>
          </w:tcPr>
          <w:p w:rsidR="005E5FA1" w:rsidRPr="008019B1" w:rsidRDefault="005E5FA1" w:rsidP="00104ED4">
            <w:pPr>
              <w:pStyle w:val="EPLogo"/>
            </w:pPr>
            <w:r w:rsidRPr="008019B1">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CF4E9D" w:rsidRPr="008019B1" w:rsidRDefault="00CF4E9D" w:rsidP="00CF4E9D">
      <w:pPr>
        <w:pStyle w:val="LineTop"/>
      </w:pPr>
    </w:p>
    <w:p w:rsidR="00CF4E9D" w:rsidRPr="008019B1" w:rsidRDefault="00CF4E9D" w:rsidP="00CF4E9D">
      <w:pPr>
        <w:pStyle w:val="EPBody"/>
      </w:pPr>
      <w:r>
        <w:rPr>
          <w:rStyle w:val="HideTWBExt"/>
        </w:rPr>
        <w:t>&lt;</w:t>
      </w:r>
      <w:r>
        <w:rPr>
          <w:rStyle w:val="HideTWBExt"/>
          <w:i w:val="0"/>
        </w:rPr>
        <w:t>Commission</w:t>
      </w:r>
      <w:r>
        <w:rPr>
          <w:rStyle w:val="HideTWBExt"/>
        </w:rPr>
        <w:t>&gt;</w:t>
      </w:r>
      <w:r>
        <w:rPr>
          <w:rStyle w:val="HideTWBInt"/>
        </w:rPr>
        <w:t>{LIBE}</w:t>
      </w:r>
      <w:r>
        <w:t>Ausschuss für bürgerliche Freiheiten, Justiz und Inneres</w:t>
      </w:r>
      <w:r>
        <w:rPr>
          <w:rStyle w:val="HideTWBExt"/>
        </w:rPr>
        <w:t>&lt;/</w:t>
      </w:r>
      <w:r>
        <w:rPr>
          <w:rStyle w:val="HideTWBExt"/>
          <w:i w:val="0"/>
        </w:rPr>
        <w:t>Commission</w:t>
      </w:r>
      <w:r>
        <w:rPr>
          <w:rStyle w:val="HideTWBExt"/>
        </w:rPr>
        <w:t>&gt;</w:t>
      </w:r>
    </w:p>
    <w:p w:rsidR="00CF4E9D" w:rsidRPr="008019B1" w:rsidRDefault="00CF4E9D" w:rsidP="00CF4E9D">
      <w:pPr>
        <w:pStyle w:val="LineBottom"/>
      </w:pPr>
    </w:p>
    <w:p w:rsidR="00794E41" w:rsidRPr="008019B1" w:rsidRDefault="00794E41" w:rsidP="00794E41">
      <w:pPr>
        <w:pStyle w:val="CoverReference"/>
      </w:pPr>
      <w:r>
        <w:rPr>
          <w:rStyle w:val="HideTWBExt"/>
          <w:b w:val="0"/>
        </w:rPr>
        <w:t>&lt;RefProc&gt;</w:t>
      </w:r>
      <w:r>
        <w:t>2024/2078</w:t>
      </w:r>
      <w:r>
        <w:rPr>
          <w:rStyle w:val="HideTWBExt"/>
          <w:b w:val="0"/>
        </w:rPr>
        <w:t>&lt;/RefProc&gt;&lt;RefTypeProc&gt;</w:t>
      </w:r>
      <w:r>
        <w:t>(INI)</w:t>
      </w:r>
      <w:r>
        <w:rPr>
          <w:rStyle w:val="HideTWBExt"/>
          <w:b w:val="0"/>
        </w:rPr>
        <w:t>&lt;/RefTypeProc&gt;</w:t>
      </w:r>
    </w:p>
    <w:p w:rsidR="00794E41" w:rsidRPr="008019B1" w:rsidRDefault="00794E41" w:rsidP="00794E41">
      <w:pPr>
        <w:pStyle w:val="CoverDate"/>
      </w:pPr>
      <w:r>
        <w:rPr>
          <w:rStyle w:val="HideTWBExt"/>
        </w:rPr>
        <w:t>&lt;Date&gt;</w:t>
      </w:r>
      <w:r>
        <w:rPr>
          <w:rStyle w:val="HideTWBInt"/>
        </w:rPr>
        <w:t>{19/02/2025}</w:t>
      </w:r>
      <w:r>
        <w:t>19.2.2025</w:t>
      </w:r>
      <w:r>
        <w:rPr>
          <w:rStyle w:val="HideTWBExt"/>
        </w:rPr>
        <w:t>&lt;/Date&gt;</w:t>
      </w:r>
    </w:p>
    <w:p w:rsidR="00794E41" w:rsidRPr="008019B1" w:rsidRDefault="00794E41" w:rsidP="00794E41">
      <w:pPr>
        <w:pStyle w:val="CoverDocType"/>
      </w:pPr>
      <w:r>
        <w:rPr>
          <w:rStyle w:val="HideTWBExt"/>
          <w:b w:val="0"/>
        </w:rPr>
        <w:t>&lt;TypeAM&gt;</w:t>
      </w:r>
      <w:r>
        <w:t>ÄNDERUNGSANTRÄGE</w:t>
      </w:r>
      <w:r>
        <w:rPr>
          <w:rStyle w:val="HideTWBExt"/>
          <w:b w:val="0"/>
        </w:rPr>
        <w:t>&lt;/TypeAM&gt;</w:t>
      </w:r>
    </w:p>
    <w:p w:rsidR="00794E41" w:rsidRPr="008019B1" w:rsidRDefault="00794E41" w:rsidP="00794E41">
      <w:pPr>
        <w:pStyle w:val="CoverDocType24a"/>
      </w:pPr>
      <w:r>
        <w:rPr>
          <w:rStyle w:val="HideTWBExt"/>
          <w:b w:val="0"/>
        </w:rPr>
        <w:t>&lt;RangeAM&gt;</w:t>
      </w:r>
      <w:r>
        <w:t>1 - 366</w:t>
      </w:r>
      <w:r>
        <w:rPr>
          <w:rStyle w:val="HideTWBExt"/>
          <w:b w:val="0"/>
        </w:rPr>
        <w:t>&lt;/RangeAM&gt;</w:t>
      </w:r>
      <w:bookmarkStart w:id="0" w:name="_GoBack"/>
      <w:bookmarkEnd w:id="0"/>
    </w:p>
    <w:p w:rsidR="00794E41" w:rsidRPr="008019B1" w:rsidRDefault="00794E41" w:rsidP="007B1846">
      <w:pPr>
        <w:pStyle w:val="CoverBold"/>
      </w:pPr>
      <w:r>
        <w:rPr>
          <w:rStyle w:val="HideTWBExt"/>
          <w:b w:val="0"/>
        </w:rPr>
        <w:t>&lt;TitreType&gt;</w:t>
      </w:r>
      <w:r>
        <w:t>Entwurf eines Berichts</w:t>
      </w:r>
      <w:r>
        <w:rPr>
          <w:rStyle w:val="HideTWBExt"/>
          <w:b w:val="0"/>
        </w:rPr>
        <w:t>&lt;/TitreType&gt;</w:t>
      </w:r>
    </w:p>
    <w:p w:rsidR="00F50054" w:rsidRDefault="00F50054" w:rsidP="00F50054">
      <w:pPr>
        <w:pStyle w:val="CoverBold"/>
      </w:pPr>
      <w:r>
        <w:rPr>
          <w:rStyle w:val="HideTWBExt"/>
        </w:rPr>
        <w:t>&lt;Rapporteur&gt;</w:t>
      </w:r>
      <w:r>
        <w:t>Ana Catarina Mendes</w:t>
      </w:r>
      <w:r>
        <w:rPr>
          <w:rStyle w:val="HideTWBExt"/>
        </w:rPr>
        <w:t>&lt;/Rapporteur&gt;</w:t>
      </w:r>
    </w:p>
    <w:p w:rsidR="00F50054" w:rsidRDefault="00F50054" w:rsidP="00F50054">
      <w:pPr>
        <w:pStyle w:val="CoverNormal24a"/>
      </w:pPr>
      <w:r>
        <w:rPr>
          <w:rStyle w:val="HideTWBExt"/>
        </w:rPr>
        <w:t>&lt;DocRefPE&gt;</w:t>
      </w:r>
      <w:r>
        <w:t>(PE767.867v01-</w:t>
      </w:r>
      <w:proofErr w:type="gramStart"/>
      <w:r>
        <w:t>00)</w:t>
      </w:r>
      <w:r>
        <w:rPr>
          <w:rStyle w:val="HideTWBExt"/>
        </w:rPr>
        <w:t>&lt;</w:t>
      </w:r>
      <w:proofErr w:type="gramEnd"/>
      <w:r>
        <w:rPr>
          <w:rStyle w:val="HideTWBExt"/>
        </w:rPr>
        <w:t>/DocRefPE&gt;</w:t>
      </w:r>
    </w:p>
    <w:p w:rsidR="00F50054" w:rsidRDefault="00F50054" w:rsidP="00F50054">
      <w:pPr>
        <w:pStyle w:val="CoverNormal"/>
      </w:pPr>
      <w:r>
        <w:rPr>
          <w:rStyle w:val="HideTWBExt"/>
        </w:rPr>
        <w:t>&lt;Titre&gt;</w:t>
      </w:r>
      <w:r>
        <w:t>Bericht der Kommission über die Rechtsstaatlichkeit 2024</w:t>
      </w:r>
      <w:r>
        <w:rPr>
          <w:rStyle w:val="HideTWBExt"/>
        </w:rPr>
        <w:t>&lt;/Titre&gt;</w:t>
      </w:r>
    </w:p>
    <w:p w:rsidR="00794E41" w:rsidRPr="008019B1" w:rsidRDefault="00F50054" w:rsidP="00F50054">
      <w:pPr>
        <w:pStyle w:val="CoverNormal24a"/>
      </w:pPr>
      <w:r>
        <w:rPr>
          <w:rStyle w:val="HideTWBExt"/>
        </w:rPr>
        <w:t>&lt;DocRef&gt;</w:t>
      </w:r>
      <w:r>
        <w:t>(2024/2078(INI</w:t>
      </w:r>
      <w:proofErr w:type="gramStart"/>
      <w:r>
        <w:t>))</w:t>
      </w:r>
      <w:r>
        <w:rPr>
          <w:rStyle w:val="HideTWBExt"/>
        </w:rPr>
        <w:t>&lt;</w:t>
      </w:r>
      <w:proofErr w:type="gramEnd"/>
      <w:r>
        <w:rPr>
          <w:rStyle w:val="HideTWBExt"/>
        </w:rPr>
        <w:t>/DocRef&gt;</w:t>
      </w:r>
    </w:p>
    <w:p w:rsidR="00794E41" w:rsidRPr="008019B1" w:rsidRDefault="00794E41" w:rsidP="008B040A">
      <w:pPr>
        <w:widowControl/>
        <w:tabs>
          <w:tab w:val="center" w:pos="4677"/>
        </w:tabs>
      </w:pPr>
      <w:r>
        <w:br w:type="page"/>
      </w:r>
      <w:r>
        <w:lastRenderedPageBreak/>
        <w:t>AM_Com_NonLegReport</w:t>
      </w:r>
    </w:p>
    <w:p w:rsidR="006A0FF0" w:rsidRDefault="00794E41" w:rsidP="006A0FF0">
      <w:pPr>
        <w:pStyle w:val="AmNumberTabs"/>
      </w:pPr>
      <w:r>
        <w:br w:type="page"/>
      </w:r>
    </w:p>
    <w:p w:rsidR="00931B01" w:rsidRDefault="00931B01" w:rsidP="00931B01">
      <w:pPr>
        <w:pStyle w:val="AmNumberTabs"/>
      </w:pPr>
      <w:r w:rsidRPr="00931B01">
        <w:rPr>
          <w:rStyle w:val="HideTWBExt"/>
          <w:b w:val="0"/>
        </w:rPr>
        <w:lastRenderedPageBreak/>
        <w:t>-Amend&gt;</w:t>
      </w:r>
      <w:r>
        <w:rPr>
          <w:rStyle w:val="HideTWBExt"/>
        </w:rPr>
        <w:t>&lt;Amend&gt;</w:t>
      </w:r>
      <w:r>
        <w:t>Änderungsantrag</w:t>
      </w:r>
      <w:r>
        <w:tab/>
      </w:r>
      <w:r>
        <w:tab/>
      </w:r>
      <w:r>
        <w:rPr>
          <w:rStyle w:val="HideTWBExt"/>
        </w:rPr>
        <w:t>&lt;NumAm&gt;</w:t>
      </w:r>
      <w:r>
        <w:t>1</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w:t>
            </w:r>
            <w:r>
              <w:tab/>
              <w:t>unter Hinweis auf den Vertrag über die Europäische Union (EUV), insbesondere auf Artikel </w:t>
            </w:r>
            <w:r>
              <w:rPr>
                <w:b/>
                <w:i/>
              </w:rPr>
              <w:t>2, Artikel 3 Absatz 1, Artikel 3 Absatz 3 Unterabsatz 2, Artikel 4 Absatz 3, Artikel 5, 6, 7, 11, 19 und 49,</w:t>
            </w:r>
          </w:p>
        </w:tc>
        <w:tc>
          <w:tcPr>
            <w:tcW w:w="4876" w:type="dxa"/>
            <w:tcBorders>
              <w:top w:val="nil"/>
              <w:left w:val="nil"/>
              <w:bottom w:val="nil"/>
              <w:right w:val="nil"/>
            </w:tcBorders>
          </w:tcPr>
          <w:p w:rsidR="00931B01" w:rsidRDefault="00931B01" w:rsidP="00104ED4">
            <w:pPr>
              <w:pStyle w:val="Normal6a"/>
            </w:pPr>
            <w:r>
              <w:t>–</w:t>
            </w:r>
            <w:r>
              <w:tab/>
              <w:t xml:space="preserve">unter Hinweis auf den Vertrag über die Europäische Union (EUV), insbesondere auf </w:t>
            </w:r>
            <w:r>
              <w:rPr>
                <w:b/>
                <w:bCs/>
                <w:i/>
                <w:iCs/>
              </w:rPr>
              <w:t>Artikel 7</w:t>
            </w:r>
            <w:r>
              <w: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Verfassungen der Mitgliedstaaten und die Vielfalt der nationalen politischen Systeme,</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Vertrag über die Arbeitsweise der Europäischen Union (AEUV), insbesondere auf die Artikel über die Achtung, den Schutz und die Förderung der Demokratie, der Rechtsstaatlichkeit und der Grundrechte in der EU, darunter die Artikel 70, 258, 259, 260, 263, 265 und 267,</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w:t>
      </w:r>
      <w:r>
        <w:rPr>
          <w:rStyle w:val="HideTWBExt"/>
        </w:rPr>
        <w:t>&lt;/NumAm&gt;</w:t>
      </w:r>
    </w:p>
    <w:p w:rsidR="00931B01" w:rsidRDefault="00931B01" w:rsidP="00931B01">
      <w:pPr>
        <w:pStyle w:val="NormalBold"/>
      </w:pPr>
      <w:r>
        <w:rPr>
          <w:rStyle w:val="HideTWBExt"/>
          <w:b w:val="0"/>
        </w:rPr>
        <w:t>&lt;RepeatBlock-By&gt;&lt;Members&gt;</w:t>
      </w:r>
      <w:r>
        <w:t>Emmanouil Fragkos, Geadis Geadi, Galato Alexandraki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w:t>
            </w:r>
            <w:r>
              <w:tab/>
              <w:t>unter Hinweis auf den Vertrag über die Arbeitsweise der Europäischen Union (AEUV), insbesondere auf die Artikel über die Achtung, den Schutz und die Förderung der Demokratie, der Rechtsstaatlichkeit und der Grundrechte in der EU, darunter die Artikel 70, 258, 259, 260, 263, 265 und 267,</w:t>
            </w:r>
          </w:p>
        </w:tc>
        <w:tc>
          <w:tcPr>
            <w:tcW w:w="4876" w:type="dxa"/>
            <w:tcBorders>
              <w:top w:val="nil"/>
              <w:left w:val="nil"/>
              <w:bottom w:val="nil"/>
              <w:right w:val="nil"/>
            </w:tcBorders>
          </w:tcPr>
          <w:p w:rsidR="00931B01" w:rsidRDefault="00931B01" w:rsidP="00104ED4">
            <w:pPr>
              <w:pStyle w:val="Normal6a"/>
            </w:pPr>
            <w:r>
              <w:t>–</w:t>
            </w:r>
            <w:r>
              <w:tab/>
              <w:t xml:space="preserve">unter Hinweis auf den Vertrag über die Arbeitsweise der Europäischen Union (AEUV), insbesondere auf die Artikel über die Achtung, den Schutz und die Förderung der Demokratie, der Rechtsstaatlichkeit und der Grundrechte in der EU, darunter die Artikel 70, </w:t>
            </w:r>
            <w:r>
              <w:rPr>
                <w:b/>
                <w:i/>
              </w:rPr>
              <w:t>174,</w:t>
            </w:r>
            <w:r>
              <w:t xml:space="preserve"> 258, 259, 260, 263, 265 und 267,</w:t>
            </w:r>
          </w:p>
        </w:tc>
      </w:tr>
    </w:tbl>
    <w:p w:rsidR="00931B01" w:rsidRDefault="00931B01" w:rsidP="00931B01">
      <w:pPr>
        <w:pStyle w:val="AmOrLang"/>
      </w:pPr>
      <w:r>
        <w:t xml:space="preserve">Or. </w:t>
      </w:r>
      <w:r>
        <w:rPr>
          <w:rStyle w:val="HideTWBExt"/>
        </w:rPr>
        <w:t>&lt;Original&gt;</w:t>
      </w:r>
      <w:r>
        <w:rPr>
          <w:rStyle w:val="HideTWBInt"/>
        </w:rPr>
        <w:t>{EL}</w:t>
      </w:r>
      <w:r>
        <w:t>el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Charta der Grundrechte der Europäischen Union (im Folgenden „Charta“),</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Rechtsprechung des Gerichtshofs der Europäischen Union (EuGH),</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5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Verordnung (EU, Euratom) 2024/2509 des Europäischen Parlaments und des Rates vom 23. September 2024 über die Haushaltsordnung für den Gesamthaushaltsplan der Union (Neufassung), insbesondere auf Artikel 6 Absatz 3,</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w:t>
            </w:r>
            <w:r>
              <w:tab/>
              <w:t>unter Hinweis auf die Verordnung (EU, Euratom)</w:t>
            </w:r>
            <w:r>
              <w:rPr>
                <w:b/>
                <w:i/>
              </w:rPr>
              <w:t xml:space="preserve"> </w:t>
            </w:r>
            <w:r>
              <w:t>2020/2092 des Europäischen Parlaments und des Rates vom 16. Dezember 2020 über eine allgemeine Konditionalitätsregelung zum Schutz des Haushalts der Union</w:t>
            </w:r>
            <w:r>
              <w:rPr>
                <w:b/>
                <w:i/>
                <w:vertAlign w:val="superscript"/>
              </w:rPr>
              <w:t>1</w:t>
            </w:r>
            <w:r>
              <w:rPr>
                <w:b/>
                <w:i/>
              </w:rPr>
              <w:t xml:space="preserve"> („Konditionalitätsverordnung“)</w:t>
            </w:r>
            <w:r>
              <w:t>,</w:t>
            </w:r>
          </w:p>
        </w:tc>
        <w:tc>
          <w:tcPr>
            <w:tcW w:w="4876" w:type="dxa"/>
            <w:tcBorders>
              <w:top w:val="nil"/>
              <w:left w:val="nil"/>
              <w:bottom w:val="nil"/>
              <w:right w:val="nil"/>
            </w:tcBorders>
          </w:tcPr>
          <w:p w:rsidR="00931B01" w:rsidRDefault="00931B01" w:rsidP="00104ED4">
            <w:pPr>
              <w:pStyle w:val="Normal6a"/>
            </w:pPr>
            <w:r>
              <w:t>–</w:t>
            </w:r>
            <w:r>
              <w:tab/>
              <w:t>unter Hinweis auf die Verordnung (EU, Euratom)</w:t>
            </w:r>
            <w:r>
              <w:rPr>
                <w:b/>
                <w:i/>
              </w:rPr>
              <w:t> </w:t>
            </w:r>
            <w:r>
              <w:t>2020/2092 des Europäischen Parlaments und des Rates vom 16. Dezember 2020 über eine allgemeine Konditionalitätsregelung zum Schutz des Haushalts der Union</w:t>
            </w:r>
            <w:r>
              <w:rPr>
                <w:vertAlign w:val="superscript"/>
              </w:rPr>
              <w:t>1</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w:t>
            </w:r>
            <w:r>
              <w:t xml:space="preserve"> ABl. L 433 vom 22.12.2020, S. 1, ELI: http://data.europa.eu/eli/reg/2020/2092/oj.</w:t>
            </w:r>
          </w:p>
        </w:tc>
        <w:tc>
          <w:tcPr>
            <w:tcW w:w="4876" w:type="dxa"/>
            <w:tcBorders>
              <w:top w:val="nil"/>
              <w:left w:val="nil"/>
              <w:bottom w:val="nil"/>
              <w:right w:val="nil"/>
            </w:tcBorders>
          </w:tcPr>
          <w:p w:rsidR="00931B01" w:rsidRDefault="00931B01" w:rsidP="00104ED4">
            <w:pPr>
              <w:pStyle w:val="Normal6a"/>
            </w:pPr>
            <w:r>
              <w:rPr>
                <w:vertAlign w:val="superscript"/>
              </w:rPr>
              <w:t>1</w:t>
            </w:r>
            <w:r>
              <w:t xml:space="preserve"> ABl. L 433 vom 22.12.2020, S. 1, ELI: http://data.europa.eu/eli/reg/2020/2092/oj.</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Verordnung (EU) 2021/1060 des Europäischen Parlaments und des Rates vom 24. Juni 2021 mit gemeinsamen Bestimmungen für den Europäischen Fonds für regionale Entwicklung, den Europäischen Sozialfonds Plus, den Kohäsionsfonds, den Fonds für einen gerechten Übergang und den Europäischen Meeres-, Fischerei- und Aquakulturfonds sowie mit Finanzregelungen für diese Fonds und für den Asyl-, Migrations- und Integrationsfonds, den Fonds für die innere Sicherheit und das Instrument für finanzielle Hilfe im Bereich Grenzverwaltung und Visumpolitik</w:t>
            </w:r>
            <w:r>
              <w:rPr>
                <w:b/>
                <w:i/>
                <w:vertAlign w:val="superscript"/>
              </w:rPr>
              <w:t>2</w:t>
            </w:r>
            <w:r>
              <w:rPr>
                <w:b/>
                <w:i/>
              </w:rPr>
              <w:t xml:space="preserve"> (Dachverordnung),</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w:t>
            </w:r>
            <w:r>
              <w:rPr>
                <w:b/>
                <w:i/>
              </w:rPr>
              <w:t xml:space="preserve"> ABl. L 231 vom 30.6.2021, S. 159, ELI: http://data.europa.eu/eli/reg/2021/1060/oj.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Verordnung (EU) 2021/1060 des Europäischen Parlaments und des Rates vom 24. Juni 2021 mit gemeinsamen Bestimmungen für den Europäischen Fonds für regionale Entwicklung, den Europäischen Sozialfonds Plus, den Kohäsionsfonds, den Fonds für einen gerechten Übergang und den Europäischen Meeres-, Fischerei- und Aquakulturfonds sowie mit Finanzregelungen für diese Fonds und für den Asyl-, Migrations- und Integrationsfonds, den Fonds für die innere Sicherheit und das Instrument für finanzielle Hilfe im Bereich Grenzverwaltung und Visumpolitik</w:t>
            </w:r>
            <w:r>
              <w:rPr>
                <w:b/>
                <w:i/>
                <w:vertAlign w:val="superscript"/>
              </w:rPr>
              <w:t>2</w:t>
            </w:r>
            <w:r>
              <w:rPr>
                <w:b/>
                <w:i/>
              </w:rPr>
              <w:t xml:space="preserve"> (Dachverordnung),</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2</w:t>
            </w:r>
            <w:r>
              <w:t xml:space="preserve"> ABl. L 231 vom 30.6.2021, S. 159, ELI: http://data.europa.eu/eli/reg/2021/1060/oj.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w:t>
      </w:r>
      <w:r>
        <w:rPr>
          <w:rStyle w:val="HideTWBExt"/>
        </w:rPr>
        <w:t>&lt;/NumAm&gt;</w:t>
      </w:r>
    </w:p>
    <w:p w:rsidR="00931B01" w:rsidRDefault="00931B01" w:rsidP="00931B01">
      <w:pPr>
        <w:pStyle w:val="NormalBold"/>
      </w:pPr>
      <w:r>
        <w:rPr>
          <w:rStyle w:val="HideTWBExt"/>
          <w:b w:val="0"/>
        </w:rPr>
        <w:t>&lt;RepeatBlock-By&gt;&lt;Members&gt;</w:t>
      </w:r>
      <w:r>
        <w:t>Emmanouil Fragkos, Geadis Geadi, Galato Alexandraki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w:t>
            </w:r>
            <w:r>
              <w:tab/>
              <w:t xml:space="preserve">unter Hinweis auf die Verordnung (EU) 2021/1060 des Europäischen Parlaments und des Rates vom 24. Juni 2021 mit gemeinsamen Bestimmungen für den Europäischen Fonds für regionale Entwicklung, den Europäischen Sozialfonds Plus, den Kohäsionsfonds, den Fonds für einen gerechten Übergang und den Europäischen Meeres-, Fischerei- und Aquakulturfonds sowie mit </w:t>
            </w:r>
            <w:r>
              <w:rPr>
                <w:b/>
                <w:bCs/>
                <w:i/>
                <w:iCs/>
              </w:rPr>
              <w:t>Finanzregelungen</w:t>
            </w:r>
            <w:r>
              <w:t xml:space="preserve"> für diese Fonds </w:t>
            </w:r>
            <w:r>
              <w:rPr>
                <w:b/>
                <w:i/>
              </w:rPr>
              <w:t>und für den Asyl-, Migrations- und Integrationsfonds</w:t>
            </w:r>
            <w:r>
              <w:t>, den Fonds für die innere Sicherheit und das Instrument für finanzielle Hilfe im Bereich Grenzverwaltung und Visumpolitik</w:t>
            </w:r>
            <w:r>
              <w:rPr>
                <w:vertAlign w:val="superscript"/>
              </w:rPr>
              <w:t>2</w:t>
            </w:r>
            <w:r>
              <w:t xml:space="preserve"> (Dachverordnung),</w:t>
            </w:r>
          </w:p>
        </w:tc>
        <w:tc>
          <w:tcPr>
            <w:tcW w:w="4876" w:type="dxa"/>
            <w:tcBorders>
              <w:top w:val="nil"/>
              <w:left w:val="nil"/>
              <w:bottom w:val="nil"/>
              <w:right w:val="nil"/>
            </w:tcBorders>
          </w:tcPr>
          <w:p w:rsidR="00931B01" w:rsidRDefault="00931B01" w:rsidP="00104ED4">
            <w:pPr>
              <w:pStyle w:val="Normal6a"/>
            </w:pPr>
            <w:r>
              <w:t>–</w:t>
            </w:r>
            <w:r>
              <w:tab/>
              <w:t xml:space="preserve">unter Hinweis auf die Verordnung (EU) 2021/1060 des Europäischen Parlaments und des Rates vom 24. Juni 2021 mit gemeinsamen Bestimmungen für den Europäischen Fonds für regionale Entwicklung, den Europäischen Sozialfonds Plus, den Kohäsionsfonds, den Fonds für einen gerechten Übergang und den Europäischen Meeres-, Fischerei- und Aquakulturfonds sowie mit </w:t>
            </w:r>
            <w:r>
              <w:rPr>
                <w:b/>
                <w:bCs/>
                <w:i/>
                <w:iCs/>
              </w:rPr>
              <w:t>Haushaltsvorschriften</w:t>
            </w:r>
            <w:r>
              <w:t xml:space="preserve"> für diese Fonds, den Fonds für die innere Sicherheit und das Instrument für finanzielle Hilfe im Bereich Grenzverwaltung und Visumpolitik</w:t>
            </w:r>
            <w:r>
              <w:rPr>
                <w:vertAlign w:val="superscript"/>
              </w:rPr>
              <w:t>2</w:t>
            </w:r>
            <w:r>
              <w:t xml:space="preserve"> (Dachverordnung),</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2</w:t>
            </w:r>
            <w:r>
              <w:t xml:space="preserve"> ABl. L 231 vom 30.6.2021, S. 159, ELI: http://data.europa.eu/eli/reg/2021/1060/oj.</w:t>
            </w:r>
          </w:p>
        </w:tc>
        <w:tc>
          <w:tcPr>
            <w:tcW w:w="4876" w:type="dxa"/>
            <w:tcBorders>
              <w:top w:val="nil"/>
              <w:left w:val="nil"/>
              <w:bottom w:val="nil"/>
              <w:right w:val="nil"/>
            </w:tcBorders>
          </w:tcPr>
          <w:p w:rsidR="00931B01" w:rsidRDefault="00931B01" w:rsidP="00104ED4">
            <w:pPr>
              <w:pStyle w:val="Normal6a"/>
            </w:pPr>
            <w:r>
              <w:rPr>
                <w:vertAlign w:val="superscript"/>
              </w:rPr>
              <w:t>2</w:t>
            </w:r>
            <w:r>
              <w:t xml:space="preserve"> ABl. L 231 vom 30.6.2021, S. 159, ELI: http://data.europa.eu/eli/reg/2021/1060/oj.</w:t>
            </w:r>
          </w:p>
        </w:tc>
      </w:tr>
    </w:tbl>
    <w:p w:rsidR="00931B01" w:rsidRDefault="00931B01" w:rsidP="00931B01">
      <w:pPr>
        <w:pStyle w:val="AmOrLang"/>
      </w:pPr>
      <w:r>
        <w:t xml:space="preserve">Or. </w:t>
      </w:r>
      <w:r>
        <w:rPr>
          <w:rStyle w:val="HideTWBExt"/>
        </w:rPr>
        <w:t>&lt;Original&gt;</w:t>
      </w:r>
      <w:r>
        <w:rPr>
          <w:rStyle w:val="HideTWBInt"/>
        </w:rPr>
        <w:t>{EL}</w:t>
      </w:r>
      <w:r>
        <w:t>el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Verordnung (EU) 2021/692 des Europäischen Parlaments und des Rates vom 28. April 2021 zur Einrichtung des Programms „Bürgerinnen und Bürger, Gleichstellung, Rechte und Werte“ und zur Aufhebung der Verordnung (EU) Nr. 1381/2013 des Europäischen Parlaments und des Rates sowie der Verordnung (EU) Nr. 390/2014 des Rates</w:t>
            </w:r>
            <w:r>
              <w:rPr>
                <w:b/>
                <w:i/>
                <w:vertAlign w:val="superscript"/>
              </w:rPr>
              <w:t>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w:t>
            </w:r>
            <w:r>
              <w:rPr>
                <w:b/>
                <w:i/>
              </w:rPr>
              <w:t xml:space="preserve"> ABl. L 156 vom 5.5.2021, S. 1, ELI: http://data.europa.eu/eli/reg/2021/692/oj.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Verordnung (EU) 2021/692 des Europäischen Parlaments und des Rates vom 28. April 2021 zur Einrichtung des Programms „Bürgerinnen und Bürger, Gleichstellung, Rechte und Werte“ und zur Aufhebung der Verordnung (EU) Nr. 1381/2013 des Europäischen Parlaments und des Rates sowie der Verordnung (EU) Nr. 390/2014 des Rates</w:t>
            </w:r>
            <w:r>
              <w:rPr>
                <w:b/>
                <w:i/>
                <w:vertAlign w:val="superscript"/>
              </w:rPr>
              <w:t>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w:t>
            </w:r>
            <w:r>
              <w:t xml:space="preserve"> ABl. L 156 vom 5.5.2021, S. 1, ELI:</w:t>
            </w:r>
            <w:r>
              <w:br/>
              <w:t>http://data.europa.eu/eli/reg/2021/692/oj.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8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das Übereinkommen gegen Folter und andere grausame, unmenschliche oder erniedrigende Behandlung oder Strafe, das am 10. Dezember 1984 von der Generalversammlung der Vereinten Nationen angenommen wurde, und die nachfolgenden Protokolle,</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Allgemeine Erklärung der Menschenrechte,</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Instrumente der Vereinten Nationen zum Schutz der Menschenrechte und Grundfreiheiten und die Empfehlungen und Berichte der allgemeinen regelmäßigen Überprüfung der Vereinten Nationen sowie die Rechtsprechung der Vertragsorgane der Vereinten Nationen und die Sonderverfahren des Menschenrechtsrats,</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Instrumente der Vereinten Nationen zum Schutz der Menschenrechte und Grundfreiheiten und die Empfehlungen und Berichte der allgemeinen regelmäßigen Überprüfung der Vereinten Nationen sowie die Rechtsprechung der Vertragsorgane der Vereinten Nationen und die Sonderverfahren des Menschenrechtsrats,</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w:t>
      </w:r>
      <w:r>
        <w:rPr>
          <w:rStyle w:val="HideTWBExt"/>
        </w:rPr>
        <w:t>&lt;/NumAm&gt;</w:t>
      </w:r>
    </w:p>
    <w:p w:rsidR="00931B01" w:rsidRDefault="00931B01" w:rsidP="00931B01">
      <w:pPr>
        <w:pStyle w:val="NormalBold"/>
      </w:pPr>
      <w:r>
        <w:rPr>
          <w:rStyle w:val="HideTWBExt"/>
          <w:b w:val="0"/>
        </w:rPr>
        <w:t>&lt;RepeatBlock-By&gt;&lt;Members&gt;</w:t>
      </w:r>
      <w:r>
        <w:t>Loránt Vincze</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w:t>
            </w:r>
            <w:r>
              <w:tab/>
              <w:t>unter Hinweis auf die Instrumente der Vereinten Nationen zum Schutz der Menschenrechte und Grundfreiheiten und die Empfehlungen und Berichte der allgemeinen regelmäßigen Überprüfung der Vereinten Nationen sowie die Rechtsprechung der Vertragsorgane der Vereinten Nationen und die Sonderverfahren des Menschenrechtsrats,</w:t>
            </w:r>
          </w:p>
        </w:tc>
        <w:tc>
          <w:tcPr>
            <w:tcW w:w="4876" w:type="dxa"/>
            <w:tcBorders>
              <w:top w:val="nil"/>
              <w:left w:val="nil"/>
              <w:bottom w:val="nil"/>
              <w:right w:val="nil"/>
            </w:tcBorders>
          </w:tcPr>
          <w:p w:rsidR="00931B01" w:rsidRDefault="00931B01" w:rsidP="00104ED4">
            <w:pPr>
              <w:pStyle w:val="Normal6a"/>
            </w:pPr>
            <w:r>
              <w:t>–</w:t>
            </w:r>
            <w:r>
              <w:tab/>
              <w:t>unter Hinweis auf die Instrumente der Vereinten Nationen zum Schutz der Menschenrechte und Grundfreiheiten</w:t>
            </w:r>
            <w:r>
              <w:rPr>
                <w:b/>
                <w:i/>
              </w:rPr>
              <w:t>, insbesondere die Allgemeine Erklärung der Menschenrechte, den Internationalen Pakt über bürgerliche</w:t>
            </w:r>
            <w:r>
              <w:t xml:space="preserve"> und</w:t>
            </w:r>
            <w:r>
              <w:rPr>
                <w:b/>
                <w:i/>
              </w:rPr>
              <w:t xml:space="preserve"> politische Rechte (IPBPR), das Übereinkommen zur Beseitigung jeder Form von Rassendiskriminierung, das Übereinkommen zur Beseitigung jeder Form von Diskriminierung der Frau, das Übereinkommen über die Rechte von Menschen mit Behinderungen, die Erklärung über die Rechte von Personen, die nationalen oder ethnischen, religiösen und sprachlichen Minderheiten angehören, die im Rahmen des Forums der Vereinten Nationen für Minderheitenfragen ausgesprochenen Empfehlungen,</w:t>
            </w:r>
            <w:r>
              <w:t xml:space="preserve"> die Empfehlungen und Berichte der allgemeinen regelmäßigen Überprüfung der Vereinten Nationen sowie die Rechtsprechung der Vertragsorgane der Vereinten Nationen und die Sonderverfahren des Menschenrechtsrats,</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Europäische Menschenrechtskonvention, die Europäische Sozialcharta, die Rechtsprechung des Europäischen Gerichtshofs für Menschenrechte und des Europäischen Ausschusses für soziale Rechte sowie die Übereinkommen, Empfehlungen, Entschließungen, Stellungnahmen und Berichte der Parlamentarischen Versammlung, des Ministerkomitees, des Kommissars für Menschenrechte, der Europäischen Kommission gegen Rassismus und Intoleranz, des Lenkungsausschusses für Antidiskriminierung, Diversität und Inklusion, der Venedig-Kommission und sonstiger Einrichtungen des Europarats,</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Europäische Menschenrechtskonvention, die Europäische Sozialcharta, die Rechtsprechung des Europäischen Gerichtshofs für Menschenrechte und des Europäischen Ausschusses für soziale Rechte sowie die Übereinkommen, Empfehlungen, Entschließungen, Stellungnahmen und Berichte der Parlamentarischen Versammlung, des Ministerkomitees, des Kommissars für Menschenrechte, der Europäischen Kommission gegen Rassismus und Intoleranz, des Lenkungsausschusses für Antidiskriminierung, Diversität und Inklusion, der Venedig-Kommission und sonstiger Einrichtungen des Europarats,</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w:t>
            </w:r>
            <w:r>
              <w:tab/>
              <w:t>unter Hinweis auf die Europäische Menschenrechtskonvention, die Europäische Sozialcharta, die Rechtsprechung des Europäischen Gerichtshofs für Menschenrechte und des Europäischen Ausschusses für soziale Rechte sowie die Übereinkommen, Empfehlungen, Entschließungen, Stellungnahmen und Berichte der Parlamentarischen Versammlung, des Ministerkomitees, des Kommissars für Menschenrechte, der Europäischen Kommission gegen Rassismus und Intoleranz, des Lenkungsausschusses für Antidiskriminierung, Diversität und Inklusion, der Venedig-Kommission und sonstiger Einrichtungen des Europarats,</w:t>
            </w:r>
          </w:p>
        </w:tc>
        <w:tc>
          <w:tcPr>
            <w:tcW w:w="4876" w:type="dxa"/>
            <w:tcBorders>
              <w:top w:val="nil"/>
              <w:left w:val="nil"/>
              <w:bottom w:val="nil"/>
              <w:right w:val="nil"/>
            </w:tcBorders>
          </w:tcPr>
          <w:p w:rsidR="00931B01" w:rsidRDefault="00931B01" w:rsidP="00104ED4">
            <w:pPr>
              <w:pStyle w:val="Normal6a"/>
            </w:pPr>
            <w:r>
              <w:t>–</w:t>
            </w:r>
            <w:r>
              <w:tab/>
              <w:t xml:space="preserve">unter Hinweis auf die Europäische Menschenrechtskonvention, die Europäische Sozialcharta, die Rechtsprechung des Europäischen Gerichtshofs für Menschenrechte </w:t>
            </w:r>
            <w:r>
              <w:rPr>
                <w:b/>
                <w:i/>
              </w:rPr>
              <w:t xml:space="preserve">(EGMR) </w:t>
            </w:r>
            <w:r>
              <w:t>und des Europäischen Ausschusses für soziale Rechte sowie die Übereinkommen, Empfehlungen, Entschließungen, Stellungnahmen und Berichte der Parlamentarischen Versammlung, des Ministerkomitees, des Kommissars für Menschenrechte, der Europäischen Kommission gegen Rassismus und Intoleranz, des Lenkungsausschusses für Antidiskriminierung, Diversität und Inklusion, der Venedig-Kommission und sonstiger Einrichtungen des Europarats,</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w:t>
      </w:r>
      <w:r>
        <w:rPr>
          <w:rStyle w:val="HideTWBExt"/>
        </w:rPr>
        <w:t>&lt;/NumAm&gt;</w:t>
      </w:r>
    </w:p>
    <w:p w:rsidR="00931B01" w:rsidRDefault="00931B01" w:rsidP="00931B01">
      <w:pPr>
        <w:pStyle w:val="NormalBold"/>
      </w:pPr>
      <w:r>
        <w:rPr>
          <w:rStyle w:val="HideTWBExt"/>
          <w:b w:val="0"/>
        </w:rPr>
        <w:t>&lt;RepeatBlock-By&gt;&lt;Members&gt;</w:t>
      </w:r>
      <w:r>
        <w:t>Paolo Inselvini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das Übereinkommen des Europarats zur Verhütung und Bekämpfung von Gewalt gegen Frauen und häuslicher Gewalt,</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{IT}</w:t>
      </w:r>
      <w:r>
        <w:t>it</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das Übereinkommen des Europarats zur Verhütung und Bekämpfung von Gewalt gegen Frauen und häuslicher Gewalt,</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das Übereinkommen des Europarats zur Verhütung und Bekämpfung von Gewalt gegen Frauen und häuslicher Gewalt,</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das Übereinkommen des Europarats zur Verhütung und Bekämpfung von Gewalt gegen Frauen und häuslicher Gewalt,</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w:t>
      </w:r>
      <w:r>
        <w:rPr>
          <w:rStyle w:val="HideTWBExt"/>
        </w:rPr>
        <w:t>&lt;/NumAm&gt;</w:t>
      </w:r>
    </w:p>
    <w:p w:rsidR="00931B01" w:rsidRDefault="00931B01" w:rsidP="00931B01">
      <w:pPr>
        <w:pStyle w:val="NormalBold"/>
      </w:pPr>
      <w:r>
        <w:rPr>
          <w:rStyle w:val="HideTWBExt"/>
          <w:b w:val="0"/>
        </w:rPr>
        <w:t>&lt;RepeatBlock-By&gt;&lt;Members&gt;</w:t>
      </w:r>
      <w:r>
        <w:t>Loránt Vincze</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Europäische Charta der Regional- oder Minderheitensprachen und das Rahmenübereinkommen des Europarats zum Schutz nationaler Minderheiten,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gemeinsame Absichtserklärung zwischen dem Europarat und der Europäischen Union vom 23. Mai 2007 und die Schlussfolgerungen des Rates vom 30. Januar 2023 zu den Prioritäten der EU für die Zusammenarbeit mit dem Europarat 2023-2024,</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gemeinsame Absichtserklärung zwischen dem Europarat und der Europäischen Union vom 23. Mai 2007 und die Schlussfolgerungen des Rates vom 30. Januar 2023 zu den Prioritäten der EU für die Zusammenarbeit mit dem Europarat 2023-2024,</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w:t>
            </w:r>
            <w:r>
              <w:tab/>
              <w:t xml:space="preserve">unter Hinweis auf die gemeinsame Absichtserklärung zwischen dem Europarat und der Europäischen Union vom 23. Mai 2007 und die Schlussfolgerungen des Rates vom </w:t>
            </w:r>
            <w:r>
              <w:rPr>
                <w:b/>
                <w:i/>
              </w:rPr>
              <w:t>30</w:t>
            </w:r>
            <w:r>
              <w:t>. </w:t>
            </w:r>
            <w:r>
              <w:rPr>
                <w:b/>
                <w:i/>
              </w:rPr>
              <w:t>Januar 2023</w:t>
            </w:r>
            <w:r>
              <w:t xml:space="preserve"> zu den Prioritäten der EU für die Zusammenarbeit mit dem Europarat </w:t>
            </w:r>
            <w:r>
              <w:rPr>
                <w:b/>
                <w:i/>
              </w:rPr>
              <w:t>2023</w:t>
            </w:r>
            <w:r>
              <w:t>-</w:t>
            </w:r>
            <w:r>
              <w:rPr>
                <w:b/>
                <w:i/>
              </w:rPr>
              <w:t>2024</w:t>
            </w:r>
            <w:r>
              <w:t>,</w:t>
            </w:r>
          </w:p>
        </w:tc>
        <w:tc>
          <w:tcPr>
            <w:tcW w:w="4876" w:type="dxa"/>
            <w:tcBorders>
              <w:top w:val="nil"/>
              <w:left w:val="nil"/>
              <w:bottom w:val="nil"/>
              <w:right w:val="nil"/>
            </w:tcBorders>
          </w:tcPr>
          <w:p w:rsidR="00931B01" w:rsidRDefault="00931B01" w:rsidP="00104ED4">
            <w:pPr>
              <w:pStyle w:val="Normal6a"/>
            </w:pPr>
            <w:r>
              <w:t>–</w:t>
            </w:r>
            <w:r>
              <w:tab/>
              <w:t xml:space="preserve">unter Hinweis auf die gemeinsame Absichtserklärung zwischen dem Europarat und der Europäischen Union vom 23. Mai 2007 und die Schlussfolgerungen des Rates vom </w:t>
            </w:r>
            <w:r>
              <w:rPr>
                <w:b/>
                <w:i/>
              </w:rPr>
              <w:t>17</w:t>
            </w:r>
            <w:r>
              <w:t>. </w:t>
            </w:r>
            <w:r>
              <w:rPr>
                <w:b/>
                <w:i/>
              </w:rPr>
              <w:t>Dezember 2024</w:t>
            </w:r>
            <w:r>
              <w:t xml:space="preserve"> zu den Prioritäten der EU für die Zusammenarbeit mit dem Europarat </w:t>
            </w:r>
            <w:r>
              <w:rPr>
                <w:b/>
                <w:i/>
              </w:rPr>
              <w:t>2025</w:t>
            </w:r>
            <w:r>
              <w:t>-</w:t>
            </w:r>
            <w:r>
              <w:rPr>
                <w:b/>
                <w:i/>
              </w:rPr>
              <w:t>2026</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begründeten Vorschlag der Kommission vom 20. Dezember 2017 für einen Beschluss des Rates zur Feststellung der eindeutigen Gefahr einer schwerwiegenden Verletzung der Rechtsstaatlichkeit durch die Republik Polen (COM(2017)0835), der gemäß Artikel 7 Absatz 1 EUV vorgelegt wurde,</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begründeten Vorschlag der Kommission vom 20. Dezember 2017 für einen Beschluss des Rates zur Feststellung der eindeutigen Gefahr einer schwerwiegenden Verletzung der Rechtsstaatlichkeit durch die Republik Polen (COM(2017)0835), der gemäß Artikel 7 Absatz 1 EUV vorgelegt wurde,</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begründeten Vorschlag der Kommission vom 20. Dezember 2017 für einen Beschluss des Rates zur Feststellung der eindeutigen Gefahr einer schwerwiegenden Verletzung der Rechtsstaatlichkeit durch die Republik Polen (COM(2017)0835), der gemäß Artikel 7 Absatz 1 EUV vorgelegt wurde,</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begründeten Vorschlag der Kommission vom 20. Dezember 2017 für einen Beschluss des Rates zur Feststellung der eindeutigen Gefahr einer schwerwiegenden Verletzung der Rechtsstaatlichkeit durch die Republik Polen (COM(2017)0835), der gemäß Artikel 7 Absatz 1 EUV vorgelegt wurde,</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25. Oktober 2016 mit Empfehlungen an die Kommission zur Einrichtung eines EU-Mechanismus für Demokratie, Rechtsstaatlichkeit und die Grundrechte</w:t>
            </w:r>
            <w:r>
              <w:rPr>
                <w:b/>
                <w:i/>
                <w:vertAlign w:val="superscript"/>
              </w:rPr>
              <w:t>4</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4</w:t>
            </w:r>
            <w:r>
              <w:rPr>
                <w:b/>
                <w:i/>
              </w:rPr>
              <w:t xml:space="preserve"> ABl. C 215 vom 19.6.2018, S. 162.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25. Oktober 2016 mit Empfehlungen an die Kommission zur Einrichtung eines EU-Mechanismus für Demokratie, Rechtsstaatlichkeit und die Grundrechte</w:t>
            </w:r>
            <w:r>
              <w:rPr>
                <w:b/>
                <w:i/>
                <w:vertAlign w:val="superscript"/>
              </w:rPr>
              <w:t>4</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4</w:t>
            </w:r>
            <w:r>
              <w:t xml:space="preserve"> ABl. C 215 vom 19.6.2018, S. 162.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36</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 März 2018 zu dem Beschluss der Kommission, im Hinblick auf die Lage in Polen das Verfahren gemäß Artikel 7 Absatz 1 EUV einzuleiten</w:t>
            </w:r>
            <w:r>
              <w:rPr>
                <w:b/>
                <w:i/>
                <w:vertAlign w:val="superscript"/>
              </w:rPr>
              <w:t>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5</w:t>
            </w:r>
            <w:r>
              <w:t xml:space="preserve"> ABl. C 129 vom 5.4.2019, S. 13.</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37</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 März 2018 zu dem Beschluss der Kommission, im Hinblick auf die Lage in Polen das Verfahren gemäß Artikel 7 Absatz 1 EUV einzuleiten</w:t>
            </w:r>
            <w:r>
              <w:rPr>
                <w:b/>
                <w:i/>
                <w:vertAlign w:val="superscript"/>
              </w:rPr>
              <w:t>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5</w:t>
            </w:r>
            <w:r>
              <w:rPr>
                <w:b/>
                <w:i/>
              </w:rPr>
              <w:t xml:space="preserve"> ABl. C 129 vom 5.4.2023, S. 13.</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38</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 März 2018 zu dem Beschluss der Kommission, im Hinblick auf die Lage in Polen das Verfahren gemäß Artikel 7 Absatz 1 EUV einzuleiten</w:t>
            </w:r>
            <w:r>
              <w:rPr>
                <w:b/>
                <w:i/>
                <w:vertAlign w:val="superscript"/>
              </w:rPr>
              <w:t>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5</w:t>
            </w:r>
            <w:r>
              <w:rPr>
                <w:b/>
                <w:i/>
              </w:rPr>
              <w:t xml:space="preserve"> ABl. C 129 vom 5.4.2023, S. 13.</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39</w:t>
      </w:r>
      <w:r>
        <w:rPr>
          <w:rStyle w:val="HideTWBExt"/>
        </w:rPr>
        <w:t>&lt;/NumAm&gt;</w:t>
      </w:r>
    </w:p>
    <w:p w:rsidR="00931B01" w:rsidRDefault="00931B01" w:rsidP="00931B01">
      <w:pPr>
        <w:pStyle w:val="NormalBold"/>
      </w:pPr>
      <w:r>
        <w:rPr>
          <w:rStyle w:val="HideTWBExt"/>
          <w:b w:val="0"/>
        </w:rPr>
        <w:t>&lt;RepeatBlock-By&gt;&lt;Members&gt;</w:t>
      </w:r>
      <w:r>
        <w:t>Mary Khan, Milan Uhrík, 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 März 2018 zu dem Beschluss der Kommission, im Hinblick auf die Lage in Polen das Verfahren gemäß Artikel 7 Absatz 1 EUV einzuleiten</w:t>
            </w:r>
            <w:r>
              <w:rPr>
                <w:b/>
                <w:i/>
                <w:vertAlign w:val="superscript"/>
              </w:rPr>
              <w:t>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5</w:t>
            </w:r>
            <w:r>
              <w:rPr>
                <w:b/>
                <w:i/>
              </w:rPr>
              <w:t xml:space="preserve"> ABl. C 129 vom 5.4.2023, S. 13.</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40</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 März 2018 zu dem Beschluss der Kommission, im Hinblick auf die Lage in Polen das Verfahren gemäß Artikel 7 Absatz 1 EUV einzuleiten</w:t>
            </w:r>
            <w:r>
              <w:rPr>
                <w:b/>
                <w:i/>
                <w:vertAlign w:val="superscript"/>
              </w:rPr>
              <w:t>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5</w:t>
            </w:r>
            <w:r>
              <w:rPr>
                <w:b/>
                <w:i/>
              </w:rPr>
              <w:t xml:space="preserve"> ABl. C 129 vom 5.4.2019, S. 13.</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41</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16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Abschluss des Artikel-7-Verfahrens gegen Polen, den die Kommission am 29. Mai 2024 bekannt gegeben hat, nachdem Polen Schritte unternommen hat, damit es die Rechtsstaatlichkeitsnormen der EU wieder einhält;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42</w:t>
      </w:r>
      <w:r>
        <w:rPr>
          <w:rStyle w:val="HideTWBExt"/>
        </w:rPr>
        <w:t>&lt;/NumAm&gt;</w:t>
      </w:r>
    </w:p>
    <w:p w:rsidR="00931B01" w:rsidRDefault="00931B01" w:rsidP="00931B01">
      <w:pPr>
        <w:pStyle w:val="NormalBold"/>
      </w:pPr>
      <w:r>
        <w:rPr>
          <w:rStyle w:val="HideTWBExt"/>
          <w:b w:val="0"/>
        </w:rPr>
        <w:t>&lt;RepeatBlock-By&gt;&lt;Members&gt;</w:t>
      </w:r>
      <w:r>
        <w:t>Loránt Vincze</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16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7. Februar 2018 zum Schutz und zur Nichtdiskriminierung von Minderheiten in den Mitgliedstaaten der EU</w:t>
            </w:r>
            <w:r>
              <w:rPr>
                <w:b/>
                <w:i/>
                <w:vertAlign w:val="superscript"/>
              </w:rPr>
              <w:t>5a</w:t>
            </w:r>
            <w:r>
              <w:rPr>
                <w:b/>
                <w:i/>
              </w:rPr>
              <w:t>,</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vertAlign w:val="superscript"/>
              </w:rPr>
              <w:t>5a</w:t>
            </w:r>
            <w:r>
              <w:t xml:space="preserve"> </w:t>
            </w:r>
            <w:r>
              <w:rPr>
                <w:b/>
                <w:i/>
              </w:rPr>
              <w:t>ABl. C 463 vom 21.12.2018, S. 21.</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19. April 2018 zu der notwendigen Schaffung eines Instruments für europäische Werte zur Unterstützung zivilgesellschaftlicher Organisationen, die die Grundwerte in der Europäischen Union auf lokaler und nationaler Ebene fördern</w:t>
            </w:r>
            <w:r>
              <w:rPr>
                <w:b/>
                <w:i/>
                <w:vertAlign w:val="superscript"/>
              </w:rPr>
              <w:t>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6</w:t>
            </w:r>
            <w:r>
              <w:rPr>
                <w:b/>
                <w:i/>
              </w:rPr>
              <w:t xml:space="preserve"> ABl. C 390 vom 18.11.2019, S. 117.</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44</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19. April 2018 zu der notwendigen Schaffung eines Instruments für europäische Werte zur Unterstützung zivilgesellschaftlicher Organisationen, die die Grundwerte in der Europäischen Union auf lokaler und nationaler Ebene fördern</w:t>
            </w:r>
            <w:r>
              <w:rPr>
                <w:b/>
                <w:i/>
                <w:vertAlign w:val="superscript"/>
              </w:rPr>
              <w:t>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6</w:t>
            </w:r>
            <w:r>
              <w:t xml:space="preserve"> ABl. C 390 vom 18.11.2019, S. 117.</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45</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19. April 2018 zu der notwendigen Schaffung eines Instruments für europäische Werte zur Unterstützung zivilgesellschaftlicher Organisationen, die die Grundwerte in der Europäischen Union auf lokaler und nationaler Ebene fördern</w:t>
            </w:r>
            <w:r>
              <w:rPr>
                <w:b/>
                <w:i/>
                <w:vertAlign w:val="superscript"/>
              </w:rPr>
              <w:t>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6</w:t>
            </w:r>
            <w:r>
              <w:rPr>
                <w:b/>
                <w:i/>
              </w:rPr>
              <w:t xml:space="preserve"> ABl. C 390 vom 18.11.2019, S. 117.</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46</w:t>
      </w:r>
      <w:r>
        <w:rPr>
          <w:rStyle w:val="HideTWBExt"/>
        </w:rPr>
        <w:t>&lt;/NumAm&gt;</w:t>
      </w:r>
    </w:p>
    <w:p w:rsidR="00931B01" w:rsidRDefault="00931B01" w:rsidP="00931B01">
      <w:pPr>
        <w:pStyle w:val="NormalBold"/>
      </w:pPr>
      <w:r>
        <w:rPr>
          <w:rStyle w:val="HideTWBExt"/>
          <w:b w:val="0"/>
        </w:rPr>
        <w:t>&lt;RepeatBlock-By&gt;&lt;Members&gt;</w:t>
      </w:r>
      <w:r>
        <w:t>Mary Khan, Milan Uhrík, 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19. April 2018 zu der notwendigen Schaffung eines Instruments für europäische Werte zur Unterstützung zivilgesellschaftlicher Organisationen, die die Grundwerte in der Europäischen Union auf lokaler und nationaler Ebene fördern</w:t>
            </w:r>
            <w:r>
              <w:rPr>
                <w:b/>
                <w:i/>
                <w:vertAlign w:val="superscript"/>
              </w:rPr>
              <w:t>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6</w:t>
            </w:r>
            <w:r>
              <w:rPr>
                <w:b/>
                <w:i/>
              </w:rPr>
              <w:t xml:space="preserve"> ABl. C 390 vom 18.11.2019, S. 117.</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47</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12. September 2018 zu einem Vorschlag, mit dem der Rat aufgefordert wird, im Einklang mit Artikel 7 Absatz 1 EUV festzustellen, dass die eindeutige Gefahr einer schwerwiegenden Verletzung der Werte, auf die sich die Union gründet, durch Ungarn besteht</w:t>
            </w:r>
            <w:r>
              <w:rPr>
                <w:b/>
                <w:i/>
                <w:vertAlign w:val="superscript"/>
              </w:rPr>
              <w:t>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7</w:t>
            </w:r>
            <w:r>
              <w:rPr>
                <w:b/>
                <w:i/>
              </w:rPr>
              <w:t xml:space="preserve"> ABl. C 433 vom 23.12.2019, S. 66.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48</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12. September 2018 zu einem Vorschlag, mit dem der Rat aufgefordert wird, im Einklang mit Artikel 7 Absatz 1 EUV festzustellen, dass die eindeutige Gefahr einer schwerwiegenden Verletzung der Werte, auf die sich die Union gründet, durch Ungarn besteht</w:t>
            </w:r>
            <w:r>
              <w:rPr>
                <w:b/>
                <w:i/>
                <w:vertAlign w:val="superscript"/>
              </w:rPr>
              <w:t>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7</w:t>
            </w:r>
            <w:r>
              <w:rPr>
                <w:b/>
                <w:i/>
              </w:rPr>
              <w:t xml:space="preserve"> ABl. C 433 vom 23.12.2019, S. 66.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49</w:t>
      </w:r>
      <w:r>
        <w:rPr>
          <w:rStyle w:val="HideTWBExt"/>
        </w:rPr>
        <w:t>&lt;/NumAm&gt;</w:t>
      </w:r>
    </w:p>
    <w:p w:rsidR="00931B01" w:rsidRDefault="00931B01" w:rsidP="00931B01">
      <w:pPr>
        <w:pStyle w:val="NormalBold"/>
      </w:pPr>
      <w:r>
        <w:rPr>
          <w:rStyle w:val="HideTWBExt"/>
          <w:b w:val="0"/>
        </w:rPr>
        <w:t>&lt;RepeatBlock-By&gt;&lt;Members&gt;</w:t>
      </w:r>
      <w:r>
        <w:t>Mary Khan, Milan Uhrík, 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12. September 2018 zu einem Vorschlag, mit dem der Rat aufgefordert wird, im Einklang mit Artikel 7 Absatz 1 EUV festzustellen, dass die eindeutige Gefahr einer schwerwiegenden Verletzung der Werte, auf die sich die Union gründet, durch Ungarn besteht</w:t>
            </w:r>
            <w:r>
              <w:rPr>
                <w:b/>
                <w:i/>
                <w:vertAlign w:val="superscript"/>
              </w:rPr>
              <w:t>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7</w:t>
            </w:r>
            <w:r>
              <w:rPr>
                <w:b/>
                <w:i/>
              </w:rPr>
              <w:t xml:space="preserve"> ABl. C 433 vom 23.12.2019, S. 66.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50</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12. September 2018 zu einem Vorschlag, mit dem der Rat aufgefordert wird, im Einklang mit Artikel 7 Absatz 1 EUV festzustellen, dass die eindeutige Gefahr einer schwerwiegenden Verletzung der Werte, auf die sich die Union gründet, durch Ungarn besteht</w:t>
            </w:r>
            <w:r>
              <w:rPr>
                <w:b/>
                <w:i/>
                <w:vertAlign w:val="superscript"/>
              </w:rPr>
              <w:t>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7</w:t>
            </w:r>
            <w:r>
              <w:t xml:space="preserve"> ABl. C 433 vom 23.12.2019, S. 66.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51</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13. November 2018 zu Mindestnormen für Minderheiten in der EU</w:t>
            </w:r>
            <w:r>
              <w:rPr>
                <w:b/>
                <w:i/>
                <w:vertAlign w:val="superscript"/>
              </w:rPr>
              <w:t>8</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8</w:t>
            </w:r>
            <w:r>
              <w:t xml:space="preserve"> ABl. C 363 vom 28.10.2020, S. 13.</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52</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14. November 2018 zu der Notwendigkeit eines umfassenden EU-Mechanismus zum Schutz der Demokratie, der Rechtsstaatlichkeit und der Grundrechte</w:t>
            </w:r>
            <w:r>
              <w:rPr>
                <w:b/>
                <w:i/>
                <w:vertAlign w:val="superscript"/>
              </w:rPr>
              <w:t>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9</w:t>
            </w:r>
            <w:r>
              <w:rPr>
                <w:b/>
                <w:i/>
              </w:rPr>
              <w:t xml:space="preserve"> ABl. C 363 vom 28.10.2020, S. 45.</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53</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14. November 2018 zu der Notwendigkeit eines umfassenden EU-Mechanismus zum Schutz der Demokratie, der Rechtsstaatlichkeit und der Grundrechte</w:t>
            </w:r>
            <w:r>
              <w:rPr>
                <w:b/>
                <w:i/>
                <w:vertAlign w:val="superscript"/>
              </w:rPr>
              <w:t>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9</w:t>
            </w:r>
            <w:r>
              <w:rPr>
                <w:b/>
                <w:i/>
              </w:rPr>
              <w:t xml:space="preserve"> ABl. C 363 vom 28.10.2020, S. 45.</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54</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14. November 2018 zu der Notwendigkeit eines umfassenden EU-Mechanismus zum Schutz der Demokratie, der Rechtsstaatlichkeit und der Grundrechte</w:t>
            </w:r>
            <w:r>
              <w:rPr>
                <w:b/>
                <w:i/>
                <w:vertAlign w:val="superscript"/>
              </w:rPr>
              <w:t>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9</w:t>
            </w:r>
            <w:r>
              <w:t xml:space="preserve"> ABl. C 363 vom 28.10.2020, S. 45.</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55</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20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Mitteilung der Kommission vom 6. Dezember 2023 mit dem Titel „Kein Platz für Hass: ein Europa, das geeint gegen Hass steht“ (JOIN(2023)0051),</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56</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7. Oktober 2020 zur Einrichtung eines EU-Mechanismus für Demokratie, Rechtsstaatlichkeit und Grundrechte</w:t>
            </w:r>
            <w:r>
              <w:rPr>
                <w:b/>
                <w:i/>
                <w:vertAlign w:val="superscript"/>
              </w:rPr>
              <w:t>10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10</w:t>
            </w:r>
            <w:r>
              <w:rPr>
                <w:b/>
                <w:i/>
              </w:rPr>
              <w:t xml:space="preserve"> ABl. C 395 vom 5.4.2019,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57</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7. Oktober 2020 zur Einrichtung eines EU-Mechanismus für Demokratie, Rechtsstaatlichkeit und Grundrechte</w:t>
            </w:r>
            <w:r>
              <w:rPr>
                <w:b/>
                <w:i/>
                <w:vertAlign w:val="superscript"/>
              </w:rPr>
              <w:t>10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10</w:t>
            </w:r>
            <w:r>
              <w:rPr>
                <w:b/>
                <w:i/>
              </w:rPr>
              <w:t xml:space="preserve"> ABl. C 395 vom 29.9.2021,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7. Oktober 2020 zur Einrichtung eines EU-Mechanismus für Demokratie, Rechtsstaatlichkeit und Grundrechte</w:t>
            </w:r>
            <w:r>
              <w:rPr>
                <w:b/>
                <w:i/>
                <w:vertAlign w:val="superscript"/>
              </w:rPr>
              <w:t>10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10</w:t>
            </w:r>
            <w:r>
              <w:t xml:space="preserve"> ABl. C 395 vom 29.9.2021,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59</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13. November 2020 zu den Auswirkungen der COVID-19- Maßnahmen auf die Demokratie, die Grundrechte und die Rechtsstaatlichkeit</w:t>
            </w:r>
            <w:r>
              <w:rPr>
                <w:b/>
                <w:i/>
                <w:vertAlign w:val="superscript"/>
              </w:rPr>
              <w:t>11</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11</w:t>
            </w:r>
            <w:r>
              <w:t xml:space="preserve"> ABl. C 415 vom 13.10.2021, S. 36.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60</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13. November 2020 zu den Auswirkungen der COVID-19- Maßnahmen auf die Demokratie, die Grundrechte und die Rechtsstaatlichkeit</w:t>
            </w:r>
            <w:r>
              <w:rPr>
                <w:b/>
                <w:i/>
                <w:vertAlign w:val="superscript"/>
              </w:rPr>
              <w:t>11</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11</w:t>
            </w:r>
            <w:r>
              <w:rPr>
                <w:b/>
                <w:i/>
              </w:rPr>
              <w:t xml:space="preserve"> ABl. C 415 vom 13.10.2021, S. 36.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61</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17. Dezember 2020 zur Europäischen Bürgerinitiative „Minority SafePack – one million signatures for diversity in Europe“</w:t>
            </w:r>
            <w:r>
              <w:rPr>
                <w:b/>
                <w:i/>
                <w:vertAlign w:val="superscript"/>
              </w:rPr>
              <w:t>12</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12</w:t>
            </w:r>
            <w:r>
              <w:rPr>
                <w:b/>
                <w:i/>
              </w:rPr>
              <w:t xml:space="preserve"> ABl. C 445 vom 29.10.2021, S. 70.</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62</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17. Dezember 2020 zur Europäischen Bürgerinitiative „Minority SafePack – one million signatures for diversity in Europe“</w:t>
            </w:r>
            <w:r>
              <w:rPr>
                <w:b/>
                <w:i/>
                <w:vertAlign w:val="superscript"/>
              </w:rPr>
              <w:t>12</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12</w:t>
            </w:r>
            <w:r>
              <w:t xml:space="preserve"> ABl. C 445 vom 29.10.2021, S. 70.</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10. Juni 2021 zur Lage der Rechtsstaatlichkeit in der Europäischen Union und zur Anwendung der und zur Anwendung der Konditionalitätsverordnung (EU, Euratom) 2020/2092</w:t>
            </w:r>
            <w:r>
              <w:rPr>
                <w:b/>
                <w:i/>
                <w:vertAlign w:val="superscript"/>
              </w:rPr>
              <w:t>13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13</w:t>
            </w:r>
            <w:r>
              <w:rPr>
                <w:b/>
                <w:i/>
              </w:rPr>
              <w:t xml:space="preserve"> ABl. C 67 vom 5.4.2019, S. 86.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64</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10. Juni 2021 zur Lage der Rechtsstaatlichkeit in der Europäischen Union und zur Anwendung der und zur Anwendung der Konditionalitätsverordnung (EU, Euratom) 2020/2092</w:t>
            </w:r>
            <w:r>
              <w:rPr>
                <w:b/>
                <w:i/>
                <w:vertAlign w:val="superscript"/>
              </w:rPr>
              <w:t>13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13</w:t>
            </w:r>
            <w:r>
              <w:rPr>
                <w:b/>
                <w:i/>
              </w:rPr>
              <w:t xml:space="preserve"> ABl. C 67 vom 8.2.2022, S. 86.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65</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10. Juni 2021 zur Lage der Rechtsstaatlichkeit in der Europäischen Union und zur Anwendung der und zur Anwendung der Konditionalitätsverordnung (EU, Euratom) 2020/2092</w:t>
            </w:r>
            <w:r>
              <w:rPr>
                <w:b/>
                <w:i/>
                <w:vertAlign w:val="superscript"/>
              </w:rPr>
              <w:t>13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13</w:t>
            </w:r>
            <w:r>
              <w:t xml:space="preserve"> ABl. C 67 vom 8.2.2022, S. 86.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66</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24. Juni 2021 zu dem Bericht der Kommission über die Rechtsstaatlichkeit 2020</w:t>
            </w:r>
            <w:r>
              <w:rPr>
                <w:b/>
                <w:i/>
                <w:vertAlign w:val="superscript"/>
              </w:rPr>
              <w:t>14</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14</w:t>
            </w:r>
            <w:r>
              <w:rPr>
                <w:b/>
                <w:i/>
              </w:rPr>
              <w:t xml:space="preserve"> ABl. C 81 vom 5.4.2019, S. 27.</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67</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24. Juni 2021 zu dem Bericht der Kommission über die Rechtsstaatlichkeit 2020</w:t>
            </w:r>
            <w:r>
              <w:rPr>
                <w:b/>
                <w:i/>
                <w:vertAlign w:val="superscript"/>
              </w:rPr>
              <w:t>14</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14</w:t>
            </w:r>
            <w:r>
              <w:rPr>
                <w:b/>
                <w:i/>
              </w:rPr>
              <w:t xml:space="preserve"> ABl. C 81 vom 18.2.2022, S. 27.</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24. Juni 2021 zu dem Bericht der Kommission über die Rechtsstaatlichkeit 2020</w:t>
            </w:r>
            <w:r>
              <w:rPr>
                <w:b/>
                <w:i/>
                <w:vertAlign w:val="superscript"/>
              </w:rPr>
              <w:t>14</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14</w:t>
            </w:r>
            <w:r>
              <w:t xml:space="preserve"> ABl. C 81 vom 18.2.2022, S. 27.</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69</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8. Juli 2021 zu der Festlegung von Leitlinien für die Anwendung der allgemeinen Konditionalitätsregelung zum Schutz des Haushalts der Union</w:t>
            </w:r>
            <w:r>
              <w:rPr>
                <w:b/>
                <w:i/>
                <w:vertAlign w:val="superscript"/>
              </w:rPr>
              <w:t>15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15</w:t>
            </w:r>
            <w:r>
              <w:rPr>
                <w:b/>
                <w:i/>
              </w:rPr>
              <w:t xml:space="preserve"> ABl. C 99 vom 5.4.2019, S. 146.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70</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8. Juli 2021 zu der Festlegung von Leitlinien für die Anwendung der allgemeinen Konditionalitätsregelung zum Schutz des Haushalts der Union</w:t>
            </w:r>
            <w:r>
              <w:rPr>
                <w:b/>
                <w:i/>
                <w:vertAlign w:val="superscript"/>
              </w:rPr>
              <w:t>15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15</w:t>
            </w:r>
            <w:r>
              <w:rPr>
                <w:b/>
                <w:i/>
              </w:rPr>
              <w:t xml:space="preserve"> ABl. C 99 vom 1.3.2022, S. 146.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71</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8. Juli 2021 zu der Festlegung von Leitlinien für die Anwendung der allgemeinen Konditionalitätsregelung zum Schutz des Haushalts der Union</w:t>
            </w:r>
            <w:r>
              <w:rPr>
                <w:b/>
                <w:i/>
                <w:vertAlign w:val="superscript"/>
              </w:rPr>
              <w:t>15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15</w:t>
            </w:r>
            <w:r>
              <w:t xml:space="preserve"> ABl. C 99 vom 1.3.2022, S. 146.</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72</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16. September 2021 mit Empfehlungen an die Kommission über die Festlegung von geschlechtsspezifischer Gewalt als neuer Kriminalitätsbereich gemäß Artikel 83 Absatz 1 AEUV</w:t>
            </w:r>
            <w:r>
              <w:rPr>
                <w:b/>
                <w:i/>
                <w:vertAlign w:val="superscript"/>
              </w:rPr>
              <w:t>16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16</w:t>
            </w:r>
            <w:r>
              <w:rPr>
                <w:b/>
                <w:i/>
              </w:rPr>
              <w:t xml:space="preserve"> ABl. C 117 vom 5.4.2019, S. 88.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73</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16. September 2021 mit Empfehlungen an die Kommission über die Festlegung von geschlechtsspezifischer Gewalt als neuer Kriminalitätsbereich gemäß Artikel 83 Absatz 1 AEUV</w:t>
            </w:r>
            <w:r>
              <w:rPr>
                <w:b/>
                <w:i/>
                <w:vertAlign w:val="superscript"/>
              </w:rPr>
              <w:t>16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16</w:t>
            </w:r>
            <w:r>
              <w:rPr>
                <w:b/>
                <w:i/>
              </w:rPr>
              <w:t xml:space="preserve"> ABl. C 117 vom 11.3.2022, S. 88.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74</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16. September 2021 mit Empfehlungen an die Kommission über die Festlegung von geschlechtsspezifischer Gewalt als neuer Kriminalitätsbereich gemäß Artikel 83 Absatz 1 AEUV</w:t>
            </w:r>
            <w:r>
              <w:rPr>
                <w:b/>
                <w:i/>
                <w:vertAlign w:val="superscript"/>
              </w:rPr>
              <w:t>16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16</w:t>
            </w:r>
            <w:r>
              <w:t xml:space="preserve"> ABl. C 117 vom 11.3.2022, S. 88.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75</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11. November 2021 zur Stärkung der Demokratie, der Medienfreiheit und des Medienpluralismus in der EU in Anbetracht des unrechtmäßigen Rückgriffs auf zivil- und strafrechtliche Verfahren zur Einschüchterung von Journalisten, nichtstaatlichen Organisationen und der Zivilgesellschaft</w:t>
            </w:r>
            <w:r>
              <w:rPr>
                <w:b/>
                <w:i/>
                <w:vertAlign w:val="superscript"/>
              </w:rPr>
              <w:t>17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17</w:t>
            </w:r>
            <w:r>
              <w:t xml:space="preserve"> ABl. C 205 vom 20.5.2022,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76</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11. November 2021 zur Stärkung der Demokratie, der Medienfreiheit und des Medienpluralismus in der EU in Anbetracht des unrechtmäßigen Rückgriffs auf zivil- und strafrechtliche Verfahren zur Einschüchterung von Journalisten, nichtstaatlichen Organisationen und der Zivilgesellschaft</w:t>
            </w:r>
            <w:r>
              <w:rPr>
                <w:b/>
                <w:i/>
                <w:vertAlign w:val="superscript"/>
              </w:rPr>
              <w:t>17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17</w:t>
            </w:r>
            <w:r>
              <w:rPr>
                <w:b/>
                <w:i/>
              </w:rPr>
              <w:t xml:space="preserve"> ABl. C 205 vom 20.5.2022,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77</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15. Dezember 2021 zu der Bewertung von Präventivmaßnahmen zur Vorbeugung von Korruption, vorschriftswidrigen Ausgaben und der Zweckentfremdung von europäischen und nationalen Mitteln im Falle von Nothilfefonds und krisenbezogenen Ausgabenbereichen</w:t>
            </w:r>
            <w:r>
              <w:rPr>
                <w:b/>
                <w:i/>
                <w:vertAlign w:val="superscript"/>
              </w:rPr>
              <w:t>18</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18</w:t>
            </w:r>
            <w:r>
              <w:t xml:space="preserve"> ABl. C 251 vom 30.6.2022, S. 48.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8. März 2022 zum schrumpfenden Handlungsspielraum für die Zivilgesellschaft in der EU</w:t>
            </w:r>
            <w:r>
              <w:rPr>
                <w:b/>
                <w:i/>
                <w:vertAlign w:val="superscript"/>
              </w:rPr>
              <w:t>19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19</w:t>
            </w:r>
            <w:r>
              <w:t xml:space="preserve"> ABl. C 347 vom 9.9.2022,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79</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8. März 2022 zum schrumpfenden Handlungsspielraum für die Zivilgesellschaft in der EU</w:t>
            </w:r>
            <w:r>
              <w:rPr>
                <w:b/>
                <w:i/>
                <w:vertAlign w:val="superscript"/>
              </w:rPr>
              <w:t>19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19</w:t>
            </w:r>
            <w:r>
              <w:rPr>
                <w:b/>
                <w:i/>
              </w:rPr>
              <w:t xml:space="preserve"> ABl. C 347 vom 9.9.2022,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80</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10. März 2022 zur Rechtsstaatlichkeit und den Konsequenzen des Urteils des EuGH</w:t>
            </w:r>
            <w:r>
              <w:rPr>
                <w:b/>
                <w:i/>
                <w:vertAlign w:val="superscript"/>
              </w:rPr>
              <w:t>20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20</w:t>
            </w:r>
            <w:r>
              <w:t xml:space="preserve"> ABl. C 347 vom 9.9.2022, S. 168.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81</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10. März 2022 zur Rechtsstaatlichkeit und den Konsequenzen des Urteils des EuGH</w:t>
            </w:r>
            <w:r>
              <w:rPr>
                <w:b/>
                <w:i/>
                <w:vertAlign w:val="superscript"/>
              </w:rPr>
              <w:t>20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20</w:t>
            </w:r>
            <w:r>
              <w:rPr>
                <w:b/>
                <w:i/>
              </w:rPr>
              <w:t xml:space="preserve"> ABl. C 347 vom 5.4.2019, S. 168.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82</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10. März 2022 zur Rechtsstaatlichkeit und den Konsequenzen des Urteils des EuGH</w:t>
            </w:r>
            <w:r>
              <w:rPr>
                <w:b/>
                <w:i/>
                <w:vertAlign w:val="superscript"/>
              </w:rPr>
              <w:t>20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20</w:t>
            </w:r>
            <w:r>
              <w:rPr>
                <w:b/>
                <w:i/>
              </w:rPr>
              <w:t xml:space="preserve"> ABl. C 347 vom 20.5.2022, S. 168.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19. Mai 2022 zu dem Bericht der Kommission über die Rechtsstaatlichkeit 2021</w:t>
            </w:r>
            <w:r>
              <w:rPr>
                <w:b/>
                <w:i/>
                <w:vertAlign w:val="superscript"/>
              </w:rPr>
              <w:t>21</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21</w:t>
            </w:r>
            <w:r>
              <w:rPr>
                <w:b/>
                <w:i/>
              </w:rPr>
              <w:t xml:space="preserve"> ABl. C 479 vom 16.12.2022, S. 18.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84</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19. Mai 2022 zu dem Bericht der Kommission über die Rechtsstaatlichkeit 2021</w:t>
            </w:r>
            <w:r>
              <w:rPr>
                <w:b/>
                <w:i/>
                <w:vertAlign w:val="superscript"/>
              </w:rPr>
              <w:t>21</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21</w:t>
            </w:r>
            <w:r>
              <w:t xml:space="preserve"> ABl. C 479 vom 16.12.2022, S. 18.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85</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19. Mai 2022 zu dem Bericht der Kommission über die Rechtsstaatlichkeit 2021</w:t>
            </w:r>
            <w:r>
              <w:rPr>
                <w:b/>
                <w:i/>
                <w:vertAlign w:val="superscript"/>
              </w:rPr>
              <w:t>21</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21</w:t>
            </w:r>
            <w:r>
              <w:rPr>
                <w:b/>
                <w:i/>
              </w:rPr>
              <w:t xml:space="preserve"> ABl. C 479 vom 16.12.2022, S. 18.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86</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9. Juni 2022 zur Rechtsstaatlichkeit und zur möglichen Annahme des polnischen nationalen Aufbauplans (ARF)</w:t>
            </w:r>
            <w:r>
              <w:rPr>
                <w:b/>
                <w:i/>
                <w:vertAlign w:val="superscript"/>
              </w:rPr>
              <w:t>22</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22</w:t>
            </w:r>
            <w:r>
              <w:rPr>
                <w:b/>
                <w:i/>
              </w:rPr>
              <w:t xml:space="preserve"> ABl. C 493 vom 27.12.2022, S. 108.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87</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9. Juni 2022 zur Rechtsstaatlichkeit und zur möglichen Annahme des polnischen nationalen Aufbauplans (ARF)</w:t>
            </w:r>
            <w:r>
              <w:rPr>
                <w:b/>
                <w:i/>
                <w:vertAlign w:val="superscript"/>
              </w:rPr>
              <w:t>22</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22</w:t>
            </w:r>
            <w:r>
              <w:rPr>
                <w:b/>
                <w:i/>
              </w:rPr>
              <w:t xml:space="preserve"> ABl. C 493 vom 27.12.2022, S. 108.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9. Juni 2022 zur Rechtsstaatlichkeit und zur möglichen Annahme des polnischen nationalen Aufbauplans (ARF)</w:t>
            </w:r>
            <w:r>
              <w:rPr>
                <w:b/>
                <w:i/>
                <w:vertAlign w:val="superscript"/>
              </w:rPr>
              <w:t>22</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22</w:t>
            </w:r>
            <w:r>
              <w:t xml:space="preserve"> ABl. C 493 vom 27.12.2022, S. 108.</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89</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15. September 2022 zu der Lage der Grundrechte in der Europäischen Union 2020 und 2021</w:t>
            </w:r>
            <w:r>
              <w:rPr>
                <w:b/>
                <w:i/>
                <w:vertAlign w:val="superscript"/>
              </w:rPr>
              <w:t>23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23</w:t>
            </w:r>
            <w:r>
              <w:t xml:space="preserve"> ABl. C 125 vom 5.4.2023, S. 80.</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90</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15. September 2022 zu der Lage der Grundrechte in der Europäischen Union 2020 und 2021</w:t>
            </w:r>
            <w:r>
              <w:rPr>
                <w:b/>
                <w:i/>
                <w:vertAlign w:val="superscript"/>
              </w:rPr>
              <w:t>23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23</w:t>
            </w:r>
            <w:r>
              <w:t xml:space="preserve"> ABl. C 125 vom 5.4.2019, S. 80.</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91</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15. September 2022 zu der Lage der Grundrechte in der Europäischen Union 2020 und 2021</w:t>
            </w:r>
            <w:r>
              <w:rPr>
                <w:b/>
                <w:i/>
                <w:vertAlign w:val="superscript"/>
              </w:rPr>
              <w:t>23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23</w:t>
            </w:r>
            <w:r>
              <w:rPr>
                <w:b/>
                <w:i/>
              </w:rPr>
              <w:t xml:space="preserve"> ABl. C 125 vom 5.4.2023, S. 80.</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92</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34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15. September 2022 zu dem Vorschlag für einen Beschluss des Rates gemäß Artikel 7 Absatz 1 des Vertrags über die Europäische Union zur Feststellung der eindeutigen Gefahr einer schwerwiegenden Verletzung der Werte, auf die sich die Union gründet, durch Ungarn,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93</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20. Oktober 2022 zur Rechtsstaatlichkeit in Malta fünf Jahre nach der Ermordung von Daphne Caruana Galizia</w:t>
            </w:r>
            <w:r>
              <w:rPr>
                <w:b/>
                <w:i/>
                <w:vertAlign w:val="superscript"/>
              </w:rPr>
              <w:t>24</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24</w:t>
            </w:r>
            <w:r>
              <w:t xml:space="preserve"> ABl. C 149 vom 28.4.2023, S. 15.</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94</w:t>
      </w:r>
      <w:r>
        <w:rPr>
          <w:rStyle w:val="HideTWBExt"/>
        </w:rPr>
        <w:t>&lt;/NumAm&gt;</w:t>
      </w:r>
    </w:p>
    <w:p w:rsidR="00931B01" w:rsidRDefault="00931B01" w:rsidP="00931B01">
      <w:pPr>
        <w:pStyle w:val="NormalBold"/>
      </w:pPr>
      <w:r>
        <w:rPr>
          <w:rStyle w:val="HideTWBExt"/>
          <w:b w:val="0"/>
        </w:rPr>
        <w:t>&lt;RepeatBlock-By&gt;&lt;Members&gt;</w:t>
      </w:r>
      <w:r>
        <w:t>Emmanouil Fragkos, Geadis Geadi, Galato Alexandraki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20. Oktober 2022 zur Zunahme der Hassverbrechen gegen LGBTIQ+-Personen in Europa angesichts des jüngsten homophoben Mordes in der Slowakei</w:t>
            </w:r>
            <w:r>
              <w:rPr>
                <w:b/>
                <w:i/>
                <w:vertAlign w:val="superscript"/>
              </w:rPr>
              <w:t>25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bCs/>
                <w:i/>
                <w:iCs/>
                <w:vertAlign w:val="superscript"/>
              </w:rPr>
              <w:t>25</w:t>
            </w:r>
            <w:r>
              <w:rPr>
                <w:b/>
                <w:bCs/>
                <w:i/>
                <w:iCs/>
              </w:rPr>
              <w:t xml:space="preserve"> ABl. C 149 vom 28.4.2023, S. 22.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{EL}</w:t>
      </w:r>
      <w:r>
        <w:t>el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95</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20. Oktober 2022 zur Zunahme der Hassverbrechen gegen LGBTIQ+-Personen in Europa angesichts des jüngsten homophoben Mordes in der Slowakei</w:t>
            </w:r>
            <w:r>
              <w:rPr>
                <w:b/>
                <w:i/>
                <w:vertAlign w:val="superscript"/>
              </w:rPr>
              <w:t>25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25</w:t>
            </w:r>
            <w:r>
              <w:t xml:space="preserve"> ABl. C 149 vom 28.4.2023, S. 22.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96</w:t>
      </w:r>
      <w:r>
        <w:rPr>
          <w:rStyle w:val="HideTWBExt"/>
        </w:rPr>
        <w:t>&lt;/NumAm&gt;</w:t>
      </w:r>
    </w:p>
    <w:p w:rsidR="00931B01" w:rsidRDefault="00931B01" w:rsidP="00931B01">
      <w:pPr>
        <w:pStyle w:val="NormalBold"/>
      </w:pPr>
      <w:r>
        <w:rPr>
          <w:rStyle w:val="HideTWBExt"/>
          <w:b w:val="0"/>
        </w:rPr>
        <w:t>&lt;RepeatBlock-By&gt;&lt;Members&gt;</w:t>
      </w:r>
      <w:r>
        <w:t>Paolo Inselvini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20. Oktober 2022 zur Zunahme der Hassverbrechen gegen LGBTIQ+-Personen in Europa angesichts des jüngsten homophoben Mordes in der Slowakei</w:t>
            </w:r>
            <w:r>
              <w:rPr>
                <w:b/>
                <w:i/>
                <w:vertAlign w:val="superscript"/>
              </w:rPr>
              <w:t>25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25</w:t>
            </w:r>
            <w:r>
              <w:rPr>
                <w:b/>
                <w:i/>
              </w:rPr>
              <w:t>ABl. C 149 vom 28.4.2023, S. 22.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{IT}</w:t>
      </w:r>
      <w:r>
        <w:t>it</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97</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20. Oktober 2022 zur Zunahme der Hassverbrechen gegen LGBTIQ+-Personen in Europa angesichts des jüngsten homophoben Mordes in der Slowakei</w:t>
            </w:r>
            <w:r>
              <w:rPr>
                <w:b/>
                <w:i/>
                <w:vertAlign w:val="superscript"/>
              </w:rPr>
              <w:t>25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25</w:t>
            </w:r>
            <w:r>
              <w:rPr>
                <w:b/>
                <w:i/>
              </w:rPr>
              <w:t xml:space="preserve"> ABl. C 149 vom 5.4.2023, S. 22.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10. November 2022 zu der Rassengerechtigkeit, dem Diskriminierungsverbot und dem Vorgehen gegen Rassismus in der EU</w:t>
            </w:r>
            <w:r>
              <w:rPr>
                <w:b/>
                <w:i/>
                <w:vertAlign w:val="superscript"/>
              </w:rPr>
              <w:t>26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26</w:t>
            </w:r>
            <w:r>
              <w:t xml:space="preserve"> ABl. C 161 vom 5.5.2023, S. 10.</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99</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10. November 2022 zu der Rassengerechtigkeit, dem Diskriminierungsverbot und dem Vorgehen gegen Rassismus in der EU</w:t>
            </w:r>
            <w:r>
              <w:rPr>
                <w:b/>
                <w:i/>
                <w:vertAlign w:val="superscript"/>
              </w:rPr>
              <w:t>26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26</w:t>
            </w:r>
            <w:r>
              <w:rPr>
                <w:b/>
                <w:i/>
              </w:rPr>
              <w:t xml:space="preserve"> ABl. C 161 vom 5.5.2023, S. 10.</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100</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24. November 2022 zur Bewertung der Einhaltung der in der Konditionalitätsverordnung niedergelegten Rechtsstaatlichkeitsbedingungen durch Ungarn und zum Stand des ungarischen Aufbau- und Resilienzplans</w:t>
            </w:r>
            <w:r>
              <w:rPr>
                <w:b/>
                <w:i/>
                <w:vertAlign w:val="superscript"/>
              </w:rPr>
              <w:t>27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27</w:t>
            </w:r>
            <w:r>
              <w:rPr>
                <w:b/>
                <w:i/>
              </w:rPr>
              <w:t xml:space="preserve"> ABl. C 167 vom 28.4.2023, S. 74.</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101</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24. November 2022 zur Bewertung der Einhaltung der in der Konditionalitätsverordnung niedergelegten Rechtsstaatlichkeitsbedingungen durch Ungarn und zum Stand des ungarischen Aufbau- und Resilienzplans</w:t>
            </w:r>
            <w:r>
              <w:rPr>
                <w:b/>
                <w:i/>
                <w:vertAlign w:val="superscript"/>
              </w:rPr>
              <w:t>27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27</w:t>
            </w:r>
            <w:r>
              <w:t xml:space="preserve"> ABl. C 167 vom 11.5.2023, S. 74.</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102</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24. November 2022 zur Bewertung der Einhaltung der in der Konditionalitätsverordnung niedergelegten Rechtsstaatlichkeitsbedingungen durch Ungarn und zum Stand des ungarischen Aufbau- und Resilienzplans</w:t>
            </w:r>
            <w:r>
              <w:rPr>
                <w:b/>
                <w:i/>
                <w:vertAlign w:val="superscript"/>
              </w:rPr>
              <w:t>27</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27</w:t>
            </w:r>
            <w:r>
              <w:rPr>
                <w:b/>
                <w:i/>
              </w:rPr>
              <w:t xml:space="preserve"> ABl. C 167 vom 11.5.2023, S. 74.</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30. März 2023 zu dem Thema „Bericht über die Rechtsstaatlichkeit 2022 – Die Lage der Rechtsstaatlichkeit in der Europäischen Union</w:t>
            </w:r>
            <w:r>
              <w:rPr>
                <w:b/>
                <w:i/>
                <w:vertAlign w:val="superscript"/>
              </w:rPr>
              <w:t>28</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28</w:t>
            </w:r>
            <w:r>
              <w:t xml:space="preserve"> ABl. C 341 vom 28.4.2023,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104</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30. März 2023 zu dem Thema „Bericht über die Rechtsstaatlichkeit 2022 – Die Lage der Rechtsstaatlichkeit in der Europäischen Union</w:t>
            </w:r>
            <w:r>
              <w:rPr>
                <w:b/>
                <w:i/>
                <w:vertAlign w:val="superscript"/>
              </w:rPr>
              <w:t>28</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28</w:t>
            </w:r>
            <w:r>
              <w:t xml:space="preserve"> ABl. C 341 vom 27.9.2023,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105</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30. März 2023 zu dem Thema „Bericht über die Rechtsstaatlichkeit 2022 – Die Lage der Rechtsstaatlichkeit in der Europäischen Union</w:t>
            </w:r>
            <w:r>
              <w:rPr>
                <w:b/>
                <w:i/>
                <w:vertAlign w:val="superscript"/>
              </w:rPr>
              <w:t>28</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28</w:t>
            </w:r>
            <w:r>
              <w:rPr>
                <w:b/>
                <w:i/>
              </w:rPr>
              <w:t xml:space="preserve"> ABl. C 341 vom 27.9.2023, S. 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106</w:t>
      </w:r>
      <w:r>
        <w:rPr>
          <w:rStyle w:val="HideTWBExt"/>
        </w:rPr>
        <w:t>&lt;/NumAm&gt;</w:t>
      </w:r>
    </w:p>
    <w:p w:rsidR="00931B01" w:rsidRDefault="00931B01" w:rsidP="00931B01">
      <w:pPr>
        <w:pStyle w:val="NormalBold"/>
      </w:pPr>
      <w:r>
        <w:rPr>
          <w:rStyle w:val="HideTWBExt"/>
          <w:b w:val="0"/>
        </w:rPr>
        <w:t>&lt;RepeatBlock-By&gt;&lt;Members&gt;</w:t>
      </w:r>
      <w:r>
        <w:t>Loránt Vincze</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39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18. April 2023 zu den institutionellen Beziehungen zwischen der EU und dem Europarat</w:t>
            </w:r>
            <w:r>
              <w:rPr>
                <w:b/>
                <w:i/>
                <w:vertAlign w:val="superscript"/>
              </w:rPr>
              <w:t>28a</w:t>
            </w:r>
            <w:r>
              <w:rPr>
                <w:b/>
                <w:i/>
              </w:rPr>
              <w:t>,</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vertAlign w:val="superscript"/>
              </w:rPr>
              <w:t>28a</w:t>
            </w:r>
            <w:r>
              <w:t xml:space="preserve"> </w:t>
            </w:r>
            <w:r>
              <w:rPr>
                <w:b/>
                <w:i/>
              </w:rPr>
              <w:t>ABl. C, C/2023/442, 1.12.2023.</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107</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28. Februar 2024 zu dem Bericht der Kommission über die Rechtsstaatlichkeit 2023</w:t>
            </w:r>
            <w:r>
              <w:rPr>
                <w:b/>
                <w:i/>
                <w:vertAlign w:val="superscript"/>
              </w:rPr>
              <w:t>29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29</w:t>
            </w:r>
            <w:r>
              <w:t xml:space="preserve"> ABl. C, C/2024/6743, 26.11.2024, ELI:</w:t>
            </w:r>
            <w:r>
              <w:rPr>
                <w:b/>
                <w:i/>
              </w:rPr>
              <w:t xml:space="preserve"> http://data.europa.eu/eli/C/2024/6743/oj.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28. Februar 2024 zu dem Bericht der Kommission über die Rechtsstaatlichkeit 2023</w:t>
            </w:r>
            <w:r>
              <w:rPr>
                <w:b/>
                <w:i/>
                <w:vertAlign w:val="superscript"/>
              </w:rPr>
              <w:t>29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29</w:t>
            </w:r>
            <w:r>
              <w:t xml:space="preserve"> ABl. C, C/2024/6743, 26.11.2024, ELI:</w:t>
            </w:r>
            <w:r>
              <w:br/>
            </w:r>
            <w:r>
              <w:rPr>
                <w:b/>
                <w:i/>
              </w:rPr>
              <w:t>http://data.europa.eu/eli/C/2024/6743/oj.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109</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28. Februar 2024 zu dem Bericht der Kommission über die Rechtsstaatlichkeit 2023</w:t>
            </w:r>
            <w:r>
              <w:rPr>
                <w:b/>
                <w:i/>
                <w:vertAlign w:val="superscript"/>
              </w:rPr>
              <w:t>29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29</w:t>
            </w:r>
            <w:r>
              <w:t xml:space="preserve"> ABl. C, C/2024/6743, 26.11.2024, ELI:</w:t>
            </w:r>
            <w:r>
              <w:br/>
            </w:r>
            <w:r>
              <w:rPr>
                <w:b/>
                <w:i/>
              </w:rPr>
              <w:t>http://data.europa.eu/eli/C/2024/6743/oj.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110</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28. Februar 2024 zu dem Bericht der Kommission über die Rechtsstaatlichkeit 2023</w:t>
            </w:r>
            <w:r>
              <w:rPr>
                <w:b/>
                <w:i/>
                <w:vertAlign w:val="superscript"/>
              </w:rPr>
              <w:t>29</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29</w:t>
            </w:r>
            <w:r>
              <w:rPr>
                <w:b/>
                <w:i/>
              </w:rPr>
              <w:t xml:space="preserve"> ABl. C, C/2024/6743, 26.11.2024, ELI: http://data.europa.eu/eli/C/2024/6743/oj.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111</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 Juni 2023 zu den Verstößen gegen die Rechtsstaatlichkeit und die Grundrechte in Ungarn und zu den eingefrorenen EU-Mitteln</w:t>
            </w:r>
            <w:r>
              <w:rPr>
                <w:b/>
                <w:i/>
                <w:vertAlign w:val="superscript"/>
              </w:rPr>
              <w:t>30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30</w:t>
            </w:r>
            <w:r>
              <w:t xml:space="preserve"> ABl. C, C/2023/1223, 21.12.2023, ELI:</w:t>
            </w:r>
            <w:r>
              <w:rPr>
                <w:b/>
                <w:i/>
              </w:rPr>
              <w:t xml:space="preserve"> http://data.europa.eu/eli/C/2023/1223/oj.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112</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 Juni 2023 zu den Verstößen gegen die Rechtsstaatlichkeit und die Grundrechte in Ungarn und zu den eingefrorenen EU-Mitteln</w:t>
            </w:r>
            <w:r>
              <w:rPr>
                <w:b/>
                <w:i/>
                <w:vertAlign w:val="superscript"/>
              </w:rPr>
              <w:t>30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30</w:t>
            </w:r>
            <w:r>
              <w:t xml:space="preserve"> ABl. C, C/2023/1223, 21.12.2023, ELI:</w:t>
            </w:r>
            <w:r>
              <w:rPr>
                <w:b/>
                <w:i/>
              </w:rPr>
              <w:t xml:space="preserve"> http://data.europa.eu/eli/C/2023/1223/oj.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113</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 Juni 2023 zu den Verstößen gegen die Rechtsstaatlichkeit und die Grundrechte in Ungarn und zu den eingefrorenen EU-Mitteln</w:t>
            </w:r>
            <w:r>
              <w:rPr>
                <w:b/>
                <w:i/>
                <w:vertAlign w:val="superscript"/>
              </w:rPr>
              <w:t>30</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30</w:t>
            </w:r>
            <w:r>
              <w:rPr>
                <w:b/>
                <w:i/>
              </w:rPr>
              <w:t xml:space="preserve"> ABl. C, C/2023/1223, 21.12.2023, ELI: http://data.europa.eu/eli/C/2023/1223/oj.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114</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Empfehlung vom 15. Juni 2023 an den Rat und die Kommission nach der Prüfung von behaupteten Verstößen gegen das Unionsrecht und Missständen bei der Anwendung desselben im Zusammenhang mit dem Einsatz von Pegasus und ähnlicher Überwachungs- und Spähsoftware</w:t>
            </w:r>
            <w:r>
              <w:rPr>
                <w:b/>
                <w:i/>
                <w:vertAlign w:val="superscript"/>
              </w:rPr>
              <w:t>31</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31</w:t>
            </w:r>
            <w:r>
              <w:t xml:space="preserve"> ABl. C, C/2024/494, 23.1.2024, ELI:</w:t>
            </w:r>
            <w:r>
              <w:rPr>
                <w:b/>
                <w:i/>
              </w:rPr>
              <w:t xml:space="preserve"> http://data.europa.eu/eli/C/2024/494/oj.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115</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Empfehlung vom 15. Juni 2023 an den Rat und die Kommission nach der Prüfung von behaupteten Verstößen gegen das Unionsrecht und Missständen bei der Anwendung desselben im Zusammenhang mit dem Einsatz von Pegasus und ähnlicher Überwachungs- und Spähsoftware</w:t>
            </w:r>
            <w:r>
              <w:rPr>
                <w:b/>
                <w:i/>
                <w:vertAlign w:val="superscript"/>
              </w:rPr>
              <w:t>31</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31</w:t>
            </w:r>
            <w:r>
              <w:t xml:space="preserve"> ABl. C, C/2024/494, 23.1.2024, ELI:</w:t>
            </w:r>
            <w:r>
              <w:rPr>
                <w:b/>
                <w:i/>
              </w:rPr>
              <w:t xml:space="preserve"> http://data.europa.eu/eli/C/2024/494/oj.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116</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Empfehlung vom 15. Juni 2023 an den Rat und die Kommission nach der Prüfung von behaupteten Verstößen gegen das Unionsrecht und Missständen bei der Anwendung desselben im Zusammenhang mit dem Einsatz von Pegasus und ähnlicher Überwachungs- und Spähsoftware</w:t>
            </w:r>
            <w:r>
              <w:rPr>
                <w:b/>
                <w:i/>
                <w:vertAlign w:val="superscript"/>
              </w:rPr>
              <w:t>31</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31</w:t>
            </w:r>
            <w:r>
              <w:rPr>
                <w:b/>
                <w:i/>
              </w:rPr>
              <w:t xml:space="preserve"> ABl. C, C/2024/494, 23.1.2024, ELI: http://data.europa.eu/eli/C/2024/494/oj.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117</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11. Juli 2023 zu dem Wahlrecht, der Untersuchungskommission und der Rechtsstaatlichkeit in Polen</w:t>
            </w:r>
            <w:r>
              <w:rPr>
                <w:b/>
                <w:i/>
                <w:vertAlign w:val="superscript"/>
              </w:rPr>
              <w:t>32</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32</w:t>
            </w:r>
            <w:r>
              <w:rPr>
                <w:b/>
                <w:i/>
              </w:rPr>
              <w:t xml:space="preserve"> ABl. C, C/2024/3995, 17.7.2024, ELI: http://data.europa.eu/eli/C/2024/3995/oj.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11. Juli 2023 zu dem Wahlrecht, der Untersuchungskommission und der Rechtsstaatlichkeit in Polen</w:t>
            </w:r>
            <w:r>
              <w:rPr>
                <w:b/>
                <w:i/>
                <w:vertAlign w:val="superscript"/>
              </w:rPr>
              <w:t>32</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32</w:t>
            </w:r>
            <w:r>
              <w:t xml:space="preserve"> ABl. C, C/2024/3995, 17.7.2024, ELI:</w:t>
            </w:r>
            <w:r>
              <w:rPr>
                <w:b/>
                <w:i/>
              </w:rPr>
              <w:t xml:space="preserve"> http://data.europa.eu/eli/C/2024/3995/oj.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119</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11. Juli 2023 zu dem Wahlrecht, der Untersuchungskommission und der Rechtsstaatlichkeit in Polen</w:t>
            </w:r>
            <w:r>
              <w:rPr>
                <w:b/>
                <w:i/>
                <w:vertAlign w:val="superscript"/>
              </w:rPr>
              <w:t>32</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32</w:t>
            </w:r>
            <w:r>
              <w:t xml:space="preserve"> ABl. C, C/2024/3995, 23.1.2024, ELI:</w:t>
            </w:r>
            <w:r>
              <w:rPr>
                <w:b/>
                <w:i/>
              </w:rPr>
              <w:t xml:space="preserve"> http://data.europa.eu/eli/C/2024/3995/oj.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120</w:t>
      </w:r>
      <w:r>
        <w:rPr>
          <w:rStyle w:val="HideTWBExt"/>
        </w:rPr>
        <w:t>&lt;/NumAm&gt;</w:t>
      </w:r>
    </w:p>
    <w:p w:rsidR="00931B01" w:rsidRDefault="00931B01" w:rsidP="00931B01">
      <w:pPr>
        <w:pStyle w:val="NormalBold"/>
      </w:pPr>
      <w:r>
        <w:rPr>
          <w:rStyle w:val="HideTWBExt"/>
          <w:b w:val="0"/>
        </w:rPr>
        <w:t>&lt;RepeatBlock-By&gt;&lt;Members&gt;</w:t>
      </w:r>
      <w:r>
        <w:t>Emma Rafowicz, Birgit Sippel, Chloé Ridel, Krzysztof Śmiszek, Hannes Heide</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43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Stellungnahme der französischen Nationalen Beratenden Kommission für Menschenrechte vom 20. Juni 2024 zur Überwachung des öffentlichen Raums</w:t>
            </w:r>
            <w:r>
              <w:rPr>
                <w:b/>
                <w:i/>
                <w:vertAlign w:val="superscript"/>
              </w:rPr>
              <w:t>1a</w:t>
            </w:r>
            <w:r>
              <w:rPr>
                <w:b/>
                <w:i/>
              </w:rPr>
              <w:t>,</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vertAlign w:val="superscript"/>
              </w:rPr>
              <w:t>1a</w:t>
            </w:r>
            <w:r>
              <w:t xml:space="preserve"> </w:t>
            </w:r>
            <w:r>
              <w:rPr>
                <w:b/>
                <w:i/>
              </w:rPr>
              <w:t>Commission nationale consultative des droits de l'homme: Stellungnahme zur Überwachung des öffentlichen Raums, 20.6.2024.</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121</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19. Oktober 2023 zur Rechtsstaatlichkeit in Malta sechs Jahre nach der Ermordung von Daphne Caruana Galizia und zur Notwendigkeit, Journalisten zu schützen</w:t>
            </w:r>
            <w:r>
              <w:rPr>
                <w:b/>
                <w:i/>
                <w:vertAlign w:val="superscript"/>
              </w:rPr>
              <w:t>33</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33</w:t>
            </w:r>
            <w:r>
              <w:t xml:space="preserve"> ABl. C, C/2024/2656, 29.4.2024, ELI:</w:t>
            </w:r>
            <w:r>
              <w:rPr>
                <w:b/>
                <w:i/>
              </w:rPr>
              <w:t xml:space="preserve"> http://data.europa.eu/eli/C/2024/2656/oj.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122</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44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Mitteilung der Kommission vom 6. Dezember 2023 mit dem Titel „Kein Platz für Hass: ein Europa, das geeint gegen Hass steht“ (JOIN(2023)0051),</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123</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18. Januar 2024 zur Lage der Grundrechte in der Europäischen Union – Jahresbericht für die Jahre 2022 und 2023</w:t>
            </w:r>
            <w:r>
              <w:rPr>
                <w:b/>
                <w:i/>
                <w:vertAlign w:val="superscript"/>
              </w:rPr>
              <w:t>34</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34</w:t>
            </w:r>
            <w:r>
              <w:t xml:space="preserve"> ABl. C, C/2024/5739, 17.10.2024, ELI:</w:t>
            </w:r>
            <w:r>
              <w:rPr>
                <w:b/>
                <w:i/>
              </w:rPr>
              <w:t xml:space="preserve"> http://data.europa.eu/eli/C/2024/5739/oj.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124</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18. Januar 2024 zur Lage der Grundrechte in der Europäischen Union – Jahresbericht für die Jahre 2022 und 2023</w:t>
            </w:r>
            <w:r>
              <w:rPr>
                <w:b/>
                <w:i/>
                <w:vertAlign w:val="superscript"/>
              </w:rPr>
              <w:t>34</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34</w:t>
            </w:r>
            <w:r>
              <w:rPr>
                <w:b/>
                <w:i/>
              </w:rPr>
              <w:t xml:space="preserve"> ABl. C, C/2024/5739, 17.10.2024, ELI: http://data.europa.eu/eli/C/2024/5739/oj.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125</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45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24. April 2024 zu den laufenden Anhörungen gemäß Artikel 7 Absatz 1 EUV zu Ungarn zur Stärkung der Rechtsstaatlichkeit und ihren Auswirkungen auf den Haushalt,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126</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45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seine Entschließung vom 18. Januar 2024 zur Erweiterung der EU-Straftatbestände um Hetze und Hasskriminalität,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127</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Resolution 2262 (2019) vom 24. Januar 2019 der Parlamentarischen Versammlung des Europarats zur Förderung der Rechte von Personen, die nationalen Minderheiten angehören,</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Empfehlungen und Berichte des Büros für demokratische Institutionen und Menschenrechte, des Hohen Kommissars für nationale Minderheiten, des Beauftragten für Medienfreiheit und anderer Gremien der Organisation für Sicherheit und Zusammenarbeit in Europa (OSZE), auf die Zusammenarbeit zwischen der EU und der OSZE im Hinblick auf Demokratisierung, Institutionenaufbau und Einhaltung der Menschenrechte sowie auf den jährlichen OSZE-Bericht über Hassverbrechen, in denen sich die Teilnehmerstaaten dazu verpflichtet haben, Rechtsvorschriften zu erlassen, die Strafen vorsehen, die der Schwere der Hassverbrechen Rechnung tragen, Maßnahmen zu ergreifen, um die Dunkelziffer zu senken, und Maßnahmen zum Aufbau von Kapazitäten bei Polizei-, Strafverfolgungs- und Justizbeamten zur Prävention, Untersuchung und Strafverfolgung von Hassverbrechen einzuführen oder weiter auszubauen,</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129</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Bericht seines PEGA-Untersuchungsausschusses und dessen Empfehlung vom 15. Juni 2023 an den Rat und die Kommission nach der Prüfung von behaupteten Verstößen gegen das Unionsrecht und Missständen bei der Anwendung desselben im Zusammenhang mit dem Einsatz von Pegasus und ähnlicher Überwachungs- und Spähsoftware</w:t>
            </w:r>
            <w:r>
              <w:rPr>
                <w:b/>
                <w:i/>
                <w:vertAlign w:val="superscript"/>
              </w:rPr>
              <w:t>35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35</w:t>
            </w:r>
            <w:r>
              <w:t xml:space="preserve"> ABl. C, C/2024/494, 23.1.2024, ELI:</w:t>
            </w:r>
            <w:r>
              <w:rPr>
                <w:b/>
                <w:i/>
              </w:rPr>
              <w:t xml:space="preserve"> http://data.europa.eu/eli/C/2024/494/oj.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130</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Bericht seines PEGA-Untersuchungsausschusses und dessen Empfehlung vom 15. Juni 2023 an den Rat und die Kommission nach der Prüfung von behaupteten Verstößen gegen das Unionsrecht und Missständen bei der Anwendung desselben im Zusammenhang mit dem Einsatz von Pegasus und ähnlicher Überwachungs- und Spähsoftware</w:t>
            </w:r>
            <w:r>
              <w:rPr>
                <w:b/>
                <w:i/>
                <w:vertAlign w:val="superscript"/>
              </w:rPr>
              <w:t>35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35</w:t>
            </w:r>
            <w:r>
              <w:t xml:space="preserve"> ABl. C, C/2024/494, 23.1.2024, ELI:</w:t>
            </w:r>
            <w:r>
              <w:rPr>
                <w:b/>
                <w:i/>
              </w:rPr>
              <w:t xml:space="preserve"> http://data.europa.eu/eli/C/2024/494/oj.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131</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den Bericht seines PEGA-Untersuchungsausschusses und dessen Empfehlung vom 15. Juni 2023 an den Rat und die Kommission nach der Prüfung von behaupteten Verstößen gegen das Unionsrecht und Missständen bei der Anwendung desselben im Zusammenhang mit dem Einsatz von Pegasus und ähnlicher Überwachungs- und Spähsoftware</w:t>
            </w:r>
            <w:r>
              <w:rPr>
                <w:b/>
                <w:i/>
                <w:vertAlign w:val="superscript"/>
              </w:rPr>
              <w:t>35</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35</w:t>
            </w:r>
            <w:r>
              <w:rPr>
                <w:b/>
                <w:i/>
              </w:rPr>
              <w:t xml:space="preserve"> ABl. C, C/2024/494, 23.1.2024, ELI: http://data.europa.eu/eli/C/2024/494/oj.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132</w:t>
      </w:r>
      <w:r>
        <w:rPr>
          <w:rStyle w:val="HideTWBExt"/>
        </w:rPr>
        <w:t>&lt;/NumAm&gt;</w:t>
      </w:r>
    </w:p>
    <w:p w:rsidR="00931B01" w:rsidRDefault="00931B01" w:rsidP="00931B01">
      <w:pPr>
        <w:pStyle w:val="NormalBold"/>
      </w:pPr>
      <w:r>
        <w:rPr>
          <w:rStyle w:val="HideTWBExt"/>
          <w:b w:val="0"/>
        </w:rPr>
        <w:t>&lt;RepeatBlock-By&gt;&lt;Members&gt;</w:t>
      </w:r>
      <w:r>
        <w:t>Sebastian Tynkkynen</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48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Vorschlag der Kommission</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Umfrage der Agentur der Europäischen Union für Grundrechte zu den Erfahrungen von Jüdinnen und Juden im Zusammenhang mit Antisemitismus</w:t>
            </w:r>
            <w:r>
              <w:rPr>
                <w:b/>
                <w:i/>
                <w:vertAlign w:val="superscript"/>
              </w:rPr>
              <w:t>35a</w:t>
            </w:r>
            <w:r>
              <w:rPr>
                <w:b/>
                <w:i/>
              </w:rP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35a. Jewish People’s Experiences and Perceptions of Antisemitism – EU Survey of Jewish People (Erfahrungen und Wahrnehmungen von Jüdinnen und Juden im Zusammenhang mit Antisemitismus – Umfrage der EU unter Jüdinnen und Juden), 11.7.2024. https://fra.europa.eu/en/publication/2024/ experiences-and-perceptions- antisemitism-third-survey</w:t>
            </w:r>
          </w:p>
        </w:tc>
      </w:tr>
    </w:tbl>
    <w:p w:rsidR="00931B01" w:rsidRDefault="00931B01" w:rsidP="00931B01">
      <w:pPr>
        <w:pStyle w:val="AmOrLang"/>
      </w:pPr>
      <w:r>
        <w:t xml:space="preserve">Or. </w:t>
      </w:r>
      <w:r>
        <w:rPr>
          <w:rStyle w:val="HideTWBExt"/>
        </w:rPr>
        <w:t>&lt;Original&gt;</w:t>
      </w:r>
      <w:r>
        <w:rPr>
          <w:rStyle w:val="HideTWBInt"/>
        </w:rPr>
        <w:t>{FI}</w:t>
      </w:r>
      <w:r>
        <w:t>fi</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Feedback-Berichte, Berichte über Informationsreisen, schriftlichen Fragen und Antworten seiner Gruppe zur Beobachtung der Wahrung der Demokratie, der Rechtsstaatlichkeit und der Grundrechte (DRFMG)</w:t>
            </w:r>
            <w:r>
              <w:rPr>
                <w:b/>
                <w:i/>
                <w:vertAlign w:val="superscript"/>
              </w:rPr>
              <w:t>36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36</w:t>
            </w:r>
            <w:r>
              <w:t xml:space="preserve"> Für alle Beobachtungstätigkeiten der DRFMG siehe:</w:t>
            </w:r>
            <w:r>
              <w:rPr>
                <w:b/>
                <w:i/>
              </w:rPr>
              <w:t xml:space="preserve"> www.europarl.europa.eu/committees/de/libe-democracy-rule-of-law-and-fundament/product-details/20190103CDT02662.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134</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Feedback-Berichte, Berichte über Informationsreisen, schriftlichen Fragen und Antworten seiner Gruppe zur Beobachtung der Wahrung der Demokratie, der Rechtsstaatlichkeit und der Grundrechte (DRFMG)</w:t>
            </w:r>
            <w:r>
              <w:rPr>
                <w:b/>
                <w:i/>
                <w:vertAlign w:val="superscript"/>
              </w:rPr>
              <w:t>36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36</w:t>
            </w:r>
            <w:r>
              <w:t xml:space="preserve"> Für alle Beobachtungstätigkeiten der DRFMG siehe:</w:t>
            </w:r>
            <w:r>
              <w:rPr>
                <w:b/>
                <w:i/>
              </w:rPr>
              <w:t xml:space="preserve"> www.europarl.europa.eu/committees/de/libe-democracy-rule-of-law-and-fundament/product-details/20190103CDT02662.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135</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Feedback-Berichte, Berichte über Informationsreisen, schriftlichen Fragen und Antworten seiner Gruppe zur Beobachtung der Wahrung der Demokratie, der Rechtsstaatlichkeit und der Grundrechte (DRFMG)</w:t>
            </w:r>
            <w:r>
              <w:rPr>
                <w:b/>
                <w:i/>
                <w:vertAlign w:val="superscript"/>
              </w:rPr>
              <w:t>36</w:t>
            </w:r>
            <w:r>
              <w:rPr>
                <w:b/>
                <w:i/>
              </w:rPr>
              <w:t>,</w:t>
            </w:r>
          </w:p>
        </w:tc>
        <w:tc>
          <w:tcPr>
            <w:tcW w:w="4876" w:type="dxa"/>
            <w:tcBorders>
              <w:top w:val="nil"/>
              <w:left w:val="nil"/>
              <w:bottom w:val="nil"/>
              <w:right w:val="nil"/>
            </w:tcBorders>
          </w:tcPr>
          <w:p w:rsidR="00931B01" w:rsidRDefault="00931B01" w:rsidP="00104ED4">
            <w:pPr>
              <w:pStyle w:val="Normal6a"/>
            </w:pPr>
            <w:r>
              <w:rPr>
                <w:b/>
                <w:i/>
              </w:rPr>
              <w:t>entfällt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36</w:t>
            </w:r>
            <w:r>
              <w:rPr>
                <w:b/>
                <w:i/>
              </w:rPr>
              <w:t xml:space="preserve"> Für alle Beobachtungstätigkeiten der DRFMG siehe: www.europarl.europa.eu/committees/de/libe-democracy-rule-of-law-and-fundament/product-details/20190103CDT02662.</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136</w:t>
      </w:r>
      <w:r>
        <w:rPr>
          <w:rStyle w:val="HideTWBExt"/>
        </w:rPr>
        <w:t>&lt;/NumAm&gt;</w:t>
      </w:r>
    </w:p>
    <w:p w:rsidR="00931B01" w:rsidRDefault="00931B01" w:rsidP="00931B01">
      <w:pPr>
        <w:pStyle w:val="NormalBold"/>
      </w:pPr>
      <w:r>
        <w:rPr>
          <w:rStyle w:val="HideTWBExt"/>
          <w:b w:val="0"/>
        </w:rPr>
        <w:t>&lt;RepeatBlock-By&gt;&lt;Members&gt;</w:t>
      </w:r>
      <w:r>
        <w:t>Tomas Tobé, Mika Aaltola, Pekka Toveri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49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das gemeinsame Schreiben, das am 16. September 2024 bei einem Treffen der Regierungen Finnlands und Schwedens aufgesetzt wurde, zu einem umfassenden Konzept für die Stärkung von Rechtsstaatlichkeitspolitik und -instrumenten,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137</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52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aktuellen Berichte des Europäischen Rechnungshofs über die Durchsetzung des EU-Rechts (Sonderbericht 28/2024), über die Berichterstattung der Kommission über die Rechtsstaatlichkeit (Analyse 02/2024) und über die Rechtsstaatlichkeit in der EU (Sonderbericht 03/2024) sowie die darin enthaltenen Empfehlungen,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138</w:t>
      </w:r>
      <w:r>
        <w:rPr>
          <w:rStyle w:val="HideTWBExt"/>
        </w:rPr>
        <w:t>&lt;/NumAm&gt;</w:t>
      </w:r>
    </w:p>
    <w:p w:rsidR="00931B01" w:rsidRDefault="00931B01" w:rsidP="00931B01">
      <w:pPr>
        <w:pStyle w:val="NormalBold"/>
      </w:pPr>
      <w:r>
        <w:rPr>
          <w:rStyle w:val="HideTWBExt"/>
          <w:b w:val="0"/>
        </w:rPr>
        <w:t>&lt;RepeatBlock-By&gt;&lt;Members&gt;</w:t>
      </w:r>
      <w:r>
        <w:t>Lukas Mandl</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52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politischen Leitlinien für die nächste Europäische Kommission 2024-2029, die am 18. Juli 2024 von Ursula von der Leyen in ihrer Eigenschaft als Kandidatin für das Amt des Präsidenten der Kommission im Europäischen Parlament vorgestellt wurden,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139</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Abir Al-Sahlani, Chloé Ridel, Fabienne Keller, Lucia Yar, Irena Joveva, Isabel Wiseler-Lima</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Bezugsvermerk 52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w:t>
            </w:r>
            <w:r>
              <w:tab/>
            </w:r>
            <w:r>
              <w:rPr>
                <w:b/>
                <w:i/>
              </w:rPr>
              <w:t>unter Hinweis auf die Eurobarometer-Umfragen von 2024 zum Thema Korruption, aus denen hervorgeht, dass Korruption für die Bürger und die Unternehmen in der EU nach wie vor Anlass zu großer Besorgnis ist,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140</w:t>
      </w:r>
      <w:r>
        <w:rPr>
          <w:rStyle w:val="HideTWBExt"/>
        </w:rPr>
        <w:t>&lt;/NumAm&gt;</w:t>
      </w:r>
    </w:p>
    <w:p w:rsidR="00931B01" w:rsidRDefault="00931B01" w:rsidP="00931B01">
      <w:pPr>
        <w:pStyle w:val="NormalBold"/>
      </w:pPr>
      <w:r>
        <w:rPr>
          <w:rStyle w:val="HideTWBExt"/>
          <w:b w:val="0"/>
        </w:rPr>
        <w:t>&lt;RepeatBlock-By&gt;&lt;Members&gt;</w:t>
      </w:r>
      <w:r>
        <w:t>Isabel Serra Sánchez, Ana Catarina Mendes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A.</w:t>
            </w:r>
            <w:r>
              <w:tab/>
              <w:t xml:space="preserve">in der Erwägung, dass sich die Union auf folgende in Artikel 2 niedergelegte gemeinsame Werte gründet: Achtung der Menschenwürde, Freiheit, Demokratie, Gleichheit, Rechtsstaatlichkeit und Achtung der Menschenrechte, einschließlich der Rechte von Personen, die einer Minderheit angehören – Werte, die allen </w:t>
            </w:r>
            <w:r>
              <w:rPr>
                <w:b/>
                <w:i/>
              </w:rPr>
              <w:t>Mitgliedstaaten</w:t>
            </w:r>
            <w:r>
              <w:t xml:space="preserve"> gemeinsam sind;</w:t>
            </w:r>
          </w:p>
        </w:tc>
        <w:tc>
          <w:tcPr>
            <w:tcW w:w="4876" w:type="dxa"/>
            <w:tcBorders>
              <w:top w:val="nil"/>
              <w:left w:val="nil"/>
              <w:bottom w:val="nil"/>
              <w:right w:val="nil"/>
            </w:tcBorders>
          </w:tcPr>
          <w:p w:rsidR="00931B01" w:rsidRDefault="00931B01" w:rsidP="00104ED4">
            <w:pPr>
              <w:pStyle w:val="Normal6a"/>
            </w:pPr>
            <w:r>
              <w:t>A.</w:t>
            </w:r>
            <w:r>
              <w:tab/>
              <w:t xml:space="preserve">in der Erwägung, dass sich die Union auf folgende in Artikel 2 </w:t>
            </w:r>
            <w:r>
              <w:rPr>
                <w:b/>
                <w:i/>
              </w:rPr>
              <w:t xml:space="preserve">EUV </w:t>
            </w:r>
            <w:r>
              <w:t xml:space="preserve">niedergelegte gemeinsame Werte gründet: Achtung der Menschenwürde, Freiheit, Demokratie, Gleichheit, Rechtsstaatlichkeit und Achtung der Menschenrechte, einschließlich der Rechte von Personen, die einer Minderheit angehören – Werte, die allen </w:t>
            </w:r>
            <w:r>
              <w:rPr>
                <w:b/>
                <w:i/>
              </w:rPr>
              <w:t>EU-Mitgliedstaaten</w:t>
            </w:r>
            <w:r>
              <w:t xml:space="preserve"> gemeinsam</w:t>
            </w:r>
            <w:r>
              <w:rPr>
                <w:b/>
                <w:i/>
              </w:rPr>
              <w:t>, in der Charta verankert und in internationalen Menschenrechtsverträgen festgeschrieben</w:t>
            </w:r>
            <w:r>
              <w:t xml:space="preserve"> sind; </w:t>
            </w:r>
            <w:r>
              <w:rPr>
                <w:b/>
                <w:i/>
              </w:rPr>
              <w:t>in der Erwägung, dass die Charta zum Primärrecht der EU gehört; in der Erwägung, dass Demokratie, Rechtsstaatlichkeit und Grundrechte Werte sind, die sich gegenseitig verstärken und deren etwaige Aushöhlung eine systemische Bedrohung für die Rechte und Freiheiten der Menschen in der EU darstellt;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141</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A.</w:t>
            </w:r>
            <w:r>
              <w:tab/>
              <w:t>in der Erwägung, dass sich die Union auf folgende in Artikel 2 niedergelegte gemeinsame Werte gründet: Achtung der Menschenwürde, Freiheit, Demokratie, Gleichheit, Rechtsstaatlichkeit und Achtung der Menschenrechte, einschließlich der Rechte von Personen, die einer Minderheit angehören – Werte, die allen Mitgliedstaaten gemeinsam sind;</w:t>
            </w:r>
          </w:p>
        </w:tc>
        <w:tc>
          <w:tcPr>
            <w:tcW w:w="4876" w:type="dxa"/>
            <w:tcBorders>
              <w:top w:val="nil"/>
              <w:left w:val="nil"/>
              <w:bottom w:val="nil"/>
              <w:right w:val="nil"/>
            </w:tcBorders>
          </w:tcPr>
          <w:p w:rsidR="00931B01" w:rsidRDefault="00931B01" w:rsidP="00104ED4">
            <w:pPr>
              <w:pStyle w:val="Normal6a"/>
            </w:pPr>
            <w:r>
              <w:t>A.</w:t>
            </w:r>
            <w:r>
              <w:tab/>
              <w:t xml:space="preserve">in der Erwägung, dass sich die Union auf folgende in Artikel 2 </w:t>
            </w:r>
            <w:r>
              <w:rPr>
                <w:b/>
                <w:i/>
              </w:rPr>
              <w:t xml:space="preserve">EUV </w:t>
            </w:r>
            <w:r>
              <w:t xml:space="preserve">niedergelegte gemeinsame Werte gründet: Achtung der Menschenwürde, Freiheit, Demokratie, Gleichheit, Rechtsstaatlichkeit und Achtung der Menschenrechte, einschließlich der Rechte von Personen, die einer Minderheit angehören – Werte, die allen Mitgliedstaaten </w:t>
            </w:r>
            <w:r>
              <w:rPr>
                <w:b/>
                <w:i/>
              </w:rPr>
              <w:t xml:space="preserve">in einer Gesellschaft </w:t>
            </w:r>
            <w:r>
              <w:t>gemeinsam sind</w:t>
            </w:r>
            <w:r>
              <w:rPr>
                <w:b/>
                <w:i/>
              </w:rPr>
              <w:t>, die auf Pluralismus, dem Diskriminierungsverbot, Toleranz, Gerechtigkeit, Solidarität und der Gleichheit von Frauen und Männern beruht</w:t>
            </w:r>
            <w:r>
              <w: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142</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A.</w:t>
            </w:r>
            <w:r>
              <w:tab/>
              <w:t xml:space="preserve">in der Erwägung, dass sich die </w:t>
            </w:r>
            <w:r>
              <w:rPr>
                <w:b/>
                <w:i/>
              </w:rPr>
              <w:t>Union</w:t>
            </w:r>
            <w:r>
              <w:t xml:space="preserve"> auf folgende in Artikel 2 niedergelegte gemeinsame Werte gründet: Achtung der Menschenwürde, Freiheit, Demokratie, Gleichheit, Rechtsstaatlichkeit und Achtung der Menschenrechte, einschließlich der Rechte von Personen, die einer Minderheit angehören – Werte, die allen Mitgliedstaaten gemeinsam sind;</w:t>
            </w:r>
          </w:p>
        </w:tc>
        <w:tc>
          <w:tcPr>
            <w:tcW w:w="4876" w:type="dxa"/>
            <w:tcBorders>
              <w:top w:val="nil"/>
              <w:left w:val="nil"/>
              <w:bottom w:val="nil"/>
              <w:right w:val="nil"/>
            </w:tcBorders>
          </w:tcPr>
          <w:p w:rsidR="00931B01" w:rsidRDefault="00931B01" w:rsidP="00104ED4">
            <w:pPr>
              <w:pStyle w:val="Normal6a"/>
            </w:pPr>
            <w:r>
              <w:t>A.</w:t>
            </w:r>
            <w:r>
              <w:tab/>
              <w:t xml:space="preserve">in der Erwägung, dass sich die </w:t>
            </w:r>
            <w:r>
              <w:rPr>
                <w:b/>
                <w:i/>
              </w:rPr>
              <w:t>EU</w:t>
            </w:r>
            <w:r>
              <w:t xml:space="preserve"> auf folgende in Artikel 2</w:t>
            </w:r>
            <w:r>
              <w:rPr>
                <w:b/>
                <w:i/>
              </w:rPr>
              <w:t xml:space="preserve"> EUV</w:t>
            </w:r>
            <w:r>
              <w:t xml:space="preserve"> niedergelegte gemeinsame Werte gründet: Achtung der Menschenwürde, Freiheit, Demokratie, Gleichheit, Rechtsstaatlichkeit und Achtung der Menschenrechte, einschließlich der Rechte von Personen, die einer Minderheit angehören – Werte, die allen Mitgliedstaaten </w:t>
            </w:r>
            <w:r>
              <w:rPr>
                <w:b/>
                <w:i/>
              </w:rPr>
              <w:t xml:space="preserve">der EU in einem Gemeinwesen </w:t>
            </w:r>
            <w:r>
              <w:t>gemeinsam sind</w:t>
            </w:r>
            <w:r>
              <w:rPr>
                <w:b/>
                <w:i/>
              </w:rPr>
              <w:t>,  in dem Pluralismus, ein Diskriminierungsverbot, Toleranz, Gerechtigkeit, Solidarität und die Gleichstellung der Geschlechter herrschen</w:t>
            </w:r>
            <w:r>
              <w: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143</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A.</w:t>
            </w:r>
            <w:r>
              <w:tab/>
              <w:t xml:space="preserve">in der Erwägung, dass sich die Union auf folgende in Artikel 2 niedergelegte gemeinsame Werte gründet: Achtung der Menschenwürde, Freiheit, Demokratie, Gleichheit, Rechtsstaatlichkeit und Achtung der Menschenrechte, einschließlich der Rechte von Personen, die einer Minderheit angehören – Werte, die allen </w:t>
            </w:r>
            <w:r>
              <w:rPr>
                <w:b/>
                <w:i/>
              </w:rPr>
              <w:t>Mitgliedstaaten</w:t>
            </w:r>
            <w:r>
              <w:t xml:space="preserve"> gemeinsam sind;</w:t>
            </w:r>
          </w:p>
        </w:tc>
        <w:tc>
          <w:tcPr>
            <w:tcW w:w="4876" w:type="dxa"/>
            <w:tcBorders>
              <w:top w:val="nil"/>
              <w:left w:val="nil"/>
              <w:bottom w:val="nil"/>
              <w:right w:val="nil"/>
            </w:tcBorders>
          </w:tcPr>
          <w:p w:rsidR="00931B01" w:rsidRDefault="00931B01" w:rsidP="00104ED4">
            <w:pPr>
              <w:pStyle w:val="Normal6a"/>
            </w:pPr>
            <w:r>
              <w:t>A.</w:t>
            </w:r>
            <w:r>
              <w:tab/>
              <w:t xml:space="preserve">in der Erwägung, dass sich die Union auf folgende in Artikel 2 </w:t>
            </w:r>
            <w:r>
              <w:rPr>
                <w:b/>
                <w:i/>
              </w:rPr>
              <w:t xml:space="preserve">EUV </w:t>
            </w:r>
            <w:r>
              <w:t xml:space="preserve">niedergelegte gemeinsame Werte gründet: Achtung der Menschenwürde, Freiheit, Demokratie, Gleichheit, Rechtsstaatlichkeit und Achtung der Menschenrechte, einschließlich der Rechte von Personen, die einer Minderheit angehören – Werte, die allen </w:t>
            </w:r>
            <w:r>
              <w:rPr>
                <w:b/>
                <w:i/>
              </w:rPr>
              <w:t>EU-Mitgliedstaaten</w:t>
            </w:r>
            <w:r>
              <w:t xml:space="preserve"> gemeinsam sind; </w:t>
            </w:r>
            <w:r>
              <w:rPr>
                <w:b/>
                <w:i/>
              </w:rPr>
              <w:t>in der Erwägung, dass sich die Organe der Union bei ihrem Handeln auch an die Rechtsstaatlichkeit halten müssen;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144</w:t>
      </w:r>
      <w:r>
        <w:rPr>
          <w:rStyle w:val="HideTWBExt"/>
        </w:rPr>
        <w:t>&lt;/NumAm&gt;</w:t>
      </w:r>
    </w:p>
    <w:p w:rsidR="00931B01" w:rsidRDefault="00931B01" w:rsidP="00931B01">
      <w:pPr>
        <w:pStyle w:val="NormalBold"/>
      </w:pPr>
      <w:r>
        <w:rPr>
          <w:rStyle w:val="HideTWBExt"/>
          <w:b w:val="0"/>
        </w:rPr>
        <w:t>&lt;RepeatBlock-By&gt;&lt;Members&gt;</w:t>
      </w:r>
      <w:r>
        <w:t>Klára Dobrev, Csaba Molnár, Birgit Sippel, Krzysztof Śmiszek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sich aus Artikel 49 EUV, wonach jeder europäische Staat beantragen kann, Mitglied der Europäischen Union zu werden, ergibt, dass die Union aus Staaten besteht, die sich von sich aus und freiwillig zu den in Artikel 2 EUV genannten gemeinsamen Werten bekannt haben, diese Werte achten und sich für ihre Förderung einsetzen; in der Erwägung, dass das EU-Recht folglich auf der grundlegenden Prämisse beruht, dass jeder Mitgliedstaat mit allen übrigen Mitgliedstaaten diese gemeinsamen Werte teilt und anerkennt, dass diese sie mit ihm teilen; in der Erwägung, dass diese Prämisse die Existenz gegenseitigen Vertrauens zwischen den Mitgliedstaaten bei der Anerkennung dieser Werte und damit bei der Beachtung des Unionsrechts, mit dem sie umgesetzt werden, impliziert und rechtfertigt</w:t>
            </w:r>
            <w:r>
              <w:rPr>
                <w:b/>
                <w:i/>
                <w:vertAlign w:val="superscript"/>
              </w:rPr>
              <w:t>1a2a</w:t>
            </w:r>
            <w:r>
              <w:rPr>
                <w:b/>
                <w:i/>
              </w:rPr>
              <w:t>;</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vertAlign w:val="superscript"/>
              </w:rPr>
              <w:t>1a</w:t>
            </w:r>
            <w:r>
              <w:t xml:space="preserve"> </w:t>
            </w:r>
            <w:r>
              <w:rPr>
                <w:b/>
                <w:i/>
              </w:rPr>
              <w:t>EuGH: Gutachten 2/13 vom 18. Dezember 2014, ECLI:EU:C:2014:2454, Rn. 168.</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vertAlign w:val="superscript"/>
              </w:rPr>
              <w:t>2a</w:t>
            </w:r>
            <w:r>
              <w:t xml:space="preserve"> </w:t>
            </w:r>
            <w:r>
              <w:rPr>
                <w:b/>
                <w:i/>
              </w:rPr>
              <w:t>EuGH: Urteil vom 24. Juni 2019, Rechtssache C-619/18, Europäische Kommission / Republik Polen, ECLI:EU:C:2019:531, Randnummer 42.</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145</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sich aus Artikel 49 EUV, wonach jeder europäische Staat beantragen kann, Mitglied der Europäischen Union zu werden, ergibt, dass die Europäische Union aus Staaten besteht, die sich von sich aus und freiwillig zu den in Artikel 2 EUV genannten gemeinsamen Werten bekannt haben, diese Werte achten und sich für ihre Förderung einsetzen, sodass das EU-Recht auf der grundlegenden Prämisse beruht, dass jeder Mitgliedstaat mit allen übrigen Mitgliedstaaten eine Reihe gemeinsamer Werte teilt und anerkennt, dass diese sie mit ihm teilen; in der Erwägung, dass die Mitgliedstaaten dafür Sorge tragen müssen, dass es zu keinen Rückschritten bei dem Schutz der in Artikel 2 EUV verankerten Werte kommt;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146</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die Vergangenheit Europas unbedingt auf der Grundlage der in Artikel 2 EUV verankerten Werte betrachtet werden muss; in der Erwägung, dass Geschichte niemals zu politischen Zwecken relativiert, verzerrt oder verfälscht werden darf; in der Erwägung, dass dazu beigetragen wird, die Geschichte und die Verbrechen totalitärer Regime, die nicht erneut begangen werden dürfen, zu verleugnen, wenn Mitgliedstaaten Gesetze im Zusammenhang mit dem Gedenken missbrauchen und gegen sie verstoßen; in der Erwägung, dass lokale Behörden einiger Gemeinden in Spanien im vergangenen Jahr gegen das spanische Gesetz über die historische Erinnerung verstoßen haben;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147</w:t>
      </w:r>
      <w:r>
        <w:rPr>
          <w:rStyle w:val="HideTWBExt"/>
        </w:rPr>
        <w:t>&lt;/NumAm&gt;</w:t>
      </w:r>
    </w:p>
    <w:p w:rsidR="00931B01" w:rsidRDefault="00931B01" w:rsidP="00931B01">
      <w:pPr>
        <w:pStyle w:val="NormalBold"/>
      </w:pPr>
      <w:r>
        <w:rPr>
          <w:rStyle w:val="HideTWBExt"/>
          <w:b w:val="0"/>
        </w:rPr>
        <w:t>&lt;RepeatBlock-By&gt;&lt;Members&gt;</w:t>
      </w:r>
      <w:r>
        <w:t>Michał Wawrykiewicz, Ana Catarina Mendes, Moritz Körner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Organisationen der Zivilgesellschaft, Angehörige der Rechtsberufe, Verbände, unabhängige Medien und Basisbewegungen nach wie vor ein Eckpfeiler der Rechtsstaatlichkeit sind, da sie Transparenz, Rechenschaftspflicht und die Bürgerbeteiligung an demokratischen Prozessen fördern; in der Erwägung, dass diese Akteure maßgeblich zur Wahrung der Unabhängigkeit der Justiz, der Meinungsfreiheit und anderer verfassungsrechtlicher Werte beitragen und bei ihrer Arbeit häufig zunehmenden politischen und rechtlichen Hindernissen ausgesetzt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148</w:t>
      </w:r>
      <w:r>
        <w:rPr>
          <w:rStyle w:val="HideTWBExt"/>
        </w:rPr>
        <w:t>&lt;/NumAm&gt;</w:t>
      </w:r>
    </w:p>
    <w:p w:rsidR="00931B01" w:rsidRDefault="00931B01" w:rsidP="00931B01">
      <w:pPr>
        <w:pStyle w:val="NormalBold"/>
      </w:pPr>
      <w:r>
        <w:rPr>
          <w:rStyle w:val="HideTWBExt"/>
          <w:b w:val="0"/>
        </w:rPr>
        <w:t>&lt;RepeatBlock-By&gt;&lt;Members&gt;</w:t>
      </w:r>
      <w:r>
        <w:t>Marieke Ehlers, Jorge Buxadé Villalba, Tom Vandendriessche,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die Kommission einerseits die Mitgliedstaaten an das EU-Recht binden will, indem sie die Union hierarchisch über die Mitgliedstaaten stellt, andererseits aber versucht, die herkömmliche Bedeutung von Rechtsstaatlichkeit abzuändern, indem sie eine subjektive Reihe von Werten und Grundsätzen konstruiert;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149</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es auf EU-Ebene keine vereinbarte Definition von Rechtsstaatlichkeit und kein einheitliches System zur Bewertung ihrer Einhaltung gibt, das unter Berücksichtigung der Vielfalt der Verfassungssysteme und -traditionen gleichermaßen auf alle Mitgliedstaaten Anwendung finden würde;</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150</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Gewaltenteilung, Gleichheit vor dem Gesetz, Transparenz und Rechenschaftspflicht fundamentale Grundsätze einer gesunden Demokratie sind; in der Erwägung, dass die Organe der Union diese Grundsätze gemäß den Verträgen fördern müssen;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151</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der jährliche Bericht über die Rechtsstaatlichkeit ein von der Kommission geschaffenes Instrument ist, das keine Rechtsgrundlage in den Verträgen hat;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152</w:t>
      </w:r>
      <w:r>
        <w:rPr>
          <w:rStyle w:val="HideTWBExt"/>
        </w:rPr>
        <w:t>&lt;/NumAm&gt;</w:t>
      </w:r>
    </w:p>
    <w:p w:rsidR="00931B01" w:rsidRDefault="00931B01" w:rsidP="00931B01">
      <w:pPr>
        <w:pStyle w:val="NormalBold"/>
      </w:pPr>
      <w:r>
        <w:rPr>
          <w:rStyle w:val="HideTWBExt"/>
          <w:b w:val="0"/>
        </w:rPr>
        <w:t>&lt;RepeatBlock-By&gt;&lt;Members&gt;</w:t>
      </w:r>
      <w:r>
        <w:t>Mary Khan, Christine Anderson, Milan Uhrík, 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Aa.</w:t>
            </w:r>
            <w:r>
              <w:rPr>
                <w:b/>
                <w:i/>
              </w:rPr>
              <w:tab/>
              <w:t>in der Erwägung, dass das Gesetz über digitale Dienste eindeutig eine Bedrohung des Rechts auf freie Meinungsäußerung und der Redefreiheit ist;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153</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Ab.</w:t>
            </w:r>
            <w:r>
              <w:rPr>
                <w:b/>
                <w:i/>
              </w:rPr>
              <w:tab/>
              <w:t>in der Erwägung, dass der systematische Raub von Säuglingen während der Franco-Diktatur und in den ersten Jahren der Demokratie, als Tausende Neugeborene ihren Müttern entrissen und illegal adoptiert wurden, ein Verbrechen darstellt, das weitgehend ungestraft geblieben ist und nach Gerechtigkeit, Wahrheit und Wiedergutmachung verlangt; in der Erwägung, dass die andauernde Straffreiheit und institutionelle Untätigkeit mit Blick auf diese Verbrechen eine schwerwiegende Verletzung der Rechtsstaatlichkeit darstellt, die den Zugang der Opfer zu Wahrheit, Gerechtigkeit und Wiedergutmachung untergräbt und deutlich macht, dass die in Artikel 2 EUV verankerten europäischen Werte und die internationalen Menschenrechtsverpflichtungen unbedingt eingehalten werden müssen;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154</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Ab.</w:t>
            </w:r>
            <w:r>
              <w:rPr>
                <w:b/>
                <w:i/>
              </w:rPr>
              <w:tab/>
              <w:t>in der Erwägung, dass der Grundsatz der loyalen Zusammenarbeit nach Maßgabe von Artikel 4 Absatz 3 EUV die Union und die Mitgliedstaaten dazu verpflichtet, bei der Erfüllung der Aufgaben, die sich aus den Verträgen ergeben, einander in vollem gegenseitigem Respekt zu unterstützen, und die Mitgliedstaaten alle geeigneten Maßnahmen allgemeiner oder besonderer Art zur Erfüllung der Verpflichtungen ergreifen müssen, die sich aus den Verträgen oder den Handlungen der Organe der Union ergeben; in der Erwägung, dass die Mitgliedstaaten keine Maßnahmen ergreifen sollten, die verhindern könnten, dass die Ziele der Union erreicht werden;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155</w:t>
      </w:r>
      <w:r>
        <w:rPr>
          <w:rStyle w:val="HideTWBExt"/>
        </w:rPr>
        <w:t>&lt;/NumAm&gt;</w:t>
      </w:r>
    </w:p>
    <w:p w:rsidR="00931B01" w:rsidRDefault="00931B01" w:rsidP="00931B01">
      <w:pPr>
        <w:pStyle w:val="NormalBold"/>
      </w:pPr>
      <w:r>
        <w:rPr>
          <w:rStyle w:val="HideTWBExt"/>
          <w:b w:val="0"/>
        </w:rPr>
        <w:t>&lt;RepeatBlock-By&gt;&lt;Members&gt;</w:t>
      </w:r>
      <w:r>
        <w:t>Jorge Buxadé Villalba,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Ab.</w:t>
            </w:r>
            <w:r>
              <w:rPr>
                <w:b/>
                <w:i/>
              </w:rPr>
              <w:tab/>
              <w:t>in der Erwägung, dass das Recht auf freie Meinungsäußerung und das Recht auf Information in der Union nicht hinreichend geschützt sind; in der Erwägung, dass die Medienkonzentration, die mangelnde Transparenz bei den Eigentumsverhältnissen im Medienbereich und bei öffentlicher Finanzierung, die Tatsache, dass Leitartikel kommerziellen und politischen Einflüssen unterworfen sind, und Rentabilitätsprobleme Gefahren für das Recht auf Information darstellen; in der Erwägung, dass die Förderung der Moderation von legalen Inhalten und Faktenprüfungen durch nicht unabhängige Organisationen unverblümte Angriffe auf das Recht auf freie Meinungsäußerung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156</w:t>
      </w:r>
      <w:r>
        <w:rPr>
          <w:rStyle w:val="HideTWBExt"/>
        </w:rPr>
        <w:t>&lt;/NumAm&gt;</w:t>
      </w:r>
    </w:p>
    <w:p w:rsidR="00931B01" w:rsidRDefault="00931B01" w:rsidP="00931B01">
      <w:pPr>
        <w:pStyle w:val="NormalBold"/>
      </w:pPr>
      <w:r>
        <w:rPr>
          <w:rStyle w:val="HideTWBExt"/>
          <w:b w:val="0"/>
        </w:rPr>
        <w:t>&lt;RepeatBlock-By&gt;&lt;Members&gt;</w:t>
      </w:r>
      <w:r>
        <w:t>Marieke Ehlers, Jorge Buxadé Villalba, Tom Vandendriessche,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Ab.</w:t>
            </w:r>
            <w:r>
              <w:rPr>
                <w:b/>
                <w:i/>
              </w:rPr>
              <w:tab/>
              <w:t>in der Erwägung, dass es keine gemeinsame europäische Definition von Rechtsstaatlichkeit gibt, da Begriffe wie „rule of law“, „Rechtsstaatlichkeit“ und „État de droit“ je nach Rechtstradition unterschiedliche Dinge bezeichnen; in der Erwägung, dass der Versuch, Rechtsstaatlichkeit zu definieren, zulasten der bestehenden langjährigen Rechtstraditionen in ganz Europa gehen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157</w:t>
      </w:r>
      <w:r>
        <w:rPr>
          <w:rStyle w:val="HideTWBExt"/>
        </w:rPr>
        <w:t>&lt;/NumAm&gt;</w:t>
      </w:r>
    </w:p>
    <w:p w:rsidR="00931B01" w:rsidRDefault="00931B01" w:rsidP="00931B01">
      <w:pPr>
        <w:pStyle w:val="NormalBold"/>
      </w:pPr>
      <w:r>
        <w:rPr>
          <w:rStyle w:val="HideTWBExt"/>
          <w:b w:val="0"/>
        </w:rPr>
        <w:t>&lt;RepeatBlock-By&gt;&lt;Members&gt;</w:t>
      </w:r>
      <w:r>
        <w:t>Mary Khan, Christine Anderson, Milan Uhrík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Ab.</w:t>
            </w:r>
            <w:r>
              <w:rPr>
                <w:b/>
                <w:i/>
              </w:rPr>
              <w:tab/>
              <w:t>in der Erwägung, dass einige ausländische Milliardäre wie Bill Gates und George Soros Millionen in Medienunternehmen in Deutschland investieren, um die öffentliche Meinung zu lenken; in der Erwägung, dass die EU zu dieser Einmischung schweigt, jedoch kein Blatt vor den Mund nimmt, wenn die mutmaßliche Einmischung von konservativen Quellen kommt, die sie ablehnt, wie etwa von Elon Musk;</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158</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Ab.</w:t>
            </w:r>
            <w:r>
              <w:rPr>
                <w:b/>
                <w:i/>
              </w:rPr>
              <w:tab/>
              <w:t>in der Erwägung, dass der Bericht über die Rechtsstaatlichkeit ohne einen objektiven, fairen, unparteiischen und faktenbasierten Ansatz ein Instrument ist, dem es an Glaubwürdigkeit mangelt und das im Rahmen anderer Mechanismen nicht berücksichtigt werden kann;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159</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Ac.</w:t>
            </w:r>
            <w:r>
              <w:rPr>
                <w:b/>
                <w:i/>
              </w:rPr>
              <w:tab/>
              <w:t>in der Erwägung, dass die ungarische Regierung mehrere Urteile des ungarischen Verfassungsgerichts, des EuGH und des EGMR im Zusammenhang mit Verletzungen der in Artikel 2 EUV verankerten Werte durch Ungarn nicht umsetzt und die meisten in den Berichten der Kommission über die Rechtsstaatlichkeit 2023 und 2024 enthaltenen Empfehlungen und die Empfehlungen anderer internationaler Gremien wie der GRECO, der Venedig-Kommission und anderer Gremien nicht weiterverfolgt;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160</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Ac.</w:t>
            </w:r>
            <w:r>
              <w:rPr>
                <w:b/>
                <w:i/>
              </w:rPr>
              <w:tab/>
              <w:t>in der Erwägung, dass die Kommission gemäß den Verträgen nicht befugt ist, zusätzliche Mechanismen zur Überwachung der Rechtsstaatlichkeit in den Mitgliedstaaten zu schaffen;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161</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Erwägung A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Ad.</w:t>
            </w:r>
            <w:r>
              <w:rPr>
                <w:b/>
                <w:i/>
              </w:rPr>
              <w:tab/>
              <w:t>in der Erwägung, dass die Kommission bei der Abfassung des jährlichen Berichts über die Rechtsstaatlichkeit Beiträge von aus dem Ausland finanzierten NGO heranzieht;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162</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Zwischenüberschrift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 xml:space="preserve">Justiz und </w:t>
            </w:r>
            <w:r>
              <w:rPr>
                <w:b/>
                <w:i/>
              </w:rPr>
              <w:t>Korruption</w:t>
            </w:r>
          </w:p>
        </w:tc>
        <w:tc>
          <w:tcPr>
            <w:tcW w:w="4876" w:type="dxa"/>
            <w:tcBorders>
              <w:top w:val="nil"/>
              <w:left w:val="nil"/>
              <w:bottom w:val="nil"/>
              <w:right w:val="nil"/>
            </w:tcBorders>
          </w:tcPr>
          <w:p w:rsidR="00931B01" w:rsidRDefault="00931B01" w:rsidP="00104ED4">
            <w:pPr>
              <w:pStyle w:val="Normal6a"/>
            </w:pPr>
            <w:r>
              <w:t xml:space="preserve">Justiz und </w:t>
            </w:r>
            <w:r>
              <w:rPr>
                <w:b/>
                <w:i/>
              </w:rPr>
              <w:t>Rahmen zur Korruptionsbekämpfung</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w:t>
            </w:r>
            <w:r>
              <w:tab/>
              <w:t>betont, dass eine faire und zugängliche Justiz ein Grundsatz der Rechtsstaatlichkeit ist, die eine unabhängige Justiz erfordert; bekräftigt, dass der Zugang zur Justiz für die Bürgerinnen und Bürger von wesentlicher Bedeutung ist, damit sie ihre Rechte ausüben, Diskriminierung anfechten und Entscheidungsträger zur Rechenschaft ziehen können;</w:t>
            </w:r>
          </w:p>
        </w:tc>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ein Grundsatz der Rechtsstaatlichkeit ist, die eine unabhängige Justiz erfordert; bekräftigt, dass der Zugang zur Justiz für die Bürgerinnen und Bürger von wesentlicher Bedeutung ist, damit sie ihre Rechte ausüben, Diskriminierung anfechten und Entscheidungsträger zur Rechenschaft ziehen können; </w:t>
            </w:r>
            <w:r>
              <w:rPr>
                <w:b/>
                <w:i/>
              </w:rPr>
              <w:t>weist darauf hin, dass die Justizsysteme in einigen Mitgliedstaaten und Beitrittsländern nach wie vor von Abhängigkeiten geprägt sind, die noch von kommunistischen Regimen herrühren; betont die inkohärente Haltung der Union, die zwar Justizreformen in Beitrittsländern wie Moldau unterstützt, aber das ähnlich ineffiziente und pathologische postkommunistische System in Polen schützt; stellt fest, dass die Systeme bestimmter Mitgliedstaaten zur Ernennung von Richtern kein Gegenstand von Kontroversen sind, wohingegen Reformen in anderen Mitgliedstaaten, die in eine ähnliche Richtung gehen, kritisiert werden; fordert die Kommission auf, sich nicht in Reformen einzumischen, die die Organisation der Justiz betreffen; hält es für inakzeptabel, dass politische Aktivitäten von Organisationen, die Angehörige des Justizsystems vertreten, durch andere Staaten und auch durch die EU finanziell unterstützt werden, und fordert, dass dies eingestellt wird und bisherige Einmischungen auf transparente Weise offengelegt werden;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164</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ein Grundsatz der Rechtsstaatlichkeit ist, </w:t>
            </w:r>
            <w:r>
              <w:rPr>
                <w:b/>
                <w:i/>
              </w:rPr>
              <w:t>die</w:t>
            </w:r>
            <w:r>
              <w:t xml:space="preserve"> eine unabhängige Justiz erfordert; bekräftigt, dass der Zugang zur Justiz für die Bürgerinnen und Bürger von wesentlicher Bedeutung ist, damit sie ihre Rechte ausüben, Diskriminierung anfechten und Entscheidungsträger zur Rechenschaft ziehen können;</w:t>
            </w:r>
          </w:p>
        </w:tc>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ein Grundsatz der Rechtsstaatlichkeit ist, </w:t>
            </w:r>
            <w:r>
              <w:rPr>
                <w:b/>
                <w:i/>
              </w:rPr>
              <w:t>der</w:t>
            </w:r>
            <w:r>
              <w:t xml:space="preserve"> eine unabhängige Justiz erfordert; bekräftigt, dass der Zugang zur Justiz für die Bürgerinnen und Bürger von wesentlicher Bedeutung ist, damit sie ihre Rechte ausüben, Diskriminierung anfechten und Entscheidungsträger zur Rechenschaft ziehen können;</w:t>
            </w:r>
            <w:r>
              <w:rPr>
                <w:b/>
                <w:i/>
              </w:rPr>
              <w:t> hebt deshalb hervor, dass eine angemessene Vergütung unabdingbar ist, um qualifiziertes Personal für die Justiz anzuwerben und zu halten;</w:t>
            </w:r>
            <w:r>
              <w:t xml:space="preserve"> </w:t>
            </w:r>
            <w:r>
              <w:rPr>
                <w:b/>
                <w:i/>
              </w:rPr>
              <w:t>bekräftigt, dass Ressourcen in angemessener Höhe, einschließlich Finanzierung, Infrastruktur und qualifizierten Personals, von entscheidender Bedeutung für die Effizienz und Zugänglichkeit des Justizsystems sind; betont die wichtige Rolle der Digitalisierung beim Umbau der nationalen Justizsysteme;</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165</w:t>
      </w:r>
      <w:r>
        <w:rPr>
          <w:rStyle w:val="HideTWBExt"/>
        </w:rPr>
        <w:t>&lt;/NumAm&gt;</w:t>
      </w:r>
    </w:p>
    <w:p w:rsidR="00931B01" w:rsidRDefault="00931B01" w:rsidP="00931B01">
      <w:pPr>
        <w:pStyle w:val="NormalBold"/>
      </w:pPr>
      <w:r>
        <w:rPr>
          <w:rStyle w:val="HideTWBExt"/>
          <w:b w:val="0"/>
        </w:rPr>
        <w:t>&lt;RepeatBlock-By&gt;&lt;Members&gt;</w:t>
      </w:r>
      <w:r>
        <w:t>Juan Fernando López Aguilar, Nacho Sánchez Amor, Javier Moreno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ein Grundsatz der Rechtsstaatlichkeit ist, </w:t>
            </w:r>
            <w:r>
              <w:rPr>
                <w:b/>
                <w:i/>
              </w:rPr>
              <w:t>die</w:t>
            </w:r>
            <w:r>
              <w:t xml:space="preserve"> eine unabhängige Justiz erfordert; bekräftigt, dass der Zugang zur Justiz für die Bürgerinnen und Bürger von wesentlicher Bedeutung ist, damit sie ihre Rechte ausüben, Diskriminierung anfechten und Entscheidungsträger zur Rechenschaft ziehen können;</w:t>
            </w:r>
          </w:p>
        </w:tc>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ein Grundsatz der Rechtsstaatlichkeit ist, </w:t>
            </w:r>
            <w:r>
              <w:rPr>
                <w:b/>
                <w:i/>
              </w:rPr>
              <w:t>der</w:t>
            </w:r>
            <w:r>
              <w:t xml:space="preserve"> eine unabhängige Justiz erfordert</w:t>
            </w:r>
            <w:r>
              <w:rPr>
                <w:b/>
                <w:i/>
              </w:rPr>
              <w:t>; begrüßt die Initiativen einiger Mitgliedstaaten zugunsten der Unabhängigkeit der Justiz, und zwar insbesondere im Wege des wirksamen Funktionierens des Justizrates</w:t>
            </w:r>
            <w:r>
              <w:t>; bekräftigt, dass der Zugang zur Justiz für die Bürgerinnen und Bürger von wesentlicher Bedeutung ist, damit sie ihre Rechte ausüben, Diskriminierung anfechten und Entscheidungsträger zur Rechenschaft ziehen können;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166</w:t>
      </w:r>
      <w:r>
        <w:rPr>
          <w:rStyle w:val="HideTWBExt"/>
        </w:rPr>
        <w:t>&lt;/NumAm&gt;</w:t>
      </w:r>
    </w:p>
    <w:p w:rsidR="00931B01" w:rsidRDefault="00931B01" w:rsidP="00931B01">
      <w:pPr>
        <w:pStyle w:val="NormalBold"/>
      </w:pPr>
      <w:r>
        <w:rPr>
          <w:rStyle w:val="HideTWBExt"/>
          <w:b w:val="0"/>
        </w:rPr>
        <w:t>&lt;RepeatBlock-By&gt;&lt;Members&gt;</w:t>
      </w:r>
      <w:r>
        <w:t>Alessandro Ciriani, Paolo Inselvini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w:t>
            </w:r>
            <w:r>
              <w:tab/>
              <w:t>betont, dass eine faire und zugängliche Justiz ein Grundsatz der Rechtsstaatlichkeit ist, die eine unabhängige Justiz erfordert; bekräftigt, dass der Zugang zur Justiz für die Bürgerinnen und Bürger von wesentlicher Bedeutung ist, damit sie ihre Rechte ausüben, Diskriminierung anfechten und Entscheidungsträger zur Rechenschaft ziehen können;</w:t>
            </w:r>
          </w:p>
        </w:tc>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ein Grundsatz der Rechtsstaatlichkeit ist, die eine unabhängige Justiz erfordert; bekräftigt, dass der Zugang zur Justiz für die Bürgerinnen und Bürger von wesentlicher Bedeutung ist, damit sie ihre Rechte ausüben, Diskriminierung anfechten und Entscheidungsträger zur Rechenschaft ziehen können; </w:t>
            </w:r>
            <w:r>
              <w:rPr>
                <w:b/>
                <w:i/>
              </w:rPr>
              <w:t>bekräftigt, dass gemäß den Gründungsverträgen der Europäischen Union die Organisation der Justizsysteme in der Zuständigkeit der Mitgliedstaaten verbleibt;</w:t>
            </w:r>
          </w:p>
        </w:tc>
      </w:tr>
    </w:tbl>
    <w:p w:rsidR="00931B01" w:rsidRDefault="00931B01" w:rsidP="00931B01">
      <w:pPr>
        <w:pStyle w:val="AmOrLang"/>
      </w:pPr>
      <w:r>
        <w:t xml:space="preserve">Or. </w:t>
      </w:r>
      <w:r>
        <w:rPr>
          <w:rStyle w:val="HideTWBExt"/>
        </w:rPr>
        <w:t>&lt;Original&gt;</w:t>
      </w:r>
      <w:r>
        <w:rPr>
          <w:rStyle w:val="HideTWBInt"/>
        </w:rPr>
        <w:t>{IT}</w:t>
      </w:r>
      <w:r>
        <w:t>it</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167</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w:t>
            </w:r>
            <w:r>
              <w:rPr>
                <w:b/>
                <w:i/>
              </w:rPr>
              <w:t>ein Grundsatz</w:t>
            </w:r>
            <w:r>
              <w:t xml:space="preserve"> der Rechtsstaatlichkeit </w:t>
            </w:r>
            <w:r>
              <w:rPr>
                <w:b/>
                <w:i/>
              </w:rPr>
              <w:t>ist</w:t>
            </w:r>
            <w:r>
              <w:t>, die eine unabhängige Justiz erfordert; bekräftigt, dass der Zugang zur Justiz für die</w:t>
            </w:r>
            <w:r>
              <w:rPr>
                <w:b/>
                <w:i/>
              </w:rPr>
              <w:t xml:space="preserve"> Bürgerinnen und</w:t>
            </w:r>
            <w:r>
              <w:t xml:space="preserve"> Bürger von wesentlicher Bedeutung ist, damit sie ihre Rechte ausüben, Diskriminierung anfechten und Entscheidungsträger zur Rechenschaft ziehen können;</w:t>
            </w:r>
          </w:p>
        </w:tc>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w:t>
            </w:r>
            <w:r>
              <w:rPr>
                <w:b/>
                <w:i/>
              </w:rPr>
              <w:t>zu den Grundsätzen</w:t>
            </w:r>
            <w:r>
              <w:t xml:space="preserve"> der Rechtsstaatlichkeit </w:t>
            </w:r>
            <w:r>
              <w:rPr>
                <w:b/>
                <w:i/>
              </w:rPr>
              <w:t>gehört</w:t>
            </w:r>
            <w:r>
              <w:t>, die eine unabhängige Justiz erfordert; bekräftigt, dass der Zugang zur Justiz für die Bürger von wesentlicher Bedeutung ist, damit sie ihre Rechte ausüben, Diskriminierung anfechten und Entscheidungsträger zur Rechenschaft ziehen können;</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168</w:t>
      </w:r>
      <w:r>
        <w:rPr>
          <w:rStyle w:val="HideTWBExt"/>
        </w:rPr>
        <w:t>&lt;/NumAm&gt;</w:t>
      </w:r>
    </w:p>
    <w:p w:rsidR="00931B01" w:rsidRDefault="00931B01" w:rsidP="00931B01">
      <w:pPr>
        <w:pStyle w:val="NormalBold"/>
      </w:pPr>
      <w:r>
        <w:rPr>
          <w:rStyle w:val="HideTWBExt"/>
          <w:b w:val="0"/>
        </w:rPr>
        <w:t>&lt;RepeatBlock-By&gt;&lt;Members&gt;</w:t>
      </w:r>
      <w:r>
        <w:t>Nicolas Bay</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ein Grundsatz der Rechtsstaatlichkeit ist, die eine unabhängige Justiz erfordert; bekräftigt, dass der Zugang zur Justiz für die Bürgerinnen und Bürger von wesentlicher Bedeutung ist, damit sie ihre Rechte ausüben, </w:t>
            </w:r>
            <w:r>
              <w:rPr>
                <w:b/>
                <w:bCs/>
                <w:i/>
                <w:iCs/>
              </w:rPr>
              <w:t>Diskriminierung anfechten</w:t>
            </w:r>
            <w:r>
              <w:t xml:space="preserve"> und Entscheidungsträger zur Rechenschaft ziehen können;</w:t>
            </w:r>
          </w:p>
        </w:tc>
        <w:tc>
          <w:tcPr>
            <w:tcW w:w="4876" w:type="dxa"/>
            <w:tcBorders>
              <w:top w:val="nil"/>
              <w:left w:val="nil"/>
              <w:bottom w:val="nil"/>
              <w:right w:val="nil"/>
            </w:tcBorders>
          </w:tcPr>
          <w:p w:rsidR="00931B01" w:rsidRDefault="00931B01" w:rsidP="00104ED4">
            <w:pPr>
              <w:pStyle w:val="Normal6a"/>
            </w:pPr>
            <w:r>
              <w:t>1.</w:t>
            </w:r>
            <w:r>
              <w:tab/>
              <w:t xml:space="preserve">betont, dass eine faire und zugängliche Justiz ein Grundsatz der Rechtsstaatlichkeit ist, die eine unabhängige Justiz erfordert; bekräftigt, dass der Zugang zur Justiz für die Bürgerinnen und Bürger von wesentlicher Bedeutung ist, damit sie ihre Rechte ausüben, </w:t>
            </w:r>
            <w:r>
              <w:rPr>
                <w:b/>
                <w:bCs/>
                <w:i/>
                <w:iCs/>
              </w:rPr>
              <w:t>sich</w:t>
            </w:r>
            <w:r>
              <w:rPr>
                <w:b/>
                <w:bCs/>
              </w:rPr>
              <w:t xml:space="preserve"> </w:t>
            </w:r>
            <w:r>
              <w:rPr>
                <w:b/>
                <w:bCs/>
                <w:i/>
                <w:iCs/>
              </w:rPr>
              <w:t>ihrer Gleichheit vor dem Gesetz sicher sein</w:t>
            </w:r>
            <w:r>
              <w:t xml:space="preserve"> und Entscheidungsträger zur Rechenschaft ziehen können;</w:t>
            </w:r>
          </w:p>
        </w:tc>
      </w:tr>
    </w:tbl>
    <w:p w:rsidR="00931B01" w:rsidRDefault="00931B01" w:rsidP="00931B01">
      <w:pPr>
        <w:pStyle w:val="AmOrLang"/>
      </w:pPr>
      <w:r>
        <w:t xml:space="preserve">Or. </w:t>
      </w:r>
      <w:r>
        <w:rPr>
          <w:rStyle w:val="HideTWBExt"/>
        </w:rPr>
        <w:t>&lt;Original&gt;</w:t>
      </w:r>
      <w:r>
        <w:rPr>
          <w:rStyle w:val="HideTWBInt"/>
        </w:rPr>
        <w:t>{FR}</w:t>
      </w:r>
      <w:r>
        <w:t>fr</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169</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weist darauf hin, dass die Kommission ferner feststellt, dass mehrere Mitgliedstaaten zusätzliche Ressourcen aufgewendet haben, um die Resilienz der Justizsysteme zu stärken; begrüßt in diesem Zusammenhang die Maßnahmen, zusätzliche Ressourcen für die Justizsysteme aufzuwenden, sowie die Bemühungen um höhere Gehälter im Justizwesen; weist auf die Feststellung der Kommission hin, wonach die Vergütung in manchen Mitgliedstaaten nach wie vor eine Herausforderung darstellt, die häufig Engpässe und freie Stellen nach sich zieht; hebt deshalb hervor, dass eine angemessene Vergütung unabdingbar ist, um qualifiziertes Personal für die Justiz anzuwerben und zu halten; bekräftigt, dass Ressourcen in angemessener Höhe, einschließlich Finanzierung, Infrastruktur und qualifizierten Personals, von entscheidender Bedeutung für die Effizienz und Zugänglichkeit des Justizsystems sind; betont die wichtige Rolle der Digitalisierung beim Umbau der nationalen Justizsysteme;</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170</w:t>
      </w:r>
      <w:r>
        <w:rPr>
          <w:rStyle w:val="HideTWBExt"/>
        </w:rPr>
        <w:t>&lt;/NumAm&gt;</w:t>
      </w:r>
    </w:p>
    <w:p w:rsidR="00931B01" w:rsidRDefault="00931B01" w:rsidP="00931B01">
      <w:pPr>
        <w:pStyle w:val="NormalBold"/>
      </w:pPr>
      <w:r>
        <w:rPr>
          <w:rStyle w:val="HideTWBExt"/>
          <w:b w:val="0"/>
        </w:rPr>
        <w:t>&lt;RepeatBlock-By&gt;&lt;Members&gt;</w:t>
      </w:r>
      <w:r>
        <w:t>Giuseppe Antoci, 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ist zutiefst besorgt über die Versuche der italienischen Regierung, die Unabhängigkeit und Autonomie der Justiz zu untergraben; ist der Ansicht, dass die jüngste Reform zur Trennung von Laufbahnen und die Einsetzung des Hohen Gerichts für Disziplinarverfahren den Pflichten Italiens, die sich aus den Artikeln 2, 19 und 49 EUV und aus Artikel 47 der Charta der Grundrechte ergeben, zuwiderlaufen; weist auf die Rechtsprechung des Europäischen Gerichtshofs hin, in der konkrete Garantien für die Unabhängigkeit von Richtern in Disziplinarverfahren festgelegt sind; fordert die Kommission auf, der Frage nachzugehen, ob die jüngste Justizreform in Italien mit den Grundsätzen der Verträge vereinbar ist;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171</w:t>
      </w:r>
      <w:r>
        <w:rPr>
          <w:rStyle w:val="HideTWBExt"/>
        </w:rPr>
        <w:t>&lt;/NumAm&gt;</w:t>
      </w:r>
    </w:p>
    <w:p w:rsidR="00931B01" w:rsidRDefault="00931B01" w:rsidP="00931B01">
      <w:pPr>
        <w:pStyle w:val="NormalBold"/>
      </w:pPr>
      <w:r>
        <w:rPr>
          <w:rStyle w:val="HideTWBExt"/>
          <w:b w:val="0"/>
        </w:rPr>
        <w:t>&lt;RepeatBlock-By&gt;&lt;Members&gt;</w:t>
      </w:r>
      <w:r>
        <w:t>Javier Zarzalejos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hebt hervor, dass die Justizräte eine wichtige Rolle bei der Wahrung der Unabhängigkeit der Justiz spielen; hält es für erforderlich, die Reformen zu bewerten, die derzeit in verschiedenen Mitgliedstaaten verabschiedet werden, und fordert, dass die Zusammensetzung und die Funktionsweise dieser Gremien an die Standards angepasst werden, die von der Kommission und dem Europarat festgelegt und vom Gerichtshof der EU bestätigt wurden;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172</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fordert einen besseren Schutz von Personen, die auf den höchsten Regierungsebenen gegen Korruption kämpfen; bedauert, dass in einigen Mitgliedstaaten, wie z. B. Polen, Menschen, die Korruption bekämpfen, auch noch nach einem Dutzend Jahren, nachdem Korruption auf den höchsten Regierungsebenen offengelegt wurde, Revanchismus und Verfolgung ausgesetzt sind;</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173</w:t>
      </w:r>
      <w:r>
        <w:rPr>
          <w:rStyle w:val="HideTWBExt"/>
        </w:rPr>
        <w:t>&lt;/NumAm&gt;</w:t>
      </w:r>
    </w:p>
    <w:p w:rsidR="00931B01" w:rsidRDefault="00931B01" w:rsidP="00931B01">
      <w:pPr>
        <w:pStyle w:val="NormalBold"/>
      </w:pPr>
      <w:r>
        <w:rPr>
          <w:rStyle w:val="HideTWBExt"/>
          <w:b w:val="0"/>
        </w:rPr>
        <w:t>&lt;RepeatBlock-By&gt;&lt;Members&gt;</w:t>
      </w:r>
      <w:r>
        <w:t>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betont, dass die Justiz in die Zuständigkeit der Mitgliedstaaten fällt, die Kommission indessen in diesem Bereich in einer Weise tätig ist, die gegen die Verträge der Europäischen Union und die Beschlüsse der nationalen Parlamente, die demokratisch legitimiert sind, verstößt;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174</w:t>
      </w:r>
      <w:r>
        <w:rPr>
          <w:rStyle w:val="HideTWBExt"/>
        </w:rPr>
        <w:t>&lt;/NumAm&gt;</w:t>
      </w:r>
    </w:p>
    <w:p w:rsidR="00931B01" w:rsidRDefault="00931B01" w:rsidP="00931B01">
      <w:pPr>
        <w:pStyle w:val="NormalBold"/>
      </w:pPr>
      <w:r>
        <w:rPr>
          <w:rStyle w:val="HideTWBExt"/>
          <w:b w:val="0"/>
        </w:rPr>
        <w:t>&lt;RepeatBlock-By&gt;&lt;Members&gt;</w:t>
      </w:r>
      <w:r>
        <w:t>Alessandro Ciriani, Paolo Inselvini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stellt fest, dass die Kommission in mehreren Mitgliedstaaten Fortschritte bei der Digitalisierung der Justiz und der Aufstockung der dem Justizsystem zur Verfügung stehenden finanziellen und personellen Ressourcen verzeichnet, die im Wege von Reformen zur Verbesserung der Unabhängigkeit und Wirksamkeit des Justizsystems erzielt wurden;</w:t>
            </w:r>
          </w:p>
        </w:tc>
      </w:tr>
    </w:tbl>
    <w:p w:rsidR="00931B01" w:rsidRDefault="00931B01" w:rsidP="00931B01">
      <w:pPr>
        <w:pStyle w:val="AmOrLang"/>
      </w:pPr>
      <w:r>
        <w:t xml:space="preserve">Or. </w:t>
      </w:r>
      <w:r>
        <w:rPr>
          <w:rStyle w:val="HideTWBExt"/>
        </w:rPr>
        <w:t>&lt;Original&gt;</w:t>
      </w:r>
      <w:r>
        <w:rPr>
          <w:rStyle w:val="HideTWBInt"/>
        </w:rPr>
        <w:t>{IT}</w:t>
      </w:r>
      <w:r>
        <w:t>it</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175</w:t>
      </w:r>
      <w:r>
        <w:rPr>
          <w:rStyle w:val="HideTWBExt"/>
        </w:rPr>
        <w:t>&lt;/NumAm&gt;</w:t>
      </w:r>
    </w:p>
    <w:p w:rsidR="00931B01" w:rsidRDefault="00931B01" w:rsidP="00931B01">
      <w:pPr>
        <w:pStyle w:val="NormalBold"/>
      </w:pPr>
      <w:r>
        <w:rPr>
          <w:rStyle w:val="HideTWBExt"/>
          <w:b w:val="0"/>
        </w:rPr>
        <w:t>&lt;RepeatBlock-By&gt;&lt;Members&gt;</w:t>
      </w:r>
      <w:r>
        <w:t>Tomáš Zdechovský</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begrüßt die wegweisende Rolle des Gerichtshofs der Europäischen Union (EuGH) bei der Wahrung der Rechtsstaatlichkeit in der gesamten EU; spricht sich für weitere Initiativen aus, mit denen die Ressourcen und Möglichkeiten des EuGH gestärkt werden, damit weitere Herausforderungen im Zusammenhang mit der Rechtsstaatlichkeit effektiv bewältigt werden können;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176</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verurteilt den Rückgriff auf das Justizsystem für politische Zwecke mit dem Ziel, politisch Andersdenkenden zu schaden, ihnen die Legitimität abzusprechen und sie zum Schweigen zu bringen; fordert die Mitgliedstaaten auf, das Strafrechtssystem nicht für die Verfolgung politischer Gegner zu missbrauchen;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177</w:t>
      </w:r>
      <w:r>
        <w:rPr>
          <w:rStyle w:val="HideTWBExt"/>
        </w:rPr>
        <w:t>&lt;/NumAm&gt;</w:t>
      </w:r>
    </w:p>
    <w:p w:rsidR="00931B01" w:rsidRDefault="00931B01" w:rsidP="00931B01">
      <w:pPr>
        <w:pStyle w:val="NormalBold"/>
      </w:pPr>
      <w:r>
        <w:rPr>
          <w:rStyle w:val="HideTWBExt"/>
          <w:b w:val="0"/>
        </w:rPr>
        <w:t>&lt;RepeatBlock-By&gt;&lt;Members&gt;</w:t>
      </w:r>
      <w:r>
        <w:t>Marieke Ehlers, Jorge Buxadé Villalba, Tom Vandendriessche,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1a.</w:t>
            </w:r>
            <w:r>
              <w:rPr>
                <w:b/>
                <w:i/>
              </w:rPr>
              <w:tab/>
              <w:t>bringt seine Besorgnis darüber zum Ausdruck, dass die Kommission ihre eigene Auslegung des Begriffs der Rechtsstaatlichkeit anwendet, ohne dass es eine zwischen den Mitgliedstaaten vereinbarte eindeutige Definition gibt;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178</w:t>
      </w:r>
      <w:r>
        <w:rPr>
          <w:rStyle w:val="HideTWBExt"/>
        </w:rPr>
        <w:t>&lt;/NumAm&gt;</w:t>
      </w:r>
    </w:p>
    <w:p w:rsidR="00931B01" w:rsidRDefault="00931B01" w:rsidP="00931B01">
      <w:pPr>
        <w:pStyle w:val="NormalBold"/>
      </w:pPr>
      <w:r>
        <w:rPr>
          <w:rStyle w:val="HideTWBExt"/>
          <w:b w:val="0"/>
        </w:rPr>
        <w:t>&lt;RepeatBlock-By&gt;&lt;Members&gt;</w:t>
      </w:r>
      <w:r>
        <w:t>Marieke Ehlers, Jorge Buxadé Villalba, Tom Vandendriessche,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1b.</w:t>
            </w:r>
            <w:r>
              <w:rPr>
                <w:b/>
                <w:i/>
              </w:rPr>
              <w:tab/>
              <w:t>weist darauf hin, dass das Konzept der Rechtsstaatlichkeit in den verschiedenen Rechtsordnungen der Mitgliedstaaten unterschiedlich definiert ist und dass diese Unterschiede im einzelstaatlichen Recht nicht ignoriert und beseitigt, sondern vielmehr geachtet und in Ehren gehalten werden sollten; betont, dass zahlreiche rechtsvergleichende Studien vorliegen, denen zufolge es kein einheitliches Verständnis von Rechtsstaatlichkeit gibt; ist der Ansicht, dass dieser mangelnde konzeptuelle Konsens auf EU-Ebene zu Rechtsunsicherheit führt und die Möglichkeit der politischen Einflussnahme eröffnet, was per se einen Verstoß gegen die Rechtsstaatlichkeit darstellt; fordert alle Mitgliedstaaten auf, die Gewaltenteilung als wesentlichen Aspekt der Rechtsstaatlichkeit zu achten;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179</w:t>
      </w:r>
      <w:r>
        <w:rPr>
          <w:rStyle w:val="HideTWBExt"/>
        </w:rPr>
        <w:t>&lt;/NumAm&gt;</w:t>
      </w:r>
    </w:p>
    <w:p w:rsidR="00931B01" w:rsidRDefault="00931B01" w:rsidP="00931B01">
      <w:pPr>
        <w:pStyle w:val="NormalBold"/>
      </w:pPr>
      <w:r>
        <w:rPr>
          <w:rStyle w:val="HideTWBExt"/>
          <w:b w:val="0"/>
        </w:rPr>
        <w:t>&lt;RepeatBlock-By&gt;&lt;Members&gt;</w:t>
      </w:r>
      <w:r>
        <w:t>Javier Zarzalejos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1b.</w:t>
            </w:r>
            <w:r>
              <w:rPr>
                <w:b/>
                <w:i/>
              </w:rPr>
              <w:tab/>
              <w:t>weist darauf hin, dass die Staatsanwaltschaften ein wesentliches Element für die Fähigkeit der Justiz darstellen, gegen Kriminalität und Korruption vorzugehen; hebt den hohen Stellenwert der Gewährleistung der Autonomie und Unabhängigkeit der Staatsanwaltschaften hervor; betont, dass Vorkehrungen getroffen werden müssen, um zur Wahrung der Unabhängigkeit der Staatsanwaltschaften beizutragen, damit diese nicht unter unangemessenem politischem Druck insbesondere seitens der Regierung stehen;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180</w:t>
      </w:r>
      <w:r>
        <w:rPr>
          <w:rStyle w:val="HideTWBExt"/>
        </w:rPr>
        <w:t>&lt;/NumAm&gt;</w:t>
      </w:r>
    </w:p>
    <w:p w:rsidR="00931B01" w:rsidRDefault="00931B01" w:rsidP="00931B01">
      <w:pPr>
        <w:pStyle w:val="NormalBold"/>
      </w:pPr>
      <w:r>
        <w:rPr>
          <w:rStyle w:val="HideTWBExt"/>
          <w:b w:val="0"/>
        </w:rPr>
        <w:t>&lt;RepeatBlock-By&gt;&lt;Members&gt;</w:t>
      </w:r>
      <w:r>
        <w:t>Marieke Ehlers, Jorge Buxadé Villalba, Tom Vandendriessche,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1c.</w:t>
            </w:r>
            <w:r>
              <w:rPr>
                <w:b/>
                <w:i/>
              </w:rPr>
              <w:tab/>
              <w:t>bedauert, dass die Kommission die Anwendung der Rechtsstaatlichkeit lediglich durch die Mitgliedstaaten und nicht durch die EU-Organe selbst bewertet; hebt hervor, dass es zahlreiche mutmaßliche Verstöße gegen die Rechtsstaatlichkeit gibt, die von den europäischen Organen und nicht zuletzt von der Kommission selbst begangen werden und denen ordnungsgemäß nachgegangen werden muss;</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181</w:t>
      </w:r>
      <w:r>
        <w:rPr>
          <w:rStyle w:val="HideTWBExt"/>
        </w:rPr>
        <w:t>&lt;/NumAm&gt;</w:t>
      </w:r>
    </w:p>
    <w:p w:rsidR="00931B01" w:rsidRDefault="00931B01" w:rsidP="00931B01">
      <w:pPr>
        <w:pStyle w:val="NormalBold"/>
      </w:pPr>
      <w:r>
        <w:rPr>
          <w:rStyle w:val="HideTWBExt"/>
          <w:b w:val="0"/>
        </w:rPr>
        <w:t>&lt;RepeatBlock-By&gt;&lt;Members&gt;</w:t>
      </w:r>
      <w:r>
        <w:t>Javier Zarzalejos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1c.</w:t>
            </w:r>
            <w:r>
              <w:rPr>
                <w:b/>
                <w:i/>
              </w:rPr>
              <w:tab/>
              <w:t>stellt fest, dass die Einsetzung von parlamentarischen Ausschüssen, die untersuchen, ob es zu Kriegsführung mit juristischen Mitteln („Lawfare“) oder zu einer Verrechtlichung der Politik gekommen ist, in der Praxis bedeutet, dass Gerichtsverfahren und -entscheidungen einer parlamentarischen Überprüfung unterzogen werden, womit ganz offensichtlich in die Unabhängigkeit der Justiz und die Gewaltenteilung eingegriffen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182</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w:t>
            </w:r>
            <w:r>
              <w:rPr>
                <w:b/>
                <w:i/>
              </w:rPr>
              <w:t xml:space="preserve"> betont die</w:t>
            </w:r>
            <w:r>
              <w:t xml:space="preserve"> </w:t>
            </w:r>
            <w:r>
              <w:rPr>
                <w:b/>
                <w:i/>
              </w:rPr>
              <w:t>Notwendigkeit transparenter und</w:t>
            </w:r>
            <w:r>
              <w:t xml:space="preserve"> </w:t>
            </w:r>
            <w:r>
              <w:rPr>
                <w:b/>
                <w:i/>
              </w:rPr>
              <w:t>leistungsorientierter Ernennungen für hochrangige Richterposten ohne politische Einflussnahme</w:t>
            </w:r>
            <w:r>
              <w:t>;</w:t>
            </w:r>
          </w:p>
        </w:tc>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w:t>
            </w:r>
            <w:r>
              <w:rPr>
                <w:b/>
                <w:i/>
              </w:rPr>
              <w:t>, der Zugänglichkeit und der Qualität</w:t>
            </w:r>
            <w:r>
              <w:t xml:space="preserve"> der Justiz einiger Mitgliedstaaten festgestellt hat</w:t>
            </w:r>
            <w:r>
              <w:rPr>
                <w:vertAlign w:val="superscript"/>
              </w:rPr>
              <w:t>37</w:t>
            </w:r>
            <w:r>
              <w:t xml:space="preserve">; </w:t>
            </w:r>
            <w:r>
              <w:rPr>
                <w:b/>
                <w:i/>
              </w:rPr>
              <w:t>weist darauf hin, dass das Justizsystem nur effizient sein kann, wenn Maßnahmen zur Verringerung der Verfahrensdauer und zum Abbau des Verfahrensüberhangs getroffen werden; fordert die Mitgliedstaaten auf, Korruptionsfällen innerhalb eines angemessenen Zeitraums nachzugehen, damit die Bürger nicht das Gefühl haben, dass die Täter straffrei bleiben; weist darauf hin, dass das Justizsystem nur effizient sein kann, wenn es über hinreichende Ressourcen – mit Blick auf Finanz- und Personalausstattung sowie auf Infrastruktur – verfügt;</w:t>
            </w:r>
            <w:r>
              <w:t xml:space="preserve"> </w:t>
            </w:r>
            <w:r>
              <w:rPr>
                <w:b/>
                <w:i/>
              </w:rPr>
              <w:t>ersucht die Mitgliedstaaten, die von der Digitalisierung gebotenen Chancen zu ergreifen, um zu vereinfachen, Effizienz und Zugänglichkeit zu verbessern, Zeit zu sparen und Aufbewahrungskosten zu senken;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 xml:space="preserve">stellt fest, dass die Kommission </w:t>
            </w:r>
            <w:r>
              <w:rPr>
                <w:b/>
                <w:i/>
              </w:rPr>
              <w:t>strukturelle Herausforderungen bei der Verbesserung</w:t>
            </w:r>
            <w:r>
              <w:t xml:space="preserve"> der </w:t>
            </w:r>
            <w:r>
              <w:rPr>
                <w:b/>
                <w:i/>
              </w:rPr>
              <w:t>Effizienz der Justiz einiger</w:t>
            </w:r>
            <w:r>
              <w:t xml:space="preserve"> Mitgliedstaaten </w:t>
            </w:r>
            <w:r>
              <w:rPr>
                <w:b/>
                <w:i/>
              </w:rPr>
              <w:t>festgestellt hat</w:t>
            </w:r>
            <w:r>
              <w:rPr>
                <w:b/>
                <w:i/>
                <w:vertAlign w:val="superscript"/>
              </w:rPr>
              <w:t>37</w:t>
            </w:r>
            <w:r>
              <w:rPr>
                <w:b/>
                <w:i/>
              </w:rPr>
              <w:t>;</w:t>
            </w:r>
            <w:r>
              <w:t xml:space="preserve"> </w:t>
            </w:r>
            <w:r>
              <w:rPr>
                <w:b/>
                <w:i/>
              </w:rPr>
              <w:t>betont die Notwendigkeit transparenter</w:t>
            </w:r>
            <w:r>
              <w:t xml:space="preserve"> und </w:t>
            </w:r>
            <w:r>
              <w:rPr>
                <w:b/>
                <w:i/>
              </w:rPr>
              <w:t>leistungsorientierter Ernennungen für hochrangige Richterposten ohne politische Einflussnahme</w:t>
            </w:r>
            <w:r>
              <w:t>;</w:t>
            </w:r>
          </w:p>
        </w:tc>
        <w:tc>
          <w:tcPr>
            <w:tcW w:w="4876" w:type="dxa"/>
            <w:tcBorders>
              <w:top w:val="nil"/>
              <w:left w:val="nil"/>
              <w:bottom w:val="nil"/>
              <w:right w:val="nil"/>
            </w:tcBorders>
          </w:tcPr>
          <w:p w:rsidR="00931B01" w:rsidRDefault="00931B01" w:rsidP="00104ED4">
            <w:pPr>
              <w:pStyle w:val="Normal6a"/>
            </w:pPr>
            <w:r>
              <w:t>2.</w:t>
            </w:r>
            <w:r>
              <w:tab/>
              <w:t xml:space="preserve">stellt fest, dass die Kommission </w:t>
            </w:r>
            <w:r>
              <w:rPr>
                <w:b/>
                <w:i/>
              </w:rPr>
              <w:t>nicht befugt ist, die Organisation</w:t>
            </w:r>
            <w:r>
              <w:t xml:space="preserve"> der </w:t>
            </w:r>
            <w:r>
              <w:rPr>
                <w:b/>
                <w:i/>
              </w:rPr>
              <w:t>Justiz in den</w:t>
            </w:r>
            <w:r>
              <w:t xml:space="preserve"> Mitgliedstaaten </w:t>
            </w:r>
            <w:r>
              <w:rPr>
                <w:b/>
                <w:i/>
              </w:rPr>
              <w:t>zu untersuchen</w:t>
            </w:r>
            <w:r>
              <w:t xml:space="preserve"> und </w:t>
            </w:r>
            <w:r>
              <w:rPr>
                <w:b/>
                <w:i/>
              </w:rPr>
              <w:t>zu bewerten</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betont, dass die Mitgliedstaaten dafür zuständig sind, auf transparente Weise und ohne politische Einflussnahme Verfahren für die Besetzung hochrangiger Richterposten festzulegen;</w:t>
            </w:r>
            <w:r>
              <w:t xml:space="preserve"> </w:t>
            </w:r>
            <w:r>
              <w:rPr>
                <w:b/>
                <w:i/>
              </w:rPr>
              <w:t>betont, dass die Einmischung der Kommission in die Bemühungen der Mitgliedstaaten, die Organisation der Justiz zu reformieren und ihre Effizienz zu verbessern, unzulässig ist;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37</w:t>
            </w:r>
            <w:r>
              <w:rPr>
                <w:b/>
                <w:i/>
              </w:rP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184</w:t>
      </w:r>
      <w:r>
        <w:rPr>
          <w:rStyle w:val="HideTWBExt"/>
        </w:rPr>
        <w:t>&lt;/NumAm&gt;</w:t>
      </w:r>
    </w:p>
    <w:p w:rsidR="00931B01" w:rsidRDefault="00931B01" w:rsidP="00931B01">
      <w:pPr>
        <w:pStyle w:val="NormalBold"/>
      </w:pPr>
      <w:r>
        <w:rPr>
          <w:rStyle w:val="HideTWBExt"/>
          <w:b w:val="0"/>
        </w:rPr>
        <w:t>&lt;RepeatBlock-By&gt;&lt;Members&gt;</w:t>
      </w:r>
      <w:r>
        <w:t>Jorge Buxadé Villalba, Malika Sorel</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betont die Notwendigkeit transparenter und leistungsorientierter Ernennungen für hochrangige Richterposten ohne politische Einflussnahme;</w:t>
            </w:r>
          </w:p>
        </w:tc>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xml:space="preserve">; betont die Notwendigkeit transparenter und leistungsorientierter Ernennungen für hochrangige Richterposten ohne politische Einflussnahme; </w:t>
            </w:r>
            <w:r>
              <w:rPr>
                <w:b/>
                <w:i/>
              </w:rPr>
              <w:t>weist auf die Standards des Europarats für die Wahl von Richtern in Justizräte hin, die im Interesse der Gewaltenteilung von ihren Amtskollegen gewählt werden sollten;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185</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 xml:space="preserve">stellt fest, dass die </w:t>
            </w:r>
            <w:r>
              <w:rPr>
                <w:b/>
                <w:i/>
              </w:rPr>
              <w:t>Kommission strukturelle Herausforderungen bei der Verbesserung der Effizienz der Justiz einiger Mitgliedstaaten</w:t>
            </w:r>
            <w:r>
              <w:t xml:space="preserve"> </w:t>
            </w:r>
            <w:r>
              <w:rPr>
                <w:b/>
                <w:i/>
              </w:rPr>
              <w:t>festgestellt hat</w:t>
            </w:r>
            <w:r>
              <w:rPr>
                <w:b/>
                <w:i/>
                <w:vertAlign w:val="superscript"/>
              </w:rPr>
              <w:t>37</w:t>
            </w:r>
            <w:r>
              <w:t xml:space="preserve">; </w:t>
            </w:r>
            <w:r>
              <w:rPr>
                <w:b/>
                <w:i/>
              </w:rPr>
              <w:t>betont die Notwendigkeit transparenter und leistungsorientierter Ernennungen für hochrangige Richterposten ohne politische Einflussnahme;</w:t>
            </w:r>
          </w:p>
        </w:tc>
        <w:tc>
          <w:tcPr>
            <w:tcW w:w="4876" w:type="dxa"/>
            <w:tcBorders>
              <w:top w:val="nil"/>
              <w:left w:val="nil"/>
              <w:bottom w:val="nil"/>
              <w:right w:val="nil"/>
            </w:tcBorders>
          </w:tcPr>
          <w:p w:rsidR="00931B01" w:rsidRDefault="00931B01" w:rsidP="00104ED4">
            <w:pPr>
              <w:pStyle w:val="Normal6a"/>
            </w:pPr>
            <w:r>
              <w:t>2.</w:t>
            </w:r>
            <w:r>
              <w:tab/>
              <w:t xml:space="preserve">stellt fest, dass </w:t>
            </w:r>
            <w:r>
              <w:rPr>
                <w:b/>
                <w:i/>
              </w:rPr>
              <w:t xml:space="preserve">der Jahresbericht der Kommission über </w:t>
            </w:r>
            <w:r>
              <w:t xml:space="preserve">die </w:t>
            </w:r>
            <w:r>
              <w:rPr>
                <w:b/>
                <w:i/>
              </w:rPr>
              <w:t>Rechtsstaatlichkeit ein weiteres Instrument für politischen Druck ist; bedauert, dass im Rahmen des Berichts kein objektives und fundiertes Bild von der Lage der Rechtsstaatlichkeit in den Mitgliedstaaten vermittelt wird; hebt hervor, dass dieser Bericht nicht als Grundlage für etwaige weitere Mechanismen und Verfahren der EU dienen kann; bedauert, dass die Kommission bei der Abfassung des jährlichen Berichts über die Rechtsstaatlichkeit Beiträge von aus dem Ausland finanzierten NGO heranzieht</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37</w:t>
            </w:r>
            <w:r>
              <w:rPr>
                <w:b/>
                <w:i/>
              </w:rP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186</w:t>
      </w:r>
      <w:r>
        <w:rPr>
          <w:rStyle w:val="HideTWBExt"/>
        </w:rPr>
        <w:t>&lt;/NumAm&gt;</w:t>
      </w:r>
    </w:p>
    <w:p w:rsidR="00931B01" w:rsidRDefault="00931B01" w:rsidP="00931B01">
      <w:pPr>
        <w:pStyle w:val="NormalBold"/>
      </w:pPr>
      <w:r>
        <w:rPr>
          <w:rStyle w:val="HideTWBExt"/>
          <w:b w:val="0"/>
        </w:rPr>
        <w:t>&lt;RepeatBlock-By&gt;&lt;Members&gt;</w:t>
      </w:r>
      <w:r>
        <w:t>Nicolas Bay</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betont die Notwendigkeit transparenter und leistungsorientierter Ernennungen für hochrangige Richterposten ohne politische Einflussnahme;</w:t>
            </w:r>
          </w:p>
        </w:tc>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betont die Notwendigkeit transparenter und leistungsorientierter Ernennungen für hochrangige Richterposten ohne politische Einflussnahme</w:t>
            </w:r>
            <w:r>
              <w:rPr>
                <w:b/>
                <w:bCs/>
                <w:i/>
                <w:iCs/>
              </w:rPr>
              <w:t>, einschließlich durch die Kommission, die die nationale Souveränität und die nationalen Vorrechte aufs Genaueste zu achten hat</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r>
    </w:tbl>
    <w:p w:rsidR="00931B01" w:rsidRDefault="00931B01" w:rsidP="00931B01">
      <w:pPr>
        <w:pStyle w:val="AmOrLang"/>
      </w:pPr>
      <w:r>
        <w:t xml:space="preserve">Or. </w:t>
      </w:r>
      <w:r>
        <w:rPr>
          <w:rStyle w:val="HideTWBExt"/>
        </w:rPr>
        <w:t>&lt;Original&gt;</w:t>
      </w:r>
      <w:r>
        <w:rPr>
          <w:rStyle w:val="HideTWBInt"/>
        </w:rPr>
        <w:t>{FR}</w:t>
      </w:r>
      <w:r>
        <w:t>fr</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187</w:t>
      </w:r>
      <w:r>
        <w:rPr>
          <w:rStyle w:val="HideTWBExt"/>
        </w:rPr>
        <w:t>&lt;/NumAm&gt;</w:t>
      </w:r>
    </w:p>
    <w:p w:rsidR="00931B01" w:rsidRDefault="00931B01" w:rsidP="00931B01">
      <w:pPr>
        <w:pStyle w:val="NormalBold"/>
      </w:pPr>
      <w:r>
        <w:rPr>
          <w:rStyle w:val="HideTWBExt"/>
          <w:b w:val="0"/>
        </w:rPr>
        <w:t>&lt;RepeatBlock-By&gt;&lt;Members&gt;</w:t>
      </w:r>
      <w:r>
        <w:t>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 xml:space="preserve">stellt fest, dass die Kommission </w:t>
            </w:r>
            <w:r>
              <w:rPr>
                <w:b/>
                <w:i/>
              </w:rPr>
              <w:t>strukturelle Herausforderungen bei der Verbesserung der Effizienz der Justiz einiger</w:t>
            </w:r>
            <w:r>
              <w:t xml:space="preserve"> Mitgliedstaaten </w:t>
            </w:r>
            <w:r>
              <w:rPr>
                <w:b/>
                <w:i/>
              </w:rPr>
              <w:t>festgestellt</w:t>
            </w:r>
            <w:r>
              <w:t xml:space="preserve"> hat</w:t>
            </w:r>
            <w:r>
              <w:rPr>
                <w:b/>
                <w:i/>
                <w:vertAlign w:val="superscript"/>
              </w:rPr>
              <w:t>37</w:t>
            </w:r>
            <w:r>
              <w:t xml:space="preserve">; betont die Notwendigkeit transparenter und leistungsorientierter Ernennungen für hochrangige Richterposten ohne </w:t>
            </w:r>
            <w:r>
              <w:rPr>
                <w:b/>
                <w:i/>
              </w:rPr>
              <w:t>politische Einflussnahme</w:t>
            </w:r>
            <w:r>
              <w:t>;</w:t>
            </w:r>
          </w:p>
        </w:tc>
        <w:tc>
          <w:tcPr>
            <w:tcW w:w="4876" w:type="dxa"/>
            <w:tcBorders>
              <w:top w:val="nil"/>
              <w:left w:val="nil"/>
              <w:bottom w:val="nil"/>
              <w:right w:val="nil"/>
            </w:tcBorders>
          </w:tcPr>
          <w:p w:rsidR="00931B01" w:rsidRDefault="00931B01" w:rsidP="00104ED4">
            <w:pPr>
              <w:pStyle w:val="Normal6a"/>
            </w:pPr>
            <w:r>
              <w:t>2.</w:t>
            </w:r>
            <w:r>
              <w:tab/>
              <w:t xml:space="preserve">stellt fest, dass die Kommission </w:t>
            </w:r>
            <w:r>
              <w:rPr>
                <w:b/>
                <w:i/>
              </w:rPr>
              <w:t>ihre Zuständigkeiten überschritten hat, indem sie Maßnahmen ergriffen hat, mit denen sie in einigen</w:t>
            </w:r>
            <w:r>
              <w:t xml:space="preserve"> Mitgliedstaaten </w:t>
            </w:r>
            <w:r>
              <w:rPr>
                <w:b/>
                <w:i/>
              </w:rPr>
              <w:t>in die Justiz eingegriffen</w:t>
            </w:r>
            <w:r>
              <w:t xml:space="preserve"> hat; betont die Notwendigkeit transparenter und leistungsorientierter Ernennungen für hochrangige Richterposten</w:t>
            </w:r>
            <w:r>
              <w:rPr>
                <w:b/>
                <w:i/>
              </w:rPr>
              <w:t>,</w:t>
            </w:r>
            <w:r>
              <w:t xml:space="preserve"> ohne </w:t>
            </w:r>
            <w:r>
              <w:rPr>
                <w:b/>
                <w:i/>
              </w:rPr>
              <w:t>dass die Personengruppe, die die Macht in den Organen der Europäischen Union in den Händen hält, darauf politisch Einfluss nimmt</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188</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betont die Notwendigkeit transparenter und leistungsorientierter Ernennungen für hochrangige Richterposten ohne politische Einflussnahme;</w:t>
            </w:r>
          </w:p>
        </w:tc>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betont die Notwendigkeit transparenter und leistungsorientierter Ernennungen für hochrangige Richterposten ohne politische Einflussnahme</w:t>
            </w:r>
            <w:r>
              <w:rPr>
                <w:b/>
                <w:i/>
              </w:rPr>
              <w:t>, sodass die Unparteilichkeit der Richter auf Dauer gesichert ist</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189</w:t>
      </w:r>
      <w:r>
        <w:rPr>
          <w:rStyle w:val="HideTWBExt"/>
        </w:rPr>
        <w:t>&lt;/NumAm&gt;</w:t>
      </w:r>
    </w:p>
    <w:p w:rsidR="00931B01" w:rsidRDefault="00931B01" w:rsidP="00931B01">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betont die Notwendigkeit transparenter und leistungsorientierter Ernennungen für hochrangige Richterposten ohne politische Einflussnahme;</w:t>
            </w:r>
          </w:p>
        </w:tc>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xml:space="preserve">; betont die Notwendigkeit transparenter und leistungsorientierter </w:t>
            </w:r>
            <w:r>
              <w:rPr>
                <w:b/>
                <w:i/>
              </w:rPr>
              <w:t xml:space="preserve">Nominierungen und </w:t>
            </w:r>
            <w:r>
              <w:t>Ernennungen für hochrangige Richterposten</w:t>
            </w:r>
            <w:r>
              <w:rPr>
                <w:b/>
                <w:i/>
              </w:rPr>
              <w:t xml:space="preserve"> in allen Mitgliedstaaten</w:t>
            </w:r>
            <w:r>
              <w:t xml:space="preserve"> ohne politische Einflussnahme;</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190</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xml:space="preserve">; betont die Notwendigkeit transparenter und </w:t>
            </w:r>
            <w:r>
              <w:rPr>
                <w:b/>
                <w:i/>
              </w:rPr>
              <w:t>leistungsorientierter</w:t>
            </w:r>
            <w:r>
              <w:t xml:space="preserve"> Ernennungen für hochrangige Richterposten ohne politische Einflussnahme;</w:t>
            </w:r>
          </w:p>
        </w:tc>
        <w:tc>
          <w:tcPr>
            <w:tcW w:w="4876" w:type="dxa"/>
            <w:tcBorders>
              <w:top w:val="nil"/>
              <w:left w:val="nil"/>
              <w:bottom w:val="nil"/>
              <w:right w:val="nil"/>
            </w:tcBorders>
          </w:tcPr>
          <w:p w:rsidR="00931B01" w:rsidRDefault="00931B01" w:rsidP="00104ED4">
            <w:pPr>
              <w:pStyle w:val="Normal6a"/>
            </w:pPr>
            <w:r>
              <w:t>2.</w:t>
            </w:r>
            <w:r>
              <w:tab/>
              <w:t>stellt fest, dass die Kommission strukturelle Herausforderungen bei der Verbesserung der Effizienz der Justiz einiger Mitgliedstaaten festgestellt hat</w:t>
            </w:r>
            <w:r>
              <w:rPr>
                <w:vertAlign w:val="superscript"/>
              </w:rPr>
              <w:t>37</w:t>
            </w:r>
            <w:r>
              <w:t xml:space="preserve">; betont die Notwendigkeit </w:t>
            </w:r>
            <w:r>
              <w:rPr>
                <w:b/>
                <w:i/>
              </w:rPr>
              <w:t xml:space="preserve">uneingeschränkt </w:t>
            </w:r>
            <w:r>
              <w:t xml:space="preserve">transparenter und </w:t>
            </w:r>
            <w:r>
              <w:rPr>
                <w:b/>
                <w:i/>
              </w:rPr>
              <w:t>veröffentlichter Kriterien für leistungsorientierte</w:t>
            </w:r>
            <w:r>
              <w:t xml:space="preserve"> Ernennungen für hochrangige Richterposten ohne politische Einflussnahme;</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191</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2.</w:t>
            </w:r>
            <w:r>
              <w:tab/>
            </w:r>
            <w:r>
              <w:rPr>
                <w:b/>
                <w:i/>
              </w:rPr>
              <w:t>stellt fest</w:t>
            </w:r>
            <w:r>
              <w:t xml:space="preserve">, dass die Kommission strukturelle </w:t>
            </w:r>
            <w:r>
              <w:rPr>
                <w:b/>
                <w:i/>
              </w:rPr>
              <w:t>Herausforderungen</w:t>
            </w:r>
            <w:r>
              <w:t xml:space="preserve"> bei der Verbesserung der Effizienz der Justiz einiger Mitgliedstaaten festgestellt hat</w:t>
            </w:r>
            <w:r>
              <w:rPr>
                <w:b/>
                <w:i/>
                <w:vertAlign w:val="superscript"/>
              </w:rPr>
              <w:t>37</w:t>
            </w:r>
            <w:r>
              <w:rPr>
                <w:b/>
                <w:i/>
              </w:rPr>
              <w:t>; betont</w:t>
            </w:r>
            <w:r>
              <w:t xml:space="preserve"> die </w:t>
            </w:r>
            <w:r>
              <w:rPr>
                <w:b/>
                <w:i/>
              </w:rPr>
              <w:t>Notwendigkeit transparenter und leistungsorientierter Ernennungen</w:t>
            </w:r>
            <w:r>
              <w:t xml:space="preserve"> für </w:t>
            </w:r>
            <w:r>
              <w:rPr>
                <w:b/>
                <w:i/>
              </w:rPr>
              <w:t xml:space="preserve">hochrangige </w:t>
            </w:r>
            <w:r>
              <w:t>Richterposten</w:t>
            </w:r>
            <w:r>
              <w:rPr>
                <w:b/>
                <w:i/>
              </w:rPr>
              <w:t xml:space="preserve"> ohne politische Einflussnahme</w:t>
            </w:r>
            <w:r>
              <w:t>;</w:t>
            </w:r>
          </w:p>
        </w:tc>
        <w:tc>
          <w:tcPr>
            <w:tcW w:w="4876" w:type="dxa"/>
            <w:tcBorders>
              <w:top w:val="nil"/>
              <w:left w:val="nil"/>
              <w:bottom w:val="nil"/>
              <w:right w:val="nil"/>
            </w:tcBorders>
          </w:tcPr>
          <w:p w:rsidR="00931B01" w:rsidRDefault="00931B01" w:rsidP="00104ED4">
            <w:pPr>
              <w:pStyle w:val="Normal6a"/>
            </w:pPr>
            <w:r>
              <w:t>2.</w:t>
            </w:r>
            <w:r>
              <w:tab/>
            </w:r>
            <w:r>
              <w:rPr>
                <w:b/>
                <w:i/>
              </w:rPr>
              <w:t>nimmt zur Kenntnis</w:t>
            </w:r>
            <w:r>
              <w:t xml:space="preserve">, dass die Kommission strukturelle </w:t>
            </w:r>
            <w:r>
              <w:rPr>
                <w:b/>
                <w:i/>
              </w:rPr>
              <w:t>Probleme</w:t>
            </w:r>
            <w:r>
              <w:t xml:space="preserve"> bei der Verbesserung der Effizienz der Justiz einiger Mitgliedstaaten festgestellt hat</w:t>
            </w:r>
            <w:r>
              <w:rPr>
                <w:b/>
                <w:i/>
              </w:rPr>
              <w:t xml:space="preserve"> und</w:t>
            </w:r>
            <w:r>
              <w:t xml:space="preserve"> die </w:t>
            </w:r>
            <w:r>
              <w:rPr>
                <w:b/>
                <w:i/>
              </w:rPr>
              <w:t>Zuständigkeit der Mitgliedstaaten für die Festlegung von Vorschriften</w:t>
            </w:r>
            <w:r>
              <w:t xml:space="preserve"> für </w:t>
            </w:r>
            <w:r>
              <w:rPr>
                <w:b/>
                <w:i/>
              </w:rPr>
              <w:t xml:space="preserve">die Besetzung hochrangiger </w:t>
            </w:r>
            <w:r>
              <w:t xml:space="preserve">Richterposten </w:t>
            </w:r>
            <w:r>
              <w:rPr>
                <w:b/>
                <w:i/>
              </w:rPr>
              <w:t>respektiert</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c>
          <w:tcPr>
            <w:tcW w:w="4876" w:type="dxa"/>
            <w:tcBorders>
              <w:top w:val="nil"/>
              <w:left w:val="nil"/>
              <w:bottom w:val="nil"/>
              <w:right w:val="nil"/>
            </w:tcBorders>
          </w:tcPr>
          <w:p w:rsidR="00931B01" w:rsidRDefault="00931B01" w:rsidP="00104ED4">
            <w:pPr>
              <w:pStyle w:val="Normal6a"/>
            </w:pPr>
            <w:r>
              <w:rPr>
                <w:vertAlign w:val="superscript"/>
              </w:rPr>
              <w:t>37</w:t>
            </w:r>
            <w:r>
              <w:t xml:space="preserve"> Mitteilung der Kommission vom 24. Juli 2024 mit dem Titel „Bericht über die Rechtsstaatlichkeit 2024“ (COM(2024)0800), Anhang mit Empfehlungen, S. 1, 9, 11, 19 und 24.</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192</w:t>
      </w:r>
      <w:r>
        <w:rPr>
          <w:rStyle w:val="HideTWBExt"/>
        </w:rPr>
        <w:t>&lt;/NumAm&gt;</w:t>
      </w:r>
    </w:p>
    <w:p w:rsidR="00931B01" w:rsidRDefault="00931B01" w:rsidP="00931B01">
      <w:pPr>
        <w:pStyle w:val="NormalBold"/>
      </w:pPr>
      <w:r>
        <w:rPr>
          <w:rStyle w:val="HideTWBExt"/>
          <w:b w:val="0"/>
        </w:rPr>
        <w:t>&lt;RepeatBlock-By&gt;&lt;Members&gt;</w:t>
      </w:r>
      <w:r>
        <w:t>Alessandro Zan, Cecilia Strada, Sandro Ruotolo, Pina Picierno, Marco Tarquinio</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2a.</w:t>
            </w:r>
            <w:r>
              <w:rPr>
                <w:b/>
                <w:i/>
              </w:rPr>
              <w:tab/>
              <w:t>nimmt die Feststellung der Kommission zur Kenntnis, wonach die Unabhängigkeit der Justiz in Italien nach wie vor als unzureichend wahrgenommen wird; zeigt sich besorgt über den Erlass von Durchführungsvorschriften im Rahmen der Reform des italienischen Justizsystems und die daraus resultierende Schwächung der Justiz; bekundet seine Besorgnis über die vorgeschlagenen Verfassungsreformen, nämlich die Trennung von Laufbahnen im Justizwesen und den Vorschlag, ein Hohes Gericht für Disziplinarverfahren einzurichten, um das Verhalten von Richtern zu überwachen; hält es für geboten, die Unabhängigkeit der Justiz und die Gewaltenteilung zu wahren;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193</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Abir Al-Sahlani, Fabienne Keller, Lucia Yar, Irena Joveva, Isabel Wiseler-Lima,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2a.</w:t>
            </w:r>
            <w:r>
              <w:rPr>
                <w:b/>
                <w:i/>
              </w:rPr>
              <w:tab/>
              <w:t>bedauert, dass es in mehreren Mitgliedstaaten noch immer Bedenken über die Höhe der Bezüge von Richtern und Justizbediensteten gibt, sodass Stellen unattraktiv sind und kaum besetzt werden können; weist darauf hin, dass transparente Verfahren für die Ernennung und Entlassung von Richtern sowie für die Befugnisse und die Zusammensetzung von Justizräten unabdingbar sind, um die Unabhängigkeit der Justiz zu wahren; fordert die Mitgliedstaaten auf, angemessene Schutzvorkehrungen gegen unzulässige politische Einflussnahme, unter anderem seitens Drittländern, einzuführen;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194</w:t>
      </w:r>
      <w:r>
        <w:rPr>
          <w:rStyle w:val="HideTWBExt"/>
        </w:rPr>
        <w:t>&lt;/NumAm&gt;</w:t>
      </w:r>
    </w:p>
    <w:p w:rsidR="00931B01" w:rsidRDefault="00931B01" w:rsidP="00931B01">
      <w:pPr>
        <w:pStyle w:val="NormalBold"/>
      </w:pPr>
      <w:r>
        <w:rPr>
          <w:rStyle w:val="HideTWBExt"/>
          <w:b w:val="0"/>
        </w:rPr>
        <w:t>&lt;RepeatBlock-By&gt;&lt;Members&gt;</w:t>
      </w:r>
      <w:r>
        <w:t>Giuseppe Antoci, 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2a.</w:t>
            </w:r>
            <w:r>
              <w:rPr>
                <w:b/>
                <w:i/>
              </w:rPr>
              <w:tab/>
              <w:t>ist der Ansicht, dass die Lage in Italien besonders eingehend beobachtet werden muss, da die Rechtsstaatlichkeit in dem Land von Tag zu Tag mehr abgebaut wird; verurteilt die Reform des Strafgesetzbuchs, mit der der Straftatbestand des Amtsmissbrauchs abgeschafft wurde; hebt hervor, dass diese Abschaffung die Bekämpfung von Korruption und organisierter Kriminalität in Italien und EU-weit beeinträchtigt; fordert die Kommission auf, die Lage in Italien diesbezüglich eingehend zu beobachten und im Bericht über die Rechtsstaatlichkeit 2025 darüber Bericht zu erstatten;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195</w:t>
      </w:r>
      <w:r>
        <w:rPr>
          <w:rStyle w:val="HideTWBExt"/>
        </w:rPr>
        <w:t>&lt;/NumAm&gt;</w:t>
      </w:r>
    </w:p>
    <w:p w:rsidR="00931B01" w:rsidRDefault="00931B01" w:rsidP="00931B01">
      <w:pPr>
        <w:pStyle w:val="NormalBold"/>
      </w:pPr>
      <w:r>
        <w:rPr>
          <w:rStyle w:val="HideTWBExt"/>
          <w:b w:val="0"/>
        </w:rPr>
        <w:t>&lt;RepeatBlock-By&gt;&lt;Members&gt;</w:t>
      </w:r>
      <w:r>
        <w:t>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2a.</w:t>
            </w:r>
            <w:r>
              <w:rPr>
                <w:b/>
                <w:i/>
              </w:rPr>
              <w:tab/>
              <w:t>stellt fest, dass die Kommission ihre eigene Parteipolitik verfolgt, indem sie den Rechtsstaatsslogan nutzt, um den von ihr bevorzugten Politikern in den Mitgliedstaaten finanzielle, kommunikative und formale Vorteile einzuräumen, wobei sie auf eklatante Weise den Grundsatz missachtet, dass jede Macht, einschließlich der Justiz, demokratisch legitimiert sein muss;</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196</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2a.</w:t>
            </w:r>
            <w:r>
              <w:rPr>
                <w:b/>
                <w:i/>
              </w:rPr>
              <w:tab/>
              <w:t>fordert die Kommission auf, in künftigen Berichten über die Rechtsstaatlichkeit die Bedingungen in Haftanstalten zu bewerten, da es in ganz Europa immer mehr schwerwiegende Bedenken mit Blick auf Überbelegung, unangemessene Lebensbedingungen und die alarmierend hohen Selbstmordraten in Gefängnissen gibt;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197</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2a.</w:t>
            </w:r>
            <w:r>
              <w:rPr>
                <w:b/>
                <w:i/>
              </w:rPr>
              <w:tab/>
              <w:t>weist darauf hin, dass die Ernennung und Beförderung von Richtern und Staatsanwälten ausschließlich aufgrund ihrer Qualifikationen erfolgen muss und nicht von politischen oder persönlichen Erwägungen beeinflusst werden darf;</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198</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2a.</w:t>
            </w:r>
            <w:r>
              <w:rPr>
                <w:b/>
                <w:i/>
              </w:rPr>
              <w:tab/>
              <w:t>betont den hohen Stellenwert der Unabhängigkeit und der Autonomie der Staatsanwaltschaften;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199</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2b.</w:t>
            </w:r>
            <w:r>
              <w:rPr>
                <w:b/>
                <w:i/>
              </w:rPr>
              <w:tab/>
              <w:t>weist erneut darauf hin, dass die Autonomie der Staatsanwaltschaften gewährleistet werden muss, um jegliche politische Einflussnahme auf ihre Arbeit zu verhindern; fordert nachdrücklich, dass das System der Disziplinarverfahren reformiert wird, damit sie nicht von politischen Stellen für die Kontrolle der Justiz herangezogen werden; beharrt in diesem Zusammenhang darauf, dass diese Verfahren von einer unabhängigen Stelle geführt werden;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200</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Ana Catarina Mendes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2b.</w:t>
            </w:r>
            <w:r>
              <w:rPr>
                <w:b/>
                <w:i/>
              </w:rPr>
              <w:tab/>
              <w:t>hält es für geboten, die Autonomie und Rechenschaftspflicht von Staatsanwaltschaften zu gewährleisten, um sie vor ungebührlichem politischem Druck zu schützen; weist nachdrücklich darauf hin, dass transparente Ernennungsverfahren für Staatsanwälte ein wichtiger Faktor dafür sind, dass das Vertrauen der Öffentlichkeit in die Strafjustiz gewahrt bleibt;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201</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2c.</w:t>
            </w:r>
            <w:r>
              <w:rPr>
                <w:b/>
                <w:i/>
              </w:rPr>
              <w:tab/>
              <w:t>fordert die Kommission auf, kontinuierlich darauf zu achten und dafür Sorge zu tragen, dass Richter und Staatsanwälte stets unabhängig von den Behörden sind, von denen sie ernannt oder wiederernannt wurden;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202</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2d.</w:t>
            </w:r>
            <w:r>
              <w:rPr>
                <w:b/>
                <w:i/>
              </w:rPr>
              <w:tab/>
              <w:t>fordert nachdrücklich, dass Disziplinarverfahren für Richter von unabhängigen Stellen geführt werden, die keinerlei politischem Einfluss unterliegen;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203</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2 e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2e.</w:t>
            </w:r>
            <w:r>
              <w:rPr>
                <w:b/>
                <w:i/>
              </w:rPr>
              <w:tab/>
              <w:t>nimmt mit Besorgnis zur Kenntnis, dass politisch motivierte Amnestiegesetze in der Öffentlichkeit Bedenken hinsichtlich der Einhaltung verfassungsmäßiger Bestimmungen und der EU-Standards aufkommen lassen; missbilligt eine staatliche oder politische Einmischung in Korruptionsermittlungen und weist darauf hin, dass niemand über dem Gesetz steht;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204</w:t>
      </w:r>
      <w:r>
        <w:rPr>
          <w:rStyle w:val="HideTWBExt"/>
        </w:rPr>
        <w:t>&lt;/NumAm&gt;</w:t>
      </w:r>
    </w:p>
    <w:p w:rsidR="00931B01" w:rsidRDefault="00931B01" w:rsidP="00931B01">
      <w:pPr>
        <w:pStyle w:val="NormalBold"/>
      </w:pPr>
      <w:r>
        <w:rPr>
          <w:rStyle w:val="HideTWBExt"/>
          <w:b w:val="0"/>
        </w:rPr>
        <w:t>&lt;RepeatBlock-By&gt;&lt;Members&gt;</w:t>
      </w:r>
      <w:r>
        <w:t>Nicolas Bay</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3.</w:t>
            </w:r>
            <w:r>
              <w:tab/>
            </w:r>
            <w:r>
              <w:rPr>
                <w:b/>
                <w:i/>
              </w:rPr>
              <w:t>fordert die Mitgliedstaaten auf, ergangene Urteile unverzüglich umzusetzen, und fordert die Kommission auf, die Folgen für die Einhaltung des EU-Rechts zu bewerten und erforderlichenfalls Vertragsverletzungsverfahren einzuleiten;</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{FR}</w:t>
      </w:r>
      <w:r>
        <w:t>fr</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205</w:t>
      </w:r>
      <w:r>
        <w:rPr>
          <w:rStyle w:val="HideTWBExt"/>
        </w:rPr>
        <w:t>&lt;/NumAm&gt;</w:t>
      </w:r>
    </w:p>
    <w:p w:rsidR="00931B01" w:rsidRDefault="00931B01" w:rsidP="00931B01">
      <w:pPr>
        <w:pStyle w:val="NormalBold"/>
      </w:pPr>
      <w:r>
        <w:rPr>
          <w:rStyle w:val="HideTWBExt"/>
          <w:b w:val="0"/>
        </w:rPr>
        <w:t>&lt;RepeatBlock-By&gt;&lt;Members&gt;</w:t>
      </w:r>
      <w:r>
        <w:t>Mary Khan, Milan Uhrík, 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3.</w:t>
            </w:r>
            <w:r>
              <w:tab/>
            </w:r>
            <w:r>
              <w:rPr>
                <w:b/>
                <w:i/>
              </w:rPr>
              <w:t>fordert die Mitgliedstaaten auf, ergangene Urteile unverzüglich umzusetzen, und fordert die Kommission auf, die Folgen für die Einhaltung des EU-Rechts zu bewerten und erforderlichenfalls Vertragsverletzungsverfahren einzuleiten;</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206</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3.</w:t>
            </w:r>
            <w:r>
              <w:tab/>
              <w:t>fordert die Mitgliedstaaten auf, ergangene Urteile unverzüglich umzusetzen, und fordert die Kommission auf, die Folgen für die Einhaltung des EU-Rechts zu bewerten und erforderlichenfalls Vertragsverletzungsverfahren einzuleiten;</w:t>
            </w:r>
          </w:p>
        </w:tc>
        <w:tc>
          <w:tcPr>
            <w:tcW w:w="4876" w:type="dxa"/>
            <w:tcBorders>
              <w:top w:val="nil"/>
              <w:left w:val="nil"/>
              <w:bottom w:val="nil"/>
              <w:right w:val="nil"/>
            </w:tcBorders>
          </w:tcPr>
          <w:p w:rsidR="00931B01" w:rsidRDefault="00931B01" w:rsidP="00104ED4">
            <w:pPr>
              <w:pStyle w:val="Normal6a"/>
            </w:pPr>
            <w:r>
              <w:t>3.</w:t>
            </w:r>
            <w:r>
              <w:tab/>
              <w:t xml:space="preserve">fordert die Mitgliedstaaten auf, ergangene Urteile unverzüglich umzusetzen, und fordert die Kommission auf, die Folgen für die Einhaltung des EU-Rechts zu bewerten und erforderlichenfalls Vertragsverletzungsverfahren einzuleiten; </w:t>
            </w:r>
            <w:r>
              <w:rPr>
                <w:b/>
                <w:i/>
              </w:rPr>
              <w:t>betont, dass bei Menschenrechtsverletzungen keine Abhilfe erfolgt und sie sich möglicherweise gar wiederholen können, wenn nationale und internationale Gerichtsurteile nicht umgesetzt werden; betont ferner, dass dadurch in der Öffentlichkeit die Wahrnehmung entsteht, dass Urteile ignoriert werden können, wodurch die Unabhängigkeit der Justiz und das allgemeine Vertrauen in die Wirkungskraft gerechter Gerichtsentscheidungen untergraben werden, was insbesondere dann der Fall ist, wenn staatliche Stellen die Befolgung der Urteile ihrer eigenen innerstaatlichen Gerichte missachten oder wenn Staaten damit beginnen, das Gefüge internationaler Abkommen zu zerschlagen, indem sie die Urteile internationaler Gerichte missachten;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207</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3.</w:t>
            </w:r>
            <w:r>
              <w:tab/>
              <w:t>fordert die Mitgliedstaaten auf, ergangene Urteile unverzüglich umzusetzen, und fordert die Kommission auf, die Folgen für die Einhaltung des EU-Rechts zu bewerten und erforderlichenfalls Vertragsverletzungsverfahren einzuleiten;</w:t>
            </w:r>
          </w:p>
        </w:tc>
        <w:tc>
          <w:tcPr>
            <w:tcW w:w="4876" w:type="dxa"/>
            <w:tcBorders>
              <w:top w:val="nil"/>
              <w:left w:val="nil"/>
              <w:bottom w:val="nil"/>
              <w:right w:val="nil"/>
            </w:tcBorders>
          </w:tcPr>
          <w:p w:rsidR="00931B01" w:rsidRDefault="00931B01" w:rsidP="00104ED4">
            <w:pPr>
              <w:pStyle w:val="Normal6a"/>
            </w:pPr>
            <w:r>
              <w:t>3.</w:t>
            </w:r>
            <w:r>
              <w:tab/>
              <w:t xml:space="preserve">fordert die Mitgliedstaaten auf, ergangene Urteile unverzüglich umzusetzen, und fordert die Kommission auf, die Folgen für die Einhaltung des EU-Rechts zu bewerten und erforderlichenfalls Vertragsverletzungsverfahren einzuleiten; </w:t>
            </w:r>
            <w:r>
              <w:rPr>
                <w:b/>
                <w:i/>
              </w:rPr>
              <w:t>schlägt die Einrichtung eines Überwachungsgremiums vor, das die Vollstreckung von Urteilen überwacht und dabei mit dem Europarat zusammenarbeitet;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208</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3.</w:t>
            </w:r>
            <w:r>
              <w:tab/>
              <w:t>fordert die Mitgliedstaaten auf, ergangene Urteile unverzüglich umzusetzen</w:t>
            </w:r>
            <w:r>
              <w:rPr>
                <w:b/>
                <w:i/>
              </w:rPr>
              <w:t>, und fordert die Kommission auf, die Folgen für die Einhaltung des EU-Rechts zu bewerten und erforderlichenfalls Vertragsverletzungsverfahren einzuleiten</w:t>
            </w:r>
            <w:r>
              <w:t>;</w:t>
            </w:r>
          </w:p>
        </w:tc>
        <w:tc>
          <w:tcPr>
            <w:tcW w:w="4876" w:type="dxa"/>
            <w:tcBorders>
              <w:top w:val="nil"/>
              <w:left w:val="nil"/>
              <w:bottom w:val="nil"/>
              <w:right w:val="nil"/>
            </w:tcBorders>
          </w:tcPr>
          <w:p w:rsidR="00931B01" w:rsidRDefault="00931B01" w:rsidP="00104ED4">
            <w:pPr>
              <w:pStyle w:val="Normal6a"/>
            </w:pPr>
            <w:r>
              <w:t>3.</w:t>
            </w:r>
            <w:r>
              <w:tab/>
              <w:t xml:space="preserve">fordert die Mitgliedstaaten auf, ergangene Urteile </w:t>
            </w:r>
            <w:r>
              <w:rPr>
                <w:b/>
                <w:i/>
              </w:rPr>
              <w:t>ihrer Verfassungsgerichte</w:t>
            </w:r>
            <w:r>
              <w:t xml:space="preserve"> unverzüglich umzusetzen;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209</w:t>
      </w:r>
      <w:r>
        <w:rPr>
          <w:rStyle w:val="HideTWBExt"/>
        </w:rPr>
        <w:t>&lt;/NumAm&gt;</w:t>
      </w:r>
    </w:p>
    <w:p w:rsidR="00931B01" w:rsidRDefault="00931B01" w:rsidP="00931B01">
      <w:pPr>
        <w:pStyle w:val="NormalBold"/>
      </w:pPr>
      <w:r>
        <w:rPr>
          <w:rStyle w:val="HideTWBExt"/>
          <w:b w:val="0"/>
        </w:rPr>
        <w:t>&lt;RepeatBlock-By&gt;&lt;Members&gt;</w:t>
      </w:r>
      <w:r>
        <w:t>Michał Wawrykiewicz, Ana Catarina Mendes, Moritz Körner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3.</w:t>
            </w:r>
            <w:r>
              <w:tab/>
              <w:t>fordert die Mitgliedstaaten auf, ergangene Urteile unverzüglich umzusetzen, und fordert die Kommission auf, die Folgen für die Einhaltung des EU-Rechts zu bewerten und erforderlichenfalls Vertragsverletzungsverfahren einzuleiten;</w:t>
            </w:r>
          </w:p>
        </w:tc>
        <w:tc>
          <w:tcPr>
            <w:tcW w:w="4876" w:type="dxa"/>
            <w:tcBorders>
              <w:top w:val="nil"/>
              <w:left w:val="nil"/>
              <w:bottom w:val="nil"/>
              <w:right w:val="nil"/>
            </w:tcBorders>
          </w:tcPr>
          <w:p w:rsidR="00931B01" w:rsidRDefault="00931B01" w:rsidP="00104ED4">
            <w:pPr>
              <w:pStyle w:val="Normal6a"/>
            </w:pPr>
            <w:r>
              <w:t>3.</w:t>
            </w:r>
            <w:r>
              <w:tab/>
              <w:t xml:space="preserve">fordert die Mitgliedstaaten auf, ergangene Urteile </w:t>
            </w:r>
            <w:r>
              <w:rPr>
                <w:b/>
                <w:i/>
              </w:rPr>
              <w:t xml:space="preserve">des EuGH und des EGMR </w:t>
            </w:r>
            <w:r>
              <w:t>unverzüglich umzusetzen, und fordert die Kommission auf, die Folgen für die Einhaltung des EU-Rechts zu bewerten und erforderlichenfalls Vertragsverletzungsverfahren einzuleiten</w:t>
            </w:r>
            <w:r>
              <w:rPr>
                <w:b/>
                <w:i/>
              </w:rPr>
              <w:t xml:space="preserve"> und Anträge auf einstweilige Maßnahmen zu stellen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210</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3.</w:t>
            </w:r>
            <w:r>
              <w:tab/>
              <w:t>fordert die Mitgliedstaaten auf, ergangene Urteile unverzüglich umzusetzen, und fordert die Kommission auf, die Folgen für die Einhaltung des EU-Rechts zu bewerten und erforderlichenfalls Vertragsverletzungsverfahren einzuleiten;</w:t>
            </w:r>
          </w:p>
        </w:tc>
        <w:tc>
          <w:tcPr>
            <w:tcW w:w="4876" w:type="dxa"/>
            <w:tcBorders>
              <w:top w:val="nil"/>
              <w:left w:val="nil"/>
              <w:bottom w:val="nil"/>
              <w:right w:val="nil"/>
            </w:tcBorders>
          </w:tcPr>
          <w:p w:rsidR="00931B01" w:rsidRDefault="00931B01" w:rsidP="00104ED4">
            <w:pPr>
              <w:pStyle w:val="Normal6a"/>
            </w:pPr>
            <w:r>
              <w:t>3.</w:t>
            </w:r>
            <w:r>
              <w:tab/>
              <w:t xml:space="preserve">fordert die Mitgliedstaaten auf, ergangene Urteile </w:t>
            </w:r>
            <w:r>
              <w:rPr>
                <w:b/>
                <w:i/>
              </w:rPr>
              <w:t xml:space="preserve">einschließlich der Urteile des Europäischen Gerichtshofs für Menschenrechte </w:t>
            </w:r>
            <w:r>
              <w:t>unverzüglich umzusetzen, und fordert die Kommission auf, die Folgen für die Einhaltung des EU-Rechts zu bewerten und erforderlichenfalls Vertragsverletzungsverfahren einzuleiten;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211</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3.</w:t>
            </w:r>
            <w:r>
              <w:tab/>
              <w:t xml:space="preserve">fordert die Mitgliedstaaten auf, </w:t>
            </w:r>
            <w:r>
              <w:rPr>
                <w:b/>
                <w:i/>
              </w:rPr>
              <w:t>ergangene</w:t>
            </w:r>
            <w:r>
              <w:t xml:space="preserve"> Urteile unverzüglich umzusetzen</w:t>
            </w:r>
            <w:r>
              <w:rPr>
                <w:b/>
                <w:i/>
              </w:rPr>
              <w:t>,</w:t>
            </w:r>
            <w:r>
              <w:t xml:space="preserve"> und </w:t>
            </w:r>
            <w:r>
              <w:rPr>
                <w:b/>
                <w:i/>
              </w:rPr>
              <w:t>fordert die Kommission auf, die Folgen für die Einhaltung des EU-Rechts zu bewerten und erforderlichenfalls Vertragsverletzungsverfahren einzuleiten</w:t>
            </w:r>
            <w:r>
              <w:t>;</w:t>
            </w:r>
          </w:p>
        </w:tc>
        <w:tc>
          <w:tcPr>
            <w:tcW w:w="4876" w:type="dxa"/>
            <w:tcBorders>
              <w:top w:val="nil"/>
              <w:left w:val="nil"/>
              <w:bottom w:val="nil"/>
              <w:right w:val="nil"/>
            </w:tcBorders>
          </w:tcPr>
          <w:p w:rsidR="00931B01" w:rsidRDefault="00931B01" w:rsidP="00104ED4">
            <w:pPr>
              <w:pStyle w:val="Normal6a"/>
            </w:pPr>
            <w:r>
              <w:t>3.</w:t>
            </w:r>
            <w:r>
              <w:tab/>
              <w:t xml:space="preserve">fordert die Mitgliedstaaten auf, </w:t>
            </w:r>
            <w:r>
              <w:rPr>
                <w:b/>
                <w:i/>
              </w:rPr>
              <w:t>alle ergangenen</w:t>
            </w:r>
            <w:r>
              <w:t xml:space="preserve"> Urteile unverzüglich umzusetzen und </w:t>
            </w:r>
            <w:r>
              <w:rPr>
                <w:b/>
                <w:i/>
              </w:rPr>
              <w:t>dabei den Ermessensspielraum der Kommission zu achten, Vertragsverletzungsverfahren einzuleiten, wenn sie dies für gerechtfertigt hält</w:t>
            </w:r>
            <w:r>
              <w: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212</w:t>
      </w:r>
      <w:r>
        <w:rPr>
          <w:rStyle w:val="HideTWBExt"/>
        </w:rPr>
        <w:t>&lt;/NumAm&gt;</w:t>
      </w:r>
    </w:p>
    <w:p w:rsidR="00931B01" w:rsidRDefault="00931B01" w:rsidP="00931B01">
      <w:pPr>
        <w:pStyle w:val="NormalBold"/>
      </w:pPr>
      <w:r>
        <w:rPr>
          <w:rStyle w:val="HideTWBExt"/>
          <w:b w:val="0"/>
        </w:rPr>
        <w:t>&lt;RepeatBlock-By&gt;&lt;Members&gt;</w:t>
      </w:r>
      <w:r>
        <w:t>Jaume Asens Llodrà,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 Nummer 1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w:t>
            </w:r>
            <w:r>
              <w:tab/>
            </w:r>
            <w:r>
              <w:rPr>
                <w:b/>
                <w:i/>
              </w:rPr>
              <w:t>weist darauf hin, dass die Rechtsstaatlichkeit untergraben wird, wenn demokratisch verabschiedete Gesetze institutionellen Hindernissen oder Widerstand seitens bestimmter Bereiche der Justiz oder der Verwaltung ausgesetzt sind und deshalb nicht ordnungsgemäß angewandt werden können;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213</w:t>
      </w:r>
      <w:r>
        <w:rPr>
          <w:rStyle w:val="HideTWBExt"/>
        </w:rPr>
        <w:t>&lt;/NumAm&gt;</w:t>
      </w:r>
    </w:p>
    <w:p w:rsidR="00931B01" w:rsidRDefault="00931B01" w:rsidP="00931B01">
      <w:pPr>
        <w:pStyle w:val="NormalBold"/>
      </w:pPr>
      <w:r>
        <w:rPr>
          <w:rStyle w:val="HideTWBExt"/>
          <w:b w:val="0"/>
        </w:rPr>
        <w:t>&lt;RepeatBlock-By&gt;&lt;Members&gt;</w:t>
      </w:r>
      <w:r>
        <w:t>Jaume Asens Llodrà,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 Nummer 2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(2)</w:t>
            </w:r>
            <w:r>
              <w:tab/>
            </w:r>
            <w:r>
              <w:rPr>
                <w:b/>
                <w:i/>
              </w:rPr>
              <w:t>weist darauf hin, dass das spanische Parlament am 30. Mai 2024 ein Amnestiegesetz verabschiedet hat, mit dem die politischen und juristischen Folgen der Katalonienkrise behoben werden sollen, wodurch die Absicht der demokratisch gewählten Vertreter zum Ausdruck kommt, den Weg des Dialogs und der Normalisierung einzuschlagen; stellt fest, dass das Gesetz am 11. Juni 2024 in Kraft getreten ist; weist darauf hin, dass die spanischen Gerichte nach dem Inkrafttreten zwei Monate Zeit für die Umsetzung hatten;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214</w:t>
      </w:r>
      <w:r>
        <w:rPr>
          <w:rStyle w:val="HideTWBExt"/>
        </w:rPr>
        <w:t>&lt;/NumAm&gt;</w:t>
      </w:r>
    </w:p>
    <w:p w:rsidR="00931B01" w:rsidRDefault="00931B01" w:rsidP="00931B01">
      <w:pPr>
        <w:pStyle w:val="NormalBold"/>
      </w:pPr>
      <w:r>
        <w:rPr>
          <w:rStyle w:val="HideTWBExt"/>
          <w:b w:val="0"/>
        </w:rPr>
        <w:t>&lt;RepeatBlock-By&gt;&lt;Members&gt;</w:t>
      </w:r>
      <w:r>
        <w:t>Jaume Asens Llodrà,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 Nummer 3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w:t>
            </w:r>
            <w:r>
              <w:tab/>
            </w:r>
            <w:r>
              <w:rPr>
                <w:b/>
                <w:i/>
              </w:rPr>
              <w:t>ist besorgt angesichts des Widerstrebens bestimmter Akteure der Justiz und der Verwaltung in Spanien, das Amnestiegesetz uneingeschränkt anzuwenden, wodurch die Gefahr besteht, dass die Rechtssicherheit, der Vorrang der Demokratie und die Gewaltenteilung untergraben werden; hebt hervor, dass Rechtsstaatlichkeit und Grundrechte sowie soziale und politische Stabilität bedroht sein können, wenn demokratisch beschlossene Gesetze nicht durchgesetzt werden;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215</w:t>
      </w:r>
      <w:r>
        <w:rPr>
          <w:rStyle w:val="HideTWBExt"/>
        </w:rPr>
        <w:t>&lt;/NumAm&gt;</w:t>
      </w:r>
    </w:p>
    <w:p w:rsidR="00931B01" w:rsidRDefault="00931B01" w:rsidP="00931B01">
      <w:pPr>
        <w:pStyle w:val="NormalBold"/>
      </w:pPr>
      <w:r>
        <w:rPr>
          <w:rStyle w:val="HideTWBExt"/>
          <w:b w:val="0"/>
        </w:rPr>
        <w:t>&lt;RepeatBlock-By&gt;&lt;Members&gt;</w:t>
      </w:r>
      <w:r>
        <w:t>Jaume Asens Llodrà,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 Nummer 4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(4)</w:t>
            </w:r>
            <w:r>
              <w:tab/>
            </w:r>
            <w:r>
              <w:rPr>
                <w:b/>
                <w:i/>
              </w:rPr>
              <w:t>weist darauf hin, dass das spanische Verfassungsgericht die Bedenken mit Blick auf die Verfassungsmäßigkeit von Amnestie als Rechtsinstitut in den Urteilen 63/1983, 147/1983 und 147/1986 in Bezug auf das Amnestiegesetz von 1977 (1984 überarbeitet) bereits ausgeräumt hat;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216</w:t>
      </w:r>
      <w:r>
        <w:rPr>
          <w:rStyle w:val="HideTWBExt"/>
        </w:rPr>
        <w:t>&lt;/NumAm&gt;</w:t>
      </w:r>
    </w:p>
    <w:p w:rsidR="00931B01" w:rsidRDefault="00931B01" w:rsidP="00931B01">
      <w:pPr>
        <w:pStyle w:val="NormalBold"/>
      </w:pPr>
      <w:r>
        <w:rPr>
          <w:rStyle w:val="HideTWBExt"/>
          <w:b w:val="0"/>
        </w:rPr>
        <w:t>&lt;RepeatBlock-By&gt;&lt;Members&gt;</w:t>
      </w:r>
      <w:r>
        <w:t>Jaume Asens Llodrà,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 Nummer 5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(5)</w:t>
            </w:r>
            <w:r>
              <w:tab/>
            </w:r>
            <w:r>
              <w:rPr>
                <w:b/>
                <w:i/>
              </w:rPr>
              <w:t>weist warnend darauf hin, dass weniger als die Hälfte der Personen, die eine Amnestie beantragt haben, einen positiven Bescheid erhalten haben; hebt hervor, dass die Gerichte kaum von sich aus tätig werden, um das Gesetz anzuwenden; stellt fest, dass Anträge auf eine Amnestie in manchen Fällen ein verfahrenstechnisches Labyrinth nach sich gezogen haben, was einerseits der Tatsache, dass das Gesetz neu ist, geschuldet und andererseits auf die mangelnde Bereitschaft, Fälle rasch abzuarbeiten, zurückzuführen ist;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217</w:t>
      </w:r>
      <w:r>
        <w:rPr>
          <w:rStyle w:val="HideTWBExt"/>
        </w:rPr>
        <w:t>&lt;/NumAm&gt;</w:t>
      </w:r>
    </w:p>
    <w:p w:rsidR="00931B01" w:rsidRDefault="00931B01" w:rsidP="00931B01">
      <w:pPr>
        <w:pStyle w:val="NormalBold"/>
      </w:pPr>
      <w:r>
        <w:rPr>
          <w:rStyle w:val="HideTWBExt"/>
          <w:b w:val="0"/>
        </w:rPr>
        <w:t>&lt;RepeatBlock-By&gt;&lt;Members&gt;</w:t>
      </w:r>
      <w:r>
        <w:t>Jaume Asens Llodrà,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 Nummer 6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(6)</w:t>
            </w:r>
            <w:r>
              <w:tab/>
            </w:r>
            <w:r>
              <w:rPr>
                <w:b/>
                <w:i/>
              </w:rPr>
              <w:t>missbilligt, dass sieben Monate nach Inkrafttreten des Gesetzes annähernd die Hälfte der Anträge auf eine Amnestie noch anhängig ist; stellt fest, dass 13 % der Anträge ausgesetzt sind, da Stellungnahmen des Verfassungsgerichts oder des Gerichtshofs der Europäischen Union zu rechtlichen Fragen abgewartet werden; weist darauf hin, dass fast 15 % der Anträge unmittelbar abgelehnt wurden, wobei häufig keine eindeutige Begründung vorgelegt oder die Entscheidung auf der Grundlage willkürlicher und ideologischer Kriterien getroffen wurde;</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218</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3a.</w:t>
            </w:r>
            <w:r>
              <w:rPr>
                <w:b/>
                <w:i/>
              </w:rPr>
              <w:tab/>
              <w:t>fordert alle Mitgliedstaaten auf, einen Verhaltenskodex für Richter zu verabschieden, der den Empfehlungen der Gruppe der Staaten gegen Korruption (GRECO – Group of States against Corruption) folgt und dem Umstand Rechnung trägt, dass solche Kodizes beim Europäischen Gerichtshof für Menschenrechte (EGMR) und beim EuGH gelten, unabhängige Mechanismen zur Untersuchung mutmaßlicher Verstöße gegen den Verhaltenskodex und gegen andere Gesetze zu schaffen, die Offenlegung und Transparenz bei Interessenkonflikten und in Bezug auf Geschenke an Mitglieder der Justizorgane zu verbessern, das Problem des Drehtüreffekts anzugehen und von Richtern zu verlangen, Entscheidungen über Abberufungen öffentlich zu begründen;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219</w:t>
      </w:r>
      <w:r>
        <w:rPr>
          <w:rStyle w:val="HideTWBExt"/>
        </w:rPr>
        <w:t>&lt;/NumAm&gt;</w:t>
      </w:r>
    </w:p>
    <w:p w:rsidR="00931B01" w:rsidRDefault="00931B01" w:rsidP="00931B01">
      <w:pPr>
        <w:pStyle w:val="NormalBold"/>
      </w:pPr>
      <w:r>
        <w:rPr>
          <w:rStyle w:val="HideTWBExt"/>
          <w:b w:val="0"/>
        </w:rPr>
        <w:t>&lt;RepeatBlock-By&gt;&lt;Members&gt;</w:t>
      </w:r>
      <w:r>
        <w:t>Marieke Ehlers, Jorge Buxadé Villalba, Tom Vandendriessche,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3a.</w:t>
            </w:r>
            <w:r>
              <w:rPr>
                <w:b/>
                <w:i/>
              </w:rPr>
              <w:tab/>
              <w:t>fordert die Mitgliedstaaten auf, ihre Möglichkeiten, das Unionshandeln wirkungsvoll zu überwachen und infrage zu stellen, auszuweiten und so sicherzustellen, dass bei allen Gesetzgebungsinitiativen das Kräftegleichgewicht zwischen der Union und ihren Mitgliedstaaten gewahrt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220</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Raquel García Hermida-Van Der Walle, Abir Al-Sahlani, Ana Catarina Mendes, 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3a.</w:t>
            </w:r>
            <w:r>
              <w:rPr>
                <w:b/>
                <w:i/>
              </w:rPr>
              <w:tab/>
              <w:t>hebt hervor, dass die systematische Nichteinhaltung des EU-Rechts mit empfindlichen finanziellen Sanktionen belegt werden sollte, damit eine wirkliche Abschreckung gegeben ist;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221</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3b.</w:t>
            </w:r>
            <w:r>
              <w:rPr>
                <w:b/>
                <w:i/>
              </w:rPr>
              <w:tab/>
              <w:t>ist der festen Überzeugung, dass die Aus- und Fortbildung ein wichtiger Faktor ist, der die Unabhängigkeit von Richtern sowie die Qualität und Effizienz des Justizsystems gewährleistet; ist zutiefst davon überzeugt, dass Aus- und Fortbildung multidisziplinär sein sollte, da Richter alltägliches Wissen über neue Themen benötigen und da sie dazu beiträgt, die Denkweise der Richter für kulturelle Vielfalt und unterschiedliche soziale Gegebenheiten zu öffnen; fordert die Mitgliedstaaten auf, obligatorische Schulungen für Richter zu den Themen Gleichstellung der Geschlechter, Diskriminierung aufgrund des Geschlechts, geschlechtsspezifische Gewalt und geschlechtersensible Methoden, die Richter in ihrer Praxis anwenden können, sowie zu den Rechten des Kindes und zum Grundsatz des Kindeswohls anzubieten, um so einen Beitrag zu einer kindgerechten Justiz zu leisten;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222</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3b.</w:t>
            </w:r>
            <w:r>
              <w:rPr>
                <w:b/>
                <w:i/>
              </w:rPr>
              <w:tab/>
              <w:t>fordert die Mitgliedstaaten auf, der Justiz hinreichende Mittel zur Verfügung zu stellen, damit Rechtssachen zeitnah entschieden und Rückstände abgebaut werden; stellt fest, dass Unterfinanzierung und unzureichende Personalausstattung die Zugänglichkeit und Wirksamkeit der Justizsysteme untergraben und somit das Vertrauen in die Rechtsstaatlichkeit schmälern können;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223</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3c.</w:t>
            </w:r>
            <w:r>
              <w:rPr>
                <w:b/>
                <w:i/>
              </w:rPr>
              <w:tab/>
              <w:t>hebt hervor, dass in Ungarn nach wie vor ernsthafte Bedenken hinsichtlich der Unabhängigkeit der Justiz bestehen, und betont, dass das Justizsystem des Landes nicht den in der Charta und im EUV verankerten Unabhängigkeitsstandards entspricht;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224</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3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3d.</w:t>
            </w:r>
            <w:r>
              <w:rPr>
                <w:b/>
                <w:i/>
              </w:rPr>
              <w:tab/>
              <w:t>weist darauf hin, dass dem Bericht der Kommission über die Rechtsstaatlichkeit 2024 zufolge in Ungarn nach wie vor politischer Einfluss auf die Staatsanwaltschaften ausgeübt wird, wobei das Risiko besteht, dass es zu einer ungebührlichen Einmischung in einzelne Rechtssachen kommt, und dass das Recht von Richtern auf freie Meinungsäußerung nach wie vor bedroht ist und in den Medien Verleumdungskampagnen gegen Richter geführt werden;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225</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um rechtliche Lücken zu schließen und sicherzustellen, dass Opfer Zugang zur Justiz haben und Unterstützung erhalten;</w:t>
            </w:r>
          </w:p>
        </w:tc>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um rechtliche Lücken zu schließen und sicherzustellen, dass Opfer Zugang zur Justiz haben und Unterstützung erhalten</w:t>
            </w:r>
            <w:r>
              <w:rPr>
                <w:b/>
                <w:i/>
              </w:rPr>
              <w:t>, wozu auch Möglichkeiten, die die Opfer betreffenden Entscheidungen in Strafverfahren zu überprüfen, Bestimmungen über die Unterstützung und den Schutz von Opfern, der Zugang zu Wiedergutmachung sowie eine wirksame Datenerhebung, eine bessere Zuweisung von Ressourcen für die Wahrung der Rechte von Verbrechensopfern, die Achtung ihrer Privatsphäre und der Schutz ihrer personenbezogenen Daten – auch bei Migranten und Asylsuchenden ohne gültige Ausweispapiere – gehören</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w:t>
            </w:r>
          </w:p>
        </w:tc>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226</w:t>
      </w:r>
      <w:r>
        <w:rPr>
          <w:rStyle w:val="HideTWBExt"/>
        </w:rPr>
        <w:t>&lt;/NumAm&gt;</w:t>
      </w:r>
    </w:p>
    <w:p w:rsidR="00931B01" w:rsidRDefault="00931B01" w:rsidP="00931B01">
      <w:pPr>
        <w:pStyle w:val="NormalBold"/>
      </w:pPr>
      <w:r>
        <w:rPr>
          <w:rStyle w:val="HideTWBExt"/>
          <w:b w:val="0"/>
        </w:rPr>
        <w:t>&lt;RepeatBlock-By&gt;&lt;Members&gt;</w:t>
      </w:r>
      <w:r>
        <w:t>Alessandro Ciriani, Paolo Inselvini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um rechtliche Lücken zu schließen und sicherzustellen</w:t>
            </w:r>
            <w:r>
              <w:rPr>
                <w:b/>
                <w:i/>
              </w:rPr>
              <w:t>, dass Opfer Zugang zur Justiz haben und Unterstützung erhalten;</w:t>
            </w:r>
          </w:p>
        </w:tc>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xml:space="preserve">, um rechtliche Lücken zu schließen und </w:t>
            </w:r>
            <w:r>
              <w:rPr>
                <w:b/>
                <w:i/>
              </w:rPr>
              <w:t xml:space="preserve">einen besseren Schutz und eine bessere Unterstützung der Opfer in der gesamten EU </w:t>
            </w:r>
            <w:r>
              <w:t>sicherzustellen</w:t>
            </w:r>
            <w:r>
              <w:rPr>
                <w:b/>
                <w:i/>
              </w:rPr>
              <w:t>;</w:t>
            </w:r>
            <w:r>
              <w:t xml:space="preserve"> </w:t>
            </w:r>
            <w:r>
              <w:rPr>
                <w:b/>
                <w:i/>
              </w:rPr>
              <w:t>weist darauf hin, dass es notwendig ist, der Komplexität der nationalen Rechtsvorschriften Rechnung zu tragen, damit die Änderungen konkret umsetzbar sind und zu einer spürbaren Unterstützung von Millionen von Opfern von Straftaten in der gesamten EU führen;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w:t>
            </w:r>
            <w:r>
              <w:rPr>
                <w:b/>
                <w:i/>
              </w:rPr>
              <w:t xml:space="preserve"> </w:t>
            </w:r>
          </w:p>
        </w:tc>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w:t>
            </w:r>
          </w:p>
        </w:tc>
      </w:tr>
    </w:tbl>
    <w:p w:rsidR="00931B01" w:rsidRDefault="00931B01" w:rsidP="00931B01">
      <w:pPr>
        <w:pStyle w:val="AmOrLang"/>
      </w:pPr>
      <w:r>
        <w:t xml:space="preserve">Or. </w:t>
      </w:r>
      <w:r>
        <w:rPr>
          <w:rStyle w:val="HideTWBExt"/>
        </w:rPr>
        <w:t>&lt;Original&gt;</w:t>
      </w:r>
      <w:r>
        <w:rPr>
          <w:rStyle w:val="HideTWBInt"/>
        </w:rPr>
        <w:t>{IT}</w:t>
      </w:r>
      <w:r>
        <w:t>it</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227</w:t>
      </w:r>
      <w:r>
        <w:rPr>
          <w:rStyle w:val="HideTWBExt"/>
        </w:rPr>
        <w:t>&lt;/NumAm&gt;</w:t>
      </w:r>
    </w:p>
    <w:p w:rsidR="00931B01" w:rsidRDefault="00931B01" w:rsidP="00931B01">
      <w:pPr>
        <w:pStyle w:val="NormalBold"/>
      </w:pPr>
      <w:r>
        <w:rPr>
          <w:rStyle w:val="HideTWBExt"/>
          <w:b w:val="0"/>
        </w:rPr>
        <w:t>&lt;RepeatBlock-By&gt;&lt;Members&gt;</w:t>
      </w:r>
      <w:r>
        <w:t>Jorge Buxadé Villalba,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um rechtliche Lücken zu schließen und sicherzustellen, dass Opfer Zugang zur Justiz haben und Unterstützung erhalten;</w:t>
            </w:r>
          </w:p>
        </w:tc>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xml:space="preserve">, um rechtliche Lücken zu schließen und sicherzustellen, dass Opfer Zugang zur Justiz haben und Unterstützung erhalten; </w:t>
            </w:r>
            <w:r>
              <w:rPr>
                <w:b/>
                <w:i/>
              </w:rPr>
              <w:t>hebt in diesem Zusammenhang hervor, dass die Mitgliedstaaten zum Schutz der Würde der Opfer verhindern sollten, dass Straftaten verherrlicht werden und verurteilten Straftätern Anerkennung zuteilwird;</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 </w:t>
            </w:r>
          </w:p>
        </w:tc>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228</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um rechtliche Lücken zu schließen und sicherzustellen, dass Opfer Zugang zur Justiz haben und Unterstützung erhalten;</w:t>
            </w:r>
          </w:p>
        </w:tc>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xml:space="preserve">, um rechtliche Lücken zu schließen und sicherzustellen, dass Opfer Zugang zur Justiz haben und Unterstützung erhalten; </w:t>
            </w:r>
            <w:r>
              <w:rPr>
                <w:b/>
                <w:i/>
              </w:rPr>
              <w:t>erwartet, dass die beiden Rechtsetzungsorgane Lösungen finden, bei denen die Opfer im Mittelpunkt stehen;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w:t>
            </w:r>
          </w:p>
        </w:tc>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229</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xml:space="preserve">, </w:t>
            </w:r>
            <w:r>
              <w:rPr>
                <w:b/>
                <w:i/>
              </w:rPr>
              <w:t>um rechtliche Lücken zu schließen und sicherzustellen</w:t>
            </w:r>
            <w:r>
              <w:t>, dass Opfer Zugang zur Justiz haben und Unterstützung erhalten;</w:t>
            </w:r>
          </w:p>
        </w:tc>
        <w:tc>
          <w:tcPr>
            <w:tcW w:w="4876" w:type="dxa"/>
            <w:tcBorders>
              <w:top w:val="nil"/>
              <w:left w:val="nil"/>
              <w:bottom w:val="nil"/>
              <w:right w:val="nil"/>
            </w:tcBorders>
          </w:tcPr>
          <w:p w:rsidR="00931B01" w:rsidRDefault="00931B01" w:rsidP="00104ED4">
            <w:pPr>
              <w:pStyle w:val="Normal6a"/>
            </w:pPr>
            <w:r>
              <w:t>4.</w:t>
            </w:r>
            <w:r>
              <w:tab/>
              <w:t>begrüßt die Überarbeitung der Opferschutzrichtlinie</w:t>
            </w:r>
            <w:r>
              <w:rPr>
                <w:vertAlign w:val="superscript"/>
              </w:rPr>
              <w:t>38</w:t>
            </w:r>
            <w:r>
              <w:t xml:space="preserve">, </w:t>
            </w:r>
            <w:r>
              <w:rPr>
                <w:b/>
                <w:i/>
              </w:rPr>
              <w:t>womit sichergestellt werden soll</w:t>
            </w:r>
            <w:r>
              <w:t>, dass Opfer Zugang zur Justiz haben und Unterstützung erhalten;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 </w:t>
            </w:r>
          </w:p>
        </w:tc>
        <w:tc>
          <w:tcPr>
            <w:tcW w:w="4876" w:type="dxa"/>
            <w:tcBorders>
              <w:top w:val="nil"/>
              <w:left w:val="nil"/>
              <w:bottom w:val="nil"/>
              <w:right w:val="nil"/>
            </w:tcBorders>
          </w:tcPr>
          <w:p w:rsidR="00931B01" w:rsidRDefault="00931B01" w:rsidP="00104ED4">
            <w:pPr>
              <w:pStyle w:val="Normal6a"/>
            </w:pPr>
            <w:r>
              <w:rPr>
                <w:vertAlign w:val="superscript"/>
              </w:rPr>
              <w:t>38</w:t>
            </w:r>
            <w:r>
              <w:t xml:space="preserve"> Richtlinie 2012/29/EU des Europäischen Parlaments und des Rates vom 25. Oktober 2012 über Mindeststandards für die Rechte, die Unterstützung und den Schutz von Opfern von Straftaten sowie zur Ersetzung des Rahmenbeschlusses 2001/220/JI (ABl. L 315 vom 14.11.2012, S. 57, ELI: http://data.europa.eu/eli/dir/2012/29/oj). </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230</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5.</w:t>
            </w:r>
            <w:r>
              <w:tab/>
              <w:t xml:space="preserve">fordert die Kommission erneut auf, die Verhandlungen über die Mitgliedschaft der EU in der Gruppe der Staaten gegen Korruption (GRECO) des Europarats rasch zum Abschluss zu bringen, </w:t>
            </w:r>
            <w:r>
              <w:rPr>
                <w:b/>
                <w:i/>
              </w:rPr>
              <w:t>und</w:t>
            </w:r>
            <w:r>
              <w:t xml:space="preserve"> fordert, dass </w:t>
            </w:r>
            <w:r>
              <w:rPr>
                <w:b/>
                <w:i/>
              </w:rPr>
              <w:t xml:space="preserve">sich </w:t>
            </w:r>
            <w:r>
              <w:t>der Jahresbericht der Rechtsstaatlichkeit die EU-Organe einbezieht;</w:t>
            </w:r>
          </w:p>
        </w:tc>
        <w:tc>
          <w:tcPr>
            <w:tcW w:w="4876" w:type="dxa"/>
            <w:tcBorders>
              <w:top w:val="nil"/>
              <w:left w:val="nil"/>
              <w:bottom w:val="nil"/>
              <w:right w:val="nil"/>
            </w:tcBorders>
          </w:tcPr>
          <w:p w:rsidR="00931B01" w:rsidRDefault="00931B01" w:rsidP="00104ED4">
            <w:pPr>
              <w:pStyle w:val="Normal6a"/>
            </w:pPr>
            <w:r>
              <w:t>5.</w:t>
            </w:r>
            <w:r>
              <w:tab/>
              <w:t>fordert die Kommission erneut auf, die Verhandlungen über die Mitgliedschaft der EU in der Gruppe der Staaten gegen Korruption (GRECO) des Europarats rasch zum Abschluss zu bringen</w:t>
            </w:r>
            <w:r>
              <w:rPr>
                <w:b/>
                <w:i/>
              </w:rPr>
              <w:t>; räumt angesichts der jüngsten Skandale ein, dass kein EU-Organ frei von Korruption ist;</w:t>
            </w:r>
            <w:r>
              <w:t xml:space="preserve"> fordert, dass der Jahresbericht der Rechtsstaatlichkeit die EU-Organe einbezieht</w:t>
            </w:r>
            <w:r>
              <w:rPr>
                <w:b/>
                <w:i/>
              </w:rPr>
              <w:t>, insbesondere im Hinblick auf Korruption, Kompetenzmissbrauch, Lobbyarbeit, Bevorzugung ausgewählter Länder oder Unternehmen und inakzeptable ideologische Parteilichkeit;</w:t>
            </w:r>
            <w:r>
              <w:t xml:space="preserve"> </w:t>
            </w:r>
            <w:r>
              <w:rPr>
                <w:b/>
                <w:i/>
              </w:rPr>
              <w:t>fordert investigative Journalisten und die Zivilgesellschaft auf, die Funktionsweise der EU-Organe noch genauer zu untersuchen; fordert die Organe der Union auf, einen verlässlichen Mechanismus für Hinweisgeber einzurichten, die Unregelmäßigkeiten in der Arbeitsweise der Organe der Union melden;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231</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5.</w:t>
            </w:r>
            <w:r>
              <w:tab/>
            </w:r>
            <w:r>
              <w:rPr>
                <w:b/>
                <w:i/>
              </w:rPr>
              <w:t>fordert die Kommission erneut auf, die Verhandlungen über die Mitgliedschaft der EU in der Gruppe der Staaten gegen Korruption (GRECO) des Europarats rasch zum Abschluss zu bringen, und</w:t>
            </w:r>
            <w:r>
              <w:t xml:space="preserve"> fordert, dass</w:t>
            </w:r>
            <w:r>
              <w:rPr>
                <w:b/>
                <w:i/>
              </w:rPr>
              <w:t xml:space="preserve"> sich</w:t>
            </w:r>
            <w:r>
              <w:t xml:space="preserve"> der Jahresbericht der Rechtsstaatlichkeit die EU-Organe einbezieht;</w:t>
            </w:r>
          </w:p>
        </w:tc>
        <w:tc>
          <w:tcPr>
            <w:tcW w:w="4876" w:type="dxa"/>
            <w:tcBorders>
              <w:top w:val="nil"/>
              <w:left w:val="nil"/>
              <w:bottom w:val="nil"/>
              <w:right w:val="nil"/>
            </w:tcBorders>
          </w:tcPr>
          <w:p w:rsidR="00931B01" w:rsidRDefault="00931B01" w:rsidP="00104ED4">
            <w:pPr>
              <w:pStyle w:val="Normal6a"/>
            </w:pPr>
            <w:r>
              <w:t>5.</w:t>
            </w:r>
            <w:r>
              <w:tab/>
              <w:t>fordert, dass der Jahresbericht der Rechtsstaatlichkeit die EU-Organe einbezieht;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232</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5.</w:t>
            </w:r>
            <w:r>
              <w:tab/>
              <w:t>fordert</w:t>
            </w:r>
            <w:r>
              <w:rPr>
                <w:b/>
                <w:i/>
              </w:rPr>
              <w:t xml:space="preserve"> die Kommission erneut auf</w:t>
            </w:r>
            <w:r>
              <w:t xml:space="preserve">, </w:t>
            </w:r>
            <w:r>
              <w:rPr>
                <w:b/>
                <w:i/>
              </w:rPr>
              <w:t>die Verhandlungen über die Mitgliedschaft der EU</w:t>
            </w:r>
            <w:r>
              <w:t xml:space="preserve"> in </w:t>
            </w:r>
            <w:r>
              <w:rPr>
                <w:b/>
                <w:i/>
              </w:rPr>
              <w:t>der Gruppe der Staaten gegen Korruption (GRECO) des Europarats rasch zum Abschluss zu bringen,</w:t>
            </w:r>
            <w:r>
              <w:t xml:space="preserve"> und </w:t>
            </w:r>
            <w:r>
              <w:rPr>
                <w:b/>
                <w:i/>
              </w:rPr>
              <w:t>fordert, dass sich der Jahresbericht der Rechtsstaatlichkeit die EU-Organe einbezieht</w:t>
            </w:r>
            <w:r>
              <w:t>;</w:t>
            </w:r>
          </w:p>
        </w:tc>
        <w:tc>
          <w:tcPr>
            <w:tcW w:w="4876" w:type="dxa"/>
            <w:tcBorders>
              <w:top w:val="nil"/>
              <w:left w:val="nil"/>
              <w:bottom w:val="nil"/>
              <w:right w:val="nil"/>
            </w:tcBorders>
          </w:tcPr>
          <w:p w:rsidR="00931B01" w:rsidRDefault="00931B01" w:rsidP="00104ED4">
            <w:pPr>
              <w:pStyle w:val="Normal6a"/>
            </w:pPr>
            <w:r>
              <w:t>5.</w:t>
            </w:r>
            <w:r>
              <w:tab/>
              <w:t xml:space="preserve">fordert, </w:t>
            </w:r>
            <w:r>
              <w:rPr>
                <w:b/>
                <w:i/>
              </w:rPr>
              <w:t>dass</w:t>
            </w:r>
            <w:r>
              <w:t xml:space="preserve"> in </w:t>
            </w:r>
            <w:r>
              <w:rPr>
                <w:b/>
                <w:i/>
              </w:rPr>
              <w:t>den Jahresbericht über die Rechtsstaatlichkeit auch sämtliche EU-Organe</w:t>
            </w:r>
            <w:r>
              <w:t xml:space="preserve"> und </w:t>
            </w:r>
            <w:r>
              <w:rPr>
                <w:b/>
                <w:i/>
              </w:rPr>
              <w:t>ihre Tätigkeiten einbezogen werden</w:t>
            </w:r>
            <w:r>
              <w: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233</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5.</w:t>
            </w:r>
            <w:r>
              <w:tab/>
              <w:t xml:space="preserve">fordert die Kommission erneut auf, die Verhandlungen über die Mitgliedschaft der EU in der Gruppe der Staaten gegen Korruption (GRECO) des Europarats </w:t>
            </w:r>
            <w:r>
              <w:rPr>
                <w:b/>
                <w:i/>
              </w:rPr>
              <w:t>rasch</w:t>
            </w:r>
            <w:r>
              <w:t xml:space="preserve"> zum Abschluss zu bringen, und fordert, dass sich der Jahresbericht der Rechtsstaatlichkeit die EU-Organe einbezieht;</w:t>
            </w:r>
          </w:p>
        </w:tc>
        <w:tc>
          <w:tcPr>
            <w:tcW w:w="4876" w:type="dxa"/>
            <w:tcBorders>
              <w:top w:val="nil"/>
              <w:left w:val="nil"/>
              <w:bottom w:val="nil"/>
              <w:right w:val="nil"/>
            </w:tcBorders>
          </w:tcPr>
          <w:p w:rsidR="00931B01" w:rsidRDefault="00931B01" w:rsidP="00104ED4">
            <w:pPr>
              <w:pStyle w:val="Normal6a"/>
            </w:pPr>
            <w:r>
              <w:t>5.</w:t>
            </w:r>
            <w:r>
              <w:tab/>
              <w:t xml:space="preserve">fordert die Kommission erneut auf, die Verhandlungen über die Mitgliedschaft der EU in der Gruppe der Staaten gegen Korruption (GRECO) des Europarats </w:t>
            </w:r>
            <w:r>
              <w:rPr>
                <w:b/>
                <w:i/>
              </w:rPr>
              <w:t>umgehend</w:t>
            </w:r>
            <w:r>
              <w:t xml:space="preserve"> zum Abschluss zu bringen, und fordert, dass sich der Jahresbericht der Rechtsstaatlichkeit die EU-Organe einbezieht;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234</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Chloé Ridel, Abir Al-Sahlani, Fabienne Keller, Lucia Yar, Irena Joveva,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5a.</w:t>
            </w:r>
            <w:r>
              <w:rPr>
                <w:b/>
                <w:i/>
              </w:rPr>
              <w:tab/>
              <w:t>fordert die Mitgliedstaaten auf, ihre nationalen Strategien zur Korruptionsbekämpfung anzunehmen, zu aktualisieren, zu überwachen, umzusetzen und zu überarbeiten, um sicherzustellen, dass die Korruptionsbekämpfung in allen einschlägigen Politikbereichen durchgängig berücksichtigt wird; weist erneut darauf hin, wie wichtig die Zusammenarbeit zwischen den nationalen Behörden und der Europäischen Staatsanwaltschaft (EUStA) ist; empfiehlt, dass Mitgliedstaaten, die sich nicht an der EUStA beteiligen, nicht berechtigt sein sollten, Mittel direkt zu verwalten;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235</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5a.</w:t>
            </w:r>
            <w:r>
              <w:rPr>
                <w:b/>
                <w:i/>
              </w:rPr>
              <w:tab/>
              <w:t>fordert alle Mitgliedstaaten erneut auf, einen Verhaltenskodex für Richter anzunehmen, der den Empfehlungen der GRECO folgt und dem Umstand Rechnung trägt, dass solche Kodizes am Europäischen Gerichtshof für Menschenrechte (EGMR) anwendbar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236</w:t>
      </w:r>
      <w:r>
        <w:rPr>
          <w:rStyle w:val="HideTWBExt"/>
        </w:rPr>
        <w:t>&lt;/NumAm&gt;</w:t>
      </w:r>
    </w:p>
    <w:p w:rsidR="00931B01" w:rsidRDefault="00931B01" w:rsidP="00931B01">
      <w:pPr>
        <w:pStyle w:val="NormalBold"/>
      </w:pPr>
      <w:r>
        <w:rPr>
          <w:rStyle w:val="HideTWBExt"/>
          <w:b w:val="0"/>
        </w:rPr>
        <w:t>&lt;RepeatBlock-By&gt;&lt;Members&gt;</w:t>
      </w:r>
      <w:r>
        <w:t>Javier Zarzalejos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5a.</w:t>
            </w:r>
            <w:r>
              <w:rPr>
                <w:b/>
                <w:i/>
              </w:rPr>
              <w:tab/>
              <w:t>ist der Auffassung, dass auf Einzelpersonen abzielende rechtliche Reformen eine Verletzung wesentlicher Grundsätze der Rechtsstaatlichkeit, etwa der Gleichheit vor dem Gesetz und der Unabhängigkeit der Justiz, darstellen;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237</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Michał Wawrykiewicz,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5b.</w:t>
            </w:r>
            <w:r>
              <w:rPr>
                <w:b/>
                <w:i/>
              </w:rPr>
              <w:tab/>
              <w:t>bekräftigt, dass Korruption eine ernsthafte Bedrohung für die Demokratie, die Grundrechte und die Rechtsstaatlichkeit darstellt; betont, dass Korruption dazu führt, dass das Vertrauen der Bürger in öffentliche Einrichtungen schwindet; missbilligt, dass laut dem Eurobarometer zur Korruption aus dem Jahr 2024 Korruption für die EU-Bürger und die Unternehmen in der EU nach wie vor Anlass zu großer Sorge gibt, wobei 68 Prozent der Europäer davon ausgehen, dass Korruption in ihrem Land weit verbreitet ist, 65 Prozent von ihnen des Auffassung sind, dass Korruptionsfällen auf hoher Ebene nicht ausreichend nachgegangen wird, und 41 Prozent glauben, dass die Korruption zugenommen hat; betrachtet dies als einen Weckruf an die EU, ihre Bemühungen zur Bekämpfung der Korruption zu verstärken;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238</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5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5b.</w:t>
            </w:r>
            <w:r>
              <w:rPr>
                <w:b/>
                <w:i/>
              </w:rPr>
              <w:tab/>
              <w:t>fordert die Einrichtungen der EU wie Europol, Eurojust, den Europäischen Rechnungshof, die Europäische Staatsanwaltschaft (EUStA) und das Europäische Amt für Betrugsbekämpfung (OLAF) ihre Zusammenarbeit untereinander zu verbessern;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239</w:t>
      </w:r>
      <w:r>
        <w:rPr>
          <w:rStyle w:val="HideTWBExt"/>
        </w:rPr>
        <w:t>&lt;/NumAm&gt;</w:t>
      </w:r>
    </w:p>
    <w:p w:rsidR="00931B01" w:rsidRDefault="00931B01" w:rsidP="00931B01">
      <w:pPr>
        <w:pStyle w:val="NormalBold"/>
      </w:pPr>
      <w:r>
        <w:rPr>
          <w:rStyle w:val="HideTWBExt"/>
          <w:b w:val="0"/>
        </w:rPr>
        <w:t>&lt;RepeatBlock-By&gt;&lt;Members&gt;</w:t>
      </w:r>
      <w:r>
        <w:t>Sebastian Tynkkynen</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6.</w:t>
            </w:r>
            <w:r>
              <w:tab/>
            </w:r>
            <w:r>
              <w:rPr>
                <w:b/>
                <w:i/>
              </w:rPr>
              <w:t>nimmt die Tendenz zur Kenntnis, dass einige Mitgliedstaaten Urteile des EuGH verzögert oder nicht umsetzen, und fordert, dass der Umsetzung dieser Urteile Vorrang eingeräumt wird;</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{FI}</w:t>
      </w:r>
      <w:r>
        <w:t>fi</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240</w:t>
      </w:r>
      <w:r>
        <w:rPr>
          <w:rStyle w:val="HideTWBExt"/>
        </w:rPr>
        <w:t>&lt;/NumAm&gt;</w:t>
      </w:r>
    </w:p>
    <w:p w:rsidR="00931B01" w:rsidRDefault="00931B01" w:rsidP="00931B01">
      <w:pPr>
        <w:pStyle w:val="NormalBold"/>
      </w:pPr>
      <w:r>
        <w:rPr>
          <w:rStyle w:val="HideTWBExt"/>
          <w:b w:val="0"/>
        </w:rPr>
        <w:t>&lt;RepeatBlock-By&gt;&lt;Members&gt;</w:t>
      </w:r>
      <w:r>
        <w:t>Alessandro Ciriani, Paolo Inselvini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6.</w:t>
            </w:r>
            <w:r>
              <w:tab/>
            </w:r>
            <w:r>
              <w:rPr>
                <w:b/>
                <w:i/>
              </w:rPr>
              <w:t>nimmt die Tendenz zur Kenntnis, dass einige Mitgliedstaaten Urteile des EuGH verzögert oder nicht umsetzen, und fordert, dass der Umsetzung dieser Urteile Vorrang eingeräumt wird;</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{IT}</w:t>
      </w:r>
      <w:r>
        <w:t>it</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241</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t xml:space="preserve">nimmt die Tendenz zur Kenntnis, </w:t>
            </w:r>
            <w:r>
              <w:rPr>
                <w:b/>
                <w:i/>
              </w:rPr>
              <w:t>dass einige Mitgliedstaaten Urteile</w:t>
            </w:r>
            <w:r>
              <w:t xml:space="preserve"> des </w:t>
            </w:r>
            <w:r>
              <w:rPr>
                <w:b/>
                <w:i/>
              </w:rPr>
              <w:t>EuGH</w:t>
            </w:r>
            <w:r>
              <w:t xml:space="preserve"> verzögert oder nicht umsetzen, und fordert, dass der Umsetzung dieser Urteile Vorrang eingeräumt wird;</w:t>
            </w:r>
          </w:p>
        </w:tc>
        <w:tc>
          <w:tcPr>
            <w:tcW w:w="4876" w:type="dxa"/>
            <w:tcBorders>
              <w:top w:val="nil"/>
              <w:left w:val="nil"/>
              <w:bottom w:val="nil"/>
              <w:right w:val="nil"/>
            </w:tcBorders>
          </w:tcPr>
          <w:p w:rsidR="00931B01" w:rsidRDefault="00931B01" w:rsidP="00104ED4">
            <w:pPr>
              <w:pStyle w:val="Normal6a"/>
            </w:pPr>
            <w:r>
              <w:t>6.</w:t>
            </w:r>
            <w:r>
              <w:tab/>
              <w:t xml:space="preserve">nimmt die Tendenz </w:t>
            </w:r>
            <w:r>
              <w:rPr>
                <w:b/>
                <w:i/>
              </w:rPr>
              <w:t xml:space="preserve">in einigen Mitgliedstaaten </w:t>
            </w:r>
            <w:r>
              <w:t xml:space="preserve">zur Kenntnis, </w:t>
            </w:r>
            <w:r>
              <w:rPr>
                <w:b/>
                <w:i/>
              </w:rPr>
              <w:t>Urteile des EuGH und</w:t>
            </w:r>
            <w:r>
              <w:t xml:space="preserve"> des </w:t>
            </w:r>
            <w:r>
              <w:rPr>
                <w:b/>
                <w:i/>
              </w:rPr>
              <w:t>EGMR</w:t>
            </w:r>
            <w:r>
              <w:t xml:space="preserve"> verzögert oder</w:t>
            </w:r>
            <w:r>
              <w:rPr>
                <w:b/>
                <w:i/>
              </w:rPr>
              <w:t xml:space="preserve"> gar</w:t>
            </w:r>
            <w:r>
              <w:t xml:space="preserve"> nicht umsetzen, und fordert, dass der Umsetzung dieser Urteile Vorrang eingeräumt wird; </w:t>
            </w:r>
            <w:r>
              <w:rPr>
                <w:b/>
                <w:i/>
              </w:rPr>
              <w:t>fordert die Kommission als Hüterin der Verträge nachdrücklich auf, ihrer Verantwortung für die Durchsetzung der EU-Menschenrechtsvorschriften nachzukommen und sich nicht nur darauf zu verlassen, dass die Bürger selbst vor Gericht gehen, um die Anwendung des EU-Rechts durchzusetzen; fordert die Kommission auf, einen Anzeiger zur Überwachung der Umsetzung jedes einzelnen EuGH- und EGMR-Urteils in Bezug auf die Demokratie, die Rechtsstaatlichkeit und die Grundrechte einzurichten und ihn vollständig in den jährlichen Bericht über die Rechtsstaatlichkeit aufzunehmen; empfiehlt der Kommission insbesondere, in Fällen der Nichtbefolgung von EuGH-Urteilen Maßnahmen gemäß Artikel 260 Absatz 2 AEUV zu ergreifen und in Fällen der Missachtung von Urteilen des EuGH und des EGMR die Konditionalitätsverordnung anzuwenden; fordert die Kommission auf, Daten zur Missachtung von Stellungnahmen der Vertragsorgane der Vereinten Nationen zu einzelnen Mitteilungen systematisch auszuwerten;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242</w:t>
      </w:r>
      <w:r>
        <w:rPr>
          <w:rStyle w:val="HideTWBExt"/>
        </w:rPr>
        <w:t>&lt;/NumAm&gt;</w:t>
      </w:r>
    </w:p>
    <w:p w:rsidR="00931B01" w:rsidRDefault="00931B01" w:rsidP="00931B01">
      <w:pPr>
        <w:pStyle w:val="NormalBold"/>
      </w:pPr>
      <w:r>
        <w:rPr>
          <w:rStyle w:val="HideTWBExt"/>
          <w:b w:val="0"/>
        </w:rPr>
        <w:t>&lt;RepeatBlock-By&gt;&lt;Members&gt;</w:t>
      </w:r>
      <w:r>
        <w:t>Michał Wawrykiewicz, Ana Catarina Mendes, Moritz Körner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t xml:space="preserve">nimmt die Tendenz zur Kenntnis, </w:t>
            </w:r>
            <w:r>
              <w:rPr>
                <w:b/>
                <w:i/>
              </w:rPr>
              <w:t xml:space="preserve">dass einige Mitgliedstaaten </w:t>
            </w:r>
            <w:r>
              <w:t>Urteile des EuGH verzögert oder nicht umsetzen, und fordert, dass der Umsetzung dieser Urteile Vorrang eingeräumt wird;</w:t>
            </w:r>
          </w:p>
        </w:tc>
        <w:tc>
          <w:tcPr>
            <w:tcW w:w="4876" w:type="dxa"/>
            <w:tcBorders>
              <w:top w:val="nil"/>
              <w:left w:val="nil"/>
              <w:bottom w:val="nil"/>
              <w:right w:val="nil"/>
            </w:tcBorders>
          </w:tcPr>
          <w:p w:rsidR="00931B01" w:rsidRDefault="00931B01" w:rsidP="00104ED4">
            <w:pPr>
              <w:pStyle w:val="Normal6a"/>
            </w:pPr>
            <w:r>
              <w:t>6.</w:t>
            </w:r>
            <w:r>
              <w:tab/>
              <w:t xml:space="preserve">nimmt die Tendenz </w:t>
            </w:r>
            <w:r>
              <w:rPr>
                <w:b/>
                <w:i/>
              </w:rPr>
              <w:t xml:space="preserve">in einigen Mitgliedstaaten </w:t>
            </w:r>
            <w:r>
              <w:t>zur Kenntnis, Urteile des EuGH verzögert oder</w:t>
            </w:r>
            <w:r>
              <w:rPr>
                <w:b/>
                <w:i/>
              </w:rPr>
              <w:t xml:space="preserve"> gar</w:t>
            </w:r>
            <w:r>
              <w:t xml:space="preserve"> nicht umsetzen, und fordert, dass der Umsetzung dieser Urteile Vorrang eingeräumt wird; </w:t>
            </w:r>
            <w:r>
              <w:rPr>
                <w:b/>
                <w:i/>
              </w:rPr>
              <w:t>betont, dass die Mitgliedstaaten und die Organe der EU die jüngste Rechtsprechung des EuGH systematisch integrieren und umsetzen müssen, um die Rechtsstaatlichkeit zu wahren und die einheitliche Anwendung des EU-Rechts sicherzustellen; fordert eine rasche Anpassung der nationalen Rechtsvorschriften und der institutionellen Rahmenbedingungen, um Gerichtsurteilen nachzukommen; fordert die Kommission nachdrücklich auf, die Einhaltung der Vorschriften zu überwachen und bei anhaltender Nichtumsetzung Maßnahmen zu ergreifen;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243</w:t>
      </w:r>
      <w:r>
        <w:rPr>
          <w:rStyle w:val="HideTWBExt"/>
        </w:rPr>
        <w:t>&lt;/NumAm&gt;</w:t>
      </w:r>
    </w:p>
    <w:p w:rsidR="00931B01" w:rsidRDefault="00931B01" w:rsidP="00931B01">
      <w:pPr>
        <w:pStyle w:val="NormalBold"/>
      </w:pPr>
      <w:r>
        <w:rPr>
          <w:rStyle w:val="HideTWBExt"/>
          <w:b w:val="0"/>
        </w:rPr>
        <w:t>&lt;RepeatBlock-By&gt;&lt;Members&gt;</w:t>
      </w:r>
      <w:r>
        <w:t>Javier Zarzalejos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t xml:space="preserve">nimmt die Tendenz zur Kenntnis, </w:t>
            </w:r>
            <w:r>
              <w:rPr>
                <w:b/>
                <w:i/>
              </w:rPr>
              <w:t xml:space="preserve">dass einige Mitgliedstaaten </w:t>
            </w:r>
            <w:r>
              <w:t xml:space="preserve">Urteile des EuGH verzögert oder nicht umsetzen, und fordert, dass der </w:t>
            </w:r>
            <w:r>
              <w:rPr>
                <w:b/>
                <w:i/>
              </w:rPr>
              <w:t>Umsetzung dieser</w:t>
            </w:r>
            <w:r>
              <w:t xml:space="preserve"> Urteile </w:t>
            </w:r>
            <w:r>
              <w:rPr>
                <w:b/>
                <w:i/>
              </w:rPr>
              <w:t>Vorrang eingeräumt wird</w:t>
            </w:r>
            <w:r>
              <w:t>;</w:t>
            </w:r>
          </w:p>
        </w:tc>
        <w:tc>
          <w:tcPr>
            <w:tcW w:w="4876" w:type="dxa"/>
            <w:tcBorders>
              <w:top w:val="nil"/>
              <w:left w:val="nil"/>
              <w:bottom w:val="nil"/>
              <w:right w:val="nil"/>
            </w:tcBorders>
          </w:tcPr>
          <w:p w:rsidR="00931B01" w:rsidRDefault="00931B01" w:rsidP="00104ED4">
            <w:pPr>
              <w:pStyle w:val="Normal6a"/>
            </w:pPr>
            <w:r>
              <w:t>6.</w:t>
            </w:r>
            <w:r>
              <w:tab/>
              <w:t xml:space="preserve">nimmt die Tendenz </w:t>
            </w:r>
            <w:r>
              <w:rPr>
                <w:b/>
                <w:i/>
              </w:rPr>
              <w:t xml:space="preserve">in einigen Mitgliedstaaten </w:t>
            </w:r>
            <w:r>
              <w:t xml:space="preserve">zur Kenntnis, Urteile des EuGH verzögert oder </w:t>
            </w:r>
            <w:r>
              <w:rPr>
                <w:b/>
                <w:i/>
              </w:rPr>
              <w:t xml:space="preserve">gar </w:t>
            </w:r>
            <w:r>
              <w:t>nicht umsetzen, und fordert</w:t>
            </w:r>
            <w:r>
              <w:rPr>
                <w:b/>
                <w:i/>
              </w:rPr>
              <w:t xml:space="preserve"> deren fristgerechte Umsetzung; betont, dass die Achtung der Rechtsstaatlichkeit die uneingeschränkte Einhaltung der Urteile des EuGH umfasst, insbesondere in Angelegenheiten, die die Gewaltenteilung und die Unabhängigkeit der Justiz betreffen; fordert die Kommission auf, zu prüfen, ob die Verzögerung oder Nichteinhaltung eines solchen Urteils ein Vertragsverletzungsverfahren nach Artikel 258 AEUV rechtfertigen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244</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t>nimmt die Tendenz zur Kenntnis, dass einige Mitgliedstaaten Urteile des EuGH verzögert oder nicht umsetzen, und fordert, dass der Umsetzung dieser Urteile Vorrang eingeräumt wird;</w:t>
            </w:r>
          </w:p>
        </w:tc>
        <w:tc>
          <w:tcPr>
            <w:tcW w:w="4876" w:type="dxa"/>
            <w:tcBorders>
              <w:top w:val="nil"/>
              <w:left w:val="nil"/>
              <w:bottom w:val="nil"/>
              <w:right w:val="nil"/>
            </w:tcBorders>
          </w:tcPr>
          <w:p w:rsidR="00931B01" w:rsidRDefault="00931B01" w:rsidP="00104ED4">
            <w:pPr>
              <w:pStyle w:val="Normal6a"/>
            </w:pPr>
            <w:r>
              <w:t>6.</w:t>
            </w:r>
            <w:r>
              <w:tab/>
              <w:t xml:space="preserve">nimmt die Tendenz zur Kenntnis, dass einige Mitgliedstaaten Urteile des EuGH verzögert oder nicht umsetzen, und fordert, dass der Umsetzung dieser Urteile Vorrang eingeräumt wird; </w:t>
            </w:r>
            <w:r>
              <w:rPr>
                <w:b/>
                <w:i/>
              </w:rPr>
              <w:t>bekräftigt, dass die wirksame Umsetzung von Urteilen von wesentlicher Bedeutung ist, um die im EUV, im AEUV und in der Charta verankerten Grundrechte und wirtschaftlichen Freiheiten zu schützen; fordert alle Mitgliedstaaten auf, der fristgerechten und wirksamen Umsetzung der Urteile des EuGH Vorrang einzuräumen;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245</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t xml:space="preserve">nimmt die Tendenz zur Kenntnis, dass einige Mitgliedstaaten Urteile des EuGH </w:t>
            </w:r>
            <w:r>
              <w:rPr>
                <w:b/>
                <w:i/>
              </w:rPr>
              <w:t>verzögert</w:t>
            </w:r>
            <w:r>
              <w:t xml:space="preserve"> oder nicht umsetzen, und fordert, </w:t>
            </w:r>
            <w:r>
              <w:rPr>
                <w:b/>
                <w:i/>
              </w:rPr>
              <w:t>dass</w:t>
            </w:r>
            <w:r>
              <w:t xml:space="preserve"> der </w:t>
            </w:r>
            <w:r>
              <w:rPr>
                <w:b/>
                <w:i/>
              </w:rPr>
              <w:t>Umsetzung dieser Urteile Vorrang eingeräumt wird</w:t>
            </w:r>
            <w:r>
              <w:t>;</w:t>
            </w:r>
          </w:p>
        </w:tc>
        <w:tc>
          <w:tcPr>
            <w:tcW w:w="4876" w:type="dxa"/>
            <w:tcBorders>
              <w:top w:val="nil"/>
              <w:left w:val="nil"/>
              <w:bottom w:val="nil"/>
              <w:right w:val="nil"/>
            </w:tcBorders>
          </w:tcPr>
          <w:p w:rsidR="00931B01" w:rsidRDefault="00931B01" w:rsidP="00104ED4">
            <w:pPr>
              <w:pStyle w:val="Normal6a"/>
            </w:pPr>
            <w:r>
              <w:t>6.</w:t>
            </w:r>
            <w:r>
              <w:tab/>
              <w:t xml:space="preserve">nimmt die Tendenz zur Kenntnis, dass einige Mitgliedstaaten Urteile des EuGH </w:t>
            </w:r>
            <w:r>
              <w:rPr>
                <w:b/>
                <w:i/>
              </w:rPr>
              <w:t>verzögern</w:t>
            </w:r>
            <w:r>
              <w:t xml:space="preserve"> oder nicht umsetzen</w:t>
            </w:r>
            <w:r>
              <w:rPr>
                <w:b/>
                <w:i/>
              </w:rPr>
              <w:t xml:space="preserve">; stellt fest, dass der EuGH immer wieder Urteile erlässt, mit denen er seine Zuständigkeiten überschreitet und diejenigen der Mitgliedstaaten missachtet; </w:t>
            </w:r>
            <w:r>
              <w:t>fordert</w:t>
            </w:r>
            <w:r>
              <w:rPr>
                <w:b/>
                <w:i/>
              </w:rPr>
              <w:t xml:space="preserve"> die EU-Organe und die Mitgliedstaaten auf</w:t>
            </w:r>
            <w:r>
              <w:t xml:space="preserve">, </w:t>
            </w:r>
            <w:r>
              <w:rPr>
                <w:b/>
                <w:i/>
              </w:rPr>
              <w:t>die verfassungskonformen Lösungen</w:t>
            </w:r>
            <w:r>
              <w:t xml:space="preserve"> der </w:t>
            </w:r>
            <w:r>
              <w:rPr>
                <w:b/>
                <w:i/>
              </w:rPr>
              <w:t>Mitgliedstaaten und die Rechtsprechung der nationalen Verfassungsgerichte zu achten</w:t>
            </w:r>
            <w:r>
              <w: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246</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r>
            <w:r>
              <w:rPr>
                <w:b/>
                <w:i/>
              </w:rPr>
              <w:t>nimmt die Tendenz</w:t>
            </w:r>
            <w:r>
              <w:t xml:space="preserve"> zur </w:t>
            </w:r>
            <w:r>
              <w:rPr>
                <w:b/>
                <w:i/>
              </w:rPr>
              <w:t>Kenntnis</w:t>
            </w:r>
            <w:r>
              <w:t xml:space="preserve">, </w:t>
            </w:r>
            <w:r>
              <w:rPr>
                <w:b/>
                <w:i/>
              </w:rPr>
              <w:t>dass einige Mitgliedstaaten Urteile des EuGH verzögert oder nicht umsetzen</w:t>
            </w:r>
            <w:r>
              <w:t xml:space="preserve">, </w:t>
            </w:r>
            <w:r>
              <w:rPr>
                <w:b/>
                <w:i/>
              </w:rPr>
              <w:t>und fordert, dass der Umsetzung dieser Urteile Vorrang eingeräumt wird</w:t>
            </w:r>
            <w:r>
              <w:t>;</w:t>
            </w:r>
          </w:p>
        </w:tc>
        <w:tc>
          <w:tcPr>
            <w:tcW w:w="4876" w:type="dxa"/>
            <w:tcBorders>
              <w:top w:val="nil"/>
              <w:left w:val="nil"/>
              <w:bottom w:val="nil"/>
              <w:right w:val="nil"/>
            </w:tcBorders>
          </w:tcPr>
          <w:p w:rsidR="00931B01" w:rsidRDefault="00931B01" w:rsidP="00104ED4">
            <w:pPr>
              <w:pStyle w:val="Normal6a"/>
            </w:pPr>
            <w:r>
              <w:t>6.</w:t>
            </w:r>
            <w:r>
              <w:tab/>
            </w:r>
            <w:r>
              <w:rPr>
                <w:b/>
                <w:i/>
              </w:rPr>
              <w:t>fordert eine Untersuchung der Maßnahmen der Kommission in Bezug auf mutmaßliche indirekte Lobbypraktiken</w:t>
            </w:r>
            <w:r>
              <w:t xml:space="preserve"> zur </w:t>
            </w:r>
            <w:r>
              <w:rPr>
                <w:b/>
                <w:i/>
              </w:rPr>
              <w:t>Unterstützung des europäischen Grünen Deals</w:t>
            </w:r>
            <w:r>
              <w:t xml:space="preserve">, </w:t>
            </w:r>
            <w:r>
              <w:rPr>
                <w:b/>
                <w:i/>
              </w:rPr>
              <w:t>bei denen die Kommission angeblich nichtstaatlichen Organisationen EU-Mittel zugewiesen hat</w:t>
            </w:r>
            <w:r>
              <w:t xml:space="preserve">, </w:t>
            </w:r>
            <w:r>
              <w:rPr>
                <w:b/>
                <w:i/>
              </w:rPr>
              <w:t>damit sie Einfluss auf andere EU-Organe nehmen und die politischen Maßnahmen der Kommission unterstützen</w:t>
            </w:r>
            <w:r>
              <w: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247</w:t>
      </w:r>
      <w:r>
        <w:rPr>
          <w:rStyle w:val="HideTWBExt"/>
        </w:rPr>
        <w:t>&lt;/NumAm&gt;</w:t>
      </w:r>
    </w:p>
    <w:p w:rsidR="00931B01" w:rsidRDefault="00931B01" w:rsidP="00931B01">
      <w:pPr>
        <w:pStyle w:val="NormalBold"/>
      </w:pPr>
      <w:r>
        <w:rPr>
          <w:rStyle w:val="HideTWBExt"/>
          <w:b w:val="0"/>
        </w:rPr>
        <w:t>&lt;RepeatBlock-By&gt;&lt;Members&gt;</w:t>
      </w:r>
      <w:r>
        <w:t>Nicolas Bay</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t>nimmt die Tendenz zur Kenntnis, dass einige Mitgliedstaaten Urteile des EuGH verzögert oder nicht umsetzen</w:t>
            </w:r>
            <w:r>
              <w:rPr>
                <w:b/>
                <w:bCs/>
                <w:i/>
                <w:iCs/>
              </w:rPr>
              <w:t>, und fordert, dass der Umsetzung dieser Urteile Vorrang eingeräumt wird</w:t>
            </w:r>
            <w:r>
              <w:t>;</w:t>
            </w:r>
          </w:p>
        </w:tc>
        <w:tc>
          <w:tcPr>
            <w:tcW w:w="4876" w:type="dxa"/>
            <w:tcBorders>
              <w:top w:val="nil"/>
              <w:left w:val="nil"/>
              <w:bottom w:val="nil"/>
              <w:right w:val="nil"/>
            </w:tcBorders>
          </w:tcPr>
          <w:p w:rsidR="00931B01" w:rsidRDefault="00931B01" w:rsidP="00104ED4">
            <w:pPr>
              <w:pStyle w:val="Normal6a"/>
            </w:pPr>
            <w:r>
              <w:t>6.</w:t>
            </w:r>
            <w:r>
              <w:tab/>
              <w:t>nimmt die Tendenz zur Kenntnis, dass einige Mitgliedstaaten Urteile des EuGH verzögert oder nicht umsetzen;</w:t>
            </w:r>
          </w:p>
        </w:tc>
      </w:tr>
    </w:tbl>
    <w:p w:rsidR="00931B01" w:rsidRDefault="00931B01" w:rsidP="00931B01">
      <w:pPr>
        <w:pStyle w:val="AmOrLang"/>
      </w:pPr>
      <w:r>
        <w:t xml:space="preserve">Or. </w:t>
      </w:r>
      <w:r>
        <w:rPr>
          <w:rStyle w:val="HideTWBExt"/>
        </w:rPr>
        <w:t>&lt;Original&gt;</w:t>
      </w:r>
      <w:r>
        <w:rPr>
          <w:rStyle w:val="HideTWBInt"/>
        </w:rPr>
        <w:t>{FR}</w:t>
      </w:r>
      <w:r>
        <w:t>fr</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248</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t xml:space="preserve">nimmt die Tendenz </w:t>
            </w:r>
            <w:r>
              <w:rPr>
                <w:b/>
                <w:i/>
              </w:rPr>
              <w:t>zur Kenntnis, dass einige Mitgliedstaaten</w:t>
            </w:r>
            <w:r>
              <w:t xml:space="preserve"> Urteile des EuGH verzögert oder nicht umsetzen, und fordert, dass der Umsetzung dieser Urteile Vorrang eingeräumt wird;</w:t>
            </w:r>
          </w:p>
        </w:tc>
        <w:tc>
          <w:tcPr>
            <w:tcW w:w="4876" w:type="dxa"/>
            <w:tcBorders>
              <w:top w:val="nil"/>
              <w:left w:val="nil"/>
              <w:bottom w:val="nil"/>
              <w:right w:val="nil"/>
            </w:tcBorders>
          </w:tcPr>
          <w:p w:rsidR="00931B01" w:rsidRDefault="00931B01" w:rsidP="00104ED4">
            <w:pPr>
              <w:pStyle w:val="Normal6a"/>
            </w:pPr>
            <w:r>
              <w:t>6.</w:t>
            </w:r>
            <w:r>
              <w:tab/>
              <w:t xml:space="preserve">nimmt die Tendenz </w:t>
            </w:r>
            <w:r>
              <w:rPr>
                <w:b/>
                <w:i/>
              </w:rPr>
              <w:t>in einigen Mitgliedstaaten zur Kenntnis,</w:t>
            </w:r>
            <w:r>
              <w:t xml:space="preserve"> Urteile des EuGH</w:t>
            </w:r>
            <w:r>
              <w:rPr>
                <w:b/>
                <w:i/>
              </w:rPr>
              <w:t>, selektiv anzuwenden bzw.</w:t>
            </w:r>
            <w:r>
              <w:t xml:space="preserve"> verzögert oder</w:t>
            </w:r>
            <w:r>
              <w:rPr>
                <w:b/>
                <w:i/>
              </w:rPr>
              <w:t xml:space="preserve"> gar</w:t>
            </w:r>
            <w:r>
              <w:t xml:space="preserve"> nicht umsetzen, und fordert, dass der Umsetzung dieser Urteile Vorrang eingeräumt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249</w:t>
      </w:r>
      <w:r>
        <w:rPr>
          <w:rStyle w:val="HideTWBExt"/>
        </w:rPr>
        <w:t>&lt;/NumAm&gt;</w:t>
      </w:r>
    </w:p>
    <w:p w:rsidR="00931B01" w:rsidRDefault="00931B01" w:rsidP="00931B01">
      <w:pPr>
        <w:pStyle w:val="NormalBold"/>
      </w:pPr>
      <w:r>
        <w:rPr>
          <w:rStyle w:val="HideTWBExt"/>
          <w:b w:val="0"/>
        </w:rPr>
        <w:t>&lt;RepeatBlock-By&gt;&lt;Members&gt;</w:t>
      </w:r>
      <w:r>
        <w:t>Mary Khan, Milan Uhrík, 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6.</w:t>
            </w:r>
            <w:r>
              <w:tab/>
              <w:t xml:space="preserve">nimmt die Tendenz zur Kenntnis, </w:t>
            </w:r>
            <w:r>
              <w:rPr>
                <w:b/>
                <w:i/>
              </w:rPr>
              <w:t xml:space="preserve">dass einige Mitgliedstaaten </w:t>
            </w:r>
            <w:r>
              <w:t xml:space="preserve">Urteile des EuGH verzögert oder nicht umsetzen, und </w:t>
            </w:r>
            <w:r>
              <w:rPr>
                <w:b/>
                <w:i/>
              </w:rPr>
              <w:t>fordert, dass der Umsetzung dieser Urteile Vorrang eingeräumt wird</w:t>
            </w:r>
            <w:r>
              <w:t>;</w:t>
            </w:r>
          </w:p>
        </w:tc>
        <w:tc>
          <w:tcPr>
            <w:tcW w:w="4876" w:type="dxa"/>
            <w:tcBorders>
              <w:top w:val="nil"/>
              <w:left w:val="nil"/>
              <w:bottom w:val="nil"/>
              <w:right w:val="nil"/>
            </w:tcBorders>
          </w:tcPr>
          <w:p w:rsidR="00931B01" w:rsidRDefault="00931B01" w:rsidP="00104ED4">
            <w:pPr>
              <w:pStyle w:val="Normal6a"/>
            </w:pPr>
            <w:r>
              <w:t>6.</w:t>
            </w:r>
            <w:r>
              <w:tab/>
              <w:t xml:space="preserve">nimmt die Tendenz </w:t>
            </w:r>
            <w:r>
              <w:rPr>
                <w:b/>
                <w:i/>
              </w:rPr>
              <w:t xml:space="preserve">in einigen Mitgliedstaaten </w:t>
            </w:r>
            <w:r>
              <w:t xml:space="preserve">zur Kenntnis, Urteile des EuGH verzögert oder </w:t>
            </w:r>
            <w:r>
              <w:rPr>
                <w:b/>
                <w:i/>
              </w:rPr>
              <w:t xml:space="preserve">gar </w:t>
            </w:r>
            <w:r>
              <w:t xml:space="preserve">nicht umsetzen, und </w:t>
            </w:r>
            <w:r>
              <w:rPr>
                <w:b/>
                <w:i/>
              </w:rPr>
              <w:t>respektiert die souveräne Entscheidung, so zu verfahren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250</w:t>
      </w:r>
      <w:r>
        <w:rPr>
          <w:rStyle w:val="HideTWBExt"/>
        </w:rPr>
        <w:t>&lt;/NumAm&gt;</w:t>
      </w:r>
    </w:p>
    <w:p w:rsidR="00931B01" w:rsidRDefault="00931B01" w:rsidP="00931B01">
      <w:pPr>
        <w:pStyle w:val="NormalBold"/>
      </w:pPr>
      <w:r>
        <w:rPr>
          <w:rStyle w:val="HideTWBExt"/>
          <w:b w:val="0"/>
        </w:rPr>
        <w:t>&lt;RepeatBlock-By&gt;&lt;Members&gt;</w:t>
      </w:r>
      <w:r>
        <w:t>Daniel Freund</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6a.</w:t>
            </w:r>
            <w:r>
              <w:rPr>
                <w:b/>
                <w:i/>
              </w:rPr>
              <w:tab/>
              <w:t>betont, dass demokratische Staaten Mechanismen für die politische und soziale Aussöhnung sicherstellen, unter anderem durch Amnestien Begnadigungen, mit denen man das Zusammenleben fördert, die übermäßige Hinzuziehung der Justiz bei politischen Konflikten verhindert und den demokratischen Dialog stärkt; weist darauf hin, dass schwere Menschenrechtsverletzungen vom Anwendungsbereich der Amnestie ausgenommen werden müssen und nicht dazu genutzt werden dürfen, Beamte vor der Haftung bei der Aneignung von öffentlichem Eigentum zu schützen; betont, dass mittels Amnestien gerichtliche Entscheidungen und Verfahren aufgehoben oder verhindert werden, und dass die Richter verpflichtet sind, das Gesetz anzuwenden, sowohl im Falle von Änderungen des Strafrechts als auch im Falle einer Amnestie; ist der Ansicht, dass die Verlagerung der Konflikte von der politischen auf die gerichtliche Ebene nicht mit dem Zweck der Amnestie als solche im Einklang steht; ist besorgt über Berichte, wonach bestimmte Akteure nicht gewillt sind, verabschiedete  Amnestiegesetze in vollem Maße anzuwenden, wodurch die Rechtssicherheit und die Gewaltenteilung untergraben werden;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251</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6a.</w:t>
            </w:r>
            <w:r>
              <w:rPr>
                <w:b/>
                <w:i/>
              </w:rPr>
              <w:tab/>
              <w:t>betont, dass gezielte Maßnahmen erforderlich sind, mit denen spezifischen Bedrohungen für den Grundsatz der gegenseitigen Anerkennung im Rahmen der justiziellen und administrativen Zusammenarbeit begegnet wird und so die kontinuierliche Integrität und das Vertrauen im EU-Binnenmarkt sichergestellt werden; empfiehlt, dass jede neue Verordnung auf der Grundlage des Grundsatzes des gegenseitigen Vertrauens Bestimmungen über wirksame Mechanismen zur Blockierung oder Änderung der Zusammenarbeit eines Mitgliedstaats oder EU-Organs mit einem Mitgliedstaat enthält, bei dem ein schwerer Verstoß gegen die Rechtsstaatlichkeit festgestellt wurde</w:t>
            </w:r>
            <w:r>
              <w:rPr>
                <w:b/>
                <w:i/>
                <w:vertAlign w:val="superscript"/>
              </w:rPr>
              <w:t>1a</w:t>
            </w:r>
            <w:r>
              <w:rPr>
                <w:b/>
                <w:i/>
              </w:rPr>
              <w:t>;</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vertAlign w:val="superscript"/>
              </w:rPr>
              <w:t>1a</w:t>
            </w:r>
            <w:r>
              <w:t xml:space="preserve"> </w:t>
            </w:r>
            <w:r>
              <w:rPr>
                <w:b/>
                <w:i/>
              </w:rPr>
              <w:t xml:space="preserve"> Siehe EuGH, Urteil vom 23. Oktober 2014, Rechtssache C-577/12, Sped-Pro GmbH gegen Finanzamt Linz.</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252</w:t>
      </w:r>
      <w:r>
        <w:rPr>
          <w:rStyle w:val="HideTWBExt"/>
        </w:rPr>
        <w:t>&lt;/NumAm&gt;</w:t>
      </w:r>
    </w:p>
    <w:p w:rsidR="00931B01" w:rsidRDefault="00931B01" w:rsidP="00931B01">
      <w:pPr>
        <w:pStyle w:val="NormalBold"/>
      </w:pPr>
      <w:r>
        <w:rPr>
          <w:rStyle w:val="HideTWBExt"/>
          <w:b w:val="0"/>
        </w:rPr>
        <w:t>&lt;RepeatBlock-By&gt;&lt;Members&gt;</w:t>
      </w:r>
      <w:r>
        <w:t>Marieke Ehlers, Jorge Buxadé Villalba, Tom Vandendriessche,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6a.</w:t>
            </w:r>
            <w:r>
              <w:rPr>
                <w:b/>
                <w:i/>
              </w:rPr>
              <w:tab/>
              <w:t>weist darauf hin, dass nur zwei Verfahren im Rahmen des Frühwarnsystems zu Verfahren vor dem Gerichtshof der Europäischen Union geführt haben, von denen keines zu Urteilen zugunsten des Mitgliedstaats führte; erkennt an, dass dies den Eindruck erweckt, dass der Rechnungshof gegenüber den Mitgliedstaaten voreingenommen ist und die Kommission bevorteilt; stellt fest, dass eine solche Voreingenommenheit einen schwerwiegenden Verstoß gegen die Grundsätze der Rechtsstaatlichkeit darstellen würde;</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253</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6a.</w:t>
            </w:r>
            <w:r>
              <w:rPr>
                <w:b/>
                <w:i/>
              </w:rPr>
              <w:tab/>
              <w:t>verurteilt den anhaltenden Mangel an Fortschritten in einigen Mitgliedstaaten bei der Untersuchung und strafrechtlichen Verfolgung von Korruptionsfällen auf hoher Ebene; betont, dass rechtskräftige Schuldsprüche und abschreckende Strafen erforderlich sind, um ein echtes Engagement für die Bekämpfung der Korruption unter Beweis zu stellen;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254</w:t>
      </w:r>
      <w:r>
        <w:rPr>
          <w:rStyle w:val="HideTWBExt"/>
        </w:rPr>
        <w:t>&lt;/NumAm&gt;</w:t>
      </w:r>
    </w:p>
    <w:p w:rsidR="00931B01" w:rsidRDefault="00931B01" w:rsidP="00931B01">
      <w:pPr>
        <w:pStyle w:val="NormalBold"/>
      </w:pPr>
      <w:r>
        <w:rPr>
          <w:rStyle w:val="HideTWBExt"/>
          <w:b w:val="0"/>
        </w:rPr>
        <w:t>&lt;RepeatBlock-By&gt;&lt;Members&gt;</w:t>
      </w:r>
      <w:r>
        <w:t>Alessandro Ciriani, Paolo Inselvini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6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6a.</w:t>
            </w:r>
            <w:r>
              <w:rPr>
                <w:b/>
                <w:i/>
              </w:rPr>
              <w:tab/>
              <w:t>fordert die Mitgliedstaaten auf, Urteile des EuGH umzusetzen;</w:t>
            </w:r>
          </w:p>
        </w:tc>
      </w:tr>
    </w:tbl>
    <w:p w:rsidR="00931B01" w:rsidRDefault="00931B01" w:rsidP="00931B01">
      <w:pPr>
        <w:pStyle w:val="AmOrLang"/>
      </w:pPr>
      <w:r>
        <w:t xml:space="preserve">Or. </w:t>
      </w:r>
      <w:r>
        <w:rPr>
          <w:rStyle w:val="HideTWBExt"/>
        </w:rPr>
        <w:t>&lt;Original&gt;</w:t>
      </w:r>
      <w:r>
        <w:rPr>
          <w:rStyle w:val="HideTWBInt"/>
        </w:rPr>
        <w:t>{IT}</w:t>
      </w:r>
      <w:r>
        <w:t>it</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255</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7.</w:t>
            </w:r>
            <w:r>
              <w:tab/>
            </w:r>
            <w:r>
              <w:rPr>
                <w:b/>
                <w:i/>
              </w:rPr>
              <w:t>fordert die Mitgliedstaaten auf, die Transparenz und Rechenschaftspflicht in öffentlichen Institutionen zu verbessern, indem sie die Rahmen für die Korruptionsbekämpfung stärken, die Einrichtung unabhängiger Aufsichtsgremien sicherstellen, den Schutz von Hinweisgebern fördern, die Integritätsrahmen verbessern und die Lobbyarbeit für Rechtsvorschriften fördern; bedauert, dass in einigen Mitgliedstaaten keine nennenswerten Fortschritte bei der Bekämpfung der Korruption auf hoher Ebene erzielt wurden;</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256</w:t>
      </w:r>
      <w:r>
        <w:rPr>
          <w:rStyle w:val="HideTWBExt"/>
        </w:rPr>
        <w:t>&lt;/NumAm&gt;</w:t>
      </w:r>
    </w:p>
    <w:p w:rsidR="00931B01" w:rsidRDefault="00931B01" w:rsidP="00931B01">
      <w:pPr>
        <w:pStyle w:val="NormalBold"/>
      </w:pPr>
      <w:r>
        <w:rPr>
          <w:rStyle w:val="HideTWBExt"/>
          <w:b w:val="0"/>
        </w:rPr>
        <w:t>&lt;RepeatBlock-By&gt;&lt;Members&gt;</w:t>
      </w:r>
      <w:r>
        <w:t>Alessandro Zan, Cecilia Strada, Sandro Ruotolo, Pina Picierno, Marco Tarquinio</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7.</w:t>
            </w:r>
            <w:r>
              <w:tab/>
              <w:t>fordert die Mitgliedstaaten auf, die Transparenz und Rechenschaftspflicht in öffentlichen Institutionen zu verbessern, indem sie die Rahmen für die Korruptionsbekämpfung stärken, die Einrichtung unabhängiger Aufsichtsgremien sicherstellen, den Schutz von Hinweisgebern fördern, die Integritätsrahmen verbessern und die Lobbyarbeit für Rechtsvorschriften fördern; bedauert, dass in einigen Mitgliedstaaten keine nennenswerten Fortschritte bei der Bekämpfung der Korruption auf hoher Ebene erzielt wurden;</w:t>
            </w:r>
          </w:p>
        </w:tc>
        <w:tc>
          <w:tcPr>
            <w:tcW w:w="4876" w:type="dxa"/>
            <w:tcBorders>
              <w:top w:val="nil"/>
              <w:left w:val="nil"/>
              <w:bottom w:val="nil"/>
              <w:right w:val="nil"/>
            </w:tcBorders>
          </w:tcPr>
          <w:p w:rsidR="00931B01" w:rsidRDefault="00931B01" w:rsidP="00104ED4">
            <w:pPr>
              <w:pStyle w:val="Normal6a"/>
            </w:pPr>
            <w:r>
              <w:t>7.</w:t>
            </w:r>
            <w:r>
              <w:tab/>
              <w:t xml:space="preserve">fordert die Mitgliedstaaten auf, die Transparenz und Rechenschaftspflicht in öffentlichen Institutionen zu verbessern, indem sie die Rahmen für die Korruptionsbekämpfung stärken, die Einrichtung unabhängiger Aufsichtsgremien sicherstellen, den Schutz von Hinweisgebern fördern, die Integritätsrahmen verbessern und die Lobbyarbeit für Rechtsvorschriften fördern; bedauert, dass in einigen Mitgliedstaaten keine nennenswerten Fortschritte bei der Bekämpfung der Korruption auf hoher Ebene erzielt wurden; </w:t>
            </w:r>
            <w:r>
              <w:rPr>
                <w:b/>
                <w:i/>
              </w:rPr>
              <w:t>bedauert, dass Italien die Empfehlungen der Kommission in Bezug auf Korruption, Vorschriften über die Parteien- und Wahlkampffinanzierung und die Regulierung von Lobbytätigkeiten nicht umgesetzt hat; stellt fest, dass der Rahmen für die Korruptionsbekämpfung und Transparenz durch die Abschaffung des Straftatbestands des Amtsmissbrauchs und die Einschränkung des Straftatbestands der missbräuchlichen Einflussnahme geschwächt worden ist und dadurch auch gegen internationale Übereinkommen zur Korruptionsbekämpfung verstoßen wurde;</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257</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Abir Al-Sahlani, Chloé Ridel, Alessandro Zan, Fabienne Keller, Lucia Yar, Irena Joveva, Isabel Wiseler-Lima,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7.</w:t>
            </w:r>
            <w:r>
              <w:tab/>
              <w:t xml:space="preserve">fordert die Mitgliedstaaten auf, die Transparenz und Rechenschaftspflicht in öffentlichen </w:t>
            </w:r>
            <w:r>
              <w:rPr>
                <w:b/>
                <w:i/>
              </w:rPr>
              <w:t>Institutionen</w:t>
            </w:r>
            <w:r>
              <w:t xml:space="preserve"> zu verbessern, indem sie die </w:t>
            </w:r>
            <w:r>
              <w:rPr>
                <w:b/>
                <w:i/>
              </w:rPr>
              <w:t>Rahmen</w:t>
            </w:r>
            <w:r>
              <w:t xml:space="preserve"> für die Korruptionsbekämpfung stärken, die Einrichtung unabhängiger Aufsichtsgremien sicherstellen, den Schutz von Hinweisgebern fördern</w:t>
            </w:r>
            <w:r>
              <w:rPr>
                <w:b/>
                <w:i/>
              </w:rPr>
              <w:t>,</w:t>
            </w:r>
            <w:r>
              <w:t xml:space="preserve"> die Integritätsrahmen </w:t>
            </w:r>
            <w:r>
              <w:rPr>
                <w:b/>
                <w:i/>
              </w:rPr>
              <w:t xml:space="preserve">verbessern </w:t>
            </w:r>
            <w:r>
              <w:t xml:space="preserve">und die Lobbyarbeit </w:t>
            </w:r>
            <w:r>
              <w:rPr>
                <w:b/>
                <w:i/>
              </w:rPr>
              <w:t>für Rechtsvorschriften fördern</w:t>
            </w:r>
            <w:r>
              <w:t>; bedauert, dass in einigen Mitgliedstaaten keine nennenswerten Fortschritte bei der Bekämpfung der Korruption auf hoher Ebene erzielt wurden;</w:t>
            </w:r>
          </w:p>
        </w:tc>
        <w:tc>
          <w:tcPr>
            <w:tcW w:w="4876" w:type="dxa"/>
            <w:tcBorders>
              <w:top w:val="nil"/>
              <w:left w:val="nil"/>
              <w:bottom w:val="nil"/>
              <w:right w:val="nil"/>
            </w:tcBorders>
          </w:tcPr>
          <w:p w:rsidR="00931B01" w:rsidRDefault="00931B01" w:rsidP="00104ED4">
            <w:pPr>
              <w:pStyle w:val="Normal6a"/>
            </w:pPr>
            <w:r>
              <w:t>7.</w:t>
            </w:r>
            <w:r>
              <w:tab/>
              <w:t xml:space="preserve">fordert die Mitgliedstaaten auf, die Transparenz und Rechenschaftspflicht in öffentlichen </w:t>
            </w:r>
            <w:r>
              <w:rPr>
                <w:b/>
                <w:i/>
              </w:rPr>
              <w:t>Einrichtungen</w:t>
            </w:r>
            <w:r>
              <w:t xml:space="preserve"> zu verbessern, indem sie die </w:t>
            </w:r>
            <w:r>
              <w:rPr>
                <w:b/>
                <w:i/>
              </w:rPr>
              <w:t>Rechtsrahmen</w:t>
            </w:r>
            <w:r>
              <w:t xml:space="preserve"> für die Korruptionsbekämpfung </w:t>
            </w:r>
            <w:r>
              <w:rPr>
                <w:b/>
                <w:i/>
              </w:rPr>
              <w:t xml:space="preserve">und die Integrität sowie die Meldeverfahren </w:t>
            </w:r>
            <w:r>
              <w:t xml:space="preserve">stärken, </w:t>
            </w:r>
            <w:r>
              <w:rPr>
                <w:b/>
                <w:i/>
              </w:rPr>
              <w:t xml:space="preserve">um die wirksame Ermittlung und Strafverfolgung von Korruptionsfällen sicherzustellen, und zwar auch in Fällen von Korruption auf hoher Ebene mit besonderem Augenmerk auf Hochrisikogebieten wie Häfen oder Landgrenzen, </w:t>
            </w:r>
            <w:r>
              <w:t>die Einrichtung unabhängiger Aufsichtsgremien sicherstellen, den Schutz von Hinweisgebern fördern</w:t>
            </w:r>
            <w:r>
              <w:rPr>
                <w:b/>
                <w:i/>
              </w:rPr>
              <w:t xml:space="preserve"> sowie</w:t>
            </w:r>
            <w:r>
              <w:t xml:space="preserve"> die Integritätsrahmen und die Lobbyarbeit </w:t>
            </w:r>
            <w:r>
              <w:rPr>
                <w:b/>
                <w:i/>
              </w:rPr>
              <w:t>bei der Gesetzgebung verbessern</w:t>
            </w:r>
            <w:r>
              <w:t>; bedauert, dass in einigen Mitgliedstaaten keine nennenswerten Fortschritte bei der Bekämpfung der Korruption auf hoher Ebene erzielt wurden;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258</w:t>
      </w:r>
      <w:r>
        <w:rPr>
          <w:rStyle w:val="HideTWBExt"/>
        </w:rPr>
        <w:t>&lt;/NumAm&gt;</w:t>
      </w:r>
    </w:p>
    <w:p w:rsidR="00931B01" w:rsidRDefault="00931B01" w:rsidP="00931B01">
      <w:pPr>
        <w:pStyle w:val="NormalBold"/>
      </w:pPr>
      <w:r>
        <w:rPr>
          <w:rStyle w:val="HideTWBExt"/>
          <w:b w:val="0"/>
        </w:rPr>
        <w:t>&lt;RepeatBlock-By&gt;&lt;Members&gt;</w:t>
      </w:r>
      <w:r>
        <w:t>Daniel Freund, Jaume Asens Llodrà, Vicent Marzà Ibáñez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7.</w:t>
            </w:r>
            <w:r>
              <w:tab/>
              <w:t>fordert die Mitgliedstaaten auf, die Transparenz und Rechenschaftspflicht in öffentlichen Institutionen zu verbessern, indem sie die Rahmen für die Korruptionsbekämpfung stärken, die Einrichtung unabhängiger Aufsichtsgremien sicherstellen, den Schutz von Hinweisgebern fördern</w:t>
            </w:r>
            <w:r>
              <w:rPr>
                <w:b/>
                <w:i/>
              </w:rPr>
              <w:t>,</w:t>
            </w:r>
            <w:r>
              <w:t xml:space="preserve"> die Integritätsrahmen</w:t>
            </w:r>
            <w:r>
              <w:rPr>
                <w:b/>
                <w:i/>
              </w:rPr>
              <w:t xml:space="preserve"> verbessern</w:t>
            </w:r>
            <w:r>
              <w:t xml:space="preserve"> und die Lobbyarbeit </w:t>
            </w:r>
            <w:r>
              <w:rPr>
                <w:b/>
                <w:i/>
              </w:rPr>
              <w:t>für Rechtsvorschriften fördern</w:t>
            </w:r>
            <w:r>
              <w:t>; bedauert, dass in einigen Mitgliedstaaten keine nennenswerten Fortschritte bei der Bekämpfung der Korruption auf hoher Ebene erzielt wurden;</w:t>
            </w:r>
          </w:p>
        </w:tc>
        <w:tc>
          <w:tcPr>
            <w:tcW w:w="4876" w:type="dxa"/>
            <w:tcBorders>
              <w:top w:val="nil"/>
              <w:left w:val="nil"/>
              <w:bottom w:val="nil"/>
              <w:right w:val="nil"/>
            </w:tcBorders>
          </w:tcPr>
          <w:p w:rsidR="00931B01" w:rsidRDefault="00931B01" w:rsidP="00104ED4">
            <w:pPr>
              <w:pStyle w:val="Normal6a"/>
            </w:pPr>
            <w:r>
              <w:t>7.</w:t>
            </w:r>
            <w:r>
              <w:tab/>
              <w:t xml:space="preserve">fordert die Mitgliedstaaten auf, die Transparenz und Rechenschaftspflicht in öffentlichen Institutionen zu verbessern, indem sie die Rahmen für die Korruptionsbekämpfung stärken, die Einrichtung unabhängiger Aufsichtsgremien </w:t>
            </w:r>
            <w:r>
              <w:rPr>
                <w:b/>
                <w:i/>
              </w:rPr>
              <w:t xml:space="preserve">sowie die Unabhängigkeit und das ordnungsgemäße Funktionieren bestehender Agenturen </w:t>
            </w:r>
            <w:r>
              <w:t>sicherstellen, den Schutz von Hinweisgebern fördern</w:t>
            </w:r>
            <w:r>
              <w:rPr>
                <w:b/>
                <w:i/>
              </w:rPr>
              <w:t xml:space="preserve"> sowie</w:t>
            </w:r>
            <w:r>
              <w:t xml:space="preserve"> die Integritätsrahmen und die Lobbyarbeit </w:t>
            </w:r>
            <w:r>
              <w:rPr>
                <w:b/>
                <w:i/>
              </w:rPr>
              <w:t>bei der Gesetzgebung verbessern</w:t>
            </w:r>
            <w:r>
              <w:t>; bedauert, dass in einigen Mitgliedstaaten keine nennenswerten Fortschritte bei der Bekämpfung der Korruption auf hoher Ebene erzielt wurden</w:t>
            </w:r>
            <w:r>
              <w:rPr>
                <w:b/>
                <w:i/>
              </w:rPr>
              <w:t>, wozu auch solche in Verbindung mit öffentlichen Vergabeverfahren gehören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259</w:t>
      </w:r>
      <w:r>
        <w:rPr>
          <w:rStyle w:val="HideTWBExt"/>
        </w:rPr>
        <w:t>&lt;/NumAm&gt;</w:t>
      </w:r>
    </w:p>
    <w:p w:rsidR="00931B01" w:rsidRDefault="00931B01" w:rsidP="00931B01">
      <w:pPr>
        <w:pStyle w:val="NormalBold"/>
      </w:pPr>
      <w:r>
        <w:rPr>
          <w:rStyle w:val="HideTWBExt"/>
          <w:b w:val="0"/>
        </w:rPr>
        <w:t>&lt;RepeatBlock-By&gt;&lt;Members&gt;</w:t>
      </w:r>
      <w:r>
        <w:t>Jorge Buxadé Villalba,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7.</w:t>
            </w:r>
            <w:r>
              <w:tab/>
              <w:t>fordert die Mitgliedstaaten auf, die Transparenz und Rechenschaftspflicht in öffentlichen Institutionen zu verbessern, indem sie die Rahmen für die Korruptionsbekämpfung stärken, die Einrichtung unabhängiger Aufsichtsgremien sicherstellen, den Schutz von Hinweisgebern fördern</w:t>
            </w:r>
            <w:r>
              <w:rPr>
                <w:b/>
                <w:i/>
              </w:rPr>
              <w:t>,</w:t>
            </w:r>
            <w:r>
              <w:t xml:space="preserve"> die Integritätsrahmen </w:t>
            </w:r>
            <w:r>
              <w:rPr>
                <w:b/>
                <w:i/>
              </w:rPr>
              <w:t xml:space="preserve">verbessern </w:t>
            </w:r>
            <w:r>
              <w:t xml:space="preserve">und die Lobbyarbeit </w:t>
            </w:r>
            <w:r>
              <w:rPr>
                <w:b/>
                <w:i/>
              </w:rPr>
              <w:t>für Rechtsvorschriften fördern</w:t>
            </w:r>
            <w:r>
              <w:t>; bedauert, dass in einigen Mitgliedstaaten keine nennenswerten Fortschritte bei der Bekämpfung der Korruption auf hoher Ebene erzielt wurden;</w:t>
            </w:r>
          </w:p>
        </w:tc>
        <w:tc>
          <w:tcPr>
            <w:tcW w:w="4876" w:type="dxa"/>
            <w:tcBorders>
              <w:top w:val="nil"/>
              <w:left w:val="nil"/>
              <w:bottom w:val="nil"/>
              <w:right w:val="nil"/>
            </w:tcBorders>
          </w:tcPr>
          <w:p w:rsidR="00931B01" w:rsidRDefault="00931B01" w:rsidP="00104ED4">
            <w:pPr>
              <w:pStyle w:val="Normal6a"/>
            </w:pPr>
            <w:r>
              <w:t>7.</w:t>
            </w:r>
            <w:r>
              <w:tab/>
              <w:t>fordert die Mitgliedstaaten auf, die Transparenz und Rechenschaftspflicht in öffentlichen Institutionen zu verbessern, indem sie die Rahmen für die Korruptionsbekämpfung stärken, die Einrichtung unabhängiger Aufsichtsgremien sicherstellen, den Schutz von Hinweisgebern fördern</w:t>
            </w:r>
            <w:r>
              <w:rPr>
                <w:b/>
                <w:i/>
              </w:rPr>
              <w:t xml:space="preserve"> sowie</w:t>
            </w:r>
            <w:r>
              <w:t xml:space="preserve"> die Integritätsrahmen und die Lobbyarbeit </w:t>
            </w:r>
            <w:r>
              <w:rPr>
                <w:b/>
                <w:i/>
              </w:rPr>
              <w:t>bei der Gesetzgebung verbessern</w:t>
            </w:r>
            <w:r>
              <w:t>; bedauert, dass in einigen Mitgliedstaaten keine nennenswerten Fortschritte bei der Bekämpfung der Korruption auf hoher Ebene erzielt wurden;</w:t>
            </w:r>
            <w:r>
              <w:rPr>
                <w:b/>
                <w:i/>
              </w:rPr>
              <w:t xml:space="preserve"> und dass Amnestiegesetze angewendet und hochrangige Beamte, die an Korruptionsfällen beteiligt waren, begnadigt wurden;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260</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7.</w:t>
            </w:r>
            <w:r>
              <w:tab/>
              <w:t xml:space="preserve">fordert die </w:t>
            </w:r>
            <w:r>
              <w:rPr>
                <w:b/>
                <w:i/>
              </w:rPr>
              <w:t>Mitgliedstaaten</w:t>
            </w:r>
            <w:r>
              <w:t xml:space="preserve"> auf, die Transparenz und Rechenschaftspflicht in </w:t>
            </w:r>
            <w:r>
              <w:rPr>
                <w:b/>
                <w:i/>
              </w:rPr>
              <w:t>öffentlichen Institutionen</w:t>
            </w:r>
            <w:r>
              <w:t xml:space="preserve"> zu verbessern, indem sie die Rahmen für die Korruptionsbekämpfung stärken, die Einrichtung unabhängiger Aufsichtsgremien sicherstellen</w:t>
            </w:r>
            <w:r>
              <w:rPr>
                <w:b/>
                <w:i/>
              </w:rPr>
              <w:t>, den Schutz von Hinweisgebern fördern,</w:t>
            </w:r>
            <w:r>
              <w:t xml:space="preserve"> die Integritätsrahmen </w:t>
            </w:r>
            <w:r>
              <w:rPr>
                <w:b/>
                <w:i/>
              </w:rPr>
              <w:t xml:space="preserve">verbessern </w:t>
            </w:r>
            <w:r>
              <w:t xml:space="preserve">und die Lobbyarbeit </w:t>
            </w:r>
            <w:r>
              <w:rPr>
                <w:b/>
                <w:i/>
              </w:rPr>
              <w:t>für Rechtsvorschriften fördern</w:t>
            </w:r>
            <w:r>
              <w:t>; bedauert, dass in einigen Mitgliedstaaten keine nennenswerten Fortschritte bei der Bekämpfung der Korruption auf hoher Ebene erzielt wurden;</w:t>
            </w:r>
          </w:p>
        </w:tc>
        <w:tc>
          <w:tcPr>
            <w:tcW w:w="4876" w:type="dxa"/>
            <w:tcBorders>
              <w:top w:val="nil"/>
              <w:left w:val="nil"/>
              <w:bottom w:val="nil"/>
              <w:right w:val="nil"/>
            </w:tcBorders>
          </w:tcPr>
          <w:p w:rsidR="00931B01" w:rsidRDefault="00931B01" w:rsidP="00104ED4">
            <w:pPr>
              <w:pStyle w:val="Normal6a"/>
            </w:pPr>
            <w:r>
              <w:t>7.</w:t>
            </w:r>
            <w:r>
              <w:tab/>
              <w:t xml:space="preserve">fordert die </w:t>
            </w:r>
            <w:r>
              <w:rPr>
                <w:b/>
                <w:i/>
              </w:rPr>
              <w:t>Kommission</w:t>
            </w:r>
            <w:r>
              <w:t xml:space="preserve"> auf, die Transparenz und Rechenschaftspflicht in </w:t>
            </w:r>
            <w:r>
              <w:rPr>
                <w:b/>
                <w:i/>
              </w:rPr>
              <w:t>EU-Institutionen</w:t>
            </w:r>
            <w:r>
              <w:t xml:space="preserve"> zu verbessern, indem sie die Rahmen für die Korruptionsbekämpfung stärken, die Einrichtung unabhängiger Aufsichtsgremien sicherstellen</w:t>
            </w:r>
            <w:r>
              <w:rPr>
                <w:b/>
                <w:i/>
              </w:rPr>
              <w:t xml:space="preserve"> und</w:t>
            </w:r>
            <w:r>
              <w:t xml:space="preserve"> die Integritätsrahmen und die Lobbyarbeit </w:t>
            </w:r>
            <w:r>
              <w:rPr>
                <w:b/>
                <w:i/>
              </w:rPr>
              <w:t>bei der Gesetzgebung verbessern</w:t>
            </w:r>
            <w:r>
              <w:t>; bedauert, dass in einigen Mitgliedstaaten keine nennenswerten Fortschritte bei der Bekämpfung der Korruption auf hoher Ebene</w:t>
            </w:r>
            <w:r>
              <w:rPr>
                <w:b/>
                <w:i/>
              </w:rPr>
              <w:t xml:space="preserve"> in EU-Institutionen</w:t>
            </w:r>
            <w:r>
              <w:t xml:space="preserve"> erzielt wurden;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261</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7.</w:t>
            </w:r>
            <w:r>
              <w:tab/>
              <w:t>fordert die Mitgliedstaaten auf, die Transparenz und Rechenschaftspflicht in öffentlichen Institutionen zu verbessern, indem sie die Rahmen für die Korruptionsbekämpfung stärken, die Einrichtung unabhängiger Aufsichtsgremien sicherstellen, den Schutz von Hinweisgebern fördern, die Integritätsrahmen verbessern und die Lobbyarbeit für Rechtsvorschriften fördern; bedauert, dass in einigen Mitgliedstaaten keine nennenswerten Fortschritte bei der Bekämpfung der Korruption auf hoher Ebene erzielt wurden;</w:t>
            </w:r>
          </w:p>
        </w:tc>
        <w:tc>
          <w:tcPr>
            <w:tcW w:w="4876" w:type="dxa"/>
            <w:tcBorders>
              <w:top w:val="nil"/>
              <w:left w:val="nil"/>
              <w:bottom w:val="nil"/>
              <w:right w:val="nil"/>
            </w:tcBorders>
          </w:tcPr>
          <w:p w:rsidR="00931B01" w:rsidRDefault="00931B01" w:rsidP="00104ED4">
            <w:pPr>
              <w:pStyle w:val="Normal6a"/>
            </w:pPr>
            <w:r>
              <w:t>7.</w:t>
            </w:r>
            <w:r>
              <w:tab/>
              <w:t xml:space="preserve">fordert die Mitgliedstaaten auf, die Transparenz und Rechenschaftspflicht in öffentlichen Institutionen zu verbessern, indem sie die Rahmen für die Korruptionsbekämpfung stärken, die Einrichtung unabhängiger Aufsichtsgremien sicherstellen, den Schutz von Hinweisgebern fördern, die Integritätsrahmen verbessern und die Lobbyarbeit für Rechtsvorschriften fördern; bedauert, dass in einigen Mitgliedstaaten </w:t>
            </w:r>
            <w:r>
              <w:rPr>
                <w:b/>
                <w:i/>
              </w:rPr>
              <w:t xml:space="preserve">und in den EU-Organen </w:t>
            </w:r>
            <w:r>
              <w:t>keine nennenswerten Fortschritte bei der Bekämpfung der Korruption auf hoher Ebene erzielt wurden;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262</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7.</w:t>
            </w:r>
            <w:r>
              <w:tab/>
              <w:t xml:space="preserve">fordert die Mitgliedstaaten auf, die Transparenz und Rechenschaftspflicht in öffentlichen Institutionen zu verbessern, indem sie die Rahmen für die Korruptionsbekämpfung </w:t>
            </w:r>
            <w:r>
              <w:rPr>
                <w:b/>
                <w:i/>
              </w:rPr>
              <w:t>stärken,</w:t>
            </w:r>
            <w:r>
              <w:t xml:space="preserve"> die </w:t>
            </w:r>
            <w:r>
              <w:rPr>
                <w:b/>
                <w:i/>
              </w:rPr>
              <w:t>Einrichtung unabhängiger Aufsichtsgremien sicherstellen</w:t>
            </w:r>
            <w:r>
              <w:t>, den Schutz von Hinweisgebern fördern</w:t>
            </w:r>
            <w:r>
              <w:rPr>
                <w:b/>
                <w:i/>
              </w:rPr>
              <w:t>,</w:t>
            </w:r>
            <w:r>
              <w:t xml:space="preserve"> die Integritätsrahmen</w:t>
            </w:r>
            <w:r>
              <w:rPr>
                <w:b/>
                <w:i/>
              </w:rPr>
              <w:t xml:space="preserve"> verbessern</w:t>
            </w:r>
            <w:r>
              <w:t xml:space="preserve"> und die Lobbyarbeit für Rechtsvorschriften fördern; bedauert, dass in einigen Mitgliedstaaten keine nennenswerten Fortschritte bei der Bekämpfung der Korruption auf hoher Ebene erzielt wurden;</w:t>
            </w:r>
          </w:p>
        </w:tc>
        <w:tc>
          <w:tcPr>
            <w:tcW w:w="4876" w:type="dxa"/>
            <w:tcBorders>
              <w:top w:val="nil"/>
              <w:left w:val="nil"/>
              <w:bottom w:val="nil"/>
              <w:right w:val="nil"/>
            </w:tcBorders>
          </w:tcPr>
          <w:p w:rsidR="00931B01" w:rsidRDefault="00931B01" w:rsidP="00104ED4">
            <w:pPr>
              <w:pStyle w:val="Normal6a"/>
            </w:pPr>
            <w:r>
              <w:t>7.</w:t>
            </w:r>
            <w:r>
              <w:tab/>
              <w:t xml:space="preserve">fordert die Mitgliedstaaten auf, die Transparenz und Rechenschaftspflicht in öffentlichen Institutionen zu verbessern, indem sie die Rahmen für die Korruptionsbekämpfung </w:t>
            </w:r>
            <w:r>
              <w:rPr>
                <w:b/>
                <w:i/>
              </w:rPr>
              <w:t>und</w:t>
            </w:r>
            <w:r>
              <w:t xml:space="preserve"> die </w:t>
            </w:r>
            <w:r>
              <w:rPr>
                <w:b/>
                <w:i/>
              </w:rPr>
              <w:t>Aufsichtsmechanismen und -gremien stärken</w:t>
            </w:r>
            <w:r>
              <w:t>, den Schutz von Hinweisgebern fördern</w:t>
            </w:r>
            <w:r>
              <w:rPr>
                <w:b/>
                <w:i/>
              </w:rPr>
              <w:t xml:space="preserve"> sowie</w:t>
            </w:r>
            <w:r>
              <w:t xml:space="preserve"> die Integritätsrahmen und die Lobbyarbeit für Rechtsvorschriften fördern; bedauert, dass in einigen Mitgliedstaaten keine nennenswerten Fortschritte bei der Bekämpfung der Korruption auf hoher Ebene erzielt wurden;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263</w:t>
      </w:r>
      <w:r>
        <w:rPr>
          <w:rStyle w:val="HideTWBExt"/>
        </w:rPr>
        <w:t>&lt;/NumAm&gt;</w:t>
      </w:r>
    </w:p>
    <w:p w:rsidR="00931B01" w:rsidRDefault="00931B01" w:rsidP="00931B01">
      <w:pPr>
        <w:pStyle w:val="NormalBold"/>
      </w:pPr>
      <w:r>
        <w:rPr>
          <w:rStyle w:val="HideTWBExt"/>
          <w:b w:val="0"/>
        </w:rPr>
        <w:t>&lt;RepeatBlock-By&gt;&lt;Members&gt;</w:t>
      </w:r>
      <w:r>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 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bekräftigt, dass Korruption eine ernsthafte Bedrohung für die Demokratie, die Grundrechte und die Rechtsstaatlichkeit darstellt; betont, dass Korruption dazu führt, dass das Vertrauen der Bürger in öffentliche Einrichtungen schwindet; missbilligt, dass laut dem Eurobarometer zur Korruption aus dem Jahr 2024 Korruption für die EU-Bürger und die Unternehmen in der EU nach wie vor Anlass zu großer Sorge gibt, wobei 68 Prozent der Europäer davon ausgehen, dass Korruption in ihrem Land weit verbreitet ist, 65 Prozent von ihnen des Auffassung sind, dass Korruptionsfällen auf hoher Ebene nicht ausreichend nachgegangen wird, und 41 Prozent glauben, dass die Korruption zugenommen hat; betrachtet dies als einen Weckruf an die EU, ihre Bemühungen zur Bekämpfung der Korruption zu verstärken;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264</w:t>
      </w:r>
      <w:r>
        <w:rPr>
          <w:rStyle w:val="HideTWBExt"/>
        </w:rPr>
        <w:t>&lt;/NumAm&gt;</w:t>
      </w:r>
    </w:p>
    <w:p w:rsidR="00931B01" w:rsidRDefault="00931B01" w:rsidP="00931B01">
      <w:pPr>
        <w:pStyle w:val="NormalBold"/>
      </w:pPr>
      <w:r>
        <w:rPr>
          <w:rStyle w:val="HideTWBExt"/>
          <w:b w:val="0"/>
        </w:rPr>
        <w:t>&lt;RepeatBlock-By&gt;&lt;Members&gt;</w:t>
      </w:r>
      <w:r>
        <w:t>Javier Zarzalejos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fordert die Gesetzgebungs- und Exekutivorgane der Mitgliedstaaten auf, von öffentlichen Erklärungen abzusehen, die das Vertrauen der Öffentlichkeit in die Justiz untergraben könnten; weist darauf hin, dass die Kommission in früheren Berichten davor gewarnt hat, dass solche Erklärungen die Wahrnehmung der Unabhängigkeit der Justiz durch die Bürger beeinträchtigen; betont, dass diese Verschlechterung besonders besorgniserregend ist, wenn Kritik von der Legislative und der Exekutive selbst ausgeht; betont, dass alle Regierungsebenen dafür verantwortlich sind, das Vertrauen der Öffentlichkeit in die Verfassungsorgane, einschließlich der Unabhängigkeit der Justiz, zu fördern und zu erhalten;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265</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beharrt darauf, dass das Fehlen wirksamer Untersuchungen von Verstößen staatlicher und nichtstaatlicher Akteure, die sich gegen Menschenrechtsverteidiger richten, nach wie vor ein großes Problem darstellt; missbilligt, dass einige Regierungen den Belangen der nationalen Sicherheit und der öffentlichen Sicherheit Vorrang vor den Menschenrechten einräumen; ist besorgt darüber, dass Menschenrechtsverteidiger und Oppositionelle von der Justiz schikaniert, strafrechtlich verfolgt, missbräuchlich kontrolliert und von staatlichen Vertretern überwacht werden; verurteilt Ausspionierung politischer Gegner durch staatliche Vertreter in Spanien;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266</w:t>
      </w:r>
      <w:r>
        <w:rPr>
          <w:rStyle w:val="HideTWBExt"/>
        </w:rPr>
        <w:t>&lt;/NumAm&gt;</w:t>
      </w:r>
    </w:p>
    <w:p w:rsidR="00931B01" w:rsidRDefault="00931B01" w:rsidP="00931B01">
      <w:pPr>
        <w:pStyle w:val="NormalBold"/>
      </w:pPr>
      <w:r>
        <w:rPr>
          <w:rStyle w:val="HideTWBExt"/>
          <w:b w:val="0"/>
        </w:rPr>
        <w:t>&lt;RepeatBlock-By&gt;&lt;Members&gt;</w:t>
      </w:r>
      <w:r>
        <w:t>Mary Khan, Christine Anderson, Milan Uhrík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beklagt eklatante Mängel im Rechtssystem, die dazu führen, dass Regierungen von Mitgliedstaaten die Justiz systematisch ausnutzen, um die Exekutive vor der Kritik der Bürger zu schützen; weist insbesondere auf die Verstöße gegen die Redefreiheit vonseiten der deutschen Regierung hin, wo allein der amtierende Bundesminister für Wirtschaft, Robert Habeck, während seiner Amtszeit mehr als 800 Beschwerden eingereicht hat;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267</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bringt seine tiefe Besorgnis darüber zum Ausdruck, dass es bei der Klärung des Katargate-Skandals an Fortschritten mangelt, sowie darüber, dass andere Skandale, die von den Medien thematisiert wurden, unter den Teppich gekehrt wurden, darunter die Zweifel, was die Beteiligung der Präsidentin der Kommission am Kauf von COVID-19-Impfstoffen anbelangt, Interessenkonflikte und der Handel mit Einfluss unter Richtern des EuGH und Regelwidrigkeiten unter den Mitgliedern des Europäischen Rechnungshofs;</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268</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nimmt mit Besorgnis Kenntnis von den jüngsten Enthüllungen im sogenannten „grünen Lobbyskandal“ über die Verwendung von EU-Mitteln durch die Kommission zur Einmischung in den Legislativbereich der EU, um Unterstützung für den europäischen Grünen Deal zu erhalten; fordert in diesem Zusammenhang eine gründliche Untersuchung des Falls und die Wiedereinziehung aller unrechtmäßig ausgegebenen Gelder der Steuerzahler;</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269</w:t>
      </w:r>
      <w:r>
        <w:rPr>
          <w:rStyle w:val="HideTWBExt"/>
        </w:rPr>
        <w:t>&lt;/NumAm&gt;</w:t>
      </w:r>
    </w:p>
    <w:p w:rsidR="00931B01" w:rsidRDefault="00931B01" w:rsidP="00931B01">
      <w:pPr>
        <w:pStyle w:val="NormalBold"/>
      </w:pPr>
      <w:r>
        <w:rPr>
          <w:rStyle w:val="HideTWBExt"/>
          <w:b w:val="0"/>
        </w:rPr>
        <w:t>&lt;RepeatBlock-By&gt;&lt;Members&gt;</w:t>
      </w:r>
      <w:r>
        <w:t>Lukas Mandl, Hannes Heide</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erkennt die Rolle der Notare in vielen Mitgliedstaaten an, die funktionell gerichtliche Aufgaben wahrnehmen; ist der Ansicht, dass der Beitrag der Notare zu rechtsstaatlichen Standards in künftigen Ausgaben des Berichts über die Rechtsstaatlichkeit</w:t>
            </w:r>
            <w:r>
              <w:rPr>
                <w:b/>
                <w:i/>
                <w:vertAlign w:val="superscript"/>
              </w:rPr>
              <w:t>1a</w:t>
            </w:r>
            <w:r>
              <w:rPr>
                <w:b/>
                <w:i/>
              </w:rPr>
              <w:t xml:space="preserve"> behandelt werden sollte;</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tc>
        <w:tc>
          <w:tcPr>
            <w:tcW w:w="4876" w:type="dxa"/>
            <w:tcBorders>
              <w:top w:val="nil"/>
              <w:left w:val="nil"/>
              <w:bottom w:val="nil"/>
              <w:right w:val="nil"/>
            </w:tcBorders>
          </w:tcPr>
          <w:p w:rsidR="00931B01" w:rsidRDefault="00931B01" w:rsidP="00104ED4">
            <w:pPr>
              <w:pStyle w:val="Normal6a"/>
            </w:pPr>
            <w:r>
              <w:rPr>
                <w:b/>
                <w:i/>
                <w:vertAlign w:val="superscript"/>
              </w:rPr>
              <w:t>1a</w:t>
            </w:r>
            <w:r>
              <w:t xml:space="preserve"> </w:t>
            </w:r>
            <w:r>
              <w:rPr>
                <w:b/>
                <w:i/>
              </w:rPr>
              <w:t>Entschließung des Europäischen Parlaments vom 28. Februar 2024 zu dem Bericht der Kommission über die Rechtsstaatlichkeit 2023 (2023/2113(INI))</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270</w:t>
      </w:r>
      <w:r>
        <w:rPr>
          <w:rStyle w:val="HideTWBExt"/>
        </w:rPr>
        <w:t>&lt;/NumAm&gt;</w:t>
      </w:r>
    </w:p>
    <w:p w:rsidR="00931B01" w:rsidRDefault="00931B01" w:rsidP="00931B01">
      <w:pPr>
        <w:pStyle w:val="NormalBold"/>
      </w:pPr>
      <w:r>
        <w:rPr>
          <w:rStyle w:val="HideTWBExt"/>
          <w:b w:val="0"/>
        </w:rPr>
        <w:t>&lt;RepeatBlock-By&gt;&lt;Members&gt;</w:t>
      </w:r>
      <w:r>
        <w:t>Tomáš Zdechovský</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begrüßt, dass die Europäische Staatsanwaltschaft (EUStA) ihre Aufgaben im Zusammenhang mit der Korruptionsbekämpfung in den Mitgliedstaaten erfolgreich wahrnimmt; unterstützt die Stärkung der Überwachungs- und Koordinierungsbefugnisse der EUStA zur Verbesserung ihrer Fähigkeiten bei der Korruptionsbekämpfung in den Mitgliedstaaten;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271</w:t>
      </w:r>
      <w:r>
        <w:rPr>
          <w:rStyle w:val="HideTWBExt"/>
        </w:rPr>
        <w:t>&lt;/NumAm&gt;</w:t>
      </w:r>
    </w:p>
    <w:p w:rsidR="00931B01" w:rsidRDefault="00931B01" w:rsidP="00931B01">
      <w:pPr>
        <w:pStyle w:val="NormalBold"/>
      </w:pPr>
      <w:r>
        <w:rPr>
          <w:rStyle w:val="HideTWBExt"/>
          <w:b w:val="0"/>
        </w:rPr>
        <w:t>&lt;RepeatBlock-By&gt;&lt;Members&gt;</w:t>
      </w:r>
      <w:r>
        <w:t>Michał Wawrykiewicz, Ana Catarina Mendes, Moritz Körner, 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fordert alle Mitgliedstaaten, die dies noch nicht getan haben, nachdrücklich auf, sich der Europäischen Staatsanwaltschaft (EUStA) anzuschließen, um die Wirksamkeit der Korruptionsbekämpfung insbesondere im Hinblick auf den Schutz von EU-Mitteln zu verbessern;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272</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Isabel Serra Sánchez,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begrüßt die Vereinbarung über die Einrichtung des interinstitutionellen Gremiums für ethische Normen; fordert alle Organe und beratenden Einrichtungen der EU, die dem Gremium nicht beigetreten sind, auf, dies zu tun; sieht dem ersten Jahresbericht des Gremiums erwartungsvoll entgegen;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273</w:t>
      </w:r>
      <w:r>
        <w:rPr>
          <w:rStyle w:val="HideTWBExt"/>
        </w:rPr>
        <w:t>&lt;/NumAm&gt;</w:t>
      </w:r>
    </w:p>
    <w:p w:rsidR="00931B01" w:rsidRDefault="00931B01" w:rsidP="00931B01">
      <w:pPr>
        <w:pStyle w:val="NormalBold"/>
      </w:pPr>
      <w:r>
        <w:rPr>
          <w:rStyle w:val="HideTWBExt"/>
          <w:b w:val="0"/>
        </w:rPr>
        <w:t>&lt;RepeatBlock-By&gt;&lt;Members&gt;</w:t>
      </w:r>
      <w:r>
        <w:t>Romana Tomc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fordert die Kommission auf, bei allen ihren Dokumenten, Besuchen und Treffen für mehr Transparenz und Rechenschaftspflicht zu sorgen, insbesondere bei der Kommunikation mit hochrangigen nationalen Akteuren;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274</w:t>
      </w:r>
      <w:r>
        <w:rPr>
          <w:rStyle w:val="HideTWBExt"/>
        </w:rPr>
        <w:t>&lt;/NumAm&gt;</w:t>
      </w:r>
    </w:p>
    <w:p w:rsidR="00931B01" w:rsidRDefault="00931B01" w:rsidP="00931B01">
      <w:pPr>
        <w:pStyle w:val="NormalBold"/>
      </w:pPr>
      <w:r>
        <w:rPr>
          <w:rStyle w:val="HideTWBExt"/>
          <w:b w:val="0"/>
        </w:rPr>
        <w:t>&lt;RepeatBlock-By&gt;&lt;Members&gt;</w:t>
      </w:r>
      <w:r>
        <w:t>Chloé Ridel, Emma Rafowicz, Sandro Ruotolo, Eric Sargiacomo, Michał Wawrykiewicz, Alessandro Zan, Giuseppe Antoci, Klára Dobrev, Csaba Molnár, Bruno Gonçalves, Nora Mebarek, Raphaël Glucksmann, Nikola Minchev, Estelle Ceulemans, Krzysztof Śmiszek, Daniel Freund, Birgit Sippel, Katarina Barley, David Casa, Evin Incir, Matjaž Nemec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7b.</w:t>
            </w:r>
            <w:r>
              <w:rPr>
                <w:b/>
                <w:i/>
              </w:rPr>
              <w:tab/>
              <w:t>begrüßt den Vorschlag der Kommission für eine Richtlinie zur Korruptionsbekämpfung, mit der die Definition von Korruptionsdelikten im öffentlichen und privaten Sektor und die entsprechenden Strafen harmonisiert werden; betont, dass die illegale politische Finanzierung in die Liste der strafbaren Korruptionsdelikte in dieser Richtlinie aufgenommen werden muss; begrüßt die Aufnahme von Präventivmaßnahmen und Schulungen in die Richtlinie zur Korruptionsbekämpfung, wie etwa wirksame Vorschriften für die Offenlegung und Behandlung von Interessenkonflikten, der offene Zugang zu Informationen und wirksame Vorschriften zur Regelung der Interaktion zwischen dem privaten und dem öffentlichen Sektor; fordert die Mitgliedstaaten auf, außerdem wirksame Vorschriften zur Bekämpfung des Drehtüreffekts einzuführen, Verhaltenskodizes für Amtsträger festzulegen, einen öffentlichen legislativen Fußabdruck einzuführen und für Transparenz bei der Finanzierung von Kandidaturen für gewählte Amtsträger und politische Parteien zu sorgen; begrüßt, dass mittlerweile nahezu alle Mitgliedstaaten über Strategien zur Korruptionsbekämpfung verfügen; bedauert gleichzeitig, dass es große Unterschiede bei der Umsetzung und Wirksamkeit gibt; fordert die Mitgliedstaaten, die dies noch nicht getan haben, auf, unter Einbeziehung der Zivilgesellschaft robuste und wirksame Strategien zur Korruptionsbekämpfung zu entwickeln und umzusetzen; betont, wie wichtig die Ermittlung, Meldung, Vertretung von und Abstimmung unter den Opfern der Korruption ist; fordert die Mitgliedstaaten auf, die Opfer von Korruption zu schützen und dafür zu sorgen, dass sie ihre Ansichten und Anliegen in Strafverfahrens an geeigneter Stelle darlegen können und diese berücksichtigt werden; fordert die Mitgliedstaaten auf, dafür zu sorgen, dass die Opfer von Korruption das Recht auf eine angemessene und verhältnismäßige Entschädigung haben;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275</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7b.</w:t>
            </w:r>
            <w:r>
              <w:rPr>
                <w:b/>
                <w:i/>
              </w:rPr>
              <w:tab/>
              <w:t>würdigt die wichtige Funktion der Europäischen Staatsanwaltschaft (EUStA) beim Schutz der Rechtsstaatlichkeit und bei der Korruptionsbekämpfung in der EU und fordert die Kommission auf, den Umfang der Zusammenarbeit der Mitgliedstaaten mit der EUStA in den folgenden Berichten genau zu überwachen, insbesondere im Hinblick auf die Beilegung von Kompetenzstreitigkeiten und die Behandlung von Korruptionsfällen;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276</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7b.</w:t>
            </w:r>
            <w:r>
              <w:rPr>
                <w:b/>
                <w:i/>
              </w:rPr>
              <w:tab/>
              <w:t>bedauert, dass die Kommission dem ehemaligen Kommissionsmitglied Thierry Breton ungeachtet der zweijährigen Karenzzeit die Genehmigung erteilt hat, für die Bank of America tätig zu werden; fordert in diesem Zusammenhang, den Verhaltenskodex im Hinblick auf Kommissionsmitglieder strenger anzuwenden, um schädliche Auswirkungen des Drehtüreffekts zu verhindern;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277</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7b.</w:t>
            </w:r>
            <w:r>
              <w:rPr>
                <w:b/>
                <w:i/>
              </w:rPr>
              <w:tab/>
              <w:t>fordert die Kommission auf, in Bezug auf den Skandal um das ehemalige Kommissionsmitglied, das für Rechtsstaatlichkeit zuständig war und nun der Geldwäsche verdächtigt wird, eng mit den belgischen Behörden zusammenzuarbeiten; fordert die Kommission auf, eigene Ermittlungen zu den Verbindungen von Reynders einzuleiten und zu der Frage, inwieweit sie sich auf die Art und Weise ausgewirkt haben, wie er seine Aufgaben wahrgenommen hat;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278</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7c.</w:t>
            </w:r>
            <w:r>
              <w:rPr>
                <w:b/>
                <w:i/>
              </w:rPr>
              <w:tab/>
              <w:t>begrüßt den Vorschlag der Kommission für eine Richtlinie zur Korruptionsbekämpfung, mit der die Definition von Korruptionsdelikten im öffentlichen und privaten Sektor und die entsprechenden Strafen harmonisiert werden; betont, dass die illegale politische Finanzierung in die Liste der strafbaren Korruptionsdelikte in dieser Richtlinie aufgenommen werden muss; begrüßt die Aufnahme von Präventivmaßnahmen und Schulungen in die Richtlinie zur Korruptionsbekämpfung, wie etwa wirksame Vorschriften für die Offenlegung und Behandlung von Interessenkonflikten, der offene Zugang zu Informationen und wirksame Vorschriften zur Regelung der Interaktion zwischen dem privaten und dem öffentlichen Sektor; fordert die Mitgliedstaaten auf, außerdem wirksame Vorschriften zur Bekämpfung des Drehtüreffekts einzuführen, Verhaltenskodizes für Amtsträger festzulegen, einen öffentlichen legislativen Fußabdruck einzuführen und für Transparenz bei der Finanzierung von Kandidaturen für gewählte Amtsträger und politische Parteien zu sorgen; begrüßt, dass mittlerweile nahezu alle Mitgliedstaaten über Strategien zur Korruptionsbekämpfung verfügen; bedauert gleichzeitig, dass es große Unterschiede bei der Umsetzung und Wirksamkeit gibt; fordert die Mitgliedstaaten, die dies noch nicht getan haben, auf, unter Einbeziehung der Zivilgesellschaft robuste und wirksame Strategien zur Korruptionsbekämpfung zu entwickeln und umzusetzen; betont, wie wichtig die Ermittlung, Meldung, Vertretung von und Abstimmung unter den Opfern der Korruption ist; fordert die Mitgliedstaaten auf, die Opfer von Korruption zu schützen und dafür zu sorgen, dass sie ihre Ansichten und Anliegen in Strafverfahrens an geeigneter Stelle darlegen können und diese berücksichtigt werden; fordert die Mitgliedstaaten auf, dafür zu sorgen, dass die Opfer von Korruption das Recht auf eine angemessene und verhältnismäßige Entschädigung haben;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279</w:t>
      </w:r>
      <w:r>
        <w:rPr>
          <w:rStyle w:val="HideTWBExt"/>
        </w:rPr>
        <w:t>&lt;/NumAm&gt;</w:t>
      </w:r>
    </w:p>
    <w:p w:rsidR="00931B01" w:rsidRDefault="00931B01" w:rsidP="00931B01">
      <w:pPr>
        <w:pStyle w:val="NormalBold"/>
      </w:pPr>
      <w:r>
        <w:rPr>
          <w:rStyle w:val="HideTWBExt"/>
          <w:b w:val="0"/>
        </w:rPr>
        <w:t>&lt;RepeatBlock-By&gt;&lt;Members&gt;</w:t>
      </w:r>
      <w:r>
        <w:t>Chloé Ridel, Emma Rafowicz, Sandro Ruotolo, Eric Sargiacomo, Alessandro Zan, Giuseppe Antoci, Klára Dobrev, Csaba Molnár, Bruno Gonçalves, Nora Mebarek, Raphaël Glucksmann, Nikola Minchev, Estelle Ceulemans, Krzysztof Śmiszek, Raquel García Hermida-Van Der Walle, Birgit Sippel, Katarina Barley, David Casa, Evin Incir, Matjaž Nemec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7c.</w:t>
            </w:r>
            <w:r>
              <w:rPr>
                <w:b/>
                <w:i/>
              </w:rPr>
              <w:tab/>
              <w:t>fordert alle Organe, Einrichtungen und sonstigen Stellen der EU auf, ihre Präventivmaßnahmen in Bezug auf die Offenlegung und Behandlung von Interessenkonflikten, den offenen Zugang zu Informationen, die Vorschriften zur Regelung der Interaktion mit dem Privatsektor, die Bekämpfung des Drehtüreffekts und den Verhaltenskodex für Beamte zu verstärken; ist der Ansicht, dass die Mitglieder des Europäischen Parlaments während ihres Mandats keine bezahlten Nebentätigkeiten mit gewinnorientierten Organisationen oder Unternehmen ausüben sollten, die versuchen, die Politikgestaltung der EU zu beeinflussen; fordert alle Organe und beratenden Gremien der EU auf, sich dem interinstitutionellen Gremium für ethische Normen anzuschließen;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280</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7c.</w:t>
            </w:r>
            <w:r>
              <w:rPr>
                <w:b/>
                <w:i/>
              </w:rPr>
              <w:tab/>
              <w:t>fordert die Regierung von Donald Tusk auf, aufzuhören, gegen die Verfassung der Republik zu verstoßen und die unabhängigen Institutionen, auf denen die polnische Rechtsordnung beruht, zu demontieren und unter anderem die Angriffe auf den Verfassungsgerichtshof einzustellen, der eine Säule des polnischen Rechtssystems darstellt; stellt fest, dass sich die Regierung von Donald Tusk, indem sie die verfassungsmäßige Ordnung der Republik gewaltsam ändert und systemische Rechtslosigkeit einführt, dem Risiko strafrechtlicher Konsequenzen aussetzt;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281</w:t>
      </w:r>
      <w:r>
        <w:rPr>
          <w:rStyle w:val="HideTWBExt"/>
        </w:rPr>
        <w:t>&lt;/NumAm&gt;</w:t>
      </w:r>
    </w:p>
    <w:p w:rsidR="00931B01" w:rsidRDefault="00931B01" w:rsidP="00931B01">
      <w:pPr>
        <w:pStyle w:val="NormalBold"/>
      </w:pPr>
      <w:r>
        <w:rPr>
          <w:rStyle w:val="HideTWBExt"/>
          <w:b w:val="0"/>
        </w:rPr>
        <w:t>&lt;RepeatBlock-By&gt;&lt;Members&gt;</w:t>
      </w:r>
      <w:r>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7d.</w:t>
            </w:r>
            <w:r>
              <w:rPr>
                <w:b/>
                <w:i/>
              </w:rPr>
              <w:tab/>
              <w:t>würdigt die wichtige Funktion der Europäischen Staatsanwaltschaft (EUStA) beim Schutz der Rechtsstaatlichkeit und bei der Korruptionsbekämpfung in der EU und fordert die Kommission auf, den Umfang der Zusammenarbeit der Mitgliedstaaten mit der EUStA in den folgenden Berichten genau zu überwachen, insbesondere im Hinblick auf die Beilegung von Kompetenzstreitigkeiten und die Behandlung von Korruptionsfällen; begrüßt die Absicht der neuen irischen Regierung, sich der EUStA anzuschließen, und fordert die übrigen Mitgliedstaaten auf, diesem Beispiel zu folgen; ist der Ansicht, dass die Mitgliedschaft in der EUStA eine Voraussetzung für den Erhalt von EU-Mitteln sein sollte; fordert die Kommission auf, gemäß Artikel 86 Absatz 4 AEUV eine Ausweitung des Mandats der EUStA vorzuschlagen, um die Umgehung restriktiver Maßnahmen der EU und grenzüberschreitende Umweltkriminalität zu verhindern und die Überarbeitung der EUStA-Verordnung und der Richtlinie über den Schutz der finanziellen Interessen zu beschleunigen, um die vorrangige Zuständigkeit der EUStA in Bezug auf Korruptionsdelikte, die zum Nachteil der finanziellen Interessen der EU oder von EU-Beamten verübt wurden, zu gewährleisten und zu klären;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282</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7d.</w:t>
            </w:r>
            <w:r>
              <w:rPr>
                <w:b/>
                <w:i/>
              </w:rPr>
              <w:tab/>
              <w:t>bedauert, dass die Regierung von Donald Tusk rechtswidrige Schritte unternommen hat, um sich die Staatsanwaltschaft politisch unterzuordnen, und unter anderem versucht hat, den Nationalen Staatsanwalt seines Amtes zu entheben, für dessen Entlassung der Generalstaatsanwalt die schriftliche Zustimmung des Präsidenten der Republik Polen einholen muss, sodass sie mit diesen Maßnahmen gegen das Gesetz über die Staatsanwaltschaft, gegen die polnische Verfassung und den Grundsatz der Rechtmäßigkeit verstoßen hat; fordert die Regierung von Donald Tusk auf, die Angriffe auf die Staatsanwaltschaft einzustellen und aufzuhören, die Befugnisse des Nationalen Staatsanwalts und folglich aller Staatsanwälte, deren Vorgesetzter er ist, in Frage zu stellen; weist darauf hin, dass es dem Nationalen Staatsanwalt unverzüglich gestattet werden muss, seine Aufgaben wahrzunehmen, und stellt gleichzeitig fest, dass die Tätigkeit des Generalstaatsanwalts Adam Bodnar andernfalls dazu führen wird, dass Tausende von Straftätern ihrer strafrechtlichen Verfolgung entgehen;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e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7e.</w:t>
            </w:r>
            <w:r>
              <w:rPr>
                <w:b/>
                <w:i/>
              </w:rPr>
              <w:tab/>
              <w:t>bedauert, dass in Ländern wie Polen nach der Machtübernahme durch ein Lager, das sich als demokratisch ausgibt, die Grundsätze eines demokratischen Rechtsstaats durch eine Politik des Revanchismus ersetzt werden, die die Verfolgung der Opposition, politisch motivierte Gerichtsverfahren, Beugehaft und sogar Folter beinhaltet;</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284</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f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7f.</w:t>
            </w:r>
            <w:r>
              <w:rPr>
                <w:b/>
                <w:i/>
              </w:rPr>
              <w:tab/>
              <w:t>fordert die Regierung von Donald Tusk auf, die Verfassung der Republik Polen und die Gesetze zu achten und auch die Entscheidungen des Verfassungsgerichtshofs zu achten und umzusetzen, die endgültig und allgemein bindend sind;</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285</w:t>
      </w:r>
      <w:r>
        <w:rPr>
          <w:rStyle w:val="HideTWBExt"/>
        </w:rPr>
        <w:t>&lt;/NumAm&gt;</w:t>
      </w:r>
    </w:p>
    <w:p w:rsidR="00931B01" w:rsidRDefault="00931B01" w:rsidP="00931B01">
      <w:pPr>
        <w:pStyle w:val="NormalBold"/>
      </w:pPr>
      <w:r>
        <w:rPr>
          <w:rStyle w:val="HideTWBExt"/>
          <w:b w:val="0"/>
        </w:rPr>
        <w:t>&lt;RepeatBlock-By&gt;&lt;Members&gt;</w:t>
      </w:r>
      <w:r>
        <w:t>Juan Fernando López Aguilar, Nacho Sánchez Amor, Javier Moreno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erkennt die entscheidende Rolle an, die Hinweisgeber bei der Aufdeckung von Korruption und der Förderung der Transparenz sowohl im öffentlichen als auch im privaten Sektor spielen; betont, dass Hinweisgeber vor Vergeltungsmaßnahmen und Drangsalierung geschützt werden müssen; fordert die weitere Stärkung unabhängiger und autonomer Behörden für den Schutz von Hinweisgebern und ihre weitergehende Integration in umfassendere nationale Rahmen zur Korruptionsbekämpfung, damit für einen einheitlichen und soliden Ansatz der Korruptionsbekämpfung in allen Mitgliedstaaten gesorgt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286</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Abir Al-Sahlani, Alessandro Zan, Chloé Ridel, Fabienne Keller, Lucia Yar, Irena Joveva, Isabel Wiseler-Lima,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weist darauf hin, dass robuste nationale Rechtssysteme unerlässlich sind, da sich die Kommission bei der Durchsetzung des EU-Rechts auf die nationalen Justizbehörden stützt, und dass sie für die justizielle Zusammenarbeit in der gesamten EU und die Förderung des gegenseitigen Vertrauens von grundlegender Bedeutung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287</w:t>
      </w:r>
      <w:r>
        <w:rPr>
          <w:rStyle w:val="HideTWBExt"/>
        </w:rPr>
        <w:t>&lt;/NumAm&gt;</w:t>
      </w:r>
    </w:p>
    <w:p w:rsidR="00931B01" w:rsidRDefault="00931B01" w:rsidP="00931B01">
      <w:pPr>
        <w:pStyle w:val="NormalBold"/>
      </w:pPr>
      <w:r>
        <w:rPr>
          <w:rStyle w:val="HideTWBExt"/>
          <w:b w:val="0"/>
        </w:rPr>
        <w:t>&lt;RepeatBlock-By&gt;&lt;Members&gt;</w:t>
      </w:r>
      <w:r>
        <w:t>Alessandro Ciriani, Paolo Inselvini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7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7a.</w:t>
            </w:r>
            <w:r>
              <w:rPr>
                <w:b/>
                <w:i/>
              </w:rPr>
              <w:tab/>
              <w:t>weist darauf hin, dass die Kommission in mehreren Mitgliedstaaten festgestellt hat, dass es einen soliden Rechtsrahmen für den Mediensektor gibt, mit dem auch das wirksame Funktionieren einer unabhängigen Regulierungsbehörde gewährleistet ist;</w:t>
            </w:r>
          </w:p>
        </w:tc>
      </w:tr>
    </w:tbl>
    <w:p w:rsidR="00931B01" w:rsidRDefault="00931B01" w:rsidP="00931B01">
      <w:pPr>
        <w:pStyle w:val="AmOrLang"/>
      </w:pPr>
      <w:r>
        <w:t xml:space="preserve">Or. </w:t>
      </w:r>
      <w:r>
        <w:rPr>
          <w:rStyle w:val="HideTWBExt"/>
        </w:rPr>
        <w:t>&lt;Original&gt;</w:t>
      </w:r>
      <w:r>
        <w:rPr>
          <w:rStyle w:val="HideTWBInt"/>
        </w:rPr>
        <w:t>{IT}</w:t>
      </w:r>
      <w:r>
        <w:t>it</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288</w:t>
      </w:r>
      <w:r>
        <w:rPr>
          <w:rStyle w:val="HideTWBExt"/>
        </w:rPr>
        <w:t>&lt;/NumAm&gt;</w:t>
      </w:r>
    </w:p>
    <w:p w:rsidR="00931B01" w:rsidRDefault="00931B01" w:rsidP="00931B01">
      <w:pPr>
        <w:pStyle w:val="NormalBold"/>
      </w:pPr>
      <w:r>
        <w:rPr>
          <w:rStyle w:val="HideTWBExt"/>
          <w:b w:val="0"/>
        </w:rPr>
        <w:t>&lt;RepeatBlock-By&gt;&lt;Members&gt;</w:t>
      </w:r>
      <w:r>
        <w:t>Daniel Freund,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der europäischer</w:t>
            </w:r>
            <w:r>
              <w:t xml:space="preserve"> Rechtsakt über Medienfreiheit</w:t>
            </w:r>
            <w:r>
              <w:rPr>
                <w:b/>
                <w:i/>
              </w:rPr>
              <w:t>.</w:t>
            </w:r>
            <w:r>
              <w:t xml:space="preserve"> (EMFA)</w:t>
            </w:r>
            <w:r>
              <w:rPr>
                <w:vertAlign w:val="superscript"/>
              </w:rPr>
              <w:t>39</w:t>
            </w:r>
            <w:r>
              <w:t xml:space="preserve"> und fordert dessen rasche Umsetzung; fordert die Mitgliedstaaten auf, die Transparenz bei der Zuweisung staatlicher Werbung zu verbessern; fordert die Kommission auf, den Mitgliedstaaten die erforderliche Unterstützung für die Umsetzung des EMFA </w:t>
            </w:r>
            <w:r>
              <w:rPr>
                <w:b/>
                <w:i/>
              </w:rPr>
              <w:t>sicherzustellen</w:t>
            </w:r>
            <w:r>
              <w:t>;</w:t>
            </w:r>
          </w:p>
        </w:tc>
        <w:tc>
          <w:tcPr>
            <w:tcW w:w="4876" w:type="dxa"/>
            <w:tcBorders>
              <w:top w:val="nil"/>
              <w:left w:val="nil"/>
              <w:bottom w:val="nil"/>
              <w:right w:val="nil"/>
            </w:tcBorders>
          </w:tcPr>
          <w:p w:rsidR="00931B01" w:rsidRDefault="00931B01" w:rsidP="00104ED4">
            <w:pPr>
              <w:pStyle w:val="Normal6a"/>
            </w:pPr>
            <w:r>
              <w:t>8.</w:t>
            </w:r>
            <w:r>
              <w:tab/>
              <w:t xml:space="preserve">begrüßt Initiativen </w:t>
            </w:r>
            <w:r>
              <w:rPr>
                <w:b/>
                <w:i/>
              </w:rPr>
              <w:t xml:space="preserve">zur Förderung freier, unabhängiger und pluralistischer Medien und eines sicheren und förderlichen Umfelds für Journalisten </w:t>
            </w:r>
            <w:r>
              <w:t xml:space="preserve">wie </w:t>
            </w:r>
            <w:r>
              <w:rPr>
                <w:b/>
                <w:i/>
              </w:rPr>
              <w:t>den europäischen</w:t>
            </w:r>
            <w:r>
              <w:t xml:space="preserve"> Rechtsakt über Medienfreiheit (EMFA)</w:t>
            </w:r>
            <w:r>
              <w:rPr>
                <w:vertAlign w:val="superscript"/>
              </w:rPr>
              <w:t>39</w:t>
            </w:r>
            <w:r>
              <w:t xml:space="preserve"> und fordert dessen rasche Umsetzung; fordert die Mitgliedstaaten auf, die Transparenz bei der Zuweisung staatlicher Werbung zu verbessern</w:t>
            </w:r>
            <w:r>
              <w:rPr>
                <w:b/>
                <w:i/>
              </w:rPr>
              <w:t xml:space="preserve"> und den Empfehlungen der Empfehlung der Kommission vom 16. September 2021 zur Gewährleistung des Schutzes, der Sicherheit und der Handlungskompetenz von Journalisten und anderen Medienschaffenden in der Europäischen Union zu folgen</w:t>
            </w:r>
            <w:r>
              <w:t xml:space="preserve">; fordert die Kommission auf, den Mitgliedstaaten die erforderliche Unterstützung für die Umsetzung des EMFA </w:t>
            </w:r>
            <w:r>
              <w:rPr>
                <w:b/>
                <w:i/>
              </w:rPr>
              <w:t>und der Empfehlungen der Kommission zukommen zu lassen</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289</w:t>
      </w:r>
      <w:r>
        <w:rPr>
          <w:rStyle w:val="HideTWBExt"/>
        </w:rPr>
        <w:t>&lt;/NumAm&gt;</w:t>
      </w:r>
    </w:p>
    <w:p w:rsidR="00931B01" w:rsidRDefault="00931B01" w:rsidP="00931B01">
      <w:pPr>
        <w:pStyle w:val="NormalBold"/>
      </w:pPr>
      <w:r>
        <w:rPr>
          <w:rStyle w:val="HideTWBExt"/>
          <w:b w:val="0"/>
        </w:rPr>
        <w:t>&lt;RepeatBlock-By&gt;&lt;Members&gt;</w:t>
      </w:r>
      <w:r>
        <w:t>Juan Fernando López Aguilar, Nacho Sánchez Amor, Javier Moreno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der europäischer</w:t>
            </w:r>
            <w:r>
              <w:t xml:space="preserve"> Rechtsakt über Medienfreiheit. (EMFA)</w:t>
            </w:r>
            <w:r>
              <w:rPr>
                <w:vertAlign w:val="superscript"/>
              </w:rPr>
              <w:t>39</w:t>
            </w:r>
            <w:r>
              <w:rPr>
                <w:b/>
                <w:i/>
              </w:rPr>
              <w:t xml:space="preserve"> und</w:t>
            </w:r>
            <w:r>
              <w:t xml:space="preserve"> fordert dessen rasche Umsetzung; fordert die Mitgliedstaaten auf, die Transparenz bei der Zuweisung staatlicher Werbung zu verbessern; fordert die Kommission auf, den Mitgliedstaaten die erforderliche Unterstützung für die Umsetzung des EMFA sicherzustellen;</w:t>
            </w:r>
          </w:p>
        </w:tc>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den europäischen</w:t>
            </w:r>
            <w:r>
              <w:t xml:space="preserve"> Rechtsakt über Medienfreiheit. (EMFA)</w:t>
            </w:r>
            <w:r>
              <w:rPr>
                <w:vertAlign w:val="superscript"/>
              </w:rPr>
              <w:t>39</w:t>
            </w:r>
            <w:r>
              <w:rPr>
                <w:b/>
                <w:i/>
              </w:rPr>
              <w:t>;</w:t>
            </w:r>
            <w:r>
              <w:t xml:space="preserve"> fordert dessen rasche Umsetzung</w:t>
            </w:r>
            <w:r>
              <w:rPr>
                <w:b/>
                <w:i/>
              </w:rPr>
              <w:t xml:space="preserve"> und die Einführung von Kriterien, anhand welcher festgelegt wird, was ein Medienunternehmen im Gegensatz zu anderen Plattformen ist, die nicht der Information dienen</w:t>
            </w:r>
            <w:r>
              <w:t xml:space="preserve">; fordert die Mitgliedstaaten auf, die Transparenz bei der Zuweisung staatlicher Werbung zu verbessern; fordert die Kommission auf, den Mitgliedstaaten die erforderliche Unterstützung für die Umsetzung des EMFA sicherzustellen; </w:t>
            </w:r>
            <w:r>
              <w:rPr>
                <w:b/>
                <w:i/>
              </w:rPr>
              <w:t>begrüßt Initiativen auf nationaler Ebene zur Einrichtung eines Medienregisters, das öffentliche Informationen über Eigentumsverhältnisse und Werbeinvestitionen enthält, damit für Transparenz, Unparteilichkeit und Überprüfbarkeit gesorgt wird;</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290</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r>
            <w:r>
              <w:rPr>
                <w:b/>
                <w:i/>
              </w:rPr>
              <w:t>begrüßt</w:t>
            </w:r>
            <w:r>
              <w:t xml:space="preserve"> Initiativen wie </w:t>
            </w:r>
            <w:r>
              <w:rPr>
                <w:b/>
                <w:i/>
              </w:rPr>
              <w:t>der europäischer</w:t>
            </w:r>
            <w:r>
              <w:t xml:space="preserve"> Rechtsakt über Medienfreiheit. (EMFA)</w:t>
            </w:r>
            <w:r>
              <w:rPr>
                <w:vertAlign w:val="superscript"/>
              </w:rPr>
              <w:t>39</w:t>
            </w:r>
            <w:r>
              <w:t xml:space="preserve"> </w:t>
            </w:r>
            <w:r>
              <w:rPr>
                <w:b/>
                <w:i/>
              </w:rPr>
              <w:t>und fordert dessen rasche Umsetzung;</w:t>
            </w:r>
            <w:r>
              <w:t xml:space="preserve"> </w:t>
            </w:r>
            <w:r>
              <w:rPr>
                <w:b/>
                <w:i/>
              </w:rPr>
              <w:t>fordert die Mitgliedstaaten auf, die Transparenz bei der Zuweisung staatlicher Werbung zu verbessern; fordert die Kommission auf, den Mitgliedstaaten die erforderliche Unterstützung für die Umsetzung des EMFA sicherzustellen;</w:t>
            </w:r>
          </w:p>
        </w:tc>
        <w:tc>
          <w:tcPr>
            <w:tcW w:w="4876" w:type="dxa"/>
            <w:tcBorders>
              <w:top w:val="nil"/>
              <w:left w:val="nil"/>
              <w:bottom w:val="nil"/>
              <w:right w:val="nil"/>
            </w:tcBorders>
          </w:tcPr>
          <w:p w:rsidR="00931B01" w:rsidRDefault="00931B01" w:rsidP="00104ED4">
            <w:pPr>
              <w:pStyle w:val="Normal6a"/>
            </w:pPr>
            <w:r>
              <w:t>8.</w:t>
            </w:r>
            <w:r>
              <w:tab/>
            </w:r>
            <w:r>
              <w:rPr>
                <w:b/>
                <w:i/>
              </w:rPr>
              <w:t>nimmt</w:t>
            </w:r>
            <w:r>
              <w:t xml:space="preserve"> Initiativen wie </w:t>
            </w:r>
            <w:r>
              <w:rPr>
                <w:b/>
                <w:i/>
              </w:rPr>
              <w:t>den europäischen</w:t>
            </w:r>
            <w:r>
              <w:t xml:space="preserve"> Rechtsakt über Medienfreiheit. (EMFA)</w:t>
            </w:r>
            <w:r>
              <w:rPr>
                <w:vertAlign w:val="superscript"/>
              </w:rPr>
              <w:t>39</w:t>
            </w:r>
            <w:r>
              <w:t xml:space="preserve"> </w:t>
            </w:r>
            <w:r>
              <w:rPr>
                <w:b/>
                <w:i/>
              </w:rPr>
              <w:t>zur Kenntnis</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291</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Alessandro Zan, Fabienne Keller, Lucia Yar, Isabel Wiseler-Lima,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der europäischer</w:t>
            </w:r>
            <w:r>
              <w:t xml:space="preserve"> Rechtsakt über Medienfreiheit. (EMFA)</w:t>
            </w:r>
            <w:r>
              <w:rPr>
                <w:vertAlign w:val="superscript"/>
              </w:rPr>
              <w:t>39</w:t>
            </w:r>
            <w:r>
              <w:t xml:space="preserve"> und fordert dessen rasche Umsetzung; fordert die Mitgliedstaaten auf, die Transparenz bei der Zuweisung staatlicher Werbung zu verbessern; fordert die Kommission auf, den Mitgliedstaaten die erforderliche Unterstützung für die Umsetzung des EMFA sicherzustellen;</w:t>
            </w:r>
          </w:p>
        </w:tc>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den europäischen</w:t>
            </w:r>
            <w:r>
              <w:t xml:space="preserve"> Rechtsakt über Medienfreiheit. (EMFA)</w:t>
            </w:r>
            <w:r>
              <w:rPr>
                <w:vertAlign w:val="superscript"/>
              </w:rPr>
              <w:t>39</w:t>
            </w:r>
            <w:r>
              <w:t xml:space="preserve"> und fordert dessen rasche Umsetzung; fordert die Mitgliedstaaten auf, die Transparenz bei der Zuweisung staatlicher Werbung zu verbessern</w:t>
            </w:r>
            <w:r>
              <w:rPr>
                <w:b/>
                <w:i/>
              </w:rPr>
              <w:t>;</w:t>
            </w:r>
            <w:r>
              <w:t xml:space="preserve"> </w:t>
            </w:r>
            <w:r>
              <w:rPr>
                <w:b/>
                <w:i/>
              </w:rPr>
              <w:t>fordert die Mitgliedstaaten auf, eigens Bestimmungen über die Transparenz der Eigentumsverhältnisse im Medienbereich und die unabhängige Funktionsweise der öffentlich-rechtlichen Medien einzuführen</w:t>
            </w:r>
            <w:r>
              <w:t>;</w:t>
            </w:r>
            <w:r>
              <w:rPr>
                <w:b/>
                <w:i/>
              </w:rPr>
              <w:t xml:space="preserve"> </w:t>
            </w:r>
            <w:r>
              <w:t>fordert die Kommission auf, den Mitgliedstaaten die erforderliche Unterstützung für die Umsetzung des EMFA sicherzustellen;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292</w:t>
      </w:r>
      <w:r>
        <w:rPr>
          <w:rStyle w:val="HideTWBExt"/>
        </w:rPr>
        <w:t>&lt;/NumAm&gt;</w:t>
      </w:r>
    </w:p>
    <w:p w:rsidR="00931B01" w:rsidRDefault="00931B01" w:rsidP="00931B01">
      <w:pPr>
        <w:pStyle w:val="NormalBold"/>
      </w:pPr>
      <w:r>
        <w:rPr>
          <w:rStyle w:val="HideTWBExt"/>
          <w:b w:val="0"/>
        </w:rPr>
        <w:t>&lt;RepeatBlock-By&gt;&lt;Members&gt;</w:t>
      </w:r>
      <w:r>
        <w:t>Romana Tomc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der europäischer</w:t>
            </w:r>
            <w:r>
              <w:t xml:space="preserve"> Rechtsakt über Medienfreiheit. (EMFA)</w:t>
            </w:r>
            <w:r>
              <w:rPr>
                <w:vertAlign w:val="superscript"/>
              </w:rPr>
              <w:t>39</w:t>
            </w:r>
            <w:r>
              <w:t xml:space="preserve"> und fordert dessen rasche Umsetzung; fordert die Mitgliedstaaten auf, die Transparenz bei der Zuweisung staatlicher Werbung zu verbessern; fordert die Kommission auf, den Mitgliedstaaten die erforderliche Unterstützung für die Umsetzung des EMFA sicherzustellen;</w:t>
            </w:r>
          </w:p>
        </w:tc>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den europäischen</w:t>
            </w:r>
            <w:r>
              <w:t xml:space="preserve"> Rechtsakt über Medienfreiheit. (EMFA)</w:t>
            </w:r>
            <w:r>
              <w:rPr>
                <w:vertAlign w:val="superscript"/>
              </w:rPr>
              <w:t>39</w:t>
            </w:r>
            <w:r>
              <w:t xml:space="preserve"> und fordert dessen rasche Umsetzung; fordert die Mitgliedstaaten auf, die Transparenz bei der Zuweisung staatlicher Werbung zu verbessern; fordert die Kommission auf, den Mitgliedstaaten die erforderliche Unterstützung für die Umsetzung des EMFA sicherzustellen; </w:t>
            </w:r>
            <w:r>
              <w:rPr>
                <w:b/>
                <w:i/>
              </w:rPr>
              <w:t>fordert die Mitgliedstaaten auf, vor der Umsetzung des EMFA in ihre Rechtsvorschriften von der Annahme nationaler Rechtsvorschriften abzusehen;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293</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r>
            <w:r>
              <w:rPr>
                <w:b/>
                <w:i/>
              </w:rPr>
              <w:t>begrüßt</w:t>
            </w:r>
            <w:r>
              <w:t xml:space="preserve"> Initiativen wie </w:t>
            </w:r>
            <w:r>
              <w:rPr>
                <w:b/>
                <w:i/>
              </w:rPr>
              <w:t>der europäischer</w:t>
            </w:r>
            <w:r>
              <w:t xml:space="preserve"> Rechtsakt über Medienfreiheit. (EMFA)</w:t>
            </w:r>
            <w:r>
              <w:rPr>
                <w:vertAlign w:val="superscript"/>
              </w:rPr>
              <w:t>39</w:t>
            </w:r>
            <w:r>
              <w:rPr>
                <w:b/>
                <w:i/>
              </w:rPr>
              <w:t xml:space="preserve"> und fordert dessen rasche Umsetzung; fordert die Mitgliedstaaten auf</w:t>
            </w:r>
            <w:r>
              <w:t xml:space="preserve">, </w:t>
            </w:r>
            <w:r>
              <w:rPr>
                <w:b/>
                <w:i/>
              </w:rPr>
              <w:t xml:space="preserve">die Transparenz bei </w:t>
            </w:r>
            <w:r>
              <w:t xml:space="preserve">der </w:t>
            </w:r>
            <w:r>
              <w:rPr>
                <w:b/>
                <w:i/>
              </w:rPr>
              <w:t>Zuweisung staatlicher Werbung zu verbessern; fordert die Kommission auf</w:t>
            </w:r>
            <w:r>
              <w:t xml:space="preserve">, </w:t>
            </w:r>
            <w:r>
              <w:rPr>
                <w:b/>
                <w:i/>
              </w:rPr>
              <w:t>den Mitgliedstaaten die erforderliche Unterstützung für</w:t>
            </w:r>
            <w:r>
              <w:t xml:space="preserve"> die </w:t>
            </w:r>
            <w:r>
              <w:rPr>
                <w:b/>
                <w:i/>
              </w:rPr>
              <w:t>Umsetzung des EMFA sicherzustellen</w:t>
            </w:r>
            <w:r>
              <w:t>;</w:t>
            </w:r>
          </w:p>
        </w:tc>
        <w:tc>
          <w:tcPr>
            <w:tcW w:w="4876" w:type="dxa"/>
            <w:tcBorders>
              <w:top w:val="nil"/>
              <w:left w:val="nil"/>
              <w:bottom w:val="nil"/>
              <w:right w:val="nil"/>
            </w:tcBorders>
          </w:tcPr>
          <w:p w:rsidR="00931B01" w:rsidRDefault="00931B01" w:rsidP="00104ED4">
            <w:pPr>
              <w:pStyle w:val="Normal6a"/>
            </w:pPr>
            <w:r>
              <w:t>8.</w:t>
            </w:r>
            <w:r>
              <w:tab/>
            </w:r>
            <w:r>
              <w:rPr>
                <w:b/>
                <w:i/>
              </w:rPr>
              <w:t>ist besorgt über</w:t>
            </w:r>
            <w:r>
              <w:t xml:space="preserve"> Initiativen wie </w:t>
            </w:r>
            <w:r>
              <w:rPr>
                <w:b/>
                <w:i/>
              </w:rPr>
              <w:t>den europäischen</w:t>
            </w:r>
            <w:r>
              <w:t xml:space="preserve"> Rechtsakt über Medienfreiheit. (EMFA)</w:t>
            </w:r>
            <w:r>
              <w:rPr>
                <w:vertAlign w:val="superscript"/>
              </w:rPr>
              <w:t>39</w:t>
            </w:r>
            <w:r>
              <w:t xml:space="preserve">, der </w:t>
            </w:r>
            <w:r>
              <w:rPr>
                <w:b/>
                <w:i/>
              </w:rPr>
              <w:t>ein weiterer Versuch der Brüsseler Elite ist</w:t>
            </w:r>
            <w:r>
              <w:t xml:space="preserve">, </w:t>
            </w:r>
            <w:r>
              <w:rPr>
                <w:b/>
                <w:i/>
              </w:rPr>
              <w:t>gegnerische Stimmen zu zensieren und in</w:t>
            </w:r>
            <w:r>
              <w:t xml:space="preserve"> die </w:t>
            </w:r>
            <w:r>
              <w:rPr>
                <w:b/>
                <w:i/>
              </w:rPr>
              <w:t>Souveränität der Mitgliedstaaten einzugreifen</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294</w:t>
      </w:r>
      <w:r>
        <w:rPr>
          <w:rStyle w:val="HideTWBExt"/>
        </w:rPr>
        <w:t>&lt;/NumAm&gt;</w:t>
      </w:r>
    </w:p>
    <w:p w:rsidR="00931B01" w:rsidRDefault="00931B01" w:rsidP="00931B01">
      <w:pPr>
        <w:pStyle w:val="NormalBold"/>
      </w:pPr>
      <w:r>
        <w:rPr>
          <w:rStyle w:val="HideTWBExt"/>
          <w:b w:val="0"/>
        </w:rPr>
        <w:t>&lt;RepeatBlock-By&gt;&lt;Members&gt;</w:t>
      </w:r>
      <w:r>
        <w:t>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der europäischer</w:t>
            </w:r>
            <w:r>
              <w:t xml:space="preserve"> Rechtsakt über Medienfreiheit. (EMFA)</w:t>
            </w:r>
            <w:r>
              <w:rPr>
                <w:vertAlign w:val="superscript"/>
              </w:rPr>
              <w:t>39</w:t>
            </w:r>
            <w:r>
              <w:t xml:space="preserve"> und fordert dessen rasche Umsetzung; fordert die Mitgliedstaaten auf, die Transparenz bei der Zuweisung staatlicher Werbung zu verbessern; </w:t>
            </w:r>
            <w:r>
              <w:rPr>
                <w:b/>
                <w:i/>
              </w:rPr>
              <w:t>fordert die Kommission auf</w:t>
            </w:r>
            <w:r>
              <w:t xml:space="preserve">, </w:t>
            </w:r>
            <w:r>
              <w:rPr>
                <w:b/>
                <w:i/>
              </w:rPr>
              <w:t>den Mitgliedstaaten die erforderliche Unterstützung</w:t>
            </w:r>
            <w:r>
              <w:t xml:space="preserve"> für </w:t>
            </w:r>
            <w:r>
              <w:rPr>
                <w:b/>
                <w:i/>
              </w:rPr>
              <w:t>die Umsetzung des EMFA sicherzustellen</w:t>
            </w:r>
            <w:r>
              <w:t>;</w:t>
            </w:r>
          </w:p>
        </w:tc>
        <w:tc>
          <w:tcPr>
            <w:tcW w:w="4876" w:type="dxa"/>
            <w:tcBorders>
              <w:top w:val="nil"/>
              <w:left w:val="nil"/>
              <w:bottom w:val="nil"/>
              <w:right w:val="nil"/>
            </w:tcBorders>
          </w:tcPr>
          <w:p w:rsidR="00931B01" w:rsidRDefault="00931B01" w:rsidP="00104ED4">
            <w:pPr>
              <w:pStyle w:val="Normal6a"/>
            </w:pPr>
            <w:r>
              <w:t>8.</w:t>
            </w:r>
            <w:r>
              <w:tab/>
              <w:t>begrüßt Initiativen wie den europäischen Rechtsakt über Medienfreiheit. (EMFA)</w:t>
            </w:r>
            <w:r>
              <w:rPr>
                <w:vertAlign w:val="superscript"/>
              </w:rPr>
              <w:t>39</w:t>
            </w:r>
            <w:r>
              <w:t xml:space="preserve"> und fordert dessen rasche Umsetzung; fordert die Mitgliedstaaten auf, die Transparenz bei der Zuweisung staatlicher Werbung zu verbessern; </w:t>
            </w:r>
            <w:r>
              <w:rPr>
                <w:b/>
                <w:i/>
              </w:rPr>
              <w:t>empfiehlt den nationalen Behörden</w:t>
            </w:r>
            <w:r>
              <w:t xml:space="preserve">, </w:t>
            </w:r>
            <w:r>
              <w:rPr>
                <w:b/>
                <w:i/>
              </w:rPr>
              <w:t>diese Ressourcen in vollem Umfang zu nutzen, um</w:t>
            </w:r>
            <w:r>
              <w:t xml:space="preserve"> für </w:t>
            </w:r>
            <w:r>
              <w:rPr>
                <w:b/>
                <w:i/>
              </w:rPr>
              <w:t>eine rechtlich solide, kohärente und wirksame Umsetzung zu sorgen</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295</w:t>
      </w:r>
      <w:r>
        <w:rPr>
          <w:rStyle w:val="HideTWBExt"/>
        </w:rPr>
        <w:t>&lt;/NumAm&gt;</w:t>
      </w:r>
    </w:p>
    <w:p w:rsidR="00931B01" w:rsidRDefault="00931B01" w:rsidP="00931B01">
      <w:pPr>
        <w:pStyle w:val="NormalBold"/>
      </w:pPr>
      <w:r>
        <w:rPr>
          <w:rStyle w:val="HideTWBExt"/>
          <w:b w:val="0"/>
        </w:rPr>
        <w:t>&lt;RepeatBlock-By&gt;&lt;Members&gt;</w:t>
      </w:r>
      <w:r>
        <w:t>Jorge Buxadé Villalba,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r>
            <w:r>
              <w:rPr>
                <w:b/>
                <w:i/>
              </w:rPr>
              <w:t>begrüßt</w:t>
            </w:r>
            <w:r>
              <w:t xml:space="preserve"> Initiativen wie </w:t>
            </w:r>
            <w:r>
              <w:rPr>
                <w:b/>
                <w:i/>
              </w:rPr>
              <w:t>der europäischer</w:t>
            </w:r>
            <w:r>
              <w:t xml:space="preserve"> Rechtsakt über Medienfreiheit</w:t>
            </w:r>
            <w:r>
              <w:rPr>
                <w:b/>
                <w:i/>
              </w:rPr>
              <w:t>.</w:t>
            </w:r>
            <w:r>
              <w:t xml:space="preserve"> (EMFA)</w:t>
            </w:r>
            <w:r>
              <w:rPr>
                <w:vertAlign w:val="superscript"/>
              </w:rPr>
              <w:t>39</w:t>
            </w:r>
            <w:r>
              <w:t xml:space="preserve"> und </w:t>
            </w:r>
            <w:r>
              <w:rPr>
                <w:b/>
                <w:i/>
              </w:rPr>
              <w:t>fordert dessen rasche Umsetzung</w:t>
            </w:r>
            <w:r>
              <w:t xml:space="preserve">; fordert die Mitgliedstaaten auf, die Transparenz bei der Zuweisung staatlicher Werbung zu verbessern; fordert die Kommission auf, </w:t>
            </w:r>
            <w:r>
              <w:rPr>
                <w:b/>
                <w:i/>
              </w:rPr>
              <w:t>den Mitgliedstaaten die erforderliche Unterstützung für die Umsetzung des EMFA sicherzustellen</w:t>
            </w:r>
            <w:r>
              <w:t>;</w:t>
            </w:r>
          </w:p>
        </w:tc>
        <w:tc>
          <w:tcPr>
            <w:tcW w:w="4876" w:type="dxa"/>
            <w:tcBorders>
              <w:top w:val="nil"/>
              <w:left w:val="nil"/>
              <w:bottom w:val="nil"/>
              <w:right w:val="nil"/>
            </w:tcBorders>
          </w:tcPr>
          <w:p w:rsidR="00931B01" w:rsidRDefault="00931B01" w:rsidP="00104ED4">
            <w:pPr>
              <w:pStyle w:val="Normal6a"/>
            </w:pPr>
            <w:r>
              <w:t>8.</w:t>
            </w:r>
            <w:r>
              <w:tab/>
            </w:r>
            <w:r>
              <w:rPr>
                <w:b/>
                <w:i/>
              </w:rPr>
              <w:t>stellt fest, dass</w:t>
            </w:r>
            <w:r>
              <w:t xml:space="preserve"> Initiativen wie </w:t>
            </w:r>
            <w:r>
              <w:rPr>
                <w:b/>
                <w:i/>
              </w:rPr>
              <w:t>den europäischen</w:t>
            </w:r>
            <w:r>
              <w:t xml:space="preserve"> Rechtsakt über Medienfreiheit (EMFA)</w:t>
            </w:r>
            <w:r>
              <w:rPr>
                <w:vertAlign w:val="superscript"/>
              </w:rPr>
              <w:t>39</w:t>
            </w:r>
            <w:r>
              <w:t xml:space="preserve"> </w:t>
            </w:r>
            <w:r>
              <w:rPr>
                <w:b/>
                <w:i/>
              </w:rPr>
              <w:t xml:space="preserve">kein angemessenes Schutzniveau für das Recht auf Information </w:t>
            </w:r>
            <w:r>
              <w:t xml:space="preserve">und </w:t>
            </w:r>
            <w:r>
              <w:rPr>
                <w:b/>
                <w:i/>
              </w:rPr>
              <w:t>das Recht auf freie Meinungsäußerung bieten</w:t>
            </w:r>
            <w:r>
              <w:t xml:space="preserve">; fordert die Mitgliedstaaten auf, die Transparenz </w:t>
            </w:r>
            <w:r>
              <w:rPr>
                <w:b/>
                <w:i/>
              </w:rPr>
              <w:t xml:space="preserve">und Fairness </w:t>
            </w:r>
            <w:r>
              <w:t xml:space="preserve">bei der Zuweisung staatlicher Werbung zu verbessern; fordert die Kommission auf, </w:t>
            </w:r>
            <w:r>
              <w:rPr>
                <w:b/>
                <w:i/>
              </w:rPr>
              <w:t>Vorschläge vorzulegen, wie diese Probleme angemessen angegangen werden können</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296</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der europäischer</w:t>
            </w:r>
            <w:r>
              <w:t xml:space="preserve"> Rechtsakt über Medienfreiheit. (EMFA)</w:t>
            </w:r>
            <w:r>
              <w:rPr>
                <w:vertAlign w:val="superscript"/>
              </w:rPr>
              <w:t>39</w:t>
            </w:r>
            <w:r>
              <w:t xml:space="preserve"> und fordert dessen rasche Umsetzung; fordert die Mitgliedstaaten auf, die Transparenz bei der Zuweisung staatlicher Werbung zu verbessern; fordert die Kommission auf, den Mitgliedstaaten die erforderliche Unterstützung für die Umsetzung des EMFA </w:t>
            </w:r>
            <w:r>
              <w:rPr>
                <w:b/>
                <w:i/>
              </w:rPr>
              <w:t>sicherzustellen</w:t>
            </w:r>
            <w:r>
              <w:t>;</w:t>
            </w:r>
          </w:p>
        </w:tc>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den europäischen</w:t>
            </w:r>
            <w:r>
              <w:t xml:space="preserve"> Rechtsakt über Medienfreiheit. (EMFA)</w:t>
            </w:r>
            <w:r>
              <w:rPr>
                <w:vertAlign w:val="superscript"/>
              </w:rPr>
              <w:t>39</w:t>
            </w:r>
            <w:r>
              <w:t xml:space="preserve"> und fordert dessen rasche Umsetzung; fordert die Mitgliedstaaten auf, die Transparenz bei der Zuweisung staatlicher Werbung zu verbessern; fordert die Kommission auf, den Mitgliedstaaten die erforderliche Unterstützung für die Umsetzung des EMFA </w:t>
            </w:r>
            <w:r>
              <w:rPr>
                <w:b/>
                <w:i/>
              </w:rPr>
              <w:t>zukommen zu lassen und diese Umsetzung zu überwachen</w:t>
            </w:r>
            <w:r>
              <w: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297</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8.</w:t>
            </w:r>
            <w:r>
              <w:tab/>
              <w:t xml:space="preserve">begrüßt Initiativen wie </w:t>
            </w:r>
            <w:r>
              <w:rPr>
                <w:b/>
                <w:i/>
              </w:rPr>
              <w:t>der europäischer</w:t>
            </w:r>
            <w:r>
              <w:t xml:space="preserve"> Rechtsakt über Medienfreiheit. (EMFA)</w:t>
            </w:r>
            <w:r>
              <w:rPr>
                <w:vertAlign w:val="superscript"/>
              </w:rPr>
              <w:t>39</w:t>
            </w:r>
            <w:r>
              <w:t xml:space="preserve"> und fordert dessen rasche Umsetzung; fordert die Mitgliedstaaten auf, die Transparenz bei der Zuweisung staatlicher Werbung zu verbessern; fordert die Kommission auf, den Mitgliedstaaten die erforderliche Unterstützung für die Umsetzung des EMFA sicherzustellen;</w:t>
            </w:r>
          </w:p>
        </w:tc>
        <w:tc>
          <w:tcPr>
            <w:tcW w:w="4876" w:type="dxa"/>
            <w:tcBorders>
              <w:top w:val="nil"/>
              <w:left w:val="nil"/>
              <w:bottom w:val="nil"/>
              <w:right w:val="nil"/>
            </w:tcBorders>
          </w:tcPr>
          <w:p w:rsidR="00931B01" w:rsidRDefault="00931B01" w:rsidP="00104ED4">
            <w:pPr>
              <w:pStyle w:val="Normal6a"/>
            </w:pPr>
            <w:r>
              <w:t>8.</w:t>
            </w:r>
            <w:r>
              <w:tab/>
              <w:t>begrüßt Initiativen wie den europäischen Rechtsakt über Medienfreiheit. (EMFA)</w:t>
            </w:r>
            <w:r>
              <w:rPr>
                <w:vertAlign w:val="superscript"/>
              </w:rPr>
              <w:t>39</w:t>
            </w:r>
            <w:r>
              <w:t xml:space="preserve"> und fordert dessen rasche Umsetzung; fordert die Mitgliedstaaten auf, die Transparenz bei der Zuweisung staatlicher Werbung</w:t>
            </w:r>
            <w:r>
              <w:rPr>
                <w:b/>
                <w:i/>
              </w:rPr>
              <w:t xml:space="preserve"> im realen und digitalen Raum</w:t>
            </w:r>
            <w:r>
              <w:t xml:space="preserve"> zu verbessern; fordert die Kommission auf, den Mitgliedstaaten die erforderliche Unterstützung für die Umsetzung des EMFA sicherzustellen;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c>
          <w:tcPr>
            <w:tcW w:w="4876" w:type="dxa"/>
            <w:tcBorders>
              <w:top w:val="nil"/>
              <w:left w:val="nil"/>
              <w:bottom w:val="nil"/>
              <w:right w:val="nil"/>
            </w:tcBorders>
          </w:tcPr>
          <w:p w:rsidR="00931B01" w:rsidRDefault="00931B01" w:rsidP="00104ED4">
            <w:pPr>
              <w:pStyle w:val="Normal6a"/>
            </w:pPr>
            <w:r>
              <w:rPr>
                <w:vertAlign w:val="superscript"/>
              </w:rPr>
              <w:t>39</w:t>
            </w:r>
            <w:r>
              <w:t xml:space="preserve"> Verordnung (EU) 2024/1083 des Europäischen Parlaments und des Rates vom 11. April 2024 zur Schaffung eines gemeinsamen Rahmens für Mediendienste im Binnenmarkt und zur Änderung der Richtlinie 2010/13/EU (Europäisches Medienfreiheitsgesetz) (ABl. L, 2024/1083, 17.4.2024, ELI: http://data.europa.eu/eli/reg/2024/1083/oj). </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298</w:t>
      </w:r>
      <w:r>
        <w:rPr>
          <w:rStyle w:val="HideTWBExt"/>
        </w:rPr>
        <w:t>&lt;/NumAm&gt;</w:t>
      </w:r>
    </w:p>
    <w:p w:rsidR="00931B01" w:rsidRDefault="00931B01" w:rsidP="00931B01">
      <w:pPr>
        <w:pStyle w:val="NormalBold"/>
      </w:pPr>
      <w:r>
        <w:rPr>
          <w:rStyle w:val="HideTWBExt"/>
          <w:b w:val="0"/>
        </w:rPr>
        <w:t>&lt;RepeatBlock-By&gt;&lt;Members&gt;</w:t>
      </w:r>
      <w:r>
        <w:t>Giuseppe Antoci, 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8a.</w:t>
            </w:r>
            <w:r>
              <w:rPr>
                <w:b/>
                <w:i/>
              </w:rPr>
              <w:tab/>
              <w:t>ist der Ansicht, dass mit den Gesetzgebungsinitiativen der italienischen Regierung zur Reform der Strafprozessordnung, die den Zugang von Journalisten zu Gerichtsdokumenten und Abhörmaßnahmen betreffen, die Medienfreiheit untergraben und die Informationsfreiheit ungebührlich eingeschränkt wird; verurteilt die willkürlich weite Auslegung der Richtlinie (EU) 2016/343 durch die italienische Regierung zur Rechtfertigung der Reformen; stellt fest, dass die Kommission dieses Problem im Länderkapitel zu Italien angesprochen hat; fordert die Kommission auf, die Auswirkungen des Gesetzes auf die Meinungs- und Informationsfreiheit in Italien, was durch Artikel 11 der Charta der Grundrechte der Europäischen Union geschützte Werte sind, genau zu überwachen;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299</w:t>
      </w:r>
      <w:r>
        <w:rPr>
          <w:rStyle w:val="HideTWBExt"/>
        </w:rPr>
        <w:t>&lt;/NumAm&gt;</w:t>
      </w:r>
    </w:p>
    <w:p w:rsidR="00931B01" w:rsidRDefault="00931B01" w:rsidP="00931B01">
      <w:pPr>
        <w:pStyle w:val="NormalBold"/>
      </w:pPr>
      <w:r>
        <w:rPr>
          <w:rStyle w:val="HideTWBExt"/>
          <w:b w:val="0"/>
        </w:rPr>
        <w:t>&lt;RepeatBlock-By&gt;&lt;Members&gt;</w:t>
      </w:r>
      <w:r>
        <w:t>Juan Fernando López Aguilar, Nacho Sánchez Amor, Javier Moreno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8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8a.</w:t>
            </w:r>
            <w:r>
              <w:rPr>
                <w:b/>
                <w:i/>
              </w:rPr>
              <w:tab/>
              <w:t>nimmt zur Kenntnis, dass die Bürger Anzeichen einer Erosion der Demokratie wahrnehmen, was durch Fehlinformationen und Desinformation begünstigt wird, und dass die Verbreitung falscher Informationen über Social Media zur Aushöhlung der europäischen Idee der Rechtsstaatlichkeit, der Grundrechte und der Werte führen könnte;</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300</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9.</w:t>
            </w:r>
            <w:r>
              <w:tab/>
              <w:t xml:space="preserve">fordert die Mitgliedstaaten auf, die </w:t>
            </w:r>
            <w:r>
              <w:rPr>
                <w:b/>
                <w:i/>
              </w:rPr>
              <w:t>Anti-SLAPP-Richtlinie („strategische Klagen</w:t>
            </w:r>
            <w:r>
              <w:t xml:space="preserve"> gegen </w:t>
            </w:r>
            <w:r>
              <w:rPr>
                <w:b/>
                <w:i/>
              </w:rPr>
              <w:t>öffentliche Beteiligung“)</w:t>
            </w:r>
            <w:r>
              <w:rPr>
                <w:b/>
                <w:i/>
                <w:vertAlign w:val="superscript"/>
              </w:rPr>
              <w:t>40</w:t>
            </w:r>
            <w:r>
              <w:rPr>
                <w:b/>
                <w:i/>
              </w:rPr>
              <w:t xml:space="preserve"> und die Empfehlung (EU) 2022/758 der Kommission vom 27. April 2022 zum Schutz von Journalisten und Menschenrechtsverteidigern, die sich öffentlich beteiligen, vor offenkundig unbegründeten oder missbräuchlichen Gerichtsverfahren</w:t>
            </w:r>
            <w:r>
              <w:t xml:space="preserve"> („strategische Klagen gegen öffentliche Beteiligung“)</w:t>
            </w:r>
            <w:r>
              <w:rPr>
                <w:b/>
                <w:i/>
                <w:vertAlign w:val="superscript"/>
              </w:rPr>
              <w:t>41</w:t>
            </w:r>
            <w:r>
              <w:t xml:space="preserve"> vollständig umzusetzen</w:t>
            </w:r>
            <w:r>
              <w:rPr>
                <w:b/>
                <w:i/>
              </w:rPr>
              <w:t xml:space="preserve"> und umfassende nationale Anti-SLAPP-Maßnahmen zu ergreifen, um Journalisten zu schützen und diejenigen zu unterstützen, die mit Risiken konfrontiert sind</w:t>
            </w:r>
            <w:r>
              <w:t>;</w:t>
            </w:r>
          </w:p>
        </w:tc>
        <w:tc>
          <w:tcPr>
            <w:tcW w:w="4876" w:type="dxa"/>
            <w:tcBorders>
              <w:top w:val="nil"/>
              <w:left w:val="nil"/>
              <w:bottom w:val="nil"/>
              <w:right w:val="nil"/>
            </w:tcBorders>
          </w:tcPr>
          <w:p w:rsidR="00931B01" w:rsidRDefault="00931B01" w:rsidP="00104ED4">
            <w:pPr>
              <w:pStyle w:val="Normal6a"/>
            </w:pPr>
            <w:r>
              <w:t>9.</w:t>
            </w:r>
            <w:r>
              <w:tab/>
              <w:t xml:space="preserve">fordert die Mitgliedstaaten auf, die </w:t>
            </w:r>
            <w:r>
              <w:rPr>
                <w:b/>
                <w:i/>
              </w:rPr>
              <w:t>Richtlinie</w:t>
            </w:r>
            <w:r>
              <w:t xml:space="preserve"> gegen </w:t>
            </w:r>
            <w:r>
              <w:rPr>
                <w:b/>
                <w:i/>
              </w:rPr>
              <w:t xml:space="preserve">SLAPP-Klagen </w:t>
            </w:r>
            <w:r>
              <w:t xml:space="preserve"> („strategische Klagen gegen öffentliche Beteiligung“)</w:t>
            </w:r>
            <w:r>
              <w:rPr>
                <w:b/>
                <w:i/>
                <w:vertAlign w:val="superscript"/>
              </w:rPr>
              <w:t>40</w:t>
            </w:r>
            <w:r>
              <w:t xml:space="preserve"> vollständig umzusetzen;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40</w:t>
            </w:r>
            <w:r>
              <w:t xml:space="preserve"> Richtlinie (EU) 2024/1069 des Europäischen Parlaments und des Rates vom 11. April 2024 über den Schutz von Personen, die sich öffentlich beteiligen, vor offensichtlich unbegründeten Klagen oder missbräuchlichen Gerichtsverfahren („strategische Klagen gegen öffentliche Beteiligung“) (ABl. L, 2024/1069, 16.4.2024, ELI: http://data.europa.eu/eli/dir/2024/1069/oj).</w:t>
            </w:r>
            <w:r>
              <w:rPr>
                <w:b/>
                <w:i/>
              </w:rPr>
              <w:t xml:space="preserve"> </w:t>
            </w:r>
          </w:p>
        </w:tc>
        <w:tc>
          <w:tcPr>
            <w:tcW w:w="4876" w:type="dxa"/>
            <w:tcBorders>
              <w:top w:val="nil"/>
              <w:left w:val="nil"/>
              <w:bottom w:val="nil"/>
              <w:right w:val="nil"/>
            </w:tcBorders>
          </w:tcPr>
          <w:p w:rsidR="00931B01" w:rsidRDefault="00931B01" w:rsidP="00104ED4">
            <w:pPr>
              <w:pStyle w:val="Normal6a"/>
            </w:pPr>
            <w:r>
              <w:rPr>
                <w:vertAlign w:val="superscript"/>
              </w:rPr>
              <w:t>40</w:t>
            </w:r>
            <w:r>
              <w:t xml:space="preserve"> Richtlinie (EU) 2024/1069 des Europäischen Parlaments und des Rates vom 11. April 2024 über den Schutz von Personen, die sich öffentlich beteiligen, vor offensichtlich unbegründeten Klagen oder missbräuchlichen Gerichtsverfahren („strategische Klagen gegen öffentliche Beteiligung“) (ABl. L, 2024/1069, 16.4.2024, ELI: http://data.europa.eu/eli/dir/2024/1069/oj).</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vertAlign w:val="superscript"/>
              </w:rPr>
              <w:t>41</w:t>
            </w:r>
            <w:r>
              <w:rPr>
                <w:b/>
                <w:i/>
              </w:rPr>
              <w:t xml:space="preserve"> ABl. L 138 vom 17.5.2022, S. 30, ELI:</w:t>
            </w:r>
            <w:r>
              <w:rPr>
                <w:b/>
                <w:i/>
              </w:rPr>
              <w:br/>
              <w:t>http://data.europa.eu/eli/reg/2021/692/oj.</w:t>
            </w:r>
          </w:p>
        </w:tc>
        <w:tc>
          <w:tcPr>
            <w:tcW w:w="4876" w:type="dxa"/>
            <w:tcBorders>
              <w:top w:val="nil"/>
              <w:left w:val="nil"/>
              <w:bottom w:val="nil"/>
              <w:right w:val="nil"/>
            </w:tcBorders>
          </w:tcPr>
          <w:p w:rsidR="00931B01" w:rsidRDefault="00931B01" w:rsidP="00104ED4"/>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301</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9.</w:t>
            </w:r>
            <w:r>
              <w:tab/>
              <w:t xml:space="preserve">fordert die Mitgliedstaaten auf, die </w:t>
            </w:r>
            <w:r>
              <w:rPr>
                <w:b/>
                <w:i/>
              </w:rPr>
              <w:t>Anti-SLAPP-Richtlinie</w:t>
            </w:r>
            <w:r>
              <w:t xml:space="preserve"> („strategische Klagen gegen öffentliche Beteiligung“)</w:t>
            </w:r>
            <w:r>
              <w:rPr>
                <w:vertAlign w:val="superscript"/>
              </w:rPr>
              <w:t>40</w:t>
            </w:r>
            <w:r>
              <w:t xml:space="preserve"> und die Empfehlung (EU) 2022/758 der Kommission vom 27. April 2022 zum Schutz von Journalisten und Menschenrechtsverteidigern, die sich öffentlich beteiligen, vor offenkundig unbegründeten oder missbräuchlichen Gerichtsverfahren („strategische Klagen gegen öffentliche Beteiligung“)</w:t>
            </w:r>
            <w:r>
              <w:rPr>
                <w:vertAlign w:val="superscript"/>
              </w:rPr>
              <w:t>41</w:t>
            </w:r>
            <w:r>
              <w:t xml:space="preserve"> vollständig umzusetzen und umfassende nationale Anti-SLAPP-Maßnahmen zu ergreifen, um Journalisten zu schützen und diejenigen zu unterstützen, die mit </w:t>
            </w:r>
            <w:r>
              <w:rPr>
                <w:b/>
                <w:i/>
              </w:rPr>
              <w:t>Risiken</w:t>
            </w:r>
            <w:r>
              <w:t xml:space="preserve"> konfrontiert sind;</w:t>
            </w:r>
          </w:p>
        </w:tc>
        <w:tc>
          <w:tcPr>
            <w:tcW w:w="4876" w:type="dxa"/>
            <w:tcBorders>
              <w:top w:val="nil"/>
              <w:left w:val="nil"/>
              <w:bottom w:val="nil"/>
              <w:right w:val="nil"/>
            </w:tcBorders>
          </w:tcPr>
          <w:p w:rsidR="00931B01" w:rsidRDefault="00931B01" w:rsidP="00104ED4">
            <w:pPr>
              <w:pStyle w:val="Normal6a"/>
            </w:pPr>
            <w:r>
              <w:t>9.</w:t>
            </w:r>
            <w:r>
              <w:tab/>
              <w:t xml:space="preserve">fordert die Mitgliedstaaten auf, die </w:t>
            </w:r>
            <w:r>
              <w:rPr>
                <w:b/>
                <w:i/>
              </w:rPr>
              <w:t>Richtlinie gegen SLAPP-Klagen</w:t>
            </w:r>
            <w:r>
              <w:t xml:space="preserve"> („strategische Klagen gegen öffentliche Beteiligung“)</w:t>
            </w:r>
            <w:r>
              <w:rPr>
                <w:vertAlign w:val="superscript"/>
              </w:rPr>
              <w:t>40</w:t>
            </w:r>
            <w:r>
              <w:t xml:space="preserve"> und die Empfehlung (EU) 2022/758 der Kommission vom 27. April 2022 zum Schutz von Journalisten und Menschenrechtsverteidigern, die sich öffentlich beteiligen, vor offenkundig unbegründeten oder missbräuchlichen Gerichtsverfahren („strategische Klagen gegen öffentliche Beteiligung“)</w:t>
            </w:r>
            <w:r>
              <w:rPr>
                <w:vertAlign w:val="superscript"/>
              </w:rPr>
              <w:t>41</w:t>
            </w:r>
            <w:r>
              <w:t xml:space="preserve"> vollständig umzusetzen und umfassende nationale Anti-SLAPP-Maßnahmen zu ergreifen, um Journalisten zu schützen und diejenigen zu unterstützen, die mit </w:t>
            </w:r>
            <w:r>
              <w:rPr>
                <w:b/>
                <w:i/>
              </w:rPr>
              <w:t>Einschüchterungen, Verleumdungen und Einschränkungen bei der Ausübung ihrer Tätigkeit</w:t>
            </w:r>
            <w:r>
              <w:t xml:space="preserve"> konfrontiert sind; </w:t>
            </w:r>
            <w:r>
              <w:rPr>
                <w:b/>
                <w:i/>
              </w:rPr>
              <w:t>empfiehlt den Mitgliedstaaten, bei der Umsetzung der Richtlinie ihre Anwendung auch auf nationale Fälle auszuweiten, da es die meisten SLAPP-Klagen auf nationaler Ebene gibt;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40</w:t>
            </w:r>
            <w:r>
              <w:t xml:space="preserve"> Richtlinie (EU) 2024/1069 des Europäischen Parlaments und des Rates vom 11. April 2024 über den Schutz von Personen, die sich öffentlich beteiligen, vor offensichtlich unbegründeten Klagen oder missbräuchlichen Gerichtsverfahren („strategische Klagen gegen öffentliche Beteiligung“) (ABl. L, 2024/1069, 16.4.2024, ELI: http://data.europa.eu/eli/dir/2024/1069/oj). </w:t>
            </w:r>
          </w:p>
        </w:tc>
        <w:tc>
          <w:tcPr>
            <w:tcW w:w="4876" w:type="dxa"/>
            <w:tcBorders>
              <w:top w:val="nil"/>
              <w:left w:val="nil"/>
              <w:bottom w:val="nil"/>
              <w:right w:val="nil"/>
            </w:tcBorders>
          </w:tcPr>
          <w:p w:rsidR="00931B01" w:rsidRDefault="00931B01" w:rsidP="00104ED4">
            <w:pPr>
              <w:pStyle w:val="Normal6a"/>
            </w:pPr>
            <w:r>
              <w:rPr>
                <w:vertAlign w:val="superscript"/>
              </w:rPr>
              <w:t>40</w:t>
            </w:r>
            <w:r>
              <w:t xml:space="preserve"> Richtlinie (EU) 2024/1069 des Europäischen Parlaments und des Rates vom 11. April 2024 über den Schutz von Personen, die sich öffentlich beteiligen, vor offensichtlich unbegründeten Klagen oder missbräuchlichen Gerichtsverfahren („strategische Klagen gegen öffentliche Beteiligung“) (ABl. L, 2024/1069, 16.4.2024, ELI: http://data.europa.eu/eli/dir/2024/1069/oj). </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41</w:t>
            </w:r>
            <w:r>
              <w:t xml:space="preserve"> ABl. L 138 vom 17.5.2022, S. 30, ELI: http://data.europa.eu/eli/reco/2022/758/oj.</w:t>
            </w:r>
          </w:p>
        </w:tc>
        <w:tc>
          <w:tcPr>
            <w:tcW w:w="4876" w:type="dxa"/>
            <w:tcBorders>
              <w:top w:val="nil"/>
              <w:left w:val="nil"/>
              <w:bottom w:val="nil"/>
              <w:right w:val="nil"/>
            </w:tcBorders>
          </w:tcPr>
          <w:p w:rsidR="00931B01" w:rsidRDefault="00931B01" w:rsidP="00104ED4">
            <w:pPr>
              <w:pStyle w:val="Normal6a"/>
            </w:pPr>
            <w:r>
              <w:rPr>
                <w:vertAlign w:val="superscript"/>
              </w:rPr>
              <w:t>41</w:t>
            </w:r>
            <w:r>
              <w:t xml:space="preserve"> ABl. L 138 vom 17.5.2022, S. 30, ELI: http://data.europa.eu/eli/reco/2022/758/oj.</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302</w:t>
      </w:r>
      <w:r>
        <w:rPr>
          <w:rStyle w:val="HideTWBExt"/>
        </w:rPr>
        <w:t>&lt;/NumAm&gt;</w:t>
      </w:r>
    </w:p>
    <w:p w:rsidR="00931B01" w:rsidRDefault="00931B01" w:rsidP="00931B01">
      <w:pPr>
        <w:pStyle w:val="NormalBold"/>
      </w:pPr>
      <w:r>
        <w:rPr>
          <w:rStyle w:val="HideTWBExt"/>
          <w:b w:val="0"/>
        </w:rPr>
        <w:t>&lt;RepeatBlock-By&gt;&lt;Members&gt;</w:t>
      </w:r>
      <w:r>
        <w:t>Daniel Freund,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9.</w:t>
            </w:r>
            <w:r>
              <w:tab/>
              <w:t xml:space="preserve">fordert die Mitgliedstaaten auf, die </w:t>
            </w:r>
            <w:r>
              <w:rPr>
                <w:b/>
                <w:i/>
              </w:rPr>
              <w:t>Anti-SLAPP-Richtlinie</w:t>
            </w:r>
            <w:r>
              <w:t xml:space="preserve"> („strategische Klagen gegen öffentliche Beteiligung“)</w:t>
            </w:r>
            <w:r>
              <w:rPr>
                <w:vertAlign w:val="superscript"/>
              </w:rPr>
              <w:t>40</w:t>
            </w:r>
            <w:r>
              <w:t xml:space="preserve"> und die Empfehlung (EU) 2022/758 der Kommission vom 27. April 2022 zum Schutz von Journalisten und Menschenrechtsverteidigern, die sich öffentlich beteiligen, vor offenkundig unbegründeten oder missbräuchlichen Gerichtsverfahren („strategische Klagen gegen öffentliche Beteiligung“)</w:t>
            </w:r>
            <w:r>
              <w:rPr>
                <w:vertAlign w:val="superscript"/>
              </w:rPr>
              <w:t>41</w:t>
            </w:r>
            <w:r>
              <w:t xml:space="preserve"> vollständig umzusetzen und umfassende nationale Anti-SLAPP-Maßnahmen zu ergreifen, um Journalisten zu schützen und diejenigen zu unterstützen, die mit Risiken konfrontiert sind;</w:t>
            </w:r>
          </w:p>
        </w:tc>
        <w:tc>
          <w:tcPr>
            <w:tcW w:w="4876" w:type="dxa"/>
            <w:tcBorders>
              <w:top w:val="nil"/>
              <w:left w:val="nil"/>
              <w:bottom w:val="nil"/>
              <w:right w:val="nil"/>
            </w:tcBorders>
          </w:tcPr>
          <w:p w:rsidR="00931B01" w:rsidRDefault="00931B01" w:rsidP="00104ED4">
            <w:pPr>
              <w:pStyle w:val="Normal6a"/>
            </w:pPr>
            <w:r>
              <w:t>9.</w:t>
            </w:r>
            <w:r>
              <w:tab/>
              <w:t xml:space="preserve">fordert die Mitgliedstaaten auf, die </w:t>
            </w:r>
            <w:r>
              <w:rPr>
                <w:b/>
                <w:i/>
              </w:rPr>
              <w:t>Richtlinie gegen SLAPP-Klagen</w:t>
            </w:r>
            <w:r>
              <w:t xml:space="preserve"> („strategische Klagen gegen öffentliche Beteiligung“)</w:t>
            </w:r>
            <w:r>
              <w:rPr>
                <w:vertAlign w:val="superscript"/>
              </w:rPr>
              <w:t>40</w:t>
            </w:r>
            <w:r>
              <w:t xml:space="preserve"> und die Empfehlung (EU) 2022/758 der Kommission vom 27. April 2022 zum Schutz von Journalisten und Menschenrechtsverteidigern, die sich öffentlich beteiligen, vor offenkundig unbegründeten oder missbräuchlichen Gerichtsverfahren („strategische Klagen gegen öffentliche Beteiligung“)</w:t>
            </w:r>
            <w:r>
              <w:rPr>
                <w:vertAlign w:val="superscript"/>
              </w:rPr>
              <w:t>41</w:t>
            </w:r>
            <w:r>
              <w:t xml:space="preserve"> vollständig umzusetzen und umfassende nationale Anti-SLAPP-Maßnahmen zu ergreifen, um Journalisten zu schützen und diejenigen zu unterstützen, die mit Risiken konfrontiert sind; </w:t>
            </w:r>
            <w:r>
              <w:rPr>
                <w:b/>
                <w:i/>
              </w:rPr>
              <w:t>fordert die Kommission auf, Vorschläge vorzulegen, wie gegen SLAPP-Klagen vorgegangen werden kann, die nicht unter die geltende Richtlinie fallen;</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_________________</w:t>
            </w:r>
          </w:p>
        </w:tc>
        <w:tc>
          <w:tcPr>
            <w:tcW w:w="4876" w:type="dxa"/>
            <w:tcBorders>
              <w:top w:val="nil"/>
              <w:left w:val="nil"/>
              <w:bottom w:val="nil"/>
              <w:right w:val="nil"/>
            </w:tcBorders>
          </w:tcPr>
          <w:p w:rsidR="00931B01" w:rsidRDefault="00931B01" w:rsidP="00104ED4">
            <w:pPr>
              <w:pStyle w:val="Normal6a"/>
            </w:pPr>
            <w:r>
              <w:rPr>
                <w:b/>
                <w:i/>
              </w:rPr>
              <w:t>_________________</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40</w:t>
            </w:r>
            <w:r>
              <w:t xml:space="preserve"> Richtlinie (EU) 2024/1069 des Europäischen Parlaments und des Rates vom 11. April 2024 über den Schutz von Personen, die sich öffentlich beteiligen, vor offensichtlich unbegründeten Klagen oder missbräuchlichen Gerichtsverfahren („strategische Klagen gegen öffentliche Beteiligung“) (ABl. L, 2024/1069, 16.4.2024, ELI: http://data.europa.eu/eli/dir/2024/1069/oj).</w:t>
            </w:r>
          </w:p>
        </w:tc>
        <w:tc>
          <w:tcPr>
            <w:tcW w:w="4876" w:type="dxa"/>
            <w:tcBorders>
              <w:top w:val="nil"/>
              <w:left w:val="nil"/>
              <w:bottom w:val="nil"/>
              <w:right w:val="nil"/>
            </w:tcBorders>
          </w:tcPr>
          <w:p w:rsidR="00931B01" w:rsidRDefault="00931B01" w:rsidP="00104ED4">
            <w:pPr>
              <w:pStyle w:val="Normal6a"/>
            </w:pPr>
            <w:r>
              <w:rPr>
                <w:vertAlign w:val="superscript"/>
              </w:rPr>
              <w:t>40</w:t>
            </w:r>
            <w:r>
              <w:t xml:space="preserve"> Richtlinie (EU) 2024/1069 des Europäischen Parlaments und des Rates vom 11. April 2024 über den Schutz von Personen, die sich öffentlich beteiligen, vor offensichtlich unbegründeten Klagen oder missbräuchlichen Gerichtsverfahren („strategische Klagen gegen öffentliche Beteiligung“) (ABl. L, 2024/1069, 16.4.2024, ELI: http://data.europa.eu/eli/dir/2024/1069/oj).</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vertAlign w:val="superscript"/>
              </w:rPr>
              <w:t>41</w:t>
            </w:r>
            <w:r>
              <w:t xml:space="preserve"> ABl. L 138 vom 17.5.2022, S. 30, ELI: http://data.europa.eu/eli/reco/2022/758/oj.</w:t>
            </w:r>
          </w:p>
        </w:tc>
        <w:tc>
          <w:tcPr>
            <w:tcW w:w="4876" w:type="dxa"/>
            <w:tcBorders>
              <w:top w:val="nil"/>
              <w:left w:val="nil"/>
              <w:bottom w:val="nil"/>
              <w:right w:val="nil"/>
            </w:tcBorders>
          </w:tcPr>
          <w:p w:rsidR="00931B01" w:rsidRDefault="00931B01" w:rsidP="00104ED4">
            <w:pPr>
              <w:pStyle w:val="Normal6a"/>
            </w:pPr>
            <w:r>
              <w:rPr>
                <w:vertAlign w:val="superscript"/>
              </w:rPr>
              <w:t>41</w:t>
            </w:r>
            <w:r>
              <w:t xml:space="preserve"> ABl. L 138 vom 17.5.2022, S. 30, ELI: http://data.europa.eu/eli/reco/2022/758/oj.</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303</w:t>
      </w:r>
      <w:r>
        <w:rPr>
          <w:rStyle w:val="HideTWBExt"/>
        </w:rPr>
        <w:t>&lt;/NumAm&gt;</w:t>
      </w:r>
    </w:p>
    <w:p w:rsidR="00931B01" w:rsidRDefault="00931B01" w:rsidP="00931B01">
      <w:pPr>
        <w:pStyle w:val="NormalBold"/>
      </w:pPr>
      <w:r>
        <w:rPr>
          <w:rStyle w:val="HideTWBExt"/>
          <w:b w:val="0"/>
        </w:rPr>
        <w:t>&lt;RepeatBlock-By&gt;&lt;Members&gt;</w:t>
      </w:r>
      <w:r>
        <w:t>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9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9a.</w:t>
            </w:r>
            <w:r>
              <w:rPr>
                <w:b/>
                <w:i/>
              </w:rPr>
              <w:tab/>
              <w:t>bringt seine tiefe Besorgnis über die zunehmende Zahl von Angriffen auf Journalisten zum Ausdruck, wovon in unverhältnismäßigem Maße Journalistinnen betroffen sind; betont, dass zu den häufigsten Formen von Drohungen verbale Angriffe, Belästigung im Internet und Einschüchterung über Social Media und E-Mails gehören; ist zutiefst besorgt über juristische Drohungen, einschließlich SLAPP-Klagen, sowie über Stalking und persönliche Belästigung; fordert die Kommission und die Mitgliedstaaten auf, die wirksame Durchsetzung von Maßnahmen zur Bekämpfung von Drangsalierung sicherzustellen und digitale Plattformen dafür zur Rechenschaft zu ziehen, dass sie die Verbreitung solcher Drohungen ermöglichen;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304</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Alessandro Zan, Fabienne Keller, Lucia Yar, Irena Joveva, Isabel Wiseler-Lima,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9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9a.</w:t>
            </w:r>
            <w:r>
              <w:rPr>
                <w:b/>
                <w:i/>
              </w:rPr>
              <w:tab/>
              <w:t>ist besorgt über die Risiken für die Sicherheit von Journalisten, einschließlich ihrer digitalen Sicherheit und ihrer Arbeitsbedingungen in einigen Mitgliedstaaten;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305</w:t>
      </w:r>
      <w:r>
        <w:rPr>
          <w:rStyle w:val="HideTWBExt"/>
        </w:rPr>
        <w:t>&lt;/NumAm&gt;</w:t>
      </w:r>
    </w:p>
    <w:p w:rsidR="00931B01" w:rsidRDefault="00931B01" w:rsidP="00931B01">
      <w:pPr>
        <w:pStyle w:val="NormalBold"/>
      </w:pPr>
      <w:r>
        <w:rPr>
          <w:rStyle w:val="HideTWBExt"/>
          <w:b w:val="0"/>
        </w:rPr>
        <w:t>&lt;RepeatBlock-By&gt;&lt;Members&gt;</w:t>
      </w:r>
      <w:r>
        <w:t>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9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9b.</w:t>
            </w:r>
            <w:r>
              <w:rPr>
                <w:b/>
                <w:i/>
              </w:rPr>
              <w:tab/>
              <w:t>verurteilt die Verbreitung gezielter Hasskampagnen gegen Journalisten in den Social Media, einschließlich der Fälle, in denen solche Angriffe bezahlte Werbung waren; fordert die digitalen Plattformen auf, unverzüglich Maßnahmen zu ergreifen, um für die Einhaltung ihrer eigenen Standards für die Nutzer und der europäischen Rechtsvorschriften, einschließlich des Gesetzes über digitale Dienste, zu sorgen;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306</w:t>
      </w:r>
      <w:r>
        <w:rPr>
          <w:rStyle w:val="HideTWBExt"/>
        </w:rPr>
        <w:t>&lt;/NumAm&gt;</w:t>
      </w:r>
    </w:p>
    <w:p w:rsidR="00931B01" w:rsidRDefault="00931B01" w:rsidP="00931B01">
      <w:pPr>
        <w:pStyle w:val="NormalBold"/>
      </w:pPr>
      <w:r>
        <w:rPr>
          <w:rStyle w:val="HideTWBExt"/>
          <w:b w:val="0"/>
        </w:rPr>
        <w:t>&lt;RepeatBlock-By&gt;&lt;Members&gt;</w:t>
      </w:r>
      <w:r>
        <w:t>Alessandro Zan, Cecilia Strada, Sandro Ruotolo, Pina Picierno, Marco Tarquinio</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 und Desinformation zu bekämpfen, insbesondere durch solide Gesetze und unabhängige Regulierungsbehörden;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Desinformation zu bekämpfen, insbesondere durch solide Gesetze und unabhängige Regulierungsbehörden; betont die demokratische Bedeutung eines unabhängigen und stabilen öffentlich-rechtlichen Rundfunks und die Notwendigkeit, die Finanzierung öffentlich-rechtlicher Medien sicherzustellen; </w:t>
            </w:r>
            <w:r>
              <w:rPr>
                <w:b/>
                <w:i/>
              </w:rPr>
              <w:t>ist besorgt über die anhaltende staatliche und politisch motivierte Einmischung in die italienischen öffentlich-rechtlichen Medien (RAI) und die sich daraus ergebenden negativen Auswirkungen auf die Unabhängigkeit der Medien, wie die Kommission bereits festgestellt hat; verurteilt die Rückschritte bei der Medienfreiheit in Italien; verurteilt den Druck und die mutmaßlichen Fälle von Zensur gegen Journalisten sowie die neuen Gleichrangigkeitsregeln, mit denen die Sichtbarkeit der derzeitigen Regierungsparteien in den Medien gefördert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307</w:t>
      </w:r>
      <w:r>
        <w:rPr>
          <w:rStyle w:val="HideTWBExt"/>
        </w:rPr>
        <w:t>&lt;/NumAm&gt;</w:t>
      </w:r>
    </w:p>
    <w:p w:rsidR="00931B01" w:rsidRDefault="00931B01" w:rsidP="00931B01">
      <w:pPr>
        <w:pStyle w:val="NormalBold"/>
      </w:pPr>
      <w:r>
        <w:rPr>
          <w:rStyle w:val="HideTWBExt"/>
          <w:b w:val="0"/>
        </w:rPr>
        <w:t>&lt;RepeatBlock-By&gt;&lt;Members&gt;</w:t>
      </w:r>
      <w:r>
        <w:t>Nicolas Bay</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w:t>
            </w:r>
            <w:r>
              <w:rPr>
                <w:b/>
                <w:bCs/>
                <w:i/>
                <w:iCs/>
              </w:rPr>
              <w:t>, die Konzentration von Medieneigentum zu verhindern und Desinformation zu bekämpfen, insbesondere durch solide Gesetze und unabhängige Regulierungsbehörden</w:t>
            </w:r>
            <w:r>
              <w:t>;</w:t>
            </w:r>
            <w:r>
              <w:rPr>
                <w:b/>
                <w:i/>
              </w:rPr>
              <w:t xml:space="preserve">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w:t>
            </w:r>
            <w:r>
              <w:rPr>
                <w:b/>
                <w:i/>
              </w:rPr>
              <w:t> </w:t>
            </w:r>
          </w:p>
        </w:tc>
      </w:tr>
    </w:tbl>
    <w:p w:rsidR="00931B01" w:rsidRDefault="00931B01" w:rsidP="00931B01">
      <w:pPr>
        <w:pStyle w:val="AmOrLang"/>
      </w:pPr>
      <w:r>
        <w:t xml:space="preserve">Or. </w:t>
      </w:r>
      <w:r>
        <w:rPr>
          <w:rStyle w:val="HideTWBExt"/>
        </w:rPr>
        <w:t>&lt;Original&gt;</w:t>
      </w:r>
      <w:r>
        <w:rPr>
          <w:rStyle w:val="HideTWBInt"/>
        </w:rPr>
        <w:t>{FR}</w:t>
      </w:r>
      <w:r>
        <w:t>fr</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308</w:t>
      </w:r>
      <w:r>
        <w:rPr>
          <w:rStyle w:val="HideTWBExt"/>
        </w:rPr>
        <w:t>&lt;/NumAm&gt;</w:t>
      </w:r>
    </w:p>
    <w:p w:rsidR="00931B01" w:rsidRDefault="00931B01" w:rsidP="00931B01">
      <w:pPr>
        <w:pStyle w:val="NormalBold"/>
      </w:pPr>
      <w:r>
        <w:rPr>
          <w:rStyle w:val="HideTWBExt"/>
          <w:b w:val="0"/>
        </w:rPr>
        <w:t>&lt;RepeatBlock-By&gt;&lt;Members&gt;</w:t>
      </w:r>
      <w:r>
        <w:t>Emmanouil Fragkos, Geadis Geadi, Galato Alexandraki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 und Desinformation zu bekämpfen, insbesondere durch solide Gesetze und unabhängige Regulierungsbehörden;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Desinformation zu bekämpfen, insbesondere durch solide Gesetze und unabhängige Regulierungsbehörden; </w:t>
            </w:r>
            <w:r>
              <w:rPr>
                <w:b/>
                <w:i/>
              </w:rPr>
              <w:t>stellt fest, dass das derzeitige System der Ernennung der Leiter der unabhängigen Behörden nicht funktioniert und diese zu einem Instrument zur Umsetzung der Regierungspolitik macht;</w:t>
            </w:r>
            <w:r>
              <w:t xml:space="preserve"> betont die demokratische Bedeutung eines unabhängigen und stabilen öffentlich-rechtlichen Rundfunks und die Notwendigkeit, die Finanzierung öffentlich-rechtlicher Medien sicherzustellen;</w:t>
            </w:r>
          </w:p>
        </w:tc>
      </w:tr>
    </w:tbl>
    <w:p w:rsidR="00931B01" w:rsidRDefault="00931B01" w:rsidP="00931B01">
      <w:pPr>
        <w:pStyle w:val="AmOrLang"/>
      </w:pPr>
      <w:r>
        <w:t xml:space="preserve">Or. </w:t>
      </w:r>
      <w:r>
        <w:rPr>
          <w:rStyle w:val="HideTWBExt"/>
        </w:rPr>
        <w:t>&lt;Original&gt;</w:t>
      </w:r>
      <w:r>
        <w:rPr>
          <w:rStyle w:val="HideTWBInt"/>
        </w:rPr>
        <w:t>{EL}</w:t>
      </w:r>
      <w:r>
        <w:t>el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309</w:t>
      </w:r>
      <w:r>
        <w:rPr>
          <w:rStyle w:val="HideTWBExt"/>
        </w:rPr>
        <w:t>&lt;/NumAm&gt;</w:t>
      </w:r>
    </w:p>
    <w:p w:rsidR="00931B01" w:rsidRDefault="00931B01" w:rsidP="00931B01">
      <w:pPr>
        <w:pStyle w:val="NormalBold"/>
      </w:pPr>
      <w:r>
        <w:rPr>
          <w:rStyle w:val="HideTWBExt"/>
          <w:b w:val="0"/>
        </w:rPr>
        <w:t>&lt;RepeatBlock-By&gt;&lt;Members&gt;</w:t>
      </w:r>
      <w:r>
        <w:t>Jorge Buxadé Villalba,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w:t>
            </w:r>
            <w:r>
              <w:rPr>
                <w:b/>
                <w:i/>
              </w:rPr>
              <w:t>Desinformation zu bekämpfen, insbesondere</w:t>
            </w:r>
            <w:r>
              <w:t xml:space="preserve"> durch solide Gesetze und unabhängige Regulierungsbehörden; betont die </w:t>
            </w:r>
            <w:r>
              <w:rPr>
                <w:b/>
                <w:i/>
              </w:rPr>
              <w:t xml:space="preserve">demokratische </w:t>
            </w:r>
            <w:r>
              <w:t xml:space="preserve">Bedeutung </w:t>
            </w:r>
            <w:r>
              <w:rPr>
                <w:b/>
                <w:i/>
              </w:rPr>
              <w:t>eines unabhängigen</w:t>
            </w:r>
            <w:r>
              <w:t xml:space="preserve"> und </w:t>
            </w:r>
            <w:r>
              <w:rPr>
                <w:b/>
                <w:i/>
              </w:rPr>
              <w:t>stabilen öffentlich-rechtlichen Rundfunks</w:t>
            </w:r>
            <w:r>
              <w:t xml:space="preserve"> und die </w:t>
            </w:r>
            <w:r>
              <w:rPr>
                <w:b/>
                <w:i/>
              </w:rPr>
              <w:t>Notwendigkeit</w:t>
            </w:r>
            <w:r>
              <w:t xml:space="preserve">, die Finanzierung </w:t>
            </w:r>
            <w:r>
              <w:rPr>
                <w:b/>
                <w:i/>
              </w:rPr>
              <w:t>öffentlich-rechtlicher Medien sicherzustellen</w:t>
            </w:r>
            <w:r>
              <w:t>;</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w:t>
            </w:r>
            <w:r>
              <w:rPr>
                <w:b/>
                <w:i/>
              </w:rPr>
              <w:t>die redaktionelle Unabhängigkeit und Transparenz bei den Eigentumsverhältnissen im Medienbereich</w:t>
            </w:r>
            <w:r>
              <w:t xml:space="preserve"> durch solide Gesetze und unabhängige Regulierungsbehörden; </w:t>
            </w:r>
            <w:r>
              <w:rPr>
                <w:b/>
                <w:i/>
              </w:rPr>
              <w:t>zu fördern;</w:t>
            </w:r>
            <w:r>
              <w:t xml:space="preserve"> betont die Bedeutung </w:t>
            </w:r>
            <w:r>
              <w:rPr>
                <w:b/>
                <w:i/>
              </w:rPr>
              <w:t>unabhängiger Medien</w:t>
            </w:r>
            <w:r>
              <w:t xml:space="preserve"> und </w:t>
            </w:r>
            <w:r>
              <w:rPr>
                <w:b/>
                <w:i/>
              </w:rPr>
              <w:t>der Bereitschaft, Propagandamaßnahmen sowohl staatlicher als auch nichtstaatlicher ausländischer Akteure entgegenzutreten für die Demokratie; fordert die EU-Organe</w:t>
            </w:r>
            <w:r>
              <w:t xml:space="preserve"> und die </w:t>
            </w:r>
            <w:r>
              <w:rPr>
                <w:b/>
                <w:i/>
              </w:rPr>
              <w:t>Mitgliedstaaten auf</w:t>
            </w:r>
            <w:r>
              <w:t xml:space="preserve">, die Finanzierung </w:t>
            </w:r>
            <w:r>
              <w:rPr>
                <w:b/>
                <w:i/>
              </w:rPr>
              <w:t>und Subventionen für Medienanbieter einzustellen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310</w:t>
      </w:r>
      <w:r>
        <w:rPr>
          <w:rStyle w:val="HideTWBExt"/>
        </w:rPr>
        <w:t>&lt;/NumAm&gt;</w:t>
      </w:r>
    </w:p>
    <w:p w:rsidR="00931B01" w:rsidRDefault="00931B01" w:rsidP="00931B01">
      <w:pPr>
        <w:pStyle w:val="NormalBold"/>
      </w:pPr>
      <w:r>
        <w:rPr>
          <w:rStyle w:val="HideTWBExt"/>
          <w:b w:val="0"/>
        </w:rPr>
        <w:t>&lt;RepeatBlock-By&gt;&lt;Members&gt;</w:t>
      </w:r>
      <w:r>
        <w:t>Daniel Freund,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Desinformation zu bekämpfen, insbesondere durch solide Gesetze und unabhängige Regulierungsbehörden; </w:t>
            </w:r>
            <w:r>
              <w:rPr>
                <w:b/>
                <w:i/>
              </w:rPr>
              <w:t>betont</w:t>
            </w:r>
            <w:r>
              <w:t xml:space="preserve"> die</w:t>
            </w:r>
            <w:r>
              <w:rPr>
                <w:b/>
                <w:i/>
              </w:rPr>
              <w:t xml:space="preserve"> demokratische</w:t>
            </w:r>
            <w:r>
              <w:t xml:space="preserve"> Bedeutung eines unabhängigen und stabilen öffentlich-rechtlichen Rundfunks und die </w:t>
            </w:r>
            <w:r>
              <w:rPr>
                <w:b/>
                <w:i/>
              </w:rPr>
              <w:t>Notwendigkeit,</w:t>
            </w:r>
            <w:r>
              <w:t xml:space="preserve"> die Finanzierung </w:t>
            </w:r>
            <w:r>
              <w:rPr>
                <w:b/>
                <w:i/>
              </w:rPr>
              <w:t>öffentlich-rechtlicher</w:t>
            </w:r>
            <w:r>
              <w:t xml:space="preserve"> Medien </w:t>
            </w:r>
            <w:r>
              <w:rPr>
                <w:b/>
                <w:i/>
              </w:rPr>
              <w:t>sicherzustellen</w:t>
            </w:r>
            <w:r>
              <w:t>;</w:t>
            </w:r>
          </w:p>
        </w:tc>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w:t>
            </w:r>
            <w:r>
              <w:rPr>
                <w:b/>
                <w:i/>
              </w:rPr>
              <w:t xml:space="preserve"> und zu fördern</w:t>
            </w:r>
            <w:r>
              <w:t xml:space="preserve">, die Konzentration von Medieneigentum zu verhindern und Desinformation zu bekämpfen, insbesondere durch solide Gesetze und unabhängige Regulierungsbehörden; </w:t>
            </w:r>
            <w:r>
              <w:rPr>
                <w:b/>
                <w:i/>
              </w:rPr>
              <w:t>unterstreicht</w:t>
            </w:r>
            <w:r>
              <w:t xml:space="preserve"> die Bedeutung eines unabhängigen und stabilen öffentlich-rechtlichen Rundfunks und</w:t>
            </w:r>
            <w:r>
              <w:rPr>
                <w:b/>
                <w:i/>
              </w:rPr>
              <w:t xml:space="preserve"> von Regulierungsbehörden für</w:t>
            </w:r>
            <w:r>
              <w:t xml:space="preserve"> die </w:t>
            </w:r>
            <w:r>
              <w:rPr>
                <w:b/>
                <w:i/>
              </w:rPr>
              <w:t>Demokratie; fordert</w:t>
            </w:r>
            <w:r>
              <w:t xml:space="preserve"> die </w:t>
            </w:r>
            <w:r>
              <w:rPr>
                <w:b/>
                <w:i/>
              </w:rPr>
              <w:t xml:space="preserve">Mitgliedstaaten ferner auf, für eine angemessene, nachhaltige und berechenbare </w:t>
            </w:r>
            <w:r>
              <w:t xml:space="preserve">Finanzierung </w:t>
            </w:r>
            <w:r>
              <w:rPr>
                <w:b/>
                <w:i/>
              </w:rPr>
              <w:t>auf der Grundlage transparenter und objektiver Kriterien für öffentlich-rechtliche</w:t>
            </w:r>
            <w:r>
              <w:t xml:space="preserve"> Medien </w:t>
            </w:r>
            <w:r>
              <w:rPr>
                <w:b/>
                <w:i/>
              </w:rPr>
              <w:t>zu sorgen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311</w:t>
      </w:r>
      <w:r>
        <w:rPr>
          <w:rStyle w:val="HideTWBExt"/>
        </w:rPr>
        <w:t>&lt;/NumAm&gt;</w:t>
      </w:r>
    </w:p>
    <w:p w:rsidR="00931B01" w:rsidRDefault="00931B01" w:rsidP="00931B01">
      <w:pPr>
        <w:pStyle w:val="NormalBold"/>
      </w:pPr>
      <w:r>
        <w:rPr>
          <w:rStyle w:val="HideTWBExt"/>
          <w:b w:val="0"/>
        </w:rPr>
        <w:t>&lt;RepeatBlock-By&gt;&lt;Members&gt;</w:t>
      </w:r>
      <w:r>
        <w:t>Mary Khan, Christine Anderson, Milan Uhrík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w:t>
            </w:r>
            <w:r>
              <w:rPr>
                <w:b/>
                <w:i/>
              </w:rPr>
              <w:t>, die Konzentration von Medieneigentum zu verhindern und Desinformation zu bekämpfen</w:t>
            </w:r>
            <w:r>
              <w:t xml:space="preserve">, </w:t>
            </w:r>
            <w:r>
              <w:rPr>
                <w:b/>
                <w:i/>
              </w:rPr>
              <w:t>insbesondere durch solide Gesetze und unabhängige Regulierungsbehörden; betont die demokratische Bedeutung eines unabhängigen und stabilen öffentlich-rechtlichen Rundfunks und die Notwendigkeit</w:t>
            </w:r>
            <w:r>
              <w:t xml:space="preserve">, </w:t>
            </w:r>
            <w:r>
              <w:rPr>
                <w:b/>
                <w:i/>
              </w:rPr>
              <w:t>die Finanzierung öffentlich-rechtlicher Medien sicherzustellen</w:t>
            </w:r>
            <w:r>
              <w:t>;</w:t>
            </w:r>
          </w:p>
        </w:tc>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w:t>
            </w:r>
            <w:r>
              <w:rPr>
                <w:b/>
                <w:i/>
              </w:rPr>
              <w:t>; bringt seine Besorgnis darüber zum Ausdruck</w:t>
            </w:r>
            <w:r>
              <w:t xml:space="preserve">, </w:t>
            </w:r>
            <w:r>
              <w:rPr>
                <w:b/>
                <w:i/>
              </w:rPr>
              <w:t>dass bei einigen öffentlich finanzierten Rundfunkanstalten, wie z. B. bei der ARD in Deutschland</w:t>
            </w:r>
            <w:r>
              <w:t xml:space="preserve">, </w:t>
            </w:r>
            <w:r>
              <w:rPr>
                <w:b/>
                <w:i/>
              </w:rPr>
              <w:t>eine klare politische Voreingenommenheit erkennbar ist</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312</w:t>
      </w:r>
      <w:r>
        <w:rPr>
          <w:rStyle w:val="HideTWBExt"/>
        </w:rPr>
        <w:t>&lt;/NumAm&gt;</w:t>
      </w:r>
    </w:p>
    <w:p w:rsidR="00931B01" w:rsidRDefault="00931B01" w:rsidP="00931B01">
      <w:pPr>
        <w:pStyle w:val="NormalBold"/>
      </w:pPr>
      <w:r>
        <w:rPr>
          <w:rStyle w:val="HideTWBExt"/>
          <w:b w:val="0"/>
        </w:rPr>
        <w:t>&lt;RepeatBlock-By&gt;&lt;Members&gt;</w:t>
      </w:r>
      <w:r>
        <w:t>Javier Zarzalejos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w:t>
            </w:r>
            <w:r>
              <w:rPr>
                <w:b/>
                <w:i/>
              </w:rPr>
              <w:t>Desinformation zu bekämpfen, insbesondere durch solide Gesetze und unabhängige Regulierungsbehörden; betont</w:t>
            </w:r>
            <w:r>
              <w:t xml:space="preserve"> die </w:t>
            </w:r>
            <w:r>
              <w:rPr>
                <w:b/>
                <w:i/>
              </w:rPr>
              <w:t>demokratische Bedeutung eines unabhängigen und stabilen öffentlich-rechtlichen Rundfunks und die Notwendigkeit, die Finanzierung öffentlich-rechtlicher Medien sicherzustellen</w:t>
            </w:r>
            <w:r>
              <w:t>;</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w:t>
            </w:r>
            <w:r>
              <w:rPr>
                <w:b/>
                <w:i/>
              </w:rPr>
              <w:t>für</w:t>
            </w:r>
            <w:r>
              <w:t xml:space="preserve"> die </w:t>
            </w:r>
            <w:r>
              <w:rPr>
                <w:b/>
                <w:i/>
              </w:rPr>
              <w:t>Unabhängigkeit öffentlich-rechtlicher Rundfunkanstalten frei von politischer Einflussnahme zu sorgen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313</w:t>
      </w:r>
      <w:r>
        <w:rPr>
          <w:rStyle w:val="HideTWBExt"/>
        </w:rPr>
        <w:t>&lt;/NumAm&gt;</w:t>
      </w:r>
    </w:p>
    <w:p w:rsidR="00931B01" w:rsidRDefault="00931B01" w:rsidP="00931B01">
      <w:pPr>
        <w:pStyle w:val="NormalBold"/>
      </w:pPr>
      <w:r>
        <w:rPr>
          <w:rStyle w:val="HideTWBExt"/>
          <w:b w:val="0"/>
        </w:rPr>
        <w:t>&lt;RepeatBlock-By&gt;&lt;Members&gt;</w:t>
      </w:r>
      <w:r>
        <w:t>Emmanouil Fragkos, Geadis Geadi, Galato Alexandraki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 und Desinformation zu bekämpfen, insbesondere durch solide Gesetze und unabhängige Regulierungsbehörden;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Desinformation zu bekämpfen, insbesondere durch solide Gesetze und unabhängige Regulierungsbehörden; </w:t>
            </w:r>
            <w:r>
              <w:rPr>
                <w:b/>
                <w:i/>
              </w:rPr>
              <w:t>fordert besondere Vorsicht in Bezug auf instrumentalisierte Fernsehnetze, die sich im Besitz von Drittstaaten befinden;</w:t>
            </w:r>
            <w:r>
              <w:t xml:space="preserve"> betont die demokratische Bedeutung eines unabhängigen und stabilen öffentlich-rechtlichen Rundfunks und die Notwendigkeit, die Finanzierung öffentlich-rechtlicher Medien sicherzustellen;</w:t>
            </w:r>
          </w:p>
        </w:tc>
      </w:tr>
    </w:tbl>
    <w:p w:rsidR="00931B01" w:rsidRDefault="00931B01" w:rsidP="00931B01">
      <w:pPr>
        <w:pStyle w:val="AmOrLang"/>
      </w:pPr>
      <w:r>
        <w:t xml:space="preserve">Or. </w:t>
      </w:r>
      <w:r>
        <w:rPr>
          <w:rStyle w:val="HideTWBExt"/>
        </w:rPr>
        <w:t>&lt;Original&gt;</w:t>
      </w:r>
      <w:r>
        <w:rPr>
          <w:rStyle w:val="HideTWBInt"/>
        </w:rPr>
        <w:t>{EL}</w:t>
      </w:r>
      <w:r>
        <w:t>el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314</w:t>
      </w:r>
      <w:r>
        <w:rPr>
          <w:rStyle w:val="HideTWBExt"/>
        </w:rPr>
        <w:t>&lt;/NumAm&gt;</w:t>
      </w:r>
    </w:p>
    <w:p w:rsidR="00931B01" w:rsidRDefault="00931B01" w:rsidP="00931B01">
      <w:pPr>
        <w:pStyle w:val="NormalBold"/>
      </w:pPr>
      <w:r>
        <w:rPr>
          <w:rStyle w:val="HideTWBExt"/>
          <w:b w:val="0"/>
        </w:rPr>
        <w:t>&lt;RepeatBlock-By&gt;&lt;Members&gt;</w:t>
      </w:r>
      <w:r>
        <w:t>Tomáš Zdechovský</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 und Desinformation zu bekämpfen, insbesondere durch solide Gesetze und unabhängige Regulierungsbehörden;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Desinformation zu bekämpfen, insbesondere durch solide Gesetze und unabhängige Regulierungsbehörden; </w:t>
            </w:r>
            <w:r>
              <w:rPr>
                <w:b/>
                <w:i/>
              </w:rPr>
              <w:t>spricht sich für vollständige Transparenz der Eigentumsverhältnisse im Medienbereich aus;</w:t>
            </w:r>
            <w:r>
              <w:t xml:space="preserve"> betont die demokratische Bedeutung eines unabhängigen und stabilen öffentlich-rechtlichen Rundfunks und die Notwendigkeit, die Finanzierung öffentlich-rechtlicher Medien sicherzustellen;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315</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Alessandro Zan, Fabienne Keller, Lucia Yar, Irena Joveva, Isabel Wiseler-Lima</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 und Desinformation zu bekämpfen, insbesondere durch solide Gesetze und unabhängige Regulierungsbehörden;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w:t>
            </w:r>
            <w:r>
              <w:rPr>
                <w:b/>
                <w:i/>
              </w:rPr>
              <w:t>, die redaktionelle Unabhängigkeit zu schützen</w:t>
            </w:r>
            <w:r>
              <w:t xml:space="preserve"> und Desinformation zu bekämpfen, insbesondere durch solide Gesetze und unabhängige Regulierungsbehörden; betont die demokratische Bedeutung eines unabhängigen und stabilen öffentlich-rechtlichen Rundfunks und die Notwendigkeit, die Finanzierung öffentlich-rechtlicher Medien sicherzustellen;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316</w:t>
      </w:r>
      <w:r>
        <w:rPr>
          <w:rStyle w:val="HideTWBExt"/>
        </w:rPr>
        <w:t>&lt;/NumAm&gt;</w:t>
      </w:r>
    </w:p>
    <w:p w:rsidR="00931B01" w:rsidRDefault="00931B01" w:rsidP="00931B01">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 und Desinformation zu bekämpfen, insbesondere durch solide Gesetze und unabhängige Regulierungsbehörden;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Desinformation zu bekämpfen, insbesondere durch solide Gesetze und unabhängige Regulierungsbehörden; betont die demokratische Bedeutung eines unabhängigen und stabilen öffentlich-rechtlichen Rundfunks und die Notwendigkeit, die Finanzierung </w:t>
            </w:r>
            <w:r>
              <w:rPr>
                <w:b/>
                <w:i/>
              </w:rPr>
              <w:t xml:space="preserve">und Haushaltsstabilität </w:t>
            </w:r>
            <w:r>
              <w:t>öffentlich-rechtlicher Medien sicherzustellen;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317</w:t>
      </w:r>
      <w:r>
        <w:rPr>
          <w:rStyle w:val="HideTWBExt"/>
        </w:rPr>
        <w:t>&lt;/NumAm&gt;</w:t>
      </w:r>
    </w:p>
    <w:p w:rsidR="00931B01" w:rsidRDefault="00931B01" w:rsidP="00931B01">
      <w:pPr>
        <w:pStyle w:val="NormalBold"/>
      </w:pPr>
      <w:r>
        <w:rPr>
          <w:rStyle w:val="HideTWBExt"/>
          <w:b w:val="0"/>
        </w:rPr>
        <w:t>&lt;RepeatBlock-By&gt;&lt;Members&gt;</w:t>
      </w:r>
      <w:r>
        <w:t>Sebastian Tynkkynen</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 und Desinformation zu bekämpfen, insbesondere durch solide Gesetze und unabhängige Regulierungsbehörden; betont</w:t>
            </w:r>
            <w:r>
              <w:rPr>
                <w:b/>
                <w:i/>
              </w:rPr>
              <w:t xml:space="preserve"> die demokratische Bedeutung eines unabhängigen und stabilen öffentlich-rechtlichen Rundfunks und die Notwendigkeit</w:t>
            </w:r>
            <w:r>
              <w:t xml:space="preserve">, </w:t>
            </w:r>
            <w:r>
              <w:rPr>
                <w:b/>
                <w:i/>
              </w:rPr>
              <w:t>die Finanzierung öffentlich-rechtlicher Medien sicherzustellen</w:t>
            </w:r>
            <w:r>
              <w:t>;</w:t>
            </w:r>
          </w:p>
        </w:tc>
        <w:tc>
          <w:tcPr>
            <w:tcW w:w="4876" w:type="dxa"/>
            <w:tcBorders>
              <w:top w:val="nil"/>
              <w:left w:val="nil"/>
              <w:bottom w:val="nil"/>
              <w:right w:val="nil"/>
            </w:tcBorders>
          </w:tcPr>
          <w:p w:rsidR="00931B01" w:rsidRDefault="00931B01" w:rsidP="00104ED4">
            <w:pPr>
              <w:pStyle w:val="Normal6a"/>
            </w:pPr>
            <w:r>
              <w:t>10.</w:t>
            </w:r>
            <w:r>
              <w:tab/>
              <w:t>fordert die Mitgliedstaaten nachdrücklich auf, die Freiheit und den Pluralismus der Medien zu schützen, die Konzentration von Medieneigentum zu verhindern und Desinformation zu bekämpfen, insbesondere durch solide Gesetze und unabhängige Regulierungsbehörden; betont</w:t>
            </w:r>
            <w:r>
              <w:rPr>
                <w:b/>
                <w:i/>
              </w:rPr>
              <w:t>, dass der Kampf gegen Desinformation nicht zu Zensur führen darf oder dazu</w:t>
            </w:r>
            <w:r>
              <w:t xml:space="preserve">, </w:t>
            </w:r>
            <w:r>
              <w:rPr>
                <w:b/>
                <w:i/>
              </w:rPr>
              <w:t>dass abweichende politische Ansichten nicht geäußert werden können</w:t>
            </w:r>
            <w:r>
              <w:t>;</w:t>
            </w:r>
          </w:p>
        </w:tc>
      </w:tr>
    </w:tbl>
    <w:p w:rsidR="00931B01" w:rsidRDefault="00931B01" w:rsidP="00931B01">
      <w:pPr>
        <w:pStyle w:val="AmOrLang"/>
      </w:pPr>
      <w:r>
        <w:t xml:space="preserve">Or. </w:t>
      </w:r>
      <w:r>
        <w:rPr>
          <w:rStyle w:val="HideTWBExt"/>
        </w:rPr>
        <w:t>&lt;Original&gt;</w:t>
      </w:r>
      <w:r>
        <w:rPr>
          <w:rStyle w:val="HideTWBInt"/>
        </w:rPr>
        <w:t>{FI}</w:t>
      </w:r>
      <w:r>
        <w:t>fi</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318</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 xml:space="preserve">fordert die Mitgliedstaaten </w:t>
            </w:r>
            <w:r>
              <w:rPr>
                <w:b/>
                <w:i/>
              </w:rPr>
              <w:t xml:space="preserve">nachdrücklich </w:t>
            </w:r>
            <w:r>
              <w:t xml:space="preserve">auf, die Freiheit und den Pluralismus der Medien zu schützen, die Konzentration von Medieneigentum zu verhindern und </w:t>
            </w:r>
            <w:r>
              <w:rPr>
                <w:b/>
                <w:i/>
              </w:rPr>
              <w:t>Desinformation zu bekämpfen, insbesondere durch solide Gesetze und unabhängige Regulierungsbehörden</w:t>
            </w:r>
            <w:r>
              <w:t>;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auf, die Freiheit und den Pluralismus der Medien zu schützen, die Konzentration von Medieneigentum zu verhindern und </w:t>
            </w:r>
            <w:r>
              <w:rPr>
                <w:b/>
                <w:i/>
              </w:rPr>
              <w:t>gegen Zensur und ungebührliche Eingriffe in die Freiheit der Meinungsäußerung vorzugehen</w:t>
            </w:r>
            <w:r>
              <w:t>; betont die demokratische Bedeutung eines unabhängigen und stabilen öffentlich-rechtlichen Rundfunks</w:t>
            </w:r>
            <w:r>
              <w:rPr>
                <w:b/>
                <w:i/>
              </w:rPr>
              <w:t>, bei dem das journalistische Berufsethos respektiert wird,</w:t>
            </w:r>
            <w:r>
              <w:t xml:space="preserve"> und die Notwendigkeit, die Finanzierung öffentlich-rechtlicher Medien sicherzustellen;</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319</w:t>
      </w:r>
      <w:r>
        <w:rPr>
          <w:rStyle w:val="HideTWBExt"/>
        </w:rPr>
        <w:t>&lt;/NumAm&gt;</w:t>
      </w:r>
    </w:p>
    <w:p w:rsidR="00931B01" w:rsidRDefault="00931B01" w:rsidP="00931B01">
      <w:pPr>
        <w:pStyle w:val="NormalBold"/>
      </w:pPr>
      <w:r>
        <w:rPr>
          <w:rStyle w:val="HideTWBExt"/>
          <w:b w:val="0"/>
        </w:rPr>
        <w:t>&lt;RepeatBlock-By&gt;&lt;Members&gt;</w:t>
      </w:r>
      <w:r>
        <w:t>Romana Tomc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Desinformation </w:t>
            </w:r>
            <w:r>
              <w:rPr>
                <w:b/>
                <w:i/>
              </w:rPr>
              <w:t xml:space="preserve">zu bekämpfen, </w:t>
            </w:r>
            <w:r>
              <w:t xml:space="preserve">insbesondere durch solide Gesetze </w:t>
            </w:r>
            <w:r>
              <w:rPr>
                <w:b/>
                <w:i/>
              </w:rPr>
              <w:t>und unabhängige Regulierungsbehörden</w:t>
            </w:r>
            <w:r>
              <w:t>; betont die demokratische Bedeutung eines unabhängigen und stabilen öffentlich-rechtlichen Rundfunks und die Notwendigkeit, die Finanzierung öffentlich-rechtlicher Medien sicherzustellen;</w:t>
            </w:r>
          </w:p>
        </w:tc>
        <w:tc>
          <w:tcPr>
            <w:tcW w:w="4876" w:type="dxa"/>
            <w:tcBorders>
              <w:top w:val="nil"/>
              <w:left w:val="nil"/>
              <w:bottom w:val="nil"/>
              <w:right w:val="nil"/>
            </w:tcBorders>
          </w:tcPr>
          <w:p w:rsidR="00931B01" w:rsidRDefault="00931B01" w:rsidP="00104ED4">
            <w:pPr>
              <w:pStyle w:val="Normal6a"/>
            </w:pPr>
            <w:r>
              <w:t>10.</w:t>
            </w:r>
            <w:r>
              <w:tab/>
              <w:t xml:space="preserve">fordert die Mitgliedstaaten nachdrücklich auf, die Freiheit und den Pluralismus der Medien zu schützen, die Konzentration von Medieneigentum zu verhindern und Desinformation insbesondere durch solide Gesetze </w:t>
            </w:r>
            <w:r>
              <w:rPr>
                <w:b/>
                <w:i/>
              </w:rPr>
              <w:t>zu bekämpfen</w:t>
            </w:r>
            <w:r>
              <w:t>; betont die demokratische Bedeutung eines unabhängigen und stabilen öffentlich-rechtlichen Rundfunks und die Notwendigkeit, die Finanzierung öffentlich-rechtlicher Medien sicherzustellen;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320</w:t>
      </w:r>
      <w:r>
        <w:rPr>
          <w:rStyle w:val="HideTWBExt"/>
        </w:rPr>
        <w:t>&lt;/NumAm&gt;</w:t>
      </w:r>
    </w:p>
    <w:p w:rsidR="00931B01" w:rsidRDefault="00931B01" w:rsidP="00931B01">
      <w:pPr>
        <w:pStyle w:val="NormalBold"/>
      </w:pPr>
      <w:r>
        <w:rPr>
          <w:rStyle w:val="HideTWBExt"/>
          <w:b w:val="0"/>
        </w:rPr>
        <w:t>&lt;RepeatBlock-By&gt;&lt;Members&gt;</w:t>
      </w:r>
      <w:r>
        <w:t>Alessandro Zan, Cecilia Strada, Sandro Ruotolo, Pina Picierno, Marco Tarquinio</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10a.</w:t>
            </w:r>
            <w:r>
              <w:rPr>
                <w:b/>
                <w:i/>
              </w:rPr>
              <w:tab/>
              <w:t>stellt fest, dass sich die Lage der Journalisten in Italien verschlechtert, unter anderem durch zunehmende Fälle von SLAPP-Klagen und durch die von Politikern betriebene Einschüchterung mit juristischen Mitteln; bedauert die zunehmenden Schwierigkeiten, mit denen Journalisten bei der Beschaffung von Informationen und dem Zugang zu Dokumenten in Italien konfrontiert sind; stellt fest, dass bei der Reform des Bestimmungen in Bezug auf Verleumdung keine Fortschritte erzielt wurden und dass juristische Instrumente und andere vorsorgliche Verfahren zunehmend missbräuchlich gegen Journalisten zum Nachteil der Pressefreiheit eingesetzt werden;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321</w:t>
      </w:r>
      <w:r>
        <w:rPr>
          <w:rStyle w:val="HideTWBExt"/>
        </w:rPr>
        <w:t>&lt;/NumAm&gt;</w:t>
      </w:r>
    </w:p>
    <w:p w:rsidR="00931B01" w:rsidRDefault="00931B01" w:rsidP="00931B01">
      <w:pPr>
        <w:pStyle w:val="NormalBold"/>
      </w:pPr>
      <w:r>
        <w:rPr>
          <w:rStyle w:val="HideTWBExt"/>
          <w:b w:val="0"/>
        </w:rPr>
        <w:t>&lt;RepeatBlock-By&gt;&lt;Members&gt;</w:t>
      </w:r>
      <w:r>
        <w:t>Emma Rafowicz, Chloé Ridel, Krzysztof Śmiszek, Hannes Heide</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10a.</w:t>
            </w:r>
            <w:r>
              <w:rPr>
                <w:b/>
                <w:i/>
              </w:rPr>
              <w:tab/>
              <w:t>stellt mit Besorgnis fest, dass der Pluralismus und die Freiheit der Medien in Frankreich bedroht sind; weist insbesondere auf den Gesetzentwurf zur Reform des öffentlichen audiovisuellen Sektors hin, mit dem alle öffentlichen audiovisuellen Einrichtungen von der französischen Regierung zusammengelegt werden sollen, und betont, dass die sowohl von öffentlichen als auch von privaten Akteuren vorangetriebene Medienkonzentration, eine Gefahr für den Zugang zu zuverlässigen, objektiven Informationen darstellt, die unabhängig von politischem und ideologischem Druck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322</w:t>
      </w:r>
      <w:r>
        <w:rPr>
          <w:rStyle w:val="HideTWBExt"/>
        </w:rPr>
        <w:t>&lt;/NumAm&gt;</w:t>
      </w:r>
    </w:p>
    <w:p w:rsidR="00931B01" w:rsidRDefault="00931B01" w:rsidP="00931B01">
      <w:pPr>
        <w:pStyle w:val="NormalBold"/>
      </w:pPr>
      <w:r>
        <w:rPr>
          <w:rStyle w:val="HideTWBExt"/>
          <w:b w:val="0"/>
        </w:rPr>
        <w:t>&lt;RepeatBlock-By&gt;&lt;Members&gt;</w:t>
      </w:r>
      <w:r>
        <w:t>Chloé Ridel, Emma Rafowicz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10a.</w:t>
            </w:r>
            <w:r>
              <w:rPr>
                <w:b/>
                <w:i/>
              </w:rPr>
              <w:tab/>
              <w:t>weist darauf hin, dass es in Bulgarien, Tschechien, Frankreich, den Niederlanden und Zypern nach wie vor Probleme in Bezug auf die Transparenz der Eigentumsverhältnisse im Medienbereich gibt; fordert alle Mitgliedstaaten auf, die EU-Standards für die Transparenz der Eigentumsverhältnisse im Medienbereich vollständig umzusetzen, unter anderem durch die Einrichtung umfassender und öffentlich zugänglicher Eigentumsregister;</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323</w:t>
      </w:r>
      <w:r>
        <w:rPr>
          <w:rStyle w:val="HideTWBExt"/>
        </w:rPr>
        <w:t>&lt;/NumAm&gt;</w:t>
      </w:r>
    </w:p>
    <w:p w:rsidR="00931B01" w:rsidRDefault="00931B01" w:rsidP="00931B01">
      <w:pPr>
        <w:pStyle w:val="NormalBold"/>
      </w:pPr>
      <w:r>
        <w:rPr>
          <w:rStyle w:val="HideTWBExt"/>
          <w:b w:val="0"/>
        </w:rPr>
        <w:t>&lt;RepeatBlock-By&gt;&lt;Members&gt;</w:t>
      </w:r>
      <w:r>
        <w:t>Marco Tarquinio, Alessandro Zan, Damien Carême, Mélissa Camara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10a.</w:t>
            </w:r>
            <w:r>
              <w:rPr>
                <w:b/>
                <w:i/>
              </w:rPr>
              <w:tab/>
              <w:t>verurteilt die Verbreitung rassistischer und fremdenfeindlicher Hetze, auch in den Massenmedien und den Social Media, da sie eine ernsthafte Bedrohung für die Demokratie und die Rechtsstaatlichkeit darstellt; fordert eine strengere Durchsetzung der Medienvorschriften, damit gegen rassistische Narrative vorgegangen und eine vielfältige und inklusive Medienlandschaft geschützt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324</w:t>
      </w:r>
      <w:r>
        <w:rPr>
          <w:rStyle w:val="HideTWBExt"/>
        </w:rPr>
        <w:t>&lt;/NumAm&gt;</w:t>
      </w:r>
    </w:p>
    <w:p w:rsidR="00931B01" w:rsidRDefault="00931B01" w:rsidP="00931B01">
      <w:pPr>
        <w:pStyle w:val="NormalBold"/>
      </w:pPr>
      <w:r>
        <w:rPr>
          <w:rStyle w:val="HideTWBExt"/>
          <w:b w:val="0"/>
        </w:rPr>
        <w:t>&lt;RepeatBlock-By&gt;&lt;Members&gt;</w:t>
      </w:r>
      <w:r>
        <w:t>Sandro Ruotolo</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10a.</w:t>
            </w:r>
            <w:r>
              <w:rPr>
                <w:b/>
                <w:i/>
              </w:rPr>
              <w:tab/>
              <w:t>stellt fest, dass nach Erkenntnissen der Kommission in Ungarn, Slowenien, Kroatien, Bulgarien, Polen und Griechenland weiterhin Bedenken hinsichtlich der Unabhängigkeit bzw. Unparteilichkeit der Regulierungsbehörden bestehen;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325</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10a.</w:t>
            </w:r>
            <w:r>
              <w:rPr>
                <w:b/>
                <w:i/>
              </w:rPr>
              <w:tab/>
              <w:t>empfiehlt die Einrichtung eines speziellen EU-Fonds für Medienfreiheit, mit dem unabhängiger Journalismus und lokale Medienunternehmen unterstützt werden;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326</w:t>
      </w:r>
      <w:r>
        <w:rPr>
          <w:rStyle w:val="HideTWBExt"/>
        </w:rPr>
        <w:t>&lt;/NumAm&gt;</w:t>
      </w:r>
    </w:p>
    <w:p w:rsidR="00931B01" w:rsidRDefault="00931B01" w:rsidP="00931B01">
      <w:pPr>
        <w:pStyle w:val="NormalBold"/>
      </w:pPr>
      <w:r>
        <w:rPr>
          <w:rStyle w:val="HideTWBExt"/>
          <w:b w:val="0"/>
        </w:rPr>
        <w:t>&lt;RepeatBlock-By&gt;&lt;Members&gt;</w:t>
      </w:r>
      <w:r>
        <w:t>Alessandro Zan, Cecilia Strada, Sandro Ruotolo, Pina Picierno, Marco Tarquinio</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10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10b.</w:t>
            </w:r>
            <w:r>
              <w:rPr>
                <w:b/>
                <w:i/>
              </w:rPr>
              <w:tab/>
              <w:t>ist zutiefst besorgt über die jüngsten Fälle des illegalen Einsatzes von Spähsoftware gegen Journalisten und politisch engagierte Bürger in Italien und anderen europäischen Ländern; stellt fest, dass die Pressefreiheit eine der wichtigsten Säulen für die Wahrung der Rechtsstaatlichkeit in den EU-Mitgliedstaaten ist; verurteilt aufs Schärfste alle Handlungen wie den illegalen Einsatz von Spähsoftware durch Regierungen, mit denen die Pressefreiheit, die Rechte des Einzelnen und die Grundfreiheiten kontrolliert, überwacht und eingeschränkt werden sollen;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327</w:t>
      </w:r>
      <w:r>
        <w:rPr>
          <w:rStyle w:val="HideTWBExt"/>
        </w:rPr>
        <w:t>&lt;/NumAm&gt;</w:t>
      </w:r>
    </w:p>
    <w:p w:rsidR="00931B01" w:rsidRDefault="00931B01" w:rsidP="00931B01">
      <w:pPr>
        <w:pStyle w:val="NormalBold"/>
      </w:pPr>
      <w:r>
        <w:rPr>
          <w:rStyle w:val="HideTWBExt"/>
          <w:b w:val="0"/>
        </w:rPr>
        <w:t>&lt;RepeatBlock-By&gt;&lt;Members&gt;</w:t>
      </w:r>
      <w:r>
        <w:t>Romana Tomc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verurteilt aufs Schärfste die staatliche Kontrolle und die politische Einflussnahme auf Medienaktivitäten und fordert verstärkte Anstrengungen, um die Sicherheit und den Schutz von Journalisten sicherzustellen;</w:t>
            </w:r>
          </w:p>
        </w:tc>
        <w:tc>
          <w:tcPr>
            <w:tcW w:w="4876" w:type="dxa"/>
            <w:tcBorders>
              <w:top w:val="nil"/>
              <w:left w:val="nil"/>
              <w:bottom w:val="nil"/>
              <w:right w:val="nil"/>
            </w:tcBorders>
          </w:tcPr>
          <w:p w:rsidR="00931B01" w:rsidRDefault="00931B01" w:rsidP="00104ED4">
            <w:pPr>
              <w:pStyle w:val="Normal6a"/>
            </w:pPr>
            <w:r>
              <w:t>11.</w:t>
            </w:r>
            <w:r>
              <w:tab/>
              <w:t xml:space="preserve">verurteilt aufs Schärfste die staatliche Kontrolle und die politische Einflussnahme auf Medienaktivitäten und fordert verstärkte Anstrengungen, um die Sicherheit und den Schutz von Journalisten sicherzustellen; </w:t>
            </w:r>
            <w:r>
              <w:rPr>
                <w:b/>
                <w:i/>
              </w:rPr>
              <w:t>betont, dass prominente Persönlichkeiten des öffentlichen Lebens und Politiker, einschließlich Regierungsmitgliedern, mit gutem Beispiel vorangehen und für eine respektvolle Debatte sorgen müssen, die frei von Einschüchterung, Hetze, Verleumdung und Schikane ist; missbilligt in diesem Zusammenhang die Erklärungen des slowenischen Ministerpräsidenten, wonach er beabsichtigt, die öffentlich-rechtliche Rundfunkanstalt und die Polizei von Mitgliedern einer bestimmten politischen Partei zu säubern;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328</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verurteilt aufs Schärfste die staatliche Kontrolle und die politische Einflussnahme auf Medienaktivitäten und fordert verstärkte Anstrengungen, um die Sicherheit und den Schutz von Journalisten sicherzustellen;</w:t>
            </w:r>
          </w:p>
        </w:tc>
        <w:tc>
          <w:tcPr>
            <w:tcW w:w="4876" w:type="dxa"/>
            <w:tcBorders>
              <w:top w:val="nil"/>
              <w:left w:val="nil"/>
              <w:bottom w:val="nil"/>
              <w:right w:val="nil"/>
            </w:tcBorders>
          </w:tcPr>
          <w:p w:rsidR="00931B01" w:rsidRDefault="00931B01" w:rsidP="00104ED4">
            <w:pPr>
              <w:pStyle w:val="Normal6a"/>
            </w:pPr>
            <w:r>
              <w:t>11.</w:t>
            </w:r>
            <w:r>
              <w:tab/>
              <w:t xml:space="preserve">verurteilt aufs Schärfste die staatliche Kontrolle und die politische Einflussnahme auf Medienaktivitäten und fordert verstärkte Anstrengungen, um die Sicherheit und den Schutz von Journalisten sicherzustellen; </w:t>
            </w:r>
            <w:r>
              <w:rPr>
                <w:b/>
                <w:i/>
              </w:rPr>
              <w:t>ist insbesondere der Ansicht, dass die Regierung von Donald Tusk mit der rechtswidrigen und gewaltsamen Übernahme der öffentlich-rechtlichen Medien in Polen unter Anwendung geheimdienstlicher Methoden und Verletzung sämtlicher Rechte und Standards gegen europäische Standards verstoßen hat, und fordert, dass diese Entscheidungen rückgängig gemacht, rechtliche Konsequenzen gezogen und die Schäden behoben werden;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329</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verurteilt aufs Schärfste die staatliche Kontrolle und die politische Einflussnahme auf Medienaktivitäten und fordert verstärkte Anstrengungen, um die Sicherheit und den Schutz von Journalisten sicherzustellen;</w:t>
            </w:r>
          </w:p>
        </w:tc>
        <w:tc>
          <w:tcPr>
            <w:tcW w:w="4876" w:type="dxa"/>
            <w:tcBorders>
              <w:top w:val="nil"/>
              <w:left w:val="nil"/>
              <w:bottom w:val="nil"/>
              <w:right w:val="nil"/>
            </w:tcBorders>
          </w:tcPr>
          <w:p w:rsidR="00931B01" w:rsidRDefault="00931B01" w:rsidP="00104ED4">
            <w:pPr>
              <w:pStyle w:val="Normal6a"/>
            </w:pPr>
            <w:r>
              <w:t>11.</w:t>
            </w:r>
            <w:r>
              <w:tab/>
              <w:t xml:space="preserve">verurteilt aufs Schärfste die staatliche Kontrolle und die politische Einflussnahme auf Medienaktivitäten und fordert verstärkte Anstrengungen, um die Sicherheit und den Schutz von Journalisten sicherzustellen sowie die Pressefreiheit zu schützen; </w:t>
            </w:r>
            <w:r>
              <w:rPr>
                <w:b/>
                <w:i/>
              </w:rPr>
              <w:t>fordert eigens die Einführung erschwerender Umstände im Strafrecht für Straftaten, die an Journalisten begangen werden, wenn diese Handlungen durch deren berufliche Tätigkeit motiviert sind oder damit in Zusammenhang stehen;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330</w:t>
      </w:r>
      <w:r>
        <w:rPr>
          <w:rStyle w:val="HideTWBExt"/>
        </w:rPr>
        <w:t>&lt;/NumAm&gt;</w:t>
      </w:r>
    </w:p>
    <w:p w:rsidR="00931B01" w:rsidRDefault="00931B01" w:rsidP="00931B01">
      <w:pPr>
        <w:pStyle w:val="NormalBold"/>
      </w:pPr>
      <w:r>
        <w:rPr>
          <w:rStyle w:val="HideTWBExt"/>
          <w:b w:val="0"/>
        </w:rPr>
        <w:t>&lt;RepeatBlock-By&gt;&lt;Members&gt;</w:t>
      </w:r>
      <w:r>
        <w:t>Marieke Ehlers, Jorge Buxadé Villalba, Tom Vandendriessche,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verurteilt aufs Schärfste die staatliche Kontrolle und die politische Einflussnahme auf Medienaktivitäten und fordert verstärkte Anstrengungen, um die Sicherheit und den Schutz von Journalisten sicherzustellen;</w:t>
            </w:r>
          </w:p>
        </w:tc>
        <w:tc>
          <w:tcPr>
            <w:tcW w:w="4876" w:type="dxa"/>
            <w:tcBorders>
              <w:top w:val="nil"/>
              <w:left w:val="nil"/>
              <w:bottom w:val="nil"/>
              <w:right w:val="nil"/>
            </w:tcBorders>
          </w:tcPr>
          <w:p w:rsidR="00931B01" w:rsidRDefault="00931B01" w:rsidP="00104ED4">
            <w:pPr>
              <w:pStyle w:val="Normal6a"/>
            </w:pPr>
            <w:r>
              <w:t>11.</w:t>
            </w:r>
            <w:r>
              <w:tab/>
              <w:t xml:space="preserve">verurteilt aufs Schärfste die staatliche Kontrolle und die politische Einflussnahme auf Medienaktivitäten und fordert verstärkte Anstrengungen, um die Sicherheit und den Schutz von Journalisten sicherzustellen; </w:t>
            </w:r>
            <w:r>
              <w:rPr>
                <w:b/>
                <w:i/>
              </w:rPr>
              <w:t>fordert die EU daher auf, jegliche Finanzierung von Medienaktivitäten aus dem EU-Haushalt einzustellen, damit die Unabhängigkeit der Medien geschützt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331</w:t>
      </w:r>
      <w:r>
        <w:rPr>
          <w:rStyle w:val="HideTWBExt"/>
        </w:rPr>
        <w:t>&lt;/NumAm&gt;</w:t>
      </w:r>
    </w:p>
    <w:p w:rsidR="00931B01" w:rsidRDefault="00931B01" w:rsidP="00931B01">
      <w:pPr>
        <w:pStyle w:val="NormalBold"/>
      </w:pPr>
      <w:r>
        <w:rPr>
          <w:rStyle w:val="HideTWBExt"/>
          <w:b w:val="0"/>
        </w:rPr>
        <w:t>&lt;RepeatBlock-By&gt;&lt;Members&gt;</w:t>
      </w:r>
      <w:r>
        <w:t>Sebastian Tynkkynen</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verurteilt aufs Schärfste die staatliche Kontrolle und die politische Einflussnahme auf Medienaktivitäten und fordert verstärkte Anstrengungen, um die Sicherheit und den Schutz von Journalisten sicherzustellen;</w:t>
            </w:r>
          </w:p>
        </w:tc>
        <w:tc>
          <w:tcPr>
            <w:tcW w:w="4876" w:type="dxa"/>
            <w:tcBorders>
              <w:top w:val="nil"/>
              <w:left w:val="nil"/>
              <w:bottom w:val="nil"/>
              <w:right w:val="nil"/>
            </w:tcBorders>
          </w:tcPr>
          <w:p w:rsidR="00931B01" w:rsidRDefault="00931B01" w:rsidP="00104ED4">
            <w:pPr>
              <w:pStyle w:val="Normal6a"/>
            </w:pPr>
            <w:r>
              <w:t>11.</w:t>
            </w:r>
            <w:r>
              <w:tab/>
              <w:t>verurteilt aufs Schärfste die staatliche Kontrolle und die politische Einflussnahme auf Medienaktivitäten</w:t>
            </w:r>
            <w:r>
              <w:rPr>
                <w:b/>
                <w:i/>
              </w:rPr>
              <w:t>; betont, dass die von den öffentlich-rechtlichen Rundfunkanstalten produzierten Inhalte vollkommen unparteiisch sein und keine politische Tendenz aufweisen sollten;</w:t>
            </w:r>
            <w:r>
              <w:t xml:space="preserve"> fordert verstärkte Anstrengungen, um die Sicherheit und den Schutz von Journalisten sicherzustellen;</w:t>
            </w:r>
          </w:p>
        </w:tc>
      </w:tr>
    </w:tbl>
    <w:p w:rsidR="00931B01" w:rsidRDefault="00931B01" w:rsidP="00931B01">
      <w:pPr>
        <w:pStyle w:val="AmOrLang"/>
      </w:pPr>
      <w:r>
        <w:t xml:space="preserve">Or. </w:t>
      </w:r>
      <w:r>
        <w:rPr>
          <w:rStyle w:val="HideTWBExt"/>
        </w:rPr>
        <w:t>&lt;Original&gt;</w:t>
      </w:r>
      <w:r>
        <w:rPr>
          <w:rStyle w:val="HideTWBInt"/>
        </w:rPr>
        <w:t>{FI}</w:t>
      </w:r>
      <w:r>
        <w:t>fi</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332</w:t>
      </w:r>
      <w:r>
        <w:rPr>
          <w:rStyle w:val="HideTWBExt"/>
        </w:rPr>
        <w:t>&lt;/NumAm&gt;</w:t>
      </w:r>
    </w:p>
    <w:p w:rsidR="00931B01" w:rsidRDefault="00931B01" w:rsidP="00931B01">
      <w:pPr>
        <w:pStyle w:val="NormalBold"/>
      </w:pPr>
      <w:r>
        <w:rPr>
          <w:rStyle w:val="HideTWBExt"/>
          <w:b w:val="0"/>
        </w:rPr>
        <w:t>&lt;RepeatBlock-By&gt;&lt;Members&gt;</w:t>
      </w:r>
      <w:r>
        <w:t>Daniel Freund,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 xml:space="preserve">verurteilt aufs Schärfste die staatliche Kontrolle und die politische Einflussnahme auf Medienaktivitäten und fordert </w:t>
            </w:r>
            <w:r>
              <w:rPr>
                <w:b/>
                <w:i/>
              </w:rPr>
              <w:t>verstärkte Anstrengungen</w:t>
            </w:r>
            <w:r>
              <w:t xml:space="preserve">, </w:t>
            </w:r>
            <w:r>
              <w:rPr>
                <w:b/>
                <w:i/>
              </w:rPr>
              <w:t>um</w:t>
            </w:r>
            <w:r>
              <w:t xml:space="preserve"> die Sicherheit und den Schutz von Journalisten</w:t>
            </w:r>
            <w:r>
              <w:rPr>
                <w:b/>
                <w:i/>
              </w:rPr>
              <w:t xml:space="preserve"> sicherzustellen</w:t>
            </w:r>
            <w:r>
              <w:t>;</w:t>
            </w:r>
          </w:p>
        </w:tc>
        <w:tc>
          <w:tcPr>
            <w:tcW w:w="4876" w:type="dxa"/>
            <w:tcBorders>
              <w:top w:val="nil"/>
              <w:left w:val="nil"/>
              <w:bottom w:val="nil"/>
              <w:right w:val="nil"/>
            </w:tcBorders>
          </w:tcPr>
          <w:p w:rsidR="00931B01" w:rsidRDefault="00931B01" w:rsidP="00104ED4">
            <w:pPr>
              <w:pStyle w:val="Normal6a"/>
            </w:pPr>
            <w:r>
              <w:t>11.</w:t>
            </w:r>
            <w:r>
              <w:tab/>
              <w:t xml:space="preserve">verurteilt aufs Schärfste die staatliche Kontrolle und die politische Einflussnahme auf Medienaktivitäten und fordert </w:t>
            </w:r>
            <w:r>
              <w:rPr>
                <w:b/>
                <w:i/>
              </w:rPr>
              <w:t>die Kommission und die Mitgliedstaaten auf</w:t>
            </w:r>
            <w:r>
              <w:t xml:space="preserve">, </w:t>
            </w:r>
            <w:r>
              <w:rPr>
                <w:b/>
                <w:i/>
              </w:rPr>
              <w:t>für</w:t>
            </w:r>
            <w:r>
              <w:t xml:space="preserve"> die Sicherheit und den Schutz von Journalisten</w:t>
            </w:r>
            <w:r>
              <w:rPr>
                <w:b/>
                <w:i/>
              </w:rPr>
              <w:t>, insbesondere von investigativen Journalisten, zu sorgen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333</w:t>
      </w:r>
      <w:r>
        <w:rPr>
          <w:rStyle w:val="HideTWBExt"/>
        </w:rPr>
        <w:t>&lt;/NumAm&gt;</w:t>
      </w:r>
    </w:p>
    <w:p w:rsidR="00931B01" w:rsidRDefault="00931B01" w:rsidP="00931B01">
      <w:pPr>
        <w:pStyle w:val="NormalBold"/>
      </w:pPr>
      <w:r>
        <w:rPr>
          <w:rStyle w:val="HideTWBExt"/>
          <w:b w:val="0"/>
        </w:rPr>
        <w:t>&lt;RepeatBlock-By&gt;&lt;Members&gt;</w:t>
      </w:r>
      <w:r>
        <w:t>Isabel Wiseler-Lima, 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verurteilt aufs Schärfste die staatliche Kontrolle und die politische Einflussnahme auf Medienaktivitäten und fordert verstärkte Anstrengungen, um die Sicherheit und den Schutz von Journalisten sicherzustellen;</w:t>
            </w:r>
          </w:p>
        </w:tc>
        <w:tc>
          <w:tcPr>
            <w:tcW w:w="4876" w:type="dxa"/>
            <w:tcBorders>
              <w:top w:val="nil"/>
              <w:left w:val="nil"/>
              <w:bottom w:val="nil"/>
              <w:right w:val="nil"/>
            </w:tcBorders>
          </w:tcPr>
          <w:p w:rsidR="00931B01" w:rsidRDefault="00931B01" w:rsidP="00104ED4">
            <w:pPr>
              <w:pStyle w:val="Normal6a"/>
            </w:pPr>
            <w:r>
              <w:t>11.</w:t>
            </w:r>
            <w:r>
              <w:tab/>
              <w:t xml:space="preserve">verurteilt aufs Schärfste die staatliche Kontrolle und die politische Einflussnahme auf Medienaktivitäten und fordert verstärkte Anstrengungen, um die Sicherheit und den Schutz von Journalisten </w:t>
            </w:r>
            <w:r>
              <w:rPr>
                <w:b/>
                <w:i/>
              </w:rPr>
              <w:t xml:space="preserve">und der besonders gefährdeten Faktenprüfer </w:t>
            </w:r>
            <w:r>
              <w:t>sicherzustellen;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334</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verurteilt aufs Schärfste die staatliche Kontrolle und die politische Einflussnahme auf Medienaktivitäten und fordert verstärkte Anstrengungen, um die Sicherheit und den Schutz von Journalisten sicherzustellen;</w:t>
            </w:r>
          </w:p>
        </w:tc>
        <w:tc>
          <w:tcPr>
            <w:tcW w:w="4876" w:type="dxa"/>
            <w:tcBorders>
              <w:top w:val="nil"/>
              <w:left w:val="nil"/>
              <w:bottom w:val="nil"/>
              <w:right w:val="nil"/>
            </w:tcBorders>
          </w:tcPr>
          <w:p w:rsidR="00931B01" w:rsidRDefault="00931B01" w:rsidP="00104ED4">
            <w:pPr>
              <w:pStyle w:val="Normal6a"/>
            </w:pPr>
            <w:r>
              <w:t>11.</w:t>
            </w:r>
            <w:r>
              <w:tab/>
              <w:t xml:space="preserve">verurteilt aufs Schärfste die </w:t>
            </w:r>
            <w:r>
              <w:rPr>
                <w:b/>
                <w:i/>
              </w:rPr>
              <w:t xml:space="preserve">Zensur sowie die </w:t>
            </w:r>
            <w:r>
              <w:t>staatliche Kontrolle</w:t>
            </w:r>
            <w:r>
              <w:rPr>
                <w:b/>
                <w:i/>
              </w:rPr>
              <w:t xml:space="preserve"> von</w:t>
            </w:r>
            <w:r>
              <w:t xml:space="preserve"> und die politische Einflussnahme auf Medienaktivitäten und fordert verstärkte Anstrengungen, um die Sicherheit und den Schutz von Journalisten sicherzustellen;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335</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11.</w:t>
            </w:r>
            <w:r>
              <w:tab/>
              <w:t xml:space="preserve">verurteilt aufs Schärfste die </w:t>
            </w:r>
            <w:r>
              <w:rPr>
                <w:b/>
                <w:i/>
              </w:rPr>
              <w:t xml:space="preserve">staatliche Kontrolle und die </w:t>
            </w:r>
            <w:r>
              <w:t>politische Einflussnahme auf Medienaktivitäten und fordert verstärkte Anstrengungen, um die Sicherheit und den Schutz von Journalisten sicherzustellen;</w:t>
            </w:r>
          </w:p>
        </w:tc>
        <w:tc>
          <w:tcPr>
            <w:tcW w:w="4876" w:type="dxa"/>
            <w:tcBorders>
              <w:top w:val="nil"/>
              <w:left w:val="nil"/>
              <w:bottom w:val="nil"/>
              <w:right w:val="nil"/>
            </w:tcBorders>
          </w:tcPr>
          <w:p w:rsidR="00931B01" w:rsidRDefault="00931B01" w:rsidP="00104ED4">
            <w:pPr>
              <w:pStyle w:val="Normal6a"/>
            </w:pPr>
            <w:r>
              <w:t>11.</w:t>
            </w:r>
            <w:r>
              <w:tab/>
              <w:t>verurteilt aufs Schärfste die politische Einflussnahme auf Medienaktivitäten</w:t>
            </w:r>
            <w:r>
              <w:rPr>
                <w:b/>
                <w:i/>
              </w:rPr>
              <w:t>, bei denen das journalistische Berufsethos respektiert wird,</w:t>
            </w:r>
            <w:r>
              <w:t xml:space="preserve"> und fordert verstärkte Anstrengungen, um die Sicherheit und den Schutz von Journalisten sicherzustellen;</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336</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bringt seine Besorgnis darüber zum Ausdruck, dass Oppositionsmedien, insbesondere der Fernsehsender Telewizja Republika, von der Regierung Tusk unter Verletzung internationaler Standards von Pressekonferenzen ausgeschlossen werden, wodurch der Zugang zu Informationen und die Kontrolle des Staates eingeschränkt werden; verurteilt insbesondere, dass der größte informative Fernsehsender Telewizja Republika während des letzten Hochwassers nicht zu den Krisenkonferenzen zugelassen wurde, womit nicht nur das Recht auf Zugang zu Informationen verletzt, sondern auch die Sicherheit von Teilen der Bevölkerung gefährdet wurde; verurteilt die Maßnahmen des Machtapparats Tusks, mit denen dieser Druck auf staatseigene Gesellschaften und private Unternehmen mit dem Ziel ausübt, dass diese von ihren Werbeverträgen mit oppositionellen Medien zurücktreten;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337</w:t>
      </w:r>
      <w:r>
        <w:rPr>
          <w:rStyle w:val="HideTWBExt"/>
        </w:rPr>
        <w:t>&lt;/NumAm&gt;</w:t>
      </w:r>
    </w:p>
    <w:p w:rsidR="00931B01" w:rsidRDefault="00931B01" w:rsidP="00931B01">
      <w:pPr>
        <w:pStyle w:val="NormalBold"/>
      </w:pPr>
      <w:r>
        <w:rPr>
          <w:rStyle w:val="HideTWBExt"/>
          <w:b w:val="0"/>
        </w:rPr>
        <w:t>&lt;RepeatBlock-By&gt;&lt;Members&gt;</w:t>
      </w:r>
      <w:r>
        <w:t>Michał Wawrykiewicz, Ana Catarina Mendes, Moritz Körner, 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ist zutiefst besorgt über den Missbrauch von Überwachungstechnologien, einschließlich Spähsoftware, in mehreren Mitgliedstaaten, insbesondere wenn sie gegen Journalisten, Oppositionelle, Akteure der Zivilgesellschaft und Menschenrechtsverteidiger eingesetzt werden; betont, dass der willkürliche oder unrechtmäßige Einsatz solcher Technologien eine ernsthafte Bedrohung für die Grundrechte, die demokratische Staatsführung und die Unabhängigkeit der Justiz darstellt; fordert die Kommission auf, die Empfehlungen des PEGA-Untersuchungsausschusses des Europäischen Parlaments umzusetzen, insbesondere in Bezug auf das Verbot politisch motivierter Überwachung;</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338</w:t>
      </w:r>
      <w:r>
        <w:rPr>
          <w:rStyle w:val="HideTWBExt"/>
        </w:rPr>
        <w:t>&lt;/NumAm&gt;</w:t>
      </w:r>
    </w:p>
    <w:p w:rsidR="00931B01" w:rsidRDefault="00931B01" w:rsidP="00931B01">
      <w:pPr>
        <w:pStyle w:val="NormalBold"/>
      </w:pPr>
      <w:r>
        <w:rPr>
          <w:rStyle w:val="HideTWBExt"/>
          <w:b w:val="0"/>
        </w:rPr>
        <w:t>&lt;RepeatBlock-By&gt;&lt;Members&gt;</w:t>
      </w:r>
      <w:r>
        <w:t>Veronika Cifrová Ostrihoňová</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fordert die Kommission auf, die Auswirkungen von Social-Media-Plattformen auf die wirtschaftliche Tragfähigkeit und die Nachhaltigkeit der Medienbranche in Bezug auf die Demokratie zu analysieren; betont, dass die algorithmische Verstärkung, Verschiebungen bei den Werbeeinnahmen und die plattformgesteuerte Verbreitung von Inhalten den unabhängigen Journalismus und den Medienpluralismus untergraben können; fordert die Kommission auf, zu bewerten, inwieweit digitale Plattformen zu Marktungleichgewichten, prekären finanziellen Verhältnissen von Medien und der Verbreitung von Desinformation beitragen;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339</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fordert die Mitgliedstaaten nachdrücklich auf, dafür zu sorgen, dass mit der Umsetzung der Richtlinie (EU) 2016/343 über die Unschuldsvermutung keine Beschränkungen des Rechts auf Berichterstattung und Unterrichtung der Öffentlichkeit über Angelegenheiten von öffentlichem Interesse, einschließlich gerichtlicher Ermittlungen, eingeführt werden, die in der Richtlinie nicht vorgesehen sind; fordert die Mitgliedstaaten auf, bestehende nationale Bestimmungen, mit denen die journalistischen Freiheiten eingeschränkt werden könnten, zu überprüfen und erforderlichenfalls zu ändern;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340</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verurteilt aufs Schärfste jeden Versuch, legale Inhalte zu zensieren oder den politischen Diskurs in den sozialen Medien zu kontrollieren; fordert die Kommission auf, unverzüglich einen Vorschlag zur Aufhebung und Ersetzung des derzeitigen Gesetzes über digitale Dienste vorzulegen, um der Förderung der Moderation von Inhalten und dem Einsatz nicht unabhängiger Faktenprüfer ein Ende zu setzen, und statt dessen eine neue Verordnung vorzuschlagen, mit der die Meinungsfreiheit und das Auskunftsrecht gefördert werden;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341</w:t>
      </w:r>
      <w:r>
        <w:rPr>
          <w:rStyle w:val="HideTWBExt"/>
        </w:rPr>
        <w:t>&lt;/NumAm&gt;</w:t>
      </w:r>
    </w:p>
    <w:p w:rsidR="00931B01" w:rsidRDefault="00931B01" w:rsidP="00931B01">
      <w:pPr>
        <w:pStyle w:val="NormalBold"/>
      </w:pPr>
      <w:r>
        <w:rPr>
          <w:rStyle w:val="HideTWBExt"/>
          <w:b w:val="0"/>
        </w:rPr>
        <w:t>&lt;RepeatBlock-By&gt;&lt;Members&gt;</w:t>
      </w:r>
      <w:r>
        <w:t>Isabel Serra Sánchez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betont, dass dringend gegen rechtsgerichtete Medien vorgegangen werden muss, die eingesetzt werden, um politische Gegner und alle, die Machthaber in Frage stellen, zum Schweigen zu bringen, indem migrantenfeindliche und rassistische Rhetorik verwendet und bewusst falsche oder irreführende Informationen fabriziert werden, um sich dadurch politische Vorteile zu verschaffen;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342</w:t>
      </w:r>
      <w:r>
        <w:rPr>
          <w:rStyle w:val="HideTWBExt"/>
        </w:rPr>
        <w:t>&lt;/NumAm&gt;</w:t>
      </w:r>
    </w:p>
    <w:p w:rsidR="00931B01" w:rsidRDefault="00931B01" w:rsidP="00931B01">
      <w:pPr>
        <w:pStyle w:val="NormalBold"/>
      </w:pPr>
      <w:r>
        <w:rPr>
          <w:rStyle w:val="HideTWBExt"/>
          <w:b w:val="0"/>
        </w:rPr>
        <w:t>&lt;RepeatBlock-By&gt;&lt;Members&gt;</w:t>
      </w:r>
      <w:r>
        <w:t>Daniel Freund, Diana Riba i Giner</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betont, dass die Informationsfreiheit und der Zugang zu Informationen von öffentlichem Interesse nicht nur ein Grundrecht, sondern auch eine der wesentlichen Garantien für die Transparenz des Staates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343</w:t>
      </w:r>
      <w:r>
        <w:rPr>
          <w:rStyle w:val="HideTWBExt"/>
        </w:rPr>
        <w:t>&lt;/NumAm&gt;</w:t>
      </w:r>
    </w:p>
    <w:p w:rsidR="00931B01" w:rsidRDefault="00931B01" w:rsidP="00931B01">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betont, dass die Medienregulierungsbehörden durch rechtliche Garantien angemessen geschützt werden müssen, damit für ihre Unabhängigkeit, ausreichende Haushaltsmittel und Freiheit von politischem Druck gesorgt wird;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344</w:t>
      </w:r>
      <w:r>
        <w:rPr>
          <w:rStyle w:val="HideTWBExt"/>
        </w:rPr>
        <w:t>&lt;/NumAm&gt;</w:t>
      </w:r>
    </w:p>
    <w:p w:rsidR="00931B01" w:rsidRDefault="00931B01" w:rsidP="00931B01">
      <w:pPr>
        <w:pStyle w:val="NormalBold"/>
      </w:pPr>
      <w:r>
        <w:rPr>
          <w:rStyle w:val="HideTWBExt"/>
          <w:b w:val="0"/>
        </w:rPr>
        <w:t>&lt;RepeatBlock-By&gt;&lt;Members&gt;</w:t>
      </w:r>
      <w:r>
        <w:t>Romana Tomc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verurteilt die slowenische Regierung, die ein neues Mediengesetz verabschiedet hat, das darauf abzielt, Justizbefugnisse an Inspektoren zu übertragen und die Grundlage für eine politisch motivierte Zuweisung staatlicher Mittel zu schaffen;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345</w:t>
      </w:r>
      <w:r>
        <w:rPr>
          <w:rStyle w:val="HideTWBExt"/>
        </w:rPr>
        <w:t>&lt;/NumAm&gt;</w:t>
      </w:r>
    </w:p>
    <w:p w:rsidR="00931B01" w:rsidRDefault="00931B01" w:rsidP="00931B01">
      <w:pPr>
        <w:pStyle w:val="NormalBold"/>
      </w:pPr>
      <w:r>
        <w:rPr>
          <w:rStyle w:val="HideTWBExt"/>
          <w:b w:val="0"/>
        </w:rPr>
        <w:t>&lt;RepeatBlock-By&gt;&lt;Members&gt;</w:t>
      </w:r>
      <w:r>
        <w:t>Emmanouil Fragkos, Geadis Geadi, Galato Alexandraki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Zwischenüberschrift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Organisationen der Zivilgesellschaft</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{EL}</w:t>
      </w:r>
      <w:r>
        <w:t>el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346</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Alessandro Zan, Fabienne Keller, Lucia Yar, Isabel Wiseler-Lima,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11a.</w:t>
            </w:r>
            <w:r>
              <w:rPr>
                <w:b/>
                <w:i/>
              </w:rPr>
              <w:tab/>
              <w:t>fordert die Mitgliedstaaten auf, einen Rahmen zu schaffen, mit dem die Freiheit der Menschen gewährleistet, nach Informationen zu suchen, zu diese empfangen und weiterzugeben, und dafür Sorge zu tragen, dass die im Gesetz über digitale Dienste vorgesehenen nationalen Koordinatoren in der Lage sind, ihre Rolle bei der Ermöglichung des Informationsaustauschs und der Zusammenarbeit auf europäischer Ebene in vollem Umfang wahrzunehmen;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347</w:t>
      </w:r>
      <w:r>
        <w:rPr>
          <w:rStyle w:val="HideTWBExt"/>
        </w:rPr>
        <w:t>&lt;/NumAm&gt;</w:t>
      </w:r>
    </w:p>
    <w:p w:rsidR="00931B01" w:rsidRDefault="00931B01" w:rsidP="00931B01">
      <w:pPr>
        <w:pStyle w:val="NormalBold"/>
      </w:pPr>
      <w:r>
        <w:rPr>
          <w:rStyle w:val="HideTWBExt"/>
          <w:b w:val="0"/>
        </w:rPr>
        <w:t>&lt;RepeatBlock-By&gt;&lt;Members&gt;</w:t>
      </w:r>
      <w:r>
        <w:t>Emmanouil Fragkos, Geadis Geadi, Galato Alexandraki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12.</w:t>
            </w:r>
            <w:r>
              <w:tab/>
            </w:r>
            <w:r>
              <w:rPr>
                <w:b/>
                <w:i/>
              </w:rPr>
              <w:t>stimmt der Einschätzung der Kommission zu, dass Organisationen der Zivilgesellschaft und Menschenrechtsverteidiger für das Kräftegleichgewicht von wesentlicher Bedeutung sind;</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{EL}</w:t>
      </w:r>
      <w:r>
        <w:t>el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348</w:t>
      </w:r>
      <w:r>
        <w:rPr>
          <w:rStyle w:val="HideTWBExt"/>
        </w:rPr>
        <w:t>&lt;/NumAm&gt;</w:t>
      </w:r>
    </w:p>
    <w:p w:rsidR="00931B01" w:rsidRDefault="00931B01" w:rsidP="00931B01">
      <w:pPr>
        <w:pStyle w:val="NormalBold"/>
      </w:pPr>
      <w:r>
        <w:rPr>
          <w:rStyle w:val="HideTWBExt"/>
          <w:b w:val="0"/>
        </w:rPr>
        <w:t>&lt;RepeatBlock-By&gt;&lt;Members&gt;</w:t>
      </w:r>
      <w:r>
        <w:t>Nicolas Bay</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12.</w:t>
            </w:r>
            <w:r>
              <w:tab/>
            </w:r>
            <w:r>
              <w:rPr>
                <w:b/>
                <w:i/>
              </w:rPr>
              <w:t>stimmt der Einschätzung der Kommission zu, dass Organisationen der Zivilgesellschaft und Menschenrechtsverteidiger für das Kräftegleichgewicht von wesentlicher Bedeutung sind;</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{FR}</w:t>
      </w:r>
      <w:r>
        <w:t>fr</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349</w:t>
      </w:r>
      <w:r>
        <w:rPr>
          <w:rStyle w:val="HideTWBExt"/>
        </w:rPr>
        <w:t>&lt;/NumAm&gt;</w:t>
      </w:r>
    </w:p>
    <w:p w:rsidR="00931B01" w:rsidRDefault="00931B01" w:rsidP="00931B01">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Michał Wawrykiewicz, Cecilia Strada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12.</w:t>
            </w:r>
            <w:r>
              <w:tab/>
              <w:t>stimmt der Einschätzung der Kommission zu, dass Organisationen der Zivilgesellschaft und Menschenrechtsverteidiger für das Kräftegleichgewicht von wesentlicher Bedeutung sind;</w:t>
            </w:r>
          </w:p>
        </w:tc>
        <w:tc>
          <w:tcPr>
            <w:tcW w:w="4876" w:type="dxa"/>
            <w:tcBorders>
              <w:top w:val="nil"/>
              <w:left w:val="nil"/>
              <w:bottom w:val="nil"/>
              <w:right w:val="nil"/>
            </w:tcBorders>
          </w:tcPr>
          <w:p w:rsidR="00931B01" w:rsidRDefault="00931B01" w:rsidP="00104ED4">
            <w:pPr>
              <w:pStyle w:val="Normal6a"/>
            </w:pPr>
            <w:r>
              <w:t>12.</w:t>
            </w:r>
            <w:r>
              <w:tab/>
              <w:t>stimmt der Einschätzung der Kommission zu, dass Organisationen der Zivilgesellschaft und Menschenrechtsverteidiger für das Kräftegleichgewicht von wesentlicher Bedeutung sind</w:t>
            </w:r>
            <w:r>
              <w:rPr>
                <w:b/>
                <w:i/>
              </w:rPr>
              <w:t>, da sie als Kontrollinstanzen bei Verstößen gegen die Rechtsstaatlichkeit fungieren und aktiv zur Förderung und zum Schutz der Grundwerte der EU beitragen;</w:t>
            </w:r>
            <w:r>
              <w:t xml:space="preserve"> </w:t>
            </w:r>
            <w:r>
              <w:rPr>
                <w:b/>
                <w:i/>
              </w:rPr>
              <w:t>weist darauf hin, dass die Kommission die Mitgliedstaaten in diesem Zusammenhang nachdrücklich aufgefordert hat, Rahmenbedingungen zu schaffen, das der Tätigkeit dieser Organisationen und Menschenrechtsverteidiger förderlich ist; fordert die Kommission nachdrücklich auf, Maßnahmen zu ergreifen, um den Schutz von Organisationen der Zivilgesellschaft zu stärken, politisch engagierte Bürger zu schützen und weiterhin dafür zu sorgen, dass die notwendigen Voraussetzungen für die Förderung von Menschenrechtsverteidigern gewährleistet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350</w:t>
      </w:r>
      <w:r>
        <w:rPr>
          <w:rStyle w:val="HideTWBExt"/>
        </w:rPr>
        <w:t>&lt;/NumAm&gt;</w:t>
      </w:r>
    </w:p>
    <w:p w:rsidR="00931B01" w:rsidRDefault="00931B01" w:rsidP="00931B01">
      <w:pPr>
        <w:pStyle w:val="NormalBold"/>
      </w:pPr>
      <w:r>
        <w:rPr>
          <w:rStyle w:val="HideTWBExt"/>
          <w:b w:val="0"/>
        </w:rPr>
        <w:t>&lt;RepeatBlock-By&gt;&lt;Members&gt;</w:t>
      </w:r>
      <w:r>
        <w:t>András László</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12.</w:t>
            </w:r>
            <w:r>
              <w:tab/>
            </w:r>
            <w:r>
              <w:rPr>
                <w:b/>
                <w:i/>
              </w:rPr>
              <w:t>stimmt der</w:t>
            </w:r>
            <w:r>
              <w:t xml:space="preserve"> Einschätzung der Kommission</w:t>
            </w:r>
            <w:r>
              <w:rPr>
                <w:b/>
                <w:i/>
              </w:rPr>
              <w:t xml:space="preserve"> zu</w:t>
            </w:r>
            <w:r>
              <w:t>, dass Organisationen der Zivilgesellschaft und Menschenrechtsverteidiger für das Kräftegleichgewicht von wesentlicher Bedeutung sind;</w:t>
            </w:r>
          </w:p>
        </w:tc>
        <w:tc>
          <w:tcPr>
            <w:tcW w:w="4876" w:type="dxa"/>
            <w:tcBorders>
              <w:top w:val="nil"/>
              <w:left w:val="nil"/>
              <w:bottom w:val="nil"/>
              <w:right w:val="nil"/>
            </w:tcBorders>
          </w:tcPr>
          <w:p w:rsidR="00931B01" w:rsidRDefault="00931B01" w:rsidP="00104ED4">
            <w:pPr>
              <w:pStyle w:val="Normal6a"/>
            </w:pPr>
            <w:r>
              <w:t>12.</w:t>
            </w:r>
            <w:r>
              <w:tab/>
            </w:r>
            <w:r>
              <w:rPr>
                <w:b/>
                <w:i/>
              </w:rPr>
              <w:t>ist zutiefst besorgt über die von den Open Society Foundations von George Soros geteilte</w:t>
            </w:r>
            <w:r>
              <w:t xml:space="preserve"> Einschätzung der Kommission, dass Organisationen der Zivilgesellschaft und Menschenrechtsverteidiger für das Kräftegleichgewicht von wesentlicher Bedeutung sind; </w:t>
            </w:r>
            <w:r>
              <w:rPr>
                <w:b/>
                <w:i/>
              </w:rPr>
              <w:t>fordert die Kommission auf, von den nichtstaatlichen Organisationen, mit denen sie zusammenarbeitet, vollständige Transparenz zu verlangen;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351</w:t>
      </w:r>
      <w:r>
        <w:rPr>
          <w:rStyle w:val="HideTWBExt"/>
        </w:rPr>
        <w:t>&lt;/NumAm&gt;</w:t>
      </w:r>
    </w:p>
    <w:p w:rsidR="00931B01" w:rsidRDefault="00931B01" w:rsidP="00931B01">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 Daniel Freund</w:t>
      </w:r>
      <w:r>
        <w:rPr>
          <w:rStyle w:val="HideTWBExt"/>
          <w:b w:val="0"/>
        </w:rPr>
        <w:t>&lt;/Members&gt;</w:t>
      </w:r>
    </w:p>
    <w:p w:rsidR="00931B01" w:rsidRDefault="00931B01" w:rsidP="00931B01">
      <w:r>
        <w:rPr>
          <w:rStyle w:val="HideTWBExt"/>
        </w:rPr>
        <w:t>&lt;AuNomDe&gt;</w:t>
      </w:r>
      <w:r>
        <w:rPr>
          <w:rStyle w:val="HideTWBInt"/>
          <w:color w:val="auto"/>
        </w:rPr>
        <w:t>{LIBE}</w:t>
      </w:r>
      <w:r>
        <w:t>im Namen des Ausschusses für bürgerliche Freiheiten, Justiz und Inneres</w:t>
      </w:r>
      <w:r>
        <w:rPr>
          <w:rStyle w:val="HideTWBExt"/>
        </w:rPr>
        <w:t>&lt;/AuNomDe&gt;</w:t>
      </w:r>
    </w:p>
    <w:p w:rsidR="00931B01" w:rsidRDefault="00931B01" w:rsidP="00931B01">
      <w:pPr>
        <w:pStyle w:val="NormalBold"/>
      </w:pPr>
      <w:r>
        <w:rPr>
          <w:rStyle w:val="HideTWBExt"/>
          <w:b w:val="0"/>
        </w:rPr>
        <w:t>&lt;Members&gt;</w:t>
      </w:r>
      <w:r>
        <w:t>Sophie Wilmès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12.</w:t>
            </w:r>
            <w:r>
              <w:tab/>
              <w:t>stimmt der Einschätzung der Kommission zu, dass Organisationen der Zivilgesellschaft und Menschenrechtsverteidiger für das Kräftegleichgewicht von wesentlicher Bedeutung sind;</w:t>
            </w:r>
          </w:p>
        </w:tc>
        <w:tc>
          <w:tcPr>
            <w:tcW w:w="4876" w:type="dxa"/>
            <w:tcBorders>
              <w:top w:val="nil"/>
              <w:left w:val="nil"/>
              <w:bottom w:val="nil"/>
              <w:right w:val="nil"/>
            </w:tcBorders>
          </w:tcPr>
          <w:p w:rsidR="00931B01" w:rsidRDefault="00931B01" w:rsidP="00104ED4">
            <w:pPr>
              <w:pStyle w:val="Normal6a"/>
            </w:pPr>
            <w:r>
              <w:t>12.</w:t>
            </w:r>
            <w:r>
              <w:tab/>
              <w:t>stimmt der Einschätzung der Kommission zu, dass Organisationen der Zivilgesellschaft</w:t>
            </w:r>
            <w:r>
              <w:rPr>
                <w:b/>
                <w:i/>
              </w:rPr>
              <w:t>, unabhängige Behörden, Bürgerbeauftragte</w:t>
            </w:r>
            <w:r>
              <w:t xml:space="preserve"> und Menschenrechtsverteidiger für das Kräftegleichgewicht von wesentlicher Bedeutung sind; </w:t>
            </w:r>
            <w:r>
              <w:rPr>
                <w:b/>
                <w:i/>
              </w:rPr>
              <w:t>weist erneut darauf hin, dass sichere, unterstützende und günstige Rahmenbedingungen für sie geschaffen werden müssen;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352</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12.</w:t>
            </w:r>
            <w:r>
              <w:tab/>
              <w:t>stimmt der Einschätzung der Kommission zu, dass Organisationen der Zivilgesellschaft und Menschenrechtsverteidiger für das Kräftegleichgewicht von wesentlicher Bedeutung sind;</w:t>
            </w:r>
          </w:p>
        </w:tc>
        <w:tc>
          <w:tcPr>
            <w:tcW w:w="4876" w:type="dxa"/>
            <w:tcBorders>
              <w:top w:val="nil"/>
              <w:left w:val="nil"/>
              <w:bottom w:val="nil"/>
              <w:right w:val="nil"/>
            </w:tcBorders>
          </w:tcPr>
          <w:p w:rsidR="00931B01" w:rsidRDefault="00931B01" w:rsidP="00104ED4">
            <w:pPr>
              <w:pStyle w:val="Normal6a"/>
            </w:pPr>
            <w:r>
              <w:t>12.</w:t>
            </w:r>
            <w:r>
              <w:tab/>
              <w:t xml:space="preserve">ist der Auffassung, dass Organisationen der Zivilgesellschaft und Menschenrechtsverteidiger für das Kräftegleichgewicht von wesentlicher Bedeutung sind, wenn sie wirklich unabhängig sind und die Interessen der Bürger der Mitgliedstaaten vertreten; </w:t>
            </w:r>
            <w:r>
              <w:rPr>
                <w:b/>
                <w:i/>
              </w:rPr>
              <w:t>betont in diesem Zusammenhang, dass Transparenz in Bezug auf ihre Finanzierung und eine angemessene Kennzeichnung ausländischer Organisationen erforderlich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353</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12.</w:t>
            </w:r>
            <w:r>
              <w:tab/>
            </w:r>
            <w:r>
              <w:rPr>
                <w:b/>
                <w:i/>
              </w:rPr>
              <w:t>stimmt der Einschätzung der Kommission zu</w:t>
            </w:r>
            <w:r>
              <w:t xml:space="preserve">, dass Organisationen der Zivilgesellschaft und Menschenrechtsverteidiger für </w:t>
            </w:r>
            <w:r>
              <w:rPr>
                <w:b/>
                <w:i/>
              </w:rPr>
              <w:t>das Kräftegleichgewicht</w:t>
            </w:r>
            <w:r>
              <w:t xml:space="preserve"> von wesentlicher Bedeutung sind;</w:t>
            </w:r>
          </w:p>
        </w:tc>
        <w:tc>
          <w:tcPr>
            <w:tcW w:w="4876" w:type="dxa"/>
            <w:tcBorders>
              <w:top w:val="nil"/>
              <w:left w:val="nil"/>
              <w:bottom w:val="nil"/>
              <w:right w:val="nil"/>
            </w:tcBorders>
          </w:tcPr>
          <w:p w:rsidR="00931B01" w:rsidRDefault="00931B01" w:rsidP="00104ED4">
            <w:pPr>
              <w:pStyle w:val="Normal6a"/>
            </w:pPr>
            <w:r>
              <w:t>12.</w:t>
            </w:r>
            <w:r>
              <w:tab/>
            </w:r>
            <w:r>
              <w:rPr>
                <w:b/>
                <w:i/>
              </w:rPr>
              <w:t>betont</w:t>
            </w:r>
            <w:r>
              <w:t xml:space="preserve">, dass Organisationen der Zivilgesellschaft und Menschenrechtsverteidiger für </w:t>
            </w:r>
            <w:r>
              <w:rPr>
                <w:b/>
                <w:i/>
              </w:rPr>
              <w:t>eine gut funktionierende Demokratie</w:t>
            </w:r>
            <w:r>
              <w:t xml:space="preserve"> von wesentlicher Bedeutung sind; </w:t>
            </w:r>
            <w:r>
              <w:rPr>
                <w:b/>
                <w:i/>
              </w:rPr>
              <w:t>bedauert, dass die Organe der Union die Unterstützung linksliberaler Organisationen durchsetzen, womit sie ihre Zuständigkeiten überschreiten und in ideologischen Streitigkeiten Partei ergreifen;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354</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12.</w:t>
            </w:r>
            <w:r>
              <w:tab/>
              <w:t>stimmt der Einschätzung der Kommission zu, dass Organisationen der Zivilgesellschaft und Menschenrechtsverteidiger für das Kräftegleichgewicht von wesentlicher Bedeutung sind;</w:t>
            </w:r>
          </w:p>
        </w:tc>
        <w:tc>
          <w:tcPr>
            <w:tcW w:w="4876" w:type="dxa"/>
            <w:tcBorders>
              <w:top w:val="nil"/>
              <w:left w:val="nil"/>
              <w:bottom w:val="nil"/>
              <w:right w:val="nil"/>
            </w:tcBorders>
          </w:tcPr>
          <w:p w:rsidR="00931B01" w:rsidRDefault="00931B01" w:rsidP="00104ED4">
            <w:pPr>
              <w:pStyle w:val="Normal6a"/>
            </w:pPr>
            <w:r>
              <w:t>12.</w:t>
            </w:r>
            <w:r>
              <w:tab/>
              <w:t xml:space="preserve">stimmt der Einschätzung der Kommission zu, dass Organisationen der Zivilgesellschaft und Menschenrechtsverteidiger für das Kräftegleichgewicht </w:t>
            </w:r>
            <w:r>
              <w:rPr>
                <w:b/>
                <w:i/>
              </w:rPr>
              <w:t xml:space="preserve">sowie für den Schutz der Grundrechte, einem Eckpfeiler der EU, </w:t>
            </w:r>
            <w:r>
              <w:t>von wesentlicher Bedeutung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355</w:t>
      </w:r>
      <w:r>
        <w:rPr>
          <w:rStyle w:val="HideTWBExt"/>
        </w:rPr>
        <w:t>&lt;/NumAm&gt;</w:t>
      </w:r>
    </w:p>
    <w:p w:rsidR="00931B01" w:rsidRDefault="00931B01" w:rsidP="00931B01">
      <w:pPr>
        <w:pStyle w:val="NormalBold"/>
      </w:pPr>
      <w:r>
        <w:rPr>
          <w:rStyle w:val="HideTWBExt"/>
          <w:b w:val="0"/>
        </w:rPr>
        <w:t>&lt;RepeatBlock-By&gt;&lt;Members&gt;</w:t>
      </w:r>
      <w:r>
        <w:t>Romana Tomc</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12.</w:t>
            </w:r>
            <w:r>
              <w:tab/>
              <w:t xml:space="preserve">stimmt der Einschätzung der Kommission zu, dass Organisationen der Zivilgesellschaft und Menschenrechtsverteidiger für das Kräftegleichgewicht von </w:t>
            </w:r>
            <w:r>
              <w:rPr>
                <w:b/>
                <w:i/>
              </w:rPr>
              <w:t xml:space="preserve">wesentlicher </w:t>
            </w:r>
            <w:r>
              <w:t>Bedeutung sind;</w:t>
            </w:r>
          </w:p>
        </w:tc>
        <w:tc>
          <w:tcPr>
            <w:tcW w:w="4876" w:type="dxa"/>
            <w:tcBorders>
              <w:top w:val="nil"/>
              <w:left w:val="nil"/>
              <w:bottom w:val="nil"/>
              <w:right w:val="nil"/>
            </w:tcBorders>
          </w:tcPr>
          <w:p w:rsidR="00931B01" w:rsidRDefault="00931B01" w:rsidP="00104ED4">
            <w:pPr>
              <w:pStyle w:val="Normal6a"/>
            </w:pPr>
            <w:r>
              <w:t>12.</w:t>
            </w:r>
            <w:r>
              <w:tab/>
              <w:t>stimmt der Einschätzung der Kommission zu, dass Organisationen der Zivilgesellschaft und Menschenrechtsverteidiger für das Kräftegleichgewicht von Bedeutung sind;</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356</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12.</w:t>
            </w:r>
            <w:r>
              <w:tab/>
            </w:r>
            <w:r>
              <w:rPr>
                <w:b/>
                <w:i/>
              </w:rPr>
              <w:t>stimmt der</w:t>
            </w:r>
            <w:r>
              <w:t xml:space="preserve"> Einschätzung der Kommission </w:t>
            </w:r>
            <w:r>
              <w:rPr>
                <w:b/>
                <w:i/>
              </w:rPr>
              <w:t>zu</w:t>
            </w:r>
            <w:r>
              <w:t xml:space="preserve">, dass Organisationen der Zivilgesellschaft und Menschenrechtsverteidiger </w:t>
            </w:r>
            <w:r>
              <w:rPr>
                <w:b/>
                <w:i/>
              </w:rPr>
              <w:t xml:space="preserve">für </w:t>
            </w:r>
            <w:r>
              <w:t xml:space="preserve">das Kräftegleichgewicht </w:t>
            </w:r>
            <w:r>
              <w:rPr>
                <w:b/>
                <w:i/>
              </w:rPr>
              <w:t>von wesentlicher Bedeutung sind</w:t>
            </w:r>
            <w:r>
              <w:t>;</w:t>
            </w:r>
          </w:p>
        </w:tc>
        <w:tc>
          <w:tcPr>
            <w:tcW w:w="4876" w:type="dxa"/>
            <w:tcBorders>
              <w:top w:val="nil"/>
              <w:left w:val="nil"/>
              <w:bottom w:val="nil"/>
              <w:right w:val="nil"/>
            </w:tcBorders>
          </w:tcPr>
          <w:p w:rsidR="00931B01" w:rsidRDefault="00931B01" w:rsidP="00104ED4">
            <w:pPr>
              <w:pStyle w:val="Normal6a"/>
            </w:pPr>
            <w:r>
              <w:t>12.</w:t>
            </w:r>
            <w:r>
              <w:tab/>
            </w:r>
            <w:r>
              <w:rPr>
                <w:b/>
                <w:i/>
              </w:rPr>
              <w:t>nimmt die</w:t>
            </w:r>
            <w:r>
              <w:t xml:space="preserve"> Einschätzung der Kommission </w:t>
            </w:r>
            <w:r>
              <w:rPr>
                <w:b/>
                <w:i/>
              </w:rPr>
              <w:t>zur Kenntnis</w:t>
            </w:r>
            <w:r>
              <w:t xml:space="preserve">, dass Organisationen der Zivilgesellschaft und Menschenrechtsverteidiger das Kräftegleichgewicht </w:t>
            </w:r>
            <w:r>
              <w:rPr>
                <w:b/>
                <w:i/>
              </w:rPr>
              <w:t>beeinflussen</w:t>
            </w:r>
            <w:r>
              <w: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357</w:t>
      </w:r>
      <w:r>
        <w:rPr>
          <w:rStyle w:val="HideTWBExt"/>
        </w:rPr>
        <w:t>&lt;/NumAm&gt;</w:t>
      </w:r>
    </w:p>
    <w:p w:rsidR="00931B01" w:rsidRDefault="00931B01" w:rsidP="00931B01">
      <w:pPr>
        <w:pStyle w:val="NormalBold"/>
      </w:pPr>
      <w:r>
        <w:rPr>
          <w:rStyle w:val="HideTWBExt"/>
          <w:b w:val="0"/>
        </w:rPr>
        <w:t>&lt;RepeatBlock-By&gt;&lt;Members&gt;</w:t>
      </w:r>
      <w:r>
        <w:t>Alessandro Zan, Cecilia Strada, Sandro Ruotolo, Pina Picierno, Marco Tarquinio</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12a.</w:t>
            </w:r>
            <w:r>
              <w:rPr>
                <w:b/>
                <w:i/>
              </w:rPr>
              <w:tab/>
              <w:t>ist zutiefst besorgt über die Herausforderungen, mit denen die Zivilgesellschaft in Italien konfrontiert ist; weist auf die Kritik des Europarats, der OECD und der Vereinten Nationen am italienischen Gesetzesentwurf „Bestimmungen über die öffentliche Sicherheit“ und an der daraus resultierenden Abschaffung von Teilen des Rechtsschutzes und der Menschenrechte hin; ist zutiefst besorgt über die Einschränkungen, die dieser Gesetzentwurf für das Recht auf Freiheit und Sicherheit, das Verbot einer willkürliche Inhaftierung, das Recht auf Freizügigkeit, das Recht auf ein faires Verfahren, das Recht auf Privatsphäre, das Recht auf Meinungs- und Meinungsfreiheit, die Versammlungs- und Vereinigungsfreiheit und die Grundrechte mit sich bringt;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358</w:t>
      </w:r>
      <w:r>
        <w:rPr>
          <w:rStyle w:val="HideTWBExt"/>
        </w:rPr>
        <w:t>&lt;/NumAm&gt;</w:t>
      </w:r>
    </w:p>
    <w:p w:rsidR="00931B01" w:rsidRDefault="00931B01" w:rsidP="00931B01">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12a.</w:t>
            </w:r>
            <w:r>
              <w:rPr>
                <w:b/>
                <w:i/>
              </w:rPr>
              <w:tab/>
              <w:t>spricht sich zutiefst dagegen aus, dass die Kommission und ihre Agenturen Organisationen finanzieren, deren Aufgabe darin besteht, auf die Standpunkte anderer Organe der Union, darunter die des Europäischen Parlaments, Einfluss zu nehmen; hält diese Maßnahmen für unzulässig und fordert die Kommission auf, einen ausführlichen Bericht zu diesem Thema vorzulegen, und ersucht den Europäischen Rechnungshof, diesbezüglich eine Prüfung durchzuführen; ist der Ansicht, dass die Kommission und die anderen Organe der Union nicht berechtigt sind, ideologische Maßnahmen jeglicher Art, einschließlich solcher, mit denen Einfluss auf die EU-Organe und die Mitgliedstaaten ausgeübt wird, durch die Bereitstellung finanzieller Mittel oder anderer Formen der Unterstützung zu fördern;</w:t>
            </w:r>
          </w:p>
        </w:tc>
      </w:tr>
    </w:tbl>
    <w:p w:rsidR="00931B01" w:rsidRDefault="00931B01" w:rsidP="00931B01">
      <w:pPr>
        <w:pStyle w:val="AmOrLang"/>
      </w:pPr>
      <w:r>
        <w:t xml:space="preserve">Or. </w:t>
      </w:r>
      <w:r>
        <w:rPr>
          <w:rStyle w:val="HideTWBExt"/>
        </w:rPr>
        <w:t>&lt;Original&gt;</w:t>
      </w:r>
      <w:r>
        <w:rPr>
          <w:rStyle w:val="HideTWBInt"/>
        </w:rPr>
        <w:t>{PL}</w:t>
      </w:r>
      <w:r>
        <w:t>pl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359</w:t>
      </w:r>
      <w:r>
        <w:rPr>
          <w:rStyle w:val="HideTWBExt"/>
        </w:rPr>
        <w:t>&lt;/NumAm&gt;</w:t>
      </w:r>
    </w:p>
    <w:p w:rsidR="00931B01" w:rsidRDefault="00931B01" w:rsidP="00931B01">
      <w:pPr>
        <w:pStyle w:val="NormalBold"/>
      </w:pPr>
      <w:r>
        <w:rPr>
          <w:rStyle w:val="HideTWBExt"/>
          <w:b w:val="0"/>
        </w:rPr>
        <w:t>&lt;RepeatBlock-By&gt;&lt;Members&gt;</w:t>
      </w:r>
      <w:r>
        <w:t>Isabel Serra Sánchez, Ana Catarina Mendes</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12a.</w:t>
            </w:r>
            <w:r>
              <w:rPr>
                <w:b/>
                <w:i/>
              </w:rPr>
              <w:tab/>
              <w:t>ist zutiefst besorgt über die zunehmende Verfolgung und Kriminalisierung des Eintretens für den Klimaschutz in mehreren EU-Mitgliedstaaten; verurteilt die Einstufung von Klimaaktivisten als Mitglieder von „kriminellen Organisationen“ und den Missbrauch von Gesetzen zur Bekämpfung des Terrorismus und der organisierten Kriminalität zur Unterdrückung friedlicher Protestbewegungen; betont, dass durch solche Maßnahmen nicht nur das Grundrecht auf friedliche Versammlung und das Recht auf freie Meinungsäußerung verletzt werden, sondern von ihnen auch eine abschreckende Wirkung ausgeht, die Menschen von bürgerschaftlichem Engagement und demokratischer Teilhabe abhält; fordert die Mitgliedstaaten auf, unverhältnismäßige rechtliche Schritte gegen Klimaaktivisten zu unterlassen;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360</w:t>
      </w:r>
      <w:r>
        <w:rPr>
          <w:rStyle w:val="HideTWBExt"/>
        </w:rPr>
        <w:t>&lt;/NumAm&gt;</w:t>
      </w:r>
    </w:p>
    <w:p w:rsidR="00931B01" w:rsidRDefault="00931B01" w:rsidP="00931B01">
      <w:pPr>
        <w:pStyle w:val="NormalBold"/>
      </w:pPr>
      <w:r>
        <w:rPr>
          <w:rStyle w:val="HideTWBExt"/>
          <w:b w:val="0"/>
        </w:rPr>
        <w:t>&lt;RepeatBlock-By&gt;&lt;Members&gt;</w:t>
      </w:r>
      <w:r>
        <w:t>Mary Khan, Christine Anderson, Milan Uhrík, Ewa Zajączkowska-Hernik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12a.</w:t>
            </w:r>
            <w:r>
              <w:rPr>
                <w:b/>
                <w:i/>
              </w:rPr>
              <w:tab/>
              <w:t>ist besorgt über die stetig zunehmende Finanzierung nichtstaatlicher Organisationen aus dem EU-Haushalt; betont, dass staatlich finanzierte nichtstaatliche Organisationen ein Parodoxon sind; fordert eine gründliche Überprüfung aller Zahlungen aus dem EU-Haushalt an nichtstaatliche Organisationen, insbesondere vor dem Hintergrund des von dem ehemaligen Kommissionsmitglieds Timmermans geschaffenen geschlossenen Kreislaufs zum Zweck der Lobbytätigkeit , mit dem die Kommission nichtstaatliche Organisationen finanziert hat, die sich für die Vorschläge der Kommission eingesetzt haben;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361</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p>
        </w:tc>
        <w:tc>
          <w:tcPr>
            <w:tcW w:w="4876" w:type="dxa"/>
            <w:tcBorders>
              <w:top w:val="nil"/>
              <w:left w:val="nil"/>
              <w:bottom w:val="nil"/>
              <w:right w:val="nil"/>
            </w:tcBorders>
          </w:tcPr>
          <w:p w:rsidR="00931B01" w:rsidRDefault="00931B01" w:rsidP="00104ED4">
            <w:pPr>
              <w:pStyle w:val="Normal6a"/>
            </w:pPr>
            <w:r>
              <w:rPr>
                <w:b/>
                <w:i/>
              </w:rPr>
              <w:t>12a.</w:t>
            </w:r>
            <w:r>
              <w:rPr>
                <w:b/>
                <w:i/>
              </w:rPr>
              <w:tab/>
              <w:t>verurteilt den Einsatz von zivilgesellschaftlichen Organisationen und Menschenrechtsverteidigern zur Umsetzung ausländischer Agenden von staatlichen und nichtstaatlichen Akteuren aus Drittstaaten; betont, dass sich die Kommission bei der Gestaltung neuer politischer Maßnahmen nicht auf aus dem Ausland finanzierte Organisationen stützen sollte, da deren Ziele nicht unbedingt mit denen der EU übereinstimmen;</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362</w:t>
      </w:r>
      <w:r>
        <w:rPr>
          <w:rStyle w:val="HideTWBExt"/>
        </w:rPr>
        <w:t>&lt;/NumAm&gt;</w:t>
      </w:r>
    </w:p>
    <w:p w:rsidR="00931B01" w:rsidRDefault="00931B01" w:rsidP="00931B01">
      <w:pPr>
        <w:pStyle w:val="NormalBold"/>
      </w:pPr>
      <w:r>
        <w:rPr>
          <w:rStyle w:val="HideTWBExt"/>
          <w:b w:val="0"/>
        </w:rPr>
        <w:t>&lt;RepeatBlock-By&gt;&lt;Members&gt;</w:t>
      </w:r>
      <w:r>
        <w:t>Nicolas Bay</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13.</w:t>
            </w:r>
            <w:r>
              <w:tab/>
            </w:r>
            <w:r>
              <w:rPr>
                <w:b/>
                <w:i/>
              </w:rPr>
              <w:t>zeigt sich besorgt über die zunehmende Tendenz, dass zivilgesellschaftliche Organisationen und Menschenrechtsorganisationen mit weiteren rechtlichen Einschränkungen, fehlenden Finanzmitteln und Angriffen konfrontiert sind; fordert einen förderlichen und unterstützenden Rahmen für die Zivilgesellschaft und bekräftigt, wie wichtig es ist, die Anti-SLAPP-Richtlinie und die Empfehlung (EU) 2022/758 der Kommission zum Schutz zivilgesellschaftlicher Organisationen anzunehmen; ist der Ansicht, dass die Kommission und die Mitgliedstaaten die Mittel für zivilgesellschaftliche Organisationen ausweiten sollten;</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{FR}</w:t>
      </w:r>
      <w:r>
        <w:t>fr</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363</w:t>
      </w:r>
      <w:r>
        <w:rPr>
          <w:rStyle w:val="HideTWBExt"/>
        </w:rPr>
        <w:t>&lt;/NumAm&gt;</w:t>
      </w:r>
    </w:p>
    <w:p w:rsidR="00931B01" w:rsidRDefault="00931B01" w:rsidP="00931B01">
      <w:pPr>
        <w:pStyle w:val="NormalBold"/>
      </w:pPr>
      <w:r>
        <w:rPr>
          <w:rStyle w:val="HideTWBExt"/>
          <w:b w:val="0"/>
        </w:rPr>
        <w:t>&lt;RepeatBlock-By&gt;&lt;Members&gt;</w:t>
      </w:r>
      <w:r>
        <w:t>Emmanouil Fragkos, Geadis Geadi, Galato Alexandraki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13.</w:t>
            </w:r>
            <w:r>
              <w:tab/>
            </w:r>
            <w:r>
              <w:rPr>
                <w:b/>
                <w:i/>
              </w:rPr>
              <w:t>zeigt sich besorgt über die zunehmende Tendenz, dass zivilgesellschaftliche Organisationen und Menschenrechtsorganisationen mit weiteren rechtlichen Einschränkungen, fehlenden Finanzmitteln und Angriffen konfrontiert sind; fordert einen förderlichen und unterstützenden Rahmen für die Zivilgesellschaft und bekräftigt, wie wichtig es ist, die Anti-SLAPP-Richtlinie und die Empfehlung (EU) 2022/758 der Kommission zum Schutz zivilgesellschaftlicher Organisationen anzunehmen; ist der Ansicht, dass die Kommission und die Mitgliedstaaten die Mittel für zivilgesellschaftliche Organisationen ausweiten sollten;</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{EL}</w:t>
      </w:r>
      <w:r>
        <w:t>el</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364</w:t>
      </w:r>
      <w:r>
        <w:rPr>
          <w:rStyle w:val="HideTWBExt"/>
        </w:rPr>
        <w:t>&lt;/NumAm&gt;</w:t>
      </w:r>
    </w:p>
    <w:p w:rsidR="00931B01" w:rsidRDefault="00931B01" w:rsidP="00931B01">
      <w:pPr>
        <w:pStyle w:val="NormalBold"/>
      </w:pPr>
      <w:r>
        <w:rPr>
          <w:rStyle w:val="HideTWBExt"/>
          <w:b w:val="0"/>
        </w:rPr>
        <w:t>&lt;RepeatBlock-By&gt;&lt;Members&gt;</w:t>
      </w:r>
      <w:r>
        <w:t>Jorge Buxadé Villalba, Marieke Ehlers, Malika Sorel, Fabrice Leggeri</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rPr>
                <w:b/>
                <w:i/>
              </w:rPr>
              <w:t>13.</w:t>
            </w:r>
            <w:r>
              <w:tab/>
            </w:r>
            <w:r>
              <w:rPr>
                <w:b/>
                <w:i/>
              </w:rPr>
              <w:t>zeigt sich besorgt über die zunehmende Tendenz, dass zivilgesellschaftliche Organisationen und Menschenrechtsorganisationen mit weiteren rechtlichen Einschränkungen, fehlenden Finanzmitteln und Angriffen konfrontiert sind; fordert einen förderlichen und unterstützenden Rahmen für die Zivilgesellschaft und bekräftigt, wie wichtig es ist, die Anti-SLAPP-Richtlinie und die Empfehlung (EU) 2022/758 der Kommission zum Schutz zivilgesellschaftlicher Organisationen anzunehmen; ist der Ansicht, dass die Kommission und die Mitgliedstaaten die Mittel für zivilgesellschaftliche Organisationen ausweiten sollten;</w:t>
            </w:r>
          </w:p>
        </w:tc>
        <w:tc>
          <w:tcPr>
            <w:tcW w:w="4876" w:type="dxa"/>
            <w:tcBorders>
              <w:top w:val="nil"/>
              <w:left w:val="nil"/>
              <w:bottom w:val="nil"/>
              <w:right w:val="nil"/>
            </w:tcBorders>
          </w:tcPr>
          <w:p w:rsidR="00931B01" w:rsidRDefault="00931B01" w:rsidP="00104ED4">
            <w:pPr>
              <w:pStyle w:val="Normal6a"/>
            </w:pPr>
            <w:r>
              <w:rPr>
                <w:b/>
                <w:i/>
              </w:rPr>
              <w:t>entfällt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365</w:t>
      </w:r>
      <w:r>
        <w:rPr>
          <w:rStyle w:val="HideTWBExt"/>
        </w:rPr>
        <w:t>&lt;/NumAm&gt;</w:t>
      </w:r>
    </w:p>
    <w:p w:rsidR="00931B01" w:rsidRDefault="00931B01" w:rsidP="00931B01">
      <w:pPr>
        <w:pStyle w:val="NormalBold"/>
      </w:pPr>
      <w:r>
        <w:rPr>
          <w:rStyle w:val="HideTWBExt"/>
          <w:b w:val="0"/>
        </w:rPr>
        <w:t>&lt;RepeatBlock-By&gt;&lt;Members&gt;</w:t>
      </w:r>
      <w:r>
        <w:t>Erik Kaliňák</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13.</w:t>
            </w:r>
            <w:r>
              <w:tab/>
              <w:t xml:space="preserve">zeigt sich besorgt über die zunehmende Tendenz, </w:t>
            </w:r>
            <w:r>
              <w:rPr>
                <w:b/>
                <w:i/>
              </w:rPr>
              <w:t xml:space="preserve">dass </w:t>
            </w:r>
            <w:r>
              <w:t xml:space="preserve">zivilgesellschaftliche Organisationen und </w:t>
            </w:r>
            <w:r>
              <w:rPr>
                <w:b/>
                <w:i/>
              </w:rPr>
              <w:t>Menschenrechtsorganisationen mit weiteren rechtlichen Einschränkungen, fehlenden Finanzmitteln und Angriffen konfrontiert sind; fordert einen förderlichen und unterstützenden Rahmen für die Zivilgesellschaft und bekräftigt, wie wichtig es ist, die Anti-SLAPP-Richtlinie und die Empfehlung (EU) 2022/758 der Kommission zum Schutz zivilgesellschaftlicher Organisationen anzunehmen; ist der Ansicht, dass die Kommission und die Mitgliedstaaten die Mittel für zivilgesellschaftliche Organisationen ausweiten sollten</w:t>
            </w:r>
            <w:r>
              <w:t>;</w:t>
            </w:r>
          </w:p>
        </w:tc>
        <w:tc>
          <w:tcPr>
            <w:tcW w:w="4876" w:type="dxa"/>
            <w:tcBorders>
              <w:top w:val="nil"/>
              <w:left w:val="nil"/>
              <w:bottom w:val="nil"/>
              <w:right w:val="nil"/>
            </w:tcBorders>
          </w:tcPr>
          <w:p w:rsidR="00931B01" w:rsidRDefault="00931B01" w:rsidP="00104ED4">
            <w:pPr>
              <w:pStyle w:val="Normal6a"/>
            </w:pPr>
            <w:r>
              <w:t>13.</w:t>
            </w:r>
            <w:r>
              <w:tab/>
              <w:t xml:space="preserve">zeigt sich besorgt über die zunehmende Tendenz, zivilgesellschaftliche Organisationen und </w:t>
            </w:r>
            <w:r>
              <w:rPr>
                <w:b/>
                <w:i/>
              </w:rPr>
              <w:t>Menschenrechtsverteidiger als Mittel des politischen Kampfes gegen rechtmäßig gewählte Regierungen zu missbrauchen</w:t>
            </w:r>
            <w:r>
              <w:t>;</w:t>
            </w:r>
          </w:p>
        </w:tc>
      </w:tr>
    </w:tbl>
    <w:p w:rsidR="00931B01" w:rsidRDefault="00931B01" w:rsidP="00931B01">
      <w:pPr>
        <w:pStyle w:val="AmOrLang"/>
      </w:pPr>
      <w:r>
        <w:t xml:space="preserve">Or. </w:t>
      </w:r>
      <w:r>
        <w:rPr>
          <w:rStyle w:val="HideTWBExt"/>
        </w:rPr>
        <w:t>&lt;Original&gt;</w:t>
      </w:r>
      <w:r>
        <w:rPr>
          <w:rStyle w:val="HideTWBInt"/>
        </w:rPr>
        <w:t>{SK}</w:t>
      </w:r>
      <w:r>
        <w:t>sk</w:t>
      </w:r>
      <w:r>
        <w:rPr>
          <w:rStyle w:val="HideTWBExt"/>
        </w:rPr>
        <w:t>&lt;/Original&gt;</w:t>
      </w:r>
    </w:p>
    <w:p w:rsidR="00931B01" w:rsidRDefault="00931B01" w:rsidP="00931B01">
      <w:r>
        <w:rPr>
          <w:rStyle w:val="HideTWBExt"/>
        </w:rPr>
        <w:t>&lt;/Amend&gt;</w:t>
      </w:r>
    </w:p>
    <w:p w:rsidR="00931B01" w:rsidRDefault="00931B01" w:rsidP="00931B01">
      <w:pPr>
        <w:pStyle w:val="AmNumberTabs"/>
      </w:pPr>
      <w:r>
        <w:rPr>
          <w:rStyle w:val="HideTWBExt"/>
        </w:rPr>
        <w:t>&lt;Amend&gt;</w:t>
      </w:r>
      <w:r>
        <w:t>Änderungsantrag</w:t>
      </w:r>
      <w:r>
        <w:tab/>
      </w:r>
      <w:r>
        <w:tab/>
      </w:r>
      <w:r>
        <w:rPr>
          <w:rStyle w:val="HideTWBExt"/>
        </w:rPr>
        <w:t>&lt;NumAm&gt;</w:t>
      </w:r>
      <w:r>
        <w:t>366</w:t>
      </w:r>
      <w:r>
        <w:rPr>
          <w:rStyle w:val="HideTWBExt"/>
        </w:rPr>
        <w:t>&lt;/NumAm&gt;</w:t>
      </w:r>
    </w:p>
    <w:p w:rsidR="00931B01" w:rsidRDefault="00931B01" w:rsidP="00931B01">
      <w:pPr>
        <w:pStyle w:val="NormalBold"/>
      </w:pPr>
      <w:r>
        <w:rPr>
          <w:rStyle w:val="HideTWBExt"/>
          <w:b w:val="0"/>
        </w:rPr>
        <w:t>&lt;RepeatBlock-By&gt;&lt;Members&gt;</w:t>
      </w:r>
      <w:r>
        <w:t>Michał Wawrykiewicz</w:t>
      </w:r>
      <w:r>
        <w:rPr>
          <w:rStyle w:val="HideTWBExt"/>
          <w:b w:val="0"/>
        </w:rPr>
        <w:t>&lt;/Members&gt;</w:t>
      </w:r>
    </w:p>
    <w:p w:rsidR="00931B01" w:rsidRDefault="00931B01" w:rsidP="00931B01">
      <w:pPr>
        <w:pStyle w:val="NormalBold"/>
      </w:pPr>
      <w:r>
        <w:rPr>
          <w:rStyle w:val="HideTWBExt"/>
          <w:b w:val="0"/>
        </w:rPr>
        <w:t>&lt;/RepeatBlock-By&gt;</w:t>
      </w:r>
    </w:p>
    <w:p w:rsidR="00931B01" w:rsidRDefault="00931B01" w:rsidP="00931B01">
      <w:pPr>
        <w:pStyle w:val="NormalBold"/>
      </w:pPr>
      <w:r>
        <w:rPr>
          <w:rStyle w:val="HideTWBExt"/>
        </w:rPr>
        <w:t>&lt;DocAmend&gt;</w:t>
      </w:r>
      <w:r>
        <w:t>Entschließungsantrag</w:t>
      </w:r>
      <w:r>
        <w:rPr>
          <w:rStyle w:val="HideTWBExt"/>
        </w:rPr>
        <w:t>&lt;/DocAmend&gt;</w:t>
      </w:r>
    </w:p>
    <w:p w:rsidR="00931B01" w:rsidRDefault="00931B01" w:rsidP="00931B01">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1B01" w:rsidTr="00104ED4">
        <w:trPr>
          <w:trHeight w:hRule="exact" w:val="240"/>
          <w:jc w:val="center"/>
        </w:trPr>
        <w:tc>
          <w:tcPr>
            <w:tcW w:w="9752" w:type="dxa"/>
            <w:gridSpan w:val="2"/>
            <w:tcBorders>
              <w:top w:val="nil"/>
              <w:left w:val="nil"/>
              <w:bottom w:val="nil"/>
              <w:right w:val="nil"/>
            </w:tcBorders>
          </w:tcPr>
          <w:p w:rsidR="00931B01" w:rsidRDefault="00931B01" w:rsidP="00104ED4"/>
        </w:tc>
      </w:tr>
      <w:tr w:rsidR="00931B01" w:rsidTr="00104ED4">
        <w:trPr>
          <w:trHeight w:val="240"/>
          <w:jc w:val="center"/>
        </w:trPr>
        <w:tc>
          <w:tcPr>
            <w:tcW w:w="4876" w:type="dxa"/>
            <w:tcBorders>
              <w:top w:val="nil"/>
              <w:left w:val="nil"/>
              <w:bottom w:val="nil"/>
              <w:right w:val="nil"/>
            </w:tcBorders>
          </w:tcPr>
          <w:p w:rsidR="00931B01" w:rsidRDefault="00931B01" w:rsidP="00104ED4">
            <w:pPr>
              <w:pStyle w:val="AmColumnHeading"/>
            </w:pPr>
            <w:r>
              <w:t>Entschließungsantrag</w:t>
            </w:r>
          </w:p>
        </w:tc>
        <w:tc>
          <w:tcPr>
            <w:tcW w:w="4876" w:type="dxa"/>
            <w:tcBorders>
              <w:top w:val="nil"/>
              <w:left w:val="nil"/>
              <w:bottom w:val="nil"/>
              <w:right w:val="nil"/>
            </w:tcBorders>
          </w:tcPr>
          <w:p w:rsidR="00931B01" w:rsidRDefault="00931B01" w:rsidP="00104ED4">
            <w:pPr>
              <w:pStyle w:val="AmColumnHeading"/>
            </w:pPr>
            <w:r>
              <w:t>Geänderter Text</w:t>
            </w:r>
          </w:p>
        </w:tc>
      </w:tr>
      <w:tr w:rsidR="00931B01" w:rsidTr="00104ED4">
        <w:trPr>
          <w:jc w:val="center"/>
        </w:trPr>
        <w:tc>
          <w:tcPr>
            <w:tcW w:w="4876" w:type="dxa"/>
            <w:tcBorders>
              <w:top w:val="nil"/>
              <w:left w:val="nil"/>
              <w:bottom w:val="nil"/>
              <w:right w:val="nil"/>
            </w:tcBorders>
          </w:tcPr>
          <w:p w:rsidR="00931B01" w:rsidRDefault="00931B01" w:rsidP="00104ED4">
            <w:pPr>
              <w:pStyle w:val="Normal6a"/>
            </w:pPr>
            <w:r>
              <w:t>13.</w:t>
            </w:r>
            <w:r>
              <w:tab/>
              <w:t>zeigt sich besorgt über die zunehmende Tendenz, dass zivilgesellschaftliche Organisationen und Menschenrechtsorganisationen mit weiteren rechtlichen Einschränkungen, fehlenden Finanzmitteln und Angriffen konfrontiert sind; fordert einen förderlichen und unterstützenden Rahmen für die Zivilgesellschaft und bekräftigt, wie wichtig es ist, die Anti-SLAPP-Richtlinie und die Empfehlung (EU) 2022/758 der Kommission zum Schutz zivilgesellschaftlicher Organisationen anzunehmen; ist der Ansicht, dass die Kommission und die Mitgliedstaaten die Mittel für zivilgesellschaftliche Organisationen ausweiten sollten;</w:t>
            </w:r>
          </w:p>
        </w:tc>
        <w:tc>
          <w:tcPr>
            <w:tcW w:w="4876" w:type="dxa"/>
            <w:tcBorders>
              <w:top w:val="nil"/>
              <w:left w:val="nil"/>
              <w:bottom w:val="nil"/>
              <w:right w:val="nil"/>
            </w:tcBorders>
          </w:tcPr>
          <w:p w:rsidR="00931B01" w:rsidRDefault="00931B01" w:rsidP="00104ED4">
            <w:pPr>
              <w:pStyle w:val="Normal6a"/>
            </w:pPr>
            <w:r>
              <w:t>13.</w:t>
            </w:r>
            <w:r>
              <w:tab/>
              <w:t>zeigt sich besorgt über die zunehmende Tendenz, dass zivilgesellschaftliche Organisationen und Menschenrechtsorganisationen mit weiteren rechtlichen Einschränkungen, fehlenden Finanzmitteln und Angriffen konfrontiert sind; fordert einen förderlichen und unterstützenden Rahmen für die Zivilgesellschaft und bekräftigt, wie wichtig es ist, die Anti-SLAPP-Richtlinie und die Empfehlung (EU) 2022/758 der Kommission zum Schutz zivilgesellschaftlicher Organisationen anzunehmen; ist der Ansicht, dass die Kommission und die Mitgliedstaaten die Mittel für zivilgesellschaftliche Organisationen ausweiten sollten</w:t>
            </w:r>
            <w:r>
              <w:rPr>
                <w:b/>
                <w:i/>
              </w:rPr>
              <w:t>, um sicherzustellen, dass sie frei und unabhängig als wichtige Verteidiger demokratischer Werte und der Rechtsstaatlichkeit agieren können</w:t>
            </w:r>
            <w:r>
              <w:t>;</w:t>
            </w:r>
          </w:p>
        </w:tc>
      </w:tr>
    </w:tbl>
    <w:p w:rsidR="00931B01" w:rsidRDefault="00931B01" w:rsidP="00931B01">
      <w:pPr>
        <w:pStyle w:val="AmOrLang"/>
      </w:pPr>
      <w:r>
        <w:t xml:space="preserve">Or. </w:t>
      </w:r>
      <w:r>
        <w:rPr>
          <w:rStyle w:val="HideTWBExt"/>
        </w:rPr>
        <w:t>&lt;Original&gt;</w:t>
      </w:r>
      <w:r>
        <w:rPr>
          <w:rStyle w:val="HideTWBInt"/>
        </w:rPr>
        <w:t>{EN}</w:t>
      </w:r>
      <w:r>
        <w:t>en</w:t>
      </w:r>
      <w:r>
        <w:rPr>
          <w:rStyle w:val="HideTWBExt"/>
        </w:rPr>
        <w:t>&lt;/Original&gt;</w:t>
      </w:r>
    </w:p>
    <w:p w:rsidR="00931B01" w:rsidRDefault="00931B01" w:rsidP="00931B01">
      <w:r>
        <w:rPr>
          <w:rStyle w:val="HideTWBExt"/>
        </w:rPr>
        <w:t>&lt;/Amend&gt;</w:t>
      </w:r>
      <w:r w:rsidRPr="00931B01">
        <w:rPr>
          <w:rStyle w:val="HideTWBExt"/>
        </w:rPr>
        <w:t>&lt;/RepeatBlock-Amend&gt;</w:t>
      </w:r>
    </w:p>
    <w:p w:rsidR="00794E41" w:rsidRPr="008019B1" w:rsidRDefault="00794E41" w:rsidP="00931B01"/>
    <w:sectPr w:rsidR="00794E41" w:rsidRPr="008019B1" w:rsidSect="0011298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ED4" w:rsidRPr="008019B1" w:rsidRDefault="00104ED4">
      <w:r w:rsidRPr="008019B1">
        <w:separator/>
      </w:r>
    </w:p>
  </w:endnote>
  <w:endnote w:type="continuationSeparator" w:id="0">
    <w:p w:rsidR="00104ED4" w:rsidRPr="008019B1" w:rsidRDefault="00104ED4">
      <w:r w:rsidRPr="008019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D4" w:rsidRPr="008019B1" w:rsidRDefault="00104ED4" w:rsidP="00BE6658">
    <w:pPr>
      <w:pStyle w:val="EPFooter"/>
    </w:pPr>
    <w:r w:rsidRPr="008019B1">
      <w:t>PE</w:t>
    </w:r>
    <w:r w:rsidRPr="008019B1">
      <w:rPr>
        <w:rStyle w:val="HideTWBExt"/>
      </w:rPr>
      <w:t>&lt;NoPE&gt;</w:t>
    </w:r>
    <w:r w:rsidRPr="00F50054">
      <w:t>768.144</w:t>
    </w:r>
    <w:r w:rsidRPr="008019B1">
      <w:rPr>
        <w:rStyle w:val="HideTWBExt"/>
      </w:rPr>
      <w:t>&lt;/NoPE&gt;&lt;Version&gt;</w:t>
    </w:r>
    <w:r w:rsidRPr="008019B1">
      <w:t>v</w:t>
    </w:r>
    <w:r w:rsidRPr="00F50054">
      <w:t>01-00</w:t>
    </w:r>
    <w:r w:rsidRPr="008019B1">
      <w:rPr>
        <w:rStyle w:val="HideTWBExt"/>
      </w:rPr>
      <w:t>&lt;/Version&gt;</w:t>
    </w:r>
    <w:r w:rsidRPr="008019B1">
      <w:tab/>
    </w:r>
    <w:r w:rsidRPr="008019B1">
      <w:fldChar w:fldCharType="begin"/>
    </w:r>
    <w:r w:rsidRPr="008019B1">
      <w:instrText xml:space="preserve"> PAGE </w:instrText>
    </w:r>
    <w:r w:rsidRPr="008019B1">
      <w:fldChar w:fldCharType="separate"/>
    </w:r>
    <w:r w:rsidR="0045527E">
      <w:rPr>
        <w:noProof/>
      </w:rPr>
      <w:t>2</w:t>
    </w:r>
    <w:r w:rsidRPr="008019B1">
      <w:fldChar w:fldCharType="end"/>
    </w:r>
    <w:r w:rsidRPr="008019B1">
      <w:t>/</w:t>
    </w:r>
    <w:fldSimple w:instr=" NUMPAGES ">
      <w:r w:rsidR="0045527E">
        <w:rPr>
          <w:noProof/>
        </w:rPr>
        <w:t>204</w:t>
      </w:r>
    </w:fldSimple>
    <w:r w:rsidRPr="008019B1">
      <w:tab/>
    </w:r>
    <w:r w:rsidRPr="008019B1">
      <w:rPr>
        <w:rStyle w:val="HideTWBExt"/>
      </w:rPr>
      <w:t>&lt;PathFdR&gt;</w:t>
    </w:r>
    <w:r w:rsidRPr="00F50054">
      <w:t>AM\1314503DE.docx</w:t>
    </w:r>
    <w:r w:rsidRPr="008019B1">
      <w:rPr>
        <w:rStyle w:val="HideTWBExt"/>
      </w:rPr>
      <w:t>&lt;/PathFdR&gt;</w:t>
    </w:r>
  </w:p>
  <w:p w:rsidR="00104ED4" w:rsidRPr="008019B1" w:rsidRDefault="00104ED4">
    <w:pPr>
      <w:pStyle w:val="EPFooter2"/>
    </w:pPr>
    <w:fldSimple w:instr=" DOCPROPERTY &quot;&lt;Extension&gt;&quot; ">
      <w:r>
        <w:t>DE</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D4" w:rsidRPr="008019B1" w:rsidRDefault="00104ED4" w:rsidP="00BE6658">
    <w:pPr>
      <w:pStyle w:val="EPFooter"/>
    </w:pPr>
    <w:r w:rsidRPr="008019B1">
      <w:rPr>
        <w:rStyle w:val="HideTWBExt"/>
      </w:rPr>
      <w:t>&lt;PathFdR&gt;</w:t>
    </w:r>
    <w:r w:rsidRPr="00F50054">
      <w:t>AM\1314503DE.docx</w:t>
    </w:r>
    <w:r w:rsidRPr="008019B1">
      <w:rPr>
        <w:rStyle w:val="HideTWBExt"/>
      </w:rPr>
      <w:t>&lt;/PathFdR&gt;</w:t>
    </w:r>
    <w:r w:rsidRPr="008019B1">
      <w:tab/>
    </w:r>
    <w:r w:rsidRPr="008019B1">
      <w:fldChar w:fldCharType="begin"/>
    </w:r>
    <w:r w:rsidRPr="008019B1">
      <w:instrText xml:space="preserve"> PAGE </w:instrText>
    </w:r>
    <w:r w:rsidRPr="008019B1">
      <w:fldChar w:fldCharType="separate"/>
    </w:r>
    <w:r w:rsidR="0045527E">
      <w:rPr>
        <w:noProof/>
      </w:rPr>
      <w:t>3</w:t>
    </w:r>
    <w:r w:rsidRPr="008019B1">
      <w:fldChar w:fldCharType="end"/>
    </w:r>
    <w:r w:rsidRPr="008019B1">
      <w:t>/</w:t>
    </w:r>
    <w:fldSimple w:instr=" NUMPAGES ">
      <w:r w:rsidR="0045527E">
        <w:rPr>
          <w:noProof/>
        </w:rPr>
        <w:t>204</w:t>
      </w:r>
    </w:fldSimple>
    <w:r w:rsidRPr="008019B1">
      <w:tab/>
      <w:t>PE</w:t>
    </w:r>
    <w:r w:rsidRPr="008019B1">
      <w:rPr>
        <w:rStyle w:val="HideTWBExt"/>
      </w:rPr>
      <w:t>&lt;NoPE&gt;</w:t>
    </w:r>
    <w:r w:rsidRPr="00F50054">
      <w:t>768.144</w:t>
    </w:r>
    <w:r w:rsidRPr="008019B1">
      <w:rPr>
        <w:rStyle w:val="HideTWBExt"/>
      </w:rPr>
      <w:t>&lt;/NoPE&gt;&lt;Version&gt;</w:t>
    </w:r>
    <w:r w:rsidRPr="008019B1">
      <w:t>v</w:t>
    </w:r>
    <w:r w:rsidRPr="00F50054">
      <w:t>01-00</w:t>
    </w:r>
    <w:r w:rsidRPr="008019B1">
      <w:rPr>
        <w:rStyle w:val="HideTWBExt"/>
      </w:rPr>
      <w:t>&lt;/Version&gt;</w:t>
    </w:r>
  </w:p>
  <w:p w:rsidR="00104ED4" w:rsidRPr="008019B1" w:rsidRDefault="00104ED4">
    <w:pPr>
      <w:pStyle w:val="EPFooter2"/>
    </w:pPr>
    <w:r w:rsidRPr="008019B1">
      <w:tab/>
    </w:r>
    <w:r w:rsidRPr="008019B1">
      <w:tab/>
    </w:r>
    <w:fldSimple w:instr=" DOCPROPERTY &quot;&lt;Extension&gt;&quot; ">
      <w:r>
        <w:t>DE</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D4" w:rsidRPr="008019B1" w:rsidRDefault="00104ED4" w:rsidP="00BE6658">
    <w:pPr>
      <w:pStyle w:val="EPFooter"/>
    </w:pPr>
    <w:r w:rsidRPr="008019B1">
      <w:rPr>
        <w:rStyle w:val="HideTWBExt"/>
      </w:rPr>
      <w:t>&lt;PathFdR&gt;</w:t>
    </w:r>
    <w:r w:rsidRPr="00F50054">
      <w:t>AM\1314503DE.docx</w:t>
    </w:r>
    <w:r w:rsidRPr="008019B1">
      <w:rPr>
        <w:rStyle w:val="HideTWBExt"/>
      </w:rPr>
      <w:t>&lt;/PathFdR&gt;</w:t>
    </w:r>
    <w:r w:rsidRPr="008019B1">
      <w:tab/>
    </w:r>
    <w:r w:rsidRPr="008019B1">
      <w:tab/>
      <w:t>PE</w:t>
    </w:r>
    <w:r w:rsidRPr="008019B1">
      <w:rPr>
        <w:rStyle w:val="HideTWBExt"/>
      </w:rPr>
      <w:t>&lt;NoPE&gt;</w:t>
    </w:r>
    <w:r w:rsidRPr="00F50054">
      <w:t>768.144</w:t>
    </w:r>
    <w:r w:rsidRPr="008019B1">
      <w:rPr>
        <w:rStyle w:val="HideTWBExt"/>
      </w:rPr>
      <w:t>&lt;/NoPE&gt;&lt;Version&gt;</w:t>
    </w:r>
    <w:r w:rsidRPr="008019B1">
      <w:t>v</w:t>
    </w:r>
    <w:r w:rsidRPr="00F50054">
      <w:t>01-00</w:t>
    </w:r>
    <w:r w:rsidRPr="008019B1">
      <w:rPr>
        <w:rStyle w:val="HideTWBExt"/>
      </w:rPr>
      <w:t>&lt;/Version&gt;</w:t>
    </w:r>
  </w:p>
  <w:p w:rsidR="00104ED4" w:rsidRPr="008019B1" w:rsidRDefault="00104ED4" w:rsidP="00CF4E9D">
    <w:pPr>
      <w:pStyle w:val="EPFooter2"/>
      <w:tabs>
        <w:tab w:val="clear" w:pos="4535"/>
        <w:tab w:val="center" w:pos="4536"/>
      </w:tabs>
    </w:pPr>
    <w:fldSimple w:instr=" DOCPROPERTY &quot;&lt;Extension&gt;&quot; ">
      <w:r>
        <w:t>DE</w:t>
      </w:r>
    </w:fldSimple>
    <w:r w:rsidRPr="008019B1">
      <w:tab/>
    </w:r>
    <w:r>
      <w:rPr>
        <w:b w:val="0"/>
        <w:i/>
        <w:color w:val="C0C0C0"/>
        <w:sz w:val="22"/>
        <w:szCs w:val="22"/>
      </w:rPr>
      <w:t>In Vielfalt geeint</w:t>
    </w:r>
    <w:r w:rsidRPr="008019B1">
      <w:tab/>
    </w:r>
    <w:fldSimple w:instr=" DOCPROPERTY &quot;&lt;Extension&gt;&quot; ">
      <w:r>
        <w:t>DE</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ED4" w:rsidRPr="008019B1" w:rsidRDefault="00104ED4">
      <w:r w:rsidRPr="008019B1">
        <w:separator/>
      </w:r>
    </w:p>
  </w:footnote>
  <w:footnote w:type="continuationSeparator" w:id="0">
    <w:p w:rsidR="00104ED4" w:rsidRPr="008019B1" w:rsidRDefault="00104ED4">
      <w:r w:rsidRPr="008019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D4" w:rsidRDefault="00104E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D4" w:rsidRDefault="00104E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D4" w:rsidRDefault="00104E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fr-FR" w:vendorID="9" w:dllVersion="512"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DEMNU" w:val=" 1"/>
    <w:docVar w:name="COMMKEY" w:val="LIBE"/>
    <w:docVar w:name="DOCDT" w:val="19/02/2025"/>
    <w:docVar w:name="LastEditedSection" w:val=" 1"/>
    <w:docVar w:name="RepeatBlock-Amend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68852 HideTWBExt;}{\*\cs18 \additive \v\f1\fs20\cf15 _x000d__x000a_\spriority0 \styrsid16268852 HideTWBInt;}{\s19\qr \li0\ri0\sb240\sa240\nowidctlpar\wrapdefault\aspalpha\aspnum\faauto\adjustright\rin0\lin0\itap0 \rtlch\fcs1 \af0\afs20\alang1025 \ltrch\fcs0 \fs24\lang1031\langfe2057\cgrid\langnp1031\langfenp2057 _x000d__x000a_\sbasedon0 \snext19 \spriority0 \styrsid16268852 AmOrLang;}{\s20\ql \li0\ri0\sa120\nowidctlpar\wrapdefault\aspalpha\aspnum\faauto\adjustright\rin0\lin0\itap0 \rtlch\fcs1 \af0\afs20\alang1025 \ltrch\fcs0 _x000d__x000a_\fs24\lang1031\langfe2057\cgrid\langnp1031\langfenp2057 \sbasedon0 \snext20 \spriority0 \styrsid16268852 Normal6a;}{\s21\ql \li0\ri0\nowidctlpar\wrapdefault\aspalpha\aspnum\faauto\adjustright\rin0\lin0\itap0 \rtlch\fcs1 \af0\afs20\alang1025 \ltrch\fcs0 _x000d__x000a_\b\fs24\lang1031\langfe2057\cgrid\langnp1031\langfenp2057 \sbasedon0 \snext21 \spriority0 \styrsid16268852 NormalBold;}{\s22\qc \li0\ri0\sa240\nowidctlpar\wrapdefault\aspalpha\aspnum\faauto\adjustright\rin0\lin0\itap0 \rtlch\fcs1 \af0\afs20\alang1025 _x000d__x000a_\ltrch\fcs0 \i\fs24\lang1031\langfe2057\cgrid\langnp1031\langfenp2057 \sbasedon0 \snext22 \spriority0 \styrsid1626885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3 \spriority0 \styrsid16268852 AmNumberTabs;}}{\*\rsidtbl \rsid24658\rsid223860\rsid735077\rsid1718133\rsid2892074\rsid3565327\rsid4666813\rsid6641733\rsid7823322_x000d__x000a_\rsid8323978\rsid9636012\rsid10377208\rsid11215221\rsid11549030\rsid12154954\rsid14382809\rsid14424199\rsid15204470\rsid15285974\rsid15950462\rsid16268852\rsid16324206\rsid16662270}{\mmathPr\mmathFont34\mbrkBin0\mbrkBinSub0\msmallFrac0\mdispDef1\mlMargin0_x000d__x000a_\mrMargin0\mdefJc1\mwrapIndent1440\mintLim0\mnaryLim1}{\info{\author SIEPMANN Mario}{\operator SIEPMANN Mario}{\creatim\yr2024\mo11\dy6\hr9\min20}{\revtim\yr2024\mo11\dy6\hr9\min20}{\version1}{\edmins0}{\nofpages1}{\nofwords94}{\nofchars538}_x000d__x000a_{\nofcharsws6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68852\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8323978 \chftnsep _x000d__x000a_\par }}{\*\ftnsepc \ltrpar \pard\plain \ltrpar\ql \li0\ri0\widctlpar\wrapdefault\aspalpha\aspnum\faauto\adjustright\rin0\lin0\itap0 \rtlch\fcs1 \af0\afs20\alang1025 \ltrch\fcs0 \fs24\lang2057\langfe2057\cgrid\langnp2057\langfenp2057 {\rtlch\fcs1 \af0 _x000d__x000a_\ltrch\fcs0 \insrsid8323978 \chftnsepc _x000d__x000a_\par }}{\*\aftnsep \ltrpar \pard\plain \ltrpar\ql \li0\ri0\widctlpar\wrapdefault\aspalpha\aspnum\faauto\adjustright\rin0\lin0\itap0 \rtlch\fcs1 \af0\afs20\alang1025 \ltrch\fcs0 \fs24\lang2057\langfe2057\cgrid\langnp2057\langfenp2057 {\rtlch\fcs1 \af0 _x000d__x000a_\ltrch\fcs0 \insrsid8323978 \chftnsep _x000d__x000a_\par }}{\*\aftnsepc \ltrpar \pard\plain \ltrpar\ql \li0\ri0\widctlpar\wrapdefault\aspalpha\aspnum\faauto\adjustright\rin0\lin0\itap0 \rtlch\fcs1 \af0\afs20\alang1025 \ltrch\fcs0 \fs24\lang2057\langfe2057\cgrid\langnp2057\langfenp2057 {\rtlch\fcs1 \af0 _x000d__x000a_\ltrch\fcs0 \insrsid83239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6268852 \rtlch\fcs1 _x000d__x000a_\af0\afs20\alang1025 \ltrch\fcs0 \b\fs24\lang1031\langfe2057\cgrid\langnp1031\langfenp2057 {\rtlch\fcs1 \af0 \ltrch\fcs0 \cs17\b0\v\f1\fs20\cf9\lang1024\langfe1024\noproof\insrsid16268852\charrsid10247850 {\*\bkmkstart restart}&lt;Amend&gt;}{\rtlch\fcs1 \af0 _x000d__x000a_\ltrch\fcs0 \insrsid16268852\charrsid10247850 \'c4nderungsantrag\tab \tab }{\rtlch\fcs1 \af0 \ltrch\fcs0 \cs17\b0\v\f1\fs20\cf9\lang1024\langfe1024\noproof\insrsid16268852\charrsid10247850 &lt;NumAm&gt;}{\rtlch\fcs1 \af0 \ltrch\fcs0 _x000d__x000a_\insrsid16268852\charrsid10247850 #}{\rtlch\fcs1 \af1 \ltrch\fcs0 \cs18\v\f1\fs20\cf15\insrsid16268852\charrsid10247850 ENMIENDA@NRAM@}{\rtlch\fcs1 \af0 \ltrch\fcs0 \insrsid16268852\charrsid10247850 #}{\rtlch\fcs1 \af0 \ltrch\fcs0 _x000d__x000a_\cs17\b0\v\f1\fs20\cf9\lang1024\langfe1024\noproof\insrsid16268852\charrsid10247850 &lt;/NumAm&gt;}{\rtlch\fcs1 \af0 \ltrch\fcs0 \insrsid16268852\charrsid10247850 _x000d__x000a_\par }\pard\plain \ltrpar\s21\ql \li0\ri0\nowidctlpar\wrapdefault\aspalpha\aspnum\faauto\adjustright\rin0\lin0\itap0\pararsid16268852 \rtlch\fcs1 \af0\afs20\alang1025 \ltrch\fcs0 \b\fs24\lang1031\langfe2057\cgrid\langnp1031\langfenp2057 {\rtlch\fcs1 \af0 _x000d__x000a_\ltrch\fcs0 \cs17\b0\v\f1\fs20\cf9\lang1024\langfe1024\noproof\insrsid16268852\charrsid10247850 &lt;RepeatBlock-By&gt;}{\rtlch\fcs1 \af0 \ltrch\fcs0 \insrsid16268852\charrsid10247850 #}{\rtlch\fcs1 \af1 \ltrch\fcs0 _x000d__x000a_\cs18\v\f1\fs20\cf15\insrsid16268852\charrsid10247850 (MOD@InsideLoop()}{\rtlch\fcs1 \af0 \ltrch\fcs0 \insrsid16268852\charrsid10247850 ##}{\rtlch\fcs1 \af1 \ltrch\fcs0 \cs18\v\f1\fs20\cf15\insrsid16268852\charrsid10247850 &gt;&gt;&gt;@[ZMEMBERSMSG]@}{\rtlch\fcs1 _x000d__x000a_\af0 \ltrch\fcs0 \insrsid16268852\charrsid10247850 #}{\rtlch\fcs1 \af0 \ltrch\fcs0 \cs17\b0\v\f1\fs20\cf9\lang1024\langfe1024\noproof\insrsid16268852\charrsid10247850 &lt;Members&gt;}{\rtlch\fcs1 \af0 \ltrch\fcs0 \insrsid16268852\charrsid10247850 #}{_x000d__x000a_\rtlch\fcs1 \af1 \ltrch\fcs0 \cs18\v\f1\fs20\cf15\insrsid16268852\charrsid10247850 (MOD@InsideLoop(\'a7)}{\rtlch\fcs1 \af0 \ltrch\fcs0 \insrsid16268852\charrsid10247850 #}{\rtlch\fcs1 \af0 \ltrch\fcs0 \cf10\insrsid16268852\charrsid10247850 \u9668\'3f}{_x000d__x000a_\rtlch\fcs1 \af0 \ltrch\fcs0 \insrsid16268852\charrsid10247850 #}{\rtlch\fcs1 \af1 \ltrch\fcs0 \cs18\v\f1\fs20\cf15\insrsid16268852\charrsid10247850 TVTMEMBERS\'a7@MEMBERS@}{\rtlch\fcs1 \af0 \ltrch\fcs0 \insrsid16268852\charrsid10247850 #}{\rtlch\fcs1 _x000d__x000a_\af0 \ltrch\fcs0 \cf10\insrsid16268852\charrsid10247850 \u9658\'3f}{\rtlch\fcs1 \af0 \ltrch\fcs0 \cs17\b0\v\f1\fs20\cf9\lang1024\langfe1024\noproof\insrsid16268852\charrsid10247850 &lt;/Members&gt;}{\rtlch\fcs1 \af0 \ltrch\fcs0 _x000d__x000a_\insrsid16268852\charrsid10247850 _x000d__x000a_\par }\pard\plain \ltrpar\ql \li0\ri0\widctlpar\wrapdefault\aspalpha\aspnum\faauto\adjustright\rin0\lin0\itap0\pararsid16268852 \rtlch\fcs1 \af0\afs20\alang1025 \ltrch\fcs0 \fs24\lang2057\langfe2057\cgrid\langnp2057\langfenp2057 {\rtlch\fcs1 \af0 \ltrch\fcs0 _x000d__x000a_\cs17\v\f1\fs20\cf9\lang1024\langfe1024\noproof\langnp1031\insrsid16268852\charrsid10247850 &lt;AuNomDe&gt;&lt;OptDel&gt;}{\rtlch\fcs1 \af0 \ltrch\fcs0 \lang1031\langfe2057\langnp1031\insrsid16268852\charrsid10247850 #}{\rtlch\fcs1 \af1 \ltrch\fcs0 _x000d__x000a_\cs18\v\f1\fs20\cf15\lang1031\langfe2057\langnp1031\insrsid16268852\charrsid10247850 MNU[ONBEHALFYES][NOTAPP]@CHOICE@}{\rtlch\fcs1 \af0 \ltrch\fcs0 \lang1031\langfe2057\langnp1031\insrsid16268852\charrsid10247850 #}{\rtlch\fcs1 \af0 \ltrch\fcs0 _x000d__x000a_\cs17\v\f1\fs20\cf9\lang1024\langfe1024\noproof\langnp1031\insrsid16268852\charrsid10247850 &lt;/OptDel&gt;&lt;/AuNomDe&gt;}{\rtlch\fcs1 \af0 \ltrch\fcs0 \lang1031\langfe2057\langnp1031\insrsid16268852\charrsid10247850 _x000d__x000a_\par &lt;&lt;&lt;}{\rtlch\fcs1 \af0 \ltrch\fcs0 \cs17\v\f1\fs20\cf9\lang1024\langfe1024\noproof\langnp1031\insrsid16268852\charrsid10247850 &lt;/RepeatBlock-By&gt;}{\rtlch\fcs1 \af0 \ltrch\fcs0 \lang1031\langfe2057\langnp1031\insrsid16268852\charrsid10247850 _x000d__x000a_\par }\pard\plain \ltrpar\s21\ql \li0\ri0\nowidctlpar\wrapdefault\aspalpha\aspnum\faauto\adjustright\rin0\lin0\itap0\pararsid16268852 \rtlch\fcs1 \af0\afs20\alang1025 \ltrch\fcs0 \b\fs24\lang1031\langfe2057\cgrid\langnp1031\langfenp2057 {\rtlch\fcs1 \af0 _x000d__x000a_\ltrch\fcs0 \cs17\b0\v\f1\fs20\cf9\lang1024\langfe1024\noproof\insrsid16268852\charrsid10247850 &lt;DocAmend&gt;}{\rtlch\fcs1 \af0 \ltrch\fcs0 \insrsid16268852\charrsid10247850 #}{\rtlch\fcs1 \af1 \ltrch\fcs0 _x000d__x000a_\cs18\v\f1\fs20\cf15\insrsid16268852\charrsid10247850 MNU[OPTAMDOCINI][AMDOCA1][OPTAMDOCNLE][AMDOCA1][AMDOCA2][AMDOCA1][AMDOCA1][OPTAMDOCDEC]@CHOICE@CODEMNU}{\rtlch\fcs1 \af0 \ltrch\fcs0 \insrsid16268852\charrsid10247850 #}{\rtlch\fcs1 \af0 \ltrch\fcs0 _x000d__x000a_\cs17\b0\v\f1\fs20\cf9\lang1024\langfe1024\noproof\insrsid16268852\charrsid10247850 &lt;/DocAmend&gt;}{\rtlch\fcs1 \af0 \ltrch\fcs0 \insrsid16268852\charrsid10247850 _x000d__x000a_\par }{\rtlch\fcs1 \af0 \ltrch\fcs0 \cs17\b0\v\f1\fs20\cf9\lang1024\langfe1024\noproof\insrsid16268852\charrsid10247850 &lt;Article&gt;}{\rtlch\fcs1 \af0 \ltrch\fcs0 \cf10\insrsid16268852\charrsid10247850 \u9668\'3f}{\rtlch\fcs1 \af0 \ltrch\fcs0 _x000d__x000a_\insrsid16268852\charrsid10247850 #}{\rtlch\fcs1 \af1 \ltrch\fcs0 \cs18\v\f1\fs20\cf15\insrsid16268852\charrsid10247850 TVTAMPART@AMPART@}{\rtlch\fcs1 \af0 \ltrch\fcs0 \insrsid16268852\charrsid10247850 #}{\rtlch\fcs1 \af0 \ltrch\fcs0 _x000d__x000a_\cf10\insrsid16268852\charrsid10247850 \u9658\'3f}{\rtlch\fcs1 \af0 \ltrch\fcs0 \cs17\b0\v\f1\fs20\cf9\lang1024\langfe1024\noproof\insrsid16268852\charrsid10247850 &lt;/Article&gt;}{\rtlch\fcs1 \af0 \ltrch\fcs0 \insrsid16268852\charrsid10247850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lang1031\langfe2057\langnp1031\insrsid16268852\charrsid10247850 \cell }\pard\plain \ltrpar_x000d__x000a_\ql \li0\ri0\widctlpar\intbl\wrapdefault\aspalpha\aspnum\faauto\adjustright\rin0\lin0 \rtlch\fcs1 \af0\afs20\alang1025 \ltrch\fcs0 \fs24\lang2057\langfe2057\cgrid\langnp2057\langfenp2057 {\rtlch\fcs1 \af0 \ltrch\fcs0 _x000d__x000a_\lang1031\langfe2057\langnp1031\insrsid16268852\charrsid10247850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1031\langfe2057\cgrid\langnp1031\langfenp2057 {\rtlch\fcs1 \af0 \ltrch\fcs0 _x000d__x000a_\insrsid16268852\charrsid10247850 #}{\rtlch\fcs1 \af1 \ltrch\fcs0 \cs18\v\f1\fs20\cf15\insrsid16268852\charrsid10247850 MNU[OPTAMDOCINI][AMDOCA1][OPTAMDOCNLE][AMDOCA1][AMDOCA2][AMDOCA1][AMDOCA1][OPTAMDOCDEC]@CHOICE@CODEMNU}{\rtlch\fcs1 \af0 \ltrch\fcs0 _x000d__x000a_\insrsid16268852\charrsid10247850 #\cell Ge\'e4nderter Text\cell }\pard\plain \ltrpar\ql \li0\ri0\widctlpar\intbl\wrapdefault\aspalpha\aspnum\faauto\adjustright\rin0\lin0 \rtlch\fcs1 \af0\afs20\alang1025 \ltrch\fcs0 _x000d__x000a_\fs24\lang2057\langfe2057\cgrid\langnp2057\langfenp2057 {\rtlch\fcs1 \af0 \ltrch\fcs0 \lang1031\langfe2057\langnp1031\insrsid16268852\charrsid10247850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1031\langfe2057\cgrid\langnp1031\langfenp2057 {\rtlch\fcs1 \af0 \ltrch\fcs0 _x000d__x000a_\insrsid16268852\charrsid10247850 ##\cell ##}{\rtlch\fcs1 \af0\afs24 \ltrch\fcs0 \insrsid16268852\charrsid10247850 \cell }\pard\plain \ltrpar\ql \li0\ri0\widctlpar\intbl\wrapdefault\aspalpha\aspnum\faauto\adjustright\rin0\lin0 \rtlch\fcs1 _x000d__x000a_\af0\afs20\alang1025 \ltrch\fcs0 \fs24\lang2057\langfe2057\cgrid\langnp2057\langfenp2057 {\rtlch\fcs1 \af0 \ltrch\fcs0 \lang1031\langfe2057\langnp1031\insrsid16268852\charrsid10247850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6268852 \rtlch\fcs1 \af0\afs20\alang1025 \ltrch\fcs0 \fs24\lang1031\langfe2057\cgrid\langnp1031\langfenp2057 {\rtlch\fcs1 \af0 \ltrch\fcs0 _x000d__x000a_\insrsid16268852\charrsid10247850 Or. }{\rtlch\fcs1 \af0 \ltrch\fcs0 \cs17\v\f1\fs20\cf9\lang1024\langfe1024\noproof\insrsid16268852\charrsid10247850 &lt;Original&gt;}{\rtlch\fcs1 \af0 \ltrch\fcs0 \insrsid16268852\charrsid10247850 #}{\rtlch\fcs1 \af1 _x000d__x000a_\ltrch\fcs0 \cs18\v\f1\fs20\cf15\insrsid16268852\charrsid10247850 KEY(MAIN/LANGMIN)sh@ORLANGMSG@}{\rtlch\fcs1 \af0 \ltrch\fcs0 \insrsid16268852\charrsid10247850 #}{\rtlch\fcs1 \af0 \ltrch\fcs0 _x000d__x000a_\cs17\v\f1\fs20\cf9\lang1024\langfe1024\noproof\insrsid16268852\charrsid10247850 &lt;/Original&gt;}{\rtlch\fcs1 \af0 \ltrch\fcs0 \insrsid16268852\charrsid10247850 _x000d__x000a_\par }\pard\plain \ltrpar\ql \li0\ri0\widctlpar\wrapdefault\aspalpha\aspnum\faauto\adjustright\rin0\lin0\itap0\pararsid16268852 \rtlch\fcs1 \af0\afs20\alang1025 \ltrch\fcs0 \fs24\lang2057\langfe2057\cgrid\langnp2057\langfenp2057 {\rtlch\fcs1 \af0 \ltrch\fcs0 _x000d__x000a_\cs17\v\f1\fs20\cf9\lang1024\langfe1024\noproof\langnp1031\insrsid16268852\charrsid102478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6a_x000d__x000a_46ca243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4"/>
    <w:docVar w:name="TXTLANGUE" w:val="DE"/>
    <w:docVar w:name="TXTLANGUEMIN" w:val="de"/>
    <w:docVar w:name="TXTNRFIRSTAM" w:val="1"/>
    <w:docVar w:name="TXTNRLASTAM" w:val="366"/>
    <w:docVar w:name="TXTNRPE" w:val="768.144"/>
    <w:docVar w:name="TXTNRPROC" w:val="2024/2078"/>
    <w:docVar w:name="TXTPEorAP" w:val="PE"/>
    <w:docVar w:name="TXTROUTE" w:val="AM\1314503DE.docx"/>
    <w:docVar w:name="TXTVERSION" w:val="01-00"/>
  </w:docVars>
  <w:rsids>
    <w:rsidRoot w:val="008019B1"/>
    <w:rsid w:val="000058AA"/>
    <w:rsid w:val="00072B4B"/>
    <w:rsid w:val="00104ED4"/>
    <w:rsid w:val="0011298B"/>
    <w:rsid w:val="0012108E"/>
    <w:rsid w:val="00125041"/>
    <w:rsid w:val="0015022B"/>
    <w:rsid w:val="00175062"/>
    <w:rsid w:val="001767FD"/>
    <w:rsid w:val="001B1694"/>
    <w:rsid w:val="001C108E"/>
    <w:rsid w:val="001C6BFC"/>
    <w:rsid w:val="00262416"/>
    <w:rsid w:val="002A3EAA"/>
    <w:rsid w:val="002B6DE3"/>
    <w:rsid w:val="002B799B"/>
    <w:rsid w:val="002F0149"/>
    <w:rsid w:val="00307E56"/>
    <w:rsid w:val="003C7A69"/>
    <w:rsid w:val="003D7856"/>
    <w:rsid w:val="004106BA"/>
    <w:rsid w:val="0044299E"/>
    <w:rsid w:val="00444941"/>
    <w:rsid w:val="0045527E"/>
    <w:rsid w:val="004B02E9"/>
    <w:rsid w:val="004D02AB"/>
    <w:rsid w:val="004E4A92"/>
    <w:rsid w:val="005B7159"/>
    <w:rsid w:val="005D04A2"/>
    <w:rsid w:val="005E5FA1"/>
    <w:rsid w:val="00663E24"/>
    <w:rsid w:val="006838B3"/>
    <w:rsid w:val="006A0FF0"/>
    <w:rsid w:val="00742225"/>
    <w:rsid w:val="00794E41"/>
    <w:rsid w:val="007964AA"/>
    <w:rsid w:val="007B1846"/>
    <w:rsid w:val="007C1252"/>
    <w:rsid w:val="007E54B7"/>
    <w:rsid w:val="007F22E4"/>
    <w:rsid w:val="008019B1"/>
    <w:rsid w:val="008305E9"/>
    <w:rsid w:val="00866CBA"/>
    <w:rsid w:val="00873A27"/>
    <w:rsid w:val="008B040A"/>
    <w:rsid w:val="00931B01"/>
    <w:rsid w:val="0093376E"/>
    <w:rsid w:val="0095177E"/>
    <w:rsid w:val="00952F4F"/>
    <w:rsid w:val="009531F4"/>
    <w:rsid w:val="00954A54"/>
    <w:rsid w:val="009B54E9"/>
    <w:rsid w:val="009C2758"/>
    <w:rsid w:val="00A530BE"/>
    <w:rsid w:val="00A57C56"/>
    <w:rsid w:val="00A7559D"/>
    <w:rsid w:val="00A771CC"/>
    <w:rsid w:val="00A804CE"/>
    <w:rsid w:val="00A836A6"/>
    <w:rsid w:val="00AD3D9F"/>
    <w:rsid w:val="00AE20EB"/>
    <w:rsid w:val="00B4019F"/>
    <w:rsid w:val="00B43C20"/>
    <w:rsid w:val="00BE6658"/>
    <w:rsid w:val="00BF6585"/>
    <w:rsid w:val="00C4749E"/>
    <w:rsid w:val="00C72F6B"/>
    <w:rsid w:val="00C83592"/>
    <w:rsid w:val="00CA7F28"/>
    <w:rsid w:val="00CF4E9D"/>
    <w:rsid w:val="00D2257D"/>
    <w:rsid w:val="00D34123"/>
    <w:rsid w:val="00D35B06"/>
    <w:rsid w:val="00D42F84"/>
    <w:rsid w:val="00DA7120"/>
    <w:rsid w:val="00DC19A9"/>
    <w:rsid w:val="00DC1DD4"/>
    <w:rsid w:val="00DC3244"/>
    <w:rsid w:val="00DC36BD"/>
    <w:rsid w:val="00DF038C"/>
    <w:rsid w:val="00E67987"/>
    <w:rsid w:val="00E87F7C"/>
    <w:rsid w:val="00EA1780"/>
    <w:rsid w:val="00EF54D2"/>
    <w:rsid w:val="00F15510"/>
    <w:rsid w:val="00F20F19"/>
    <w:rsid w:val="00F457AA"/>
    <w:rsid w:val="00F50054"/>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A3A893"/>
  <w15:chartTrackingRefBased/>
  <w15:docId w15:val="{DFC1FA3A-A082-4513-B57C-5394CB87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AmCrossRef">
    <w:name w:val="AmCrossRef"/>
    <w:basedOn w:val="Normal"/>
    <w:rsid w:val="00F50054"/>
    <w:pPr>
      <w:spacing w:before="240" w:after="240"/>
      <w:jc w:val="center"/>
    </w:pPr>
    <w:rPr>
      <w:i/>
      <w:szCs w:val="24"/>
      <w:lang w:eastAsia="en-US"/>
    </w:rPr>
  </w:style>
  <w:style w:type="character" w:customStyle="1" w:styleId="EPFooter2Motto">
    <w:name w:val="EPFooter2Motto"/>
    <w:rsid w:val="00F50054"/>
    <w:rPr>
      <w:rFonts w:ascii="Arial" w:hAnsi="Arial"/>
      <w:b/>
      <w:i/>
      <w:color w:val="C0C0C0"/>
      <w:sz w:val="22"/>
    </w:rPr>
  </w:style>
  <w:style w:type="paragraph" w:customStyle="1" w:styleId="EPFooterLandscape">
    <w:name w:val="EPFooterLandscape"/>
    <w:rsid w:val="00F50054"/>
    <w:pPr>
      <w:widowControl w:val="0"/>
      <w:tabs>
        <w:tab w:val="center" w:pos="6800"/>
        <w:tab w:val="right" w:pos="15020"/>
      </w:tabs>
    </w:pPr>
    <w:rPr>
      <w:sz w:val="22"/>
      <w:lang w:eastAsia="en-US"/>
    </w:rPr>
  </w:style>
  <w:style w:type="paragraph" w:customStyle="1" w:styleId="Normal0">
    <w:name w:val="Normal0"/>
    <w:basedOn w:val="Normal"/>
    <w:rsid w:val="00F50054"/>
    <w:rPr>
      <w:sz w:val="0"/>
      <w:szCs w:val="24"/>
      <w:lang w:eastAsia="en-US"/>
    </w:rPr>
  </w:style>
  <w:style w:type="paragraph" w:customStyle="1" w:styleId="EPFooter2Landscape">
    <w:name w:val="EPFooter2Landscape"/>
    <w:rsid w:val="00F50054"/>
    <w:pPr>
      <w:widowControl w:val="0"/>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F50054"/>
    <w:rPr>
      <w:rFonts w:ascii="Arial" w:hAnsi="Arial"/>
      <w:b w:val="0"/>
      <w:i/>
      <w:color w:val="AEAAAA"/>
      <w:sz w:val="22"/>
      <w:shd w:val="pct50" w:color="auto" w:fill="auto"/>
    </w:rPr>
  </w:style>
  <w:style w:type="paragraph" w:customStyle="1" w:styleId="PMissingStyle">
    <w:name w:val="P_MissingStyle"/>
    <w:basedOn w:val="Normal"/>
    <w:rsid w:val="00F50054"/>
    <w:rPr>
      <w:color w:val="FFFFFF"/>
      <w:szCs w:val="24"/>
      <w:shd w:val="clear" w:color="000000" w:fill="000000"/>
      <w:lang w:eastAsia="en-US"/>
    </w:rPr>
  </w:style>
  <w:style w:type="character" w:customStyle="1" w:styleId="CMissingStyle">
    <w:name w:val="C_MissingStyle"/>
    <w:rsid w:val="00F50054"/>
    <w:rPr>
      <w:color w:val="FFFFFF"/>
      <w:sz w:val="22"/>
      <w:shd w:val="clear" w:color="000000" w:fill="000000"/>
    </w:rPr>
  </w:style>
  <w:style w:type="paragraph" w:customStyle="1" w:styleId="Normal12a">
    <w:name w:val="Normal12a"/>
    <w:basedOn w:val="Normal"/>
    <w:rsid w:val="00F50054"/>
    <w:pPr>
      <w:spacing w:after="240"/>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204</Pages>
  <Words>47616</Words>
  <Characters>271413</Characters>
  <Application>Microsoft Office Word</Application>
  <DocSecurity>0</DocSecurity>
  <Lines>2261</Lines>
  <Paragraphs>636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2025-03-21T12:00:00Z</dcterms:created>
  <dcterms:modified xsi:type="dcterms:W3CDTF">2025-03-21T12:00:00Z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10.0.1 Build [20250114]</vt:lpwstr>
  </property>
  <property fmtid="{D5CDD505-2E9C-101B-9397-08002B2CF9AE}" pid="4" name="LastEdited with">
    <vt:lpwstr>10.0.1 Build [20250114]</vt:lpwstr>
  </property>
  <property fmtid="{D5CDD505-2E9C-101B-9397-08002B2CF9AE}" pid="5" name="&lt;FdR&gt;">
    <vt:lpwstr>1314503</vt:lpwstr>
  </property>
  <property fmtid="{D5CDD505-2E9C-101B-9397-08002B2CF9AE}" pid="6" name="&lt;Type&gt;">
    <vt:lpwstr>AM</vt:lpwstr>
  </property>
  <property fmtid="{D5CDD505-2E9C-101B-9397-08002B2CF9AE}" pid="7" name="&lt;ModelCod&gt;">
    <vt:lpwstr>\\eiciLUXpr1\pdocep$\DocEP\DOCS\General\AM\AM_NonLeg\AM_Com_NonLeg\AM_Com_NonLegReport.dotx(03/03/2023 13:39:05)</vt:lpwstr>
  </property>
  <property fmtid="{D5CDD505-2E9C-101B-9397-08002B2CF9AE}" pid="8" name="&lt;ModelTra&gt;">
    <vt:lpwstr>\\eiciLUXpr1\pdocep$\DocEP\TRANSFIL\DE\AM_Com_NonLegReport.DE(17/08/2024 00:22:02)</vt:lpwstr>
  </property>
  <property fmtid="{D5CDD505-2E9C-101B-9397-08002B2CF9AE}" pid="9" name="&lt;Model&gt;">
    <vt:lpwstr>AM_Com_NonLegReport</vt:lpwstr>
  </property>
  <property fmtid="{D5CDD505-2E9C-101B-9397-08002B2CF9AE}" pid="10" name="FooterPath">
    <vt:lpwstr>AM\1314503DE.docx</vt:lpwstr>
  </property>
  <property fmtid="{D5CDD505-2E9C-101B-9397-08002B2CF9AE}" pid="11" name="PE number">
    <vt:lpwstr>768.144</vt:lpwstr>
  </property>
  <property fmtid="{D5CDD505-2E9C-101B-9397-08002B2CF9AE}" pid="12" name="SDLStudio">
    <vt:lpwstr/>
  </property>
</Properties>
</file>