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4723C" w:rsidRPr="008E725B">
        <w:trPr>
          <w:trHeight w:hRule="exact" w:val="1417"/>
          <w:jc w:val="center"/>
        </w:trPr>
        <w:tc>
          <w:tcPr>
            <w:tcW w:w="6804" w:type="dxa"/>
            <w:tcBorders>
              <w:top w:val="nil"/>
              <w:left w:val="nil"/>
              <w:bottom w:val="nil"/>
              <w:right w:val="nil"/>
            </w:tcBorders>
            <w:vAlign w:val="center"/>
          </w:tcPr>
          <w:p w:rsidR="0004723C" w:rsidRPr="008E725B" w:rsidRDefault="000C3BBA">
            <w:pPr>
              <w:pStyle w:val="EPName"/>
            </w:pPr>
            <w:r w:rsidRPr="008E725B">
              <w:t>Euroopan parlamentti</w:t>
            </w:r>
          </w:p>
          <w:p w:rsidR="0004723C" w:rsidRPr="008E725B" w:rsidRDefault="000C3BBA">
            <w:pPr>
              <w:pStyle w:val="EPTerm"/>
            </w:pPr>
            <w:r w:rsidRPr="008E725B">
              <w:t>2024-2029</w:t>
            </w:r>
          </w:p>
        </w:tc>
        <w:tc>
          <w:tcPr>
            <w:tcW w:w="2268" w:type="dxa"/>
            <w:tcBorders>
              <w:top w:val="nil"/>
              <w:left w:val="nil"/>
              <w:bottom w:val="nil"/>
              <w:right w:val="nil"/>
            </w:tcBorders>
          </w:tcPr>
          <w:p w:rsidR="0004723C" w:rsidRPr="008E725B" w:rsidRDefault="00B5562F">
            <w:pPr>
              <w:pStyle w:val="EPLogo"/>
            </w:pPr>
            <w:r w:rsidRPr="008E725B">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6" o:title=""/>
                </v:shape>
              </w:pict>
            </w:r>
          </w:p>
        </w:tc>
      </w:tr>
    </w:tbl>
    <w:p w:rsidR="0004723C" w:rsidRPr="008E725B" w:rsidRDefault="000C3BBA">
      <w:pPr>
        <w:pStyle w:val="LineTop"/>
      </w:pPr>
      <w:r w:rsidRPr="008E725B">
        <w:t xml:space="preserve"> </w:t>
      </w:r>
    </w:p>
    <w:p w:rsidR="0004723C" w:rsidRPr="008E725B" w:rsidRDefault="000C3BBA">
      <w:pPr>
        <w:pStyle w:val="EPBody"/>
      </w:pPr>
      <w:r w:rsidRPr="008E725B">
        <w:rPr>
          <w:rStyle w:val="HideTWBExt"/>
        </w:rPr>
        <w:t>&lt;Commission&gt;</w:t>
      </w:r>
      <w:r w:rsidRPr="008E725B">
        <w:rPr>
          <w:rStyle w:val="HideTWBInt"/>
        </w:rPr>
        <w:t>{LIBE}</w:t>
      </w:r>
      <w:r w:rsidRPr="008E725B">
        <w:t>Kansalaisvapauksien sekä oikeus- ja sisäasioiden valiokunta</w:t>
      </w:r>
      <w:r w:rsidRPr="008E725B">
        <w:rPr>
          <w:rStyle w:val="HideTWBExt"/>
        </w:rPr>
        <w:t>&lt;/Commission&gt;</w:t>
      </w:r>
    </w:p>
    <w:p w:rsidR="0004723C" w:rsidRPr="008E725B" w:rsidRDefault="000C3BBA">
      <w:pPr>
        <w:pStyle w:val="LineBottom"/>
      </w:pPr>
      <w:r w:rsidRPr="008E725B">
        <w:t xml:space="preserve"> </w:t>
      </w:r>
    </w:p>
    <w:p w:rsidR="0004723C" w:rsidRPr="008E725B" w:rsidRDefault="000C3BBA">
      <w:pPr>
        <w:pStyle w:val="CoverReference"/>
      </w:pPr>
      <w:r w:rsidRPr="008E725B">
        <w:rPr>
          <w:rStyle w:val="HideTWBExt"/>
        </w:rPr>
        <w:t>&lt;RefProc&gt;</w:t>
      </w:r>
      <w:r w:rsidRPr="008E725B">
        <w:t>2024/2078</w:t>
      </w:r>
      <w:r w:rsidRPr="008E725B">
        <w:rPr>
          <w:rStyle w:val="HideTWBExt"/>
        </w:rPr>
        <w:t>&lt;/RefProc&gt;&lt;RefTypeProc&gt;</w:t>
      </w:r>
      <w:r w:rsidRPr="008E725B">
        <w:t>(INI)</w:t>
      </w:r>
      <w:r w:rsidRPr="008E725B">
        <w:rPr>
          <w:rStyle w:val="HideTWBExt"/>
        </w:rPr>
        <w:t>&lt;/RefTypeProc&gt;</w:t>
      </w:r>
    </w:p>
    <w:p w:rsidR="0004723C" w:rsidRPr="008E725B" w:rsidRDefault="000C3BBA">
      <w:pPr>
        <w:pStyle w:val="CoverDate"/>
      </w:pPr>
      <w:r w:rsidRPr="008E725B">
        <w:rPr>
          <w:rStyle w:val="HideTWBExt"/>
        </w:rPr>
        <w:t>&lt;Date&gt;</w:t>
      </w:r>
      <w:r w:rsidRPr="008E725B">
        <w:rPr>
          <w:rStyle w:val="HideTWBInt"/>
        </w:rPr>
        <w:t>{19/02/2025}</w:t>
      </w:r>
      <w:r w:rsidRPr="008E725B">
        <w:t>19.2.2025</w:t>
      </w:r>
      <w:r w:rsidRPr="008E725B">
        <w:rPr>
          <w:rStyle w:val="HideTWBExt"/>
        </w:rPr>
        <w:t>&lt;/Date&gt;</w:t>
      </w:r>
    </w:p>
    <w:p w:rsidR="0004723C" w:rsidRPr="008E725B" w:rsidRDefault="000C3BBA">
      <w:pPr>
        <w:pStyle w:val="CoverDocType"/>
      </w:pPr>
      <w:r w:rsidRPr="008E725B">
        <w:rPr>
          <w:rStyle w:val="HideTWBExt"/>
        </w:rPr>
        <w:t>&lt;TypeAM&gt;</w:t>
      </w:r>
      <w:r w:rsidRPr="008E725B">
        <w:t>TARKISTUKSET</w:t>
      </w:r>
      <w:r w:rsidRPr="008E725B">
        <w:rPr>
          <w:rStyle w:val="HideTWBExt"/>
        </w:rPr>
        <w:t>&lt;/TypeAM&gt;</w:t>
      </w:r>
    </w:p>
    <w:p w:rsidR="0004723C" w:rsidRPr="008E725B" w:rsidRDefault="000C3BBA">
      <w:pPr>
        <w:pStyle w:val="CoverDocType24a"/>
      </w:pPr>
      <w:r w:rsidRPr="008E725B">
        <w:rPr>
          <w:rStyle w:val="HideTWBExt"/>
        </w:rPr>
        <w:t>&lt;RangeAM&gt;</w:t>
      </w:r>
      <w:r w:rsidRPr="008E725B">
        <w:t>1 - 366</w:t>
      </w:r>
      <w:r w:rsidRPr="008E725B">
        <w:rPr>
          <w:rStyle w:val="HideTWBExt"/>
        </w:rPr>
        <w:t>&lt;/RangeAM&gt;</w:t>
      </w:r>
    </w:p>
    <w:p w:rsidR="0004723C" w:rsidRPr="008E725B" w:rsidRDefault="000C3BBA">
      <w:pPr>
        <w:pStyle w:val="CoverBold"/>
      </w:pPr>
      <w:r w:rsidRPr="008E725B">
        <w:rPr>
          <w:rStyle w:val="HideTWBExt"/>
        </w:rPr>
        <w:t>&lt;TitreType&gt;</w:t>
      </w:r>
      <w:r w:rsidRPr="008E725B">
        <w:t>Mietintöluonnos</w:t>
      </w:r>
      <w:r w:rsidRPr="008E725B">
        <w:rPr>
          <w:rStyle w:val="HideTWBExt"/>
        </w:rPr>
        <w:t>&lt;/TitreType&gt;</w:t>
      </w:r>
    </w:p>
    <w:p w:rsidR="0004723C" w:rsidRPr="008E725B" w:rsidRDefault="000C3BBA">
      <w:pPr>
        <w:pStyle w:val="CoverBold"/>
      </w:pPr>
      <w:r w:rsidRPr="008E725B">
        <w:rPr>
          <w:rStyle w:val="HideTWBExt"/>
        </w:rPr>
        <w:t>&lt;Rapporteur&gt;</w:t>
      </w:r>
      <w:r w:rsidRPr="008E725B">
        <w:t>Ana Catarina Mendes</w:t>
      </w:r>
      <w:r w:rsidRPr="008E725B">
        <w:rPr>
          <w:rStyle w:val="HideTWBExt"/>
        </w:rPr>
        <w:t>&lt;/Rapporteur&gt;</w:t>
      </w:r>
    </w:p>
    <w:p w:rsidR="0004723C" w:rsidRPr="008E725B" w:rsidRDefault="000C3BBA">
      <w:pPr>
        <w:pStyle w:val="CoverNormal24a"/>
      </w:pPr>
      <w:r w:rsidRPr="008E725B">
        <w:rPr>
          <w:rStyle w:val="HideTWBExt"/>
        </w:rPr>
        <w:t>&lt;DocRefPE&gt;</w:t>
      </w:r>
      <w:r w:rsidRPr="008E725B">
        <w:t>(PE767.867v01-00)</w:t>
      </w:r>
      <w:r w:rsidRPr="008E725B">
        <w:rPr>
          <w:rStyle w:val="HideTWBExt"/>
        </w:rPr>
        <w:t>&lt;/DocRefPE&gt;</w:t>
      </w:r>
    </w:p>
    <w:p w:rsidR="0004723C" w:rsidRPr="008E725B" w:rsidRDefault="000C3BBA">
      <w:pPr>
        <w:pStyle w:val="CoverNormal"/>
      </w:pPr>
      <w:r w:rsidRPr="008E725B">
        <w:rPr>
          <w:rStyle w:val="HideTWBExt"/>
        </w:rPr>
        <w:t>&lt;Titre&gt;</w:t>
      </w:r>
      <w:r w:rsidRPr="008E725B">
        <w:t>Komission vuoden 2024 oikeusvaltiokertomus</w:t>
      </w:r>
      <w:r w:rsidRPr="008E725B">
        <w:rPr>
          <w:rStyle w:val="HideTWBExt"/>
        </w:rPr>
        <w:t>&lt;/Titre&gt;</w:t>
      </w:r>
    </w:p>
    <w:p w:rsidR="0004723C" w:rsidRPr="008E725B" w:rsidRDefault="000C3BBA">
      <w:pPr>
        <w:pStyle w:val="CoverNormal24a"/>
      </w:pPr>
      <w:r w:rsidRPr="008E725B">
        <w:rPr>
          <w:rStyle w:val="HideTWBExt"/>
        </w:rPr>
        <w:t>&lt;DocRef&gt;</w:t>
      </w:r>
      <w:r w:rsidRPr="008E725B">
        <w:t>(2024/2078(INI))</w:t>
      </w:r>
      <w:r w:rsidRPr="008E725B">
        <w:rPr>
          <w:rStyle w:val="HideTWBExt"/>
        </w:rPr>
        <w:t>&lt;/DocRef&gt;</w:t>
      </w:r>
    </w:p>
    <w:p w:rsidR="0004723C" w:rsidRPr="008E725B" w:rsidRDefault="000C3BBA">
      <w:r w:rsidRPr="008E725B">
        <w:br w:type="page"/>
      </w:r>
      <w:r w:rsidRPr="008E725B">
        <w:lastRenderedPageBreak/>
        <w:t>AM_Com_NonLegReport</w:t>
      </w:r>
    </w:p>
    <w:p w:rsidR="005E49C0" w:rsidRPr="008E725B" w:rsidRDefault="000C3BBA" w:rsidP="005E49C0">
      <w:pPr>
        <w:pStyle w:val="AmNumberTabs"/>
      </w:pPr>
      <w:r w:rsidRPr="008E725B">
        <w:br w:type="page"/>
      </w:r>
      <w:r w:rsidR="005E49C0" w:rsidRPr="008E725B">
        <w:rPr>
          <w:rStyle w:val="HideTWBExt"/>
          <w:b w:val="0"/>
        </w:rPr>
        <w:lastRenderedPageBreak/>
        <w:t>&lt;RepeatBlock-Amend&gt;&lt;Amend&gt;</w:t>
      </w:r>
      <w:r w:rsidR="005E49C0" w:rsidRPr="008E725B">
        <w:t>Tarkistus</w:t>
      </w:r>
      <w:r w:rsidR="005E49C0" w:rsidRPr="008E725B">
        <w:tab/>
      </w:r>
      <w:r w:rsidR="005E49C0" w:rsidRPr="008E725B">
        <w:tab/>
      </w:r>
      <w:r w:rsidR="005E49C0" w:rsidRPr="008E725B">
        <w:rPr>
          <w:rStyle w:val="HideTWBExt"/>
          <w:b w:val="0"/>
        </w:rPr>
        <w:t>&lt;NumAm&gt;</w:t>
      </w:r>
      <w:r w:rsidR="005E49C0" w:rsidRPr="008E725B">
        <w:t>1</w:t>
      </w:r>
      <w:r w:rsidR="005E49C0"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1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w:t>
            </w:r>
            <w:r w:rsidRPr="008E725B">
              <w:tab/>
              <w:t xml:space="preserve">ottaa huomioon Euroopan unionista tehdyn sopimuksen (SEU) ja erityisesti </w:t>
            </w:r>
            <w:r w:rsidRPr="008E725B">
              <w:rPr>
                <w:b/>
                <w:i/>
              </w:rPr>
              <w:t>sen</w:t>
            </w:r>
            <w:r w:rsidRPr="008E725B">
              <w:t xml:space="preserve"> </w:t>
            </w:r>
            <w:r w:rsidRPr="008E725B">
              <w:rPr>
                <w:b/>
                <w:i/>
              </w:rPr>
              <w:t>2 artiklan, 3 artiklan 1 kohdan, 3 artiklan 3 kohdan toisen alakohdan, 4 artiklan 3 kohdan sekä 5, 6,</w:t>
            </w:r>
            <w:r w:rsidRPr="008E725B">
              <w:t xml:space="preserve"> 7</w:t>
            </w:r>
            <w:r w:rsidRPr="008E725B">
              <w:rPr>
                <w:b/>
                <w:i/>
              </w:rPr>
              <w:t>, 11, 19 ja 49</w:t>
            </w:r>
            <w:r w:rsidRPr="008E725B">
              <w:t xml:space="preserve"> artiklan,</w:t>
            </w:r>
          </w:p>
        </w:tc>
        <w:tc>
          <w:tcPr>
            <w:tcW w:w="4876" w:type="dxa"/>
            <w:tcBorders>
              <w:top w:val="nil"/>
              <w:left w:val="nil"/>
              <w:bottom w:val="nil"/>
              <w:right w:val="nil"/>
            </w:tcBorders>
          </w:tcPr>
          <w:p w:rsidR="005E49C0" w:rsidRPr="008E725B" w:rsidRDefault="005E49C0" w:rsidP="00B5562F">
            <w:pPr>
              <w:pStyle w:val="Normal6a"/>
            </w:pPr>
            <w:r w:rsidRPr="008E725B">
              <w:t>–</w:t>
            </w:r>
            <w:r w:rsidRPr="008E725B">
              <w:tab/>
              <w:t>ottaa huomioon Euroopan unionista tehdyn sopimuksen (SEU) ja erityisesti 7 artiklan,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2</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1 a viite (uusi)</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jäsenvaltioiden perustuslait sekä kansallisten poliittisten ja hallinnollisten järjestelmien moninaisuuden,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3</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2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lastRenderedPageBreak/>
              <w:t>–</w:t>
            </w:r>
            <w:r w:rsidRPr="008E725B">
              <w:tab/>
            </w:r>
            <w:r w:rsidRPr="008E725B">
              <w:rPr>
                <w:b/>
                <w:i/>
              </w:rPr>
              <w:t>ottaa huomioon Euroopan unionin toiminnasta tehdyn sopimuksen (SEUT) ja erityisesti sen artiklat, jotka liittyvät demokratian, oikeusvaltion ja perusoikeuksien kunnioittamiseen, suojelemiseen ja edistämiseen unionissa, mukaan lukien sen 70, 258, 259, 260, 263, 265 ja 267 artiklan,</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4</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Emmanuel Fragkos, Geadis Geadi, Galato Alexandraki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2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w:t>
            </w:r>
            <w:r w:rsidRPr="008E725B">
              <w:tab/>
              <w:t>ottaa huomioon Euroopan unionin toiminnasta tehdyn sopimuksen (SEUT) ja erityisesti sen artiklat, jotka liittyvät demokratian, oikeusvaltion ja perusoikeuksien kunnioittamiseen, suojelemiseen ja edistämiseen unionissa, mukaan lukien sen 70, 258, 259, 260, 263, 265 ja 267 artiklan,</w:t>
            </w:r>
          </w:p>
        </w:tc>
        <w:tc>
          <w:tcPr>
            <w:tcW w:w="4876" w:type="dxa"/>
            <w:tcBorders>
              <w:top w:val="nil"/>
              <w:left w:val="nil"/>
              <w:bottom w:val="nil"/>
              <w:right w:val="nil"/>
            </w:tcBorders>
          </w:tcPr>
          <w:p w:rsidR="005E49C0" w:rsidRPr="008E725B" w:rsidRDefault="005E49C0" w:rsidP="00B5562F">
            <w:pPr>
              <w:pStyle w:val="Normal6a"/>
            </w:pPr>
            <w:r w:rsidRPr="008E725B">
              <w:t>–</w:t>
            </w:r>
            <w:r w:rsidRPr="008E725B">
              <w:tab/>
              <w:t xml:space="preserve">ottaa huomioon Euroopan unionin toiminnasta tehdyn sopimuksen (SEUT) ja erityisesti sen artiklat, jotka liittyvät demokratian, oikeusvaltion ja perusoikeuksien kunnioittamiseen, suojelemiseen ja edistämiseen unionissa, mukaan lukien sen 70, </w:t>
            </w:r>
            <w:r w:rsidRPr="008E725B">
              <w:rPr>
                <w:b/>
                <w:i/>
              </w:rPr>
              <w:t>174,</w:t>
            </w:r>
            <w:r w:rsidRPr="008E725B">
              <w:t xml:space="preserve"> 258, 259, 260, 263, 265 ja 267 artiklan,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{EL}</w:t>
      </w:r>
      <w:r w:rsidRPr="008E725B">
        <w:t>el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5</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3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Euroopan unionin perusoikeuskirjan, jäljempänä ’perusoikeuskirja’,</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lastRenderedPageBreak/>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6</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4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Euroopan unionin tuomioistuimen oikeuskäytännön,</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7</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Daniel Freund</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5 a viite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unionin yleiseen talousarvioon sovellettavista varainhoitosäännöistä 23. syyskuuta 2024 annetun Euroopan parlamentin ja neuvoston asetuksen (EU, Euratom) 2024/2509 (uudelleenlaadittu) (varainhoitoasetus) ja erityisesti sen 6 artiklan 3 kohdan,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8</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6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w:t>
            </w:r>
            <w:r w:rsidRPr="008E725B">
              <w:tab/>
              <w:t xml:space="preserve">ottaa huomioon yleisestä </w:t>
            </w:r>
            <w:r w:rsidRPr="008E725B">
              <w:lastRenderedPageBreak/>
              <w:t xml:space="preserve">ehdollisuusjärjestelmästä unionin talousarvion suojaamiseksi 16. joulukuuta 2020 annetun Euroopan parlamentin ja neuvoston asetuksen (EU, Euratom) 2020/2092 </w:t>
            </w:r>
            <w:r w:rsidRPr="008E725B">
              <w:rPr>
                <w:b/>
                <w:i/>
              </w:rPr>
              <w:t>(ehdollisuusasetus)</w:t>
            </w:r>
            <w:r w:rsidRPr="008E725B">
              <w:t>,</w:t>
            </w:r>
          </w:p>
        </w:tc>
        <w:tc>
          <w:tcPr>
            <w:tcW w:w="4876" w:type="dxa"/>
            <w:tcBorders>
              <w:top w:val="nil"/>
              <w:left w:val="nil"/>
              <w:bottom w:val="nil"/>
              <w:right w:val="nil"/>
            </w:tcBorders>
          </w:tcPr>
          <w:p w:rsidR="005E49C0" w:rsidRPr="008E725B" w:rsidRDefault="005E49C0" w:rsidP="00B5562F">
            <w:pPr>
              <w:pStyle w:val="Normal6a"/>
            </w:pPr>
            <w:r w:rsidRPr="008E725B">
              <w:lastRenderedPageBreak/>
              <w:t>–</w:t>
            </w:r>
            <w:r w:rsidRPr="008E725B">
              <w:tab/>
              <w:t xml:space="preserve">ottaa huomioon yleisestä </w:t>
            </w:r>
            <w:r w:rsidRPr="008E725B">
              <w:lastRenderedPageBreak/>
              <w:t>ehdollisuusjärjestelmästä unionin talousarvion suojaamiseksi 16. joulukuuta 2020 annetun Euroopan parlamentin ja neuvoston asetuksen (EU, Euratom) 2020/2092,</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lastRenderedPageBreak/>
              <w:t>_________________</w:t>
            </w:r>
          </w:p>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1</w:t>
            </w:r>
            <w:r w:rsidRPr="008E725B">
              <w:t xml:space="preserve"> EUVL L 433, 22.12.2020, s. 1, ELI: http://data.europa.eu/eli/reg/2020/2092/oj.</w:t>
            </w:r>
          </w:p>
        </w:tc>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1</w:t>
            </w:r>
            <w:r w:rsidRPr="008E725B">
              <w:t xml:space="preserve"> EUVL L 433, 22.12.2020, s. 1, ELI: http://data.europa.eu/eli/reg/2020/2092/oj.</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9</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7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rajaturvallisuuden ja viisumipolitiikan rahoitusvälinettä koskevista varainhoitosäännöistä 24. kesäkuuta 2021 annetun Euroopan parlamentin ja neuvoston asetuksen (EU) 2021/1060</w:t>
            </w:r>
            <w:r w:rsidRPr="008E725B">
              <w:rPr>
                <w:b/>
                <w:i/>
                <w:vertAlign w:val="superscript"/>
              </w:rPr>
              <w:t>2</w:t>
            </w:r>
            <w:r w:rsidRPr="008E725B">
              <w:rPr>
                <w:b/>
                <w:i/>
              </w:rPr>
              <w:t xml:space="preserve"> (yhteisiä säännöksiä koskeva asetus),</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w:t>
            </w:r>
            <w:r w:rsidRPr="008E725B">
              <w:t xml:space="preserve"> </w:t>
            </w:r>
            <w:r w:rsidRPr="008E725B">
              <w:rPr>
                <w:b/>
                <w:i/>
              </w:rPr>
              <w:t>EUVL L 231, 30.6.2021, s. 159, ELI: http://data.europa.eu/eli/reg/2021/1060/oj.</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lastRenderedPageBreak/>
        <w:t>&lt;Amend&gt;</w:t>
      </w:r>
      <w:r w:rsidRPr="008E725B">
        <w:t>Tarkistus</w:t>
      </w:r>
      <w:r w:rsidRPr="008E725B">
        <w:tab/>
      </w:r>
      <w:r w:rsidRPr="008E725B">
        <w:tab/>
      </w:r>
      <w:r w:rsidRPr="008E725B">
        <w:rPr>
          <w:rStyle w:val="HideTWBExt"/>
          <w:b w:val="0"/>
        </w:rPr>
        <w:t>&lt;NumAm&gt;</w:t>
      </w:r>
      <w:r w:rsidRPr="008E725B">
        <w:t>10</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7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rajaturvallisuuden ja viisumipolitiikan rahoitusvälinettä koskevista varainhoitosäännöistä 24. kesäkuuta 2021 annetun Euroopan parlamentin ja neuvoston asetuksen (EU) 2021/1060</w:t>
            </w:r>
            <w:r w:rsidRPr="008E725B">
              <w:rPr>
                <w:b/>
                <w:i/>
                <w:vertAlign w:val="superscript"/>
              </w:rPr>
              <w:t>2</w:t>
            </w:r>
            <w:r w:rsidRPr="008E725B">
              <w:rPr>
                <w:b/>
                <w:i/>
              </w:rPr>
              <w:t xml:space="preserve"> (yhteisiä säännöksiä koskeva asetus),</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w:t>
            </w:r>
            <w:r w:rsidRPr="008E725B">
              <w:t xml:space="preserve"> </w:t>
            </w:r>
            <w:r w:rsidRPr="008E725B">
              <w:rPr>
                <w:b/>
                <w:i/>
              </w:rPr>
              <w:t>EUVL L 231, 30.6.2021, s. 159, ELI: http://data.europa.eu/eli/reg/2021/1060/oj.</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11</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Emmanuel Fragkos, Geadis Geadi, Galato Alexandraki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7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w:t>
            </w:r>
            <w:r w:rsidRPr="008E725B">
              <w:tab/>
              <w:t xml:space="preserve">ottaa huomioon Euroopan aluekehitysrahastoa, Euroopan sosiaalirahasto plussaa, koheesiorahastoa, oikeudenmukaisen siirtymän rahastoa ja Euroopan meri-, kalatalous- ja vesiviljelyrahastoa koskevista yhteisistä säännöksistä ja varainhoitosäännöistä </w:t>
            </w:r>
            <w:r w:rsidRPr="008E725B">
              <w:rPr>
                <w:b/>
                <w:i/>
                <w:iCs/>
              </w:rPr>
              <w:t xml:space="preserve">sekä </w:t>
            </w:r>
            <w:r w:rsidRPr="008E725B">
              <w:rPr>
                <w:b/>
                <w:i/>
                <w:iCs/>
              </w:rPr>
              <w:lastRenderedPageBreak/>
              <w:t>turvapaikka-, maahanmuutto- ja kotouttamisrahastoa</w:t>
            </w:r>
            <w:r w:rsidRPr="008E725B">
              <w:t>, sisäisen turvallisuuden rahastoa ja rajaturvallisuuden ja viisumipolitiikan rahoitusvälinettä koskevista varainhoitosäännöistä 24. kesäkuuta 2021 annetun Euroopan parlamentin ja neuvoston asetuksen (EU) 2021/1060</w:t>
            </w:r>
            <w:r w:rsidRPr="008E725B">
              <w:rPr>
                <w:vertAlign w:val="superscript"/>
              </w:rPr>
              <w:t>2</w:t>
            </w:r>
            <w:r w:rsidRPr="008E725B">
              <w:t xml:space="preserve"> (yhteisiä säännöksiä koskeva asetus),</w:t>
            </w:r>
          </w:p>
        </w:tc>
        <w:tc>
          <w:tcPr>
            <w:tcW w:w="4876" w:type="dxa"/>
            <w:tcBorders>
              <w:top w:val="nil"/>
              <w:left w:val="nil"/>
              <w:bottom w:val="nil"/>
              <w:right w:val="nil"/>
            </w:tcBorders>
          </w:tcPr>
          <w:p w:rsidR="005E49C0" w:rsidRPr="008E725B" w:rsidRDefault="005E49C0" w:rsidP="00B5562F">
            <w:pPr>
              <w:pStyle w:val="Normal6a"/>
            </w:pPr>
            <w:r w:rsidRPr="008E725B">
              <w:lastRenderedPageBreak/>
              <w:t>–</w:t>
            </w:r>
            <w:r w:rsidRPr="008E725B">
              <w:tab/>
              <w:t xml:space="preserve">ottaa huomioon Euroopan aluekehitysrahastoa, Euroopan sosiaalirahasto plussaa, koheesiorahastoa, oikeudenmukaisen siirtymän rahastoa ja Euroopan meri-, kalatalous- ja vesiviljelyrahastoa koskevista yhteisistä säännöksistä ja varainhoitosäännöistä, </w:t>
            </w:r>
            <w:r w:rsidRPr="008E725B">
              <w:lastRenderedPageBreak/>
              <w:t>sisäisen turvallisuuden rahastoa ja rajaturvallisuuden ja viisumipolitiikan rahoitusvälinettä koskevista varainhoitosäännöistä 24. kesäkuuta 2021 annetun Euroopan parlamentin ja neuvoston asetuksen (EU) 2021/1060</w:t>
            </w:r>
            <w:r w:rsidRPr="008E725B">
              <w:rPr>
                <w:vertAlign w:val="superscript"/>
              </w:rPr>
              <w:t>2</w:t>
            </w:r>
            <w:r w:rsidRPr="008E725B">
              <w:t xml:space="preserve"> (yhteisiä säännöksiä koskeva asetus),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lastRenderedPageBreak/>
              <w:t>_________________</w:t>
            </w:r>
          </w:p>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2</w:t>
            </w:r>
            <w:r w:rsidRPr="008E725B">
              <w:t xml:space="preserve"> EUVL L 231, 30.6.2021, s. 159, ELI: http://data.europa.eu/eli/reg/2021/1060/oj.</w:t>
            </w:r>
          </w:p>
        </w:tc>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2</w:t>
            </w:r>
            <w:r w:rsidRPr="008E725B">
              <w:t xml:space="preserve"> EUVL L 231, 30.6.2021, s. 159, ELI: http://data.europa.eu/eli/reg/2021/1060/oj.</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{EL}</w:t>
      </w:r>
      <w:r w:rsidRPr="008E725B">
        <w:t>el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12</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8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kansalaisten, tasa-arvon, perusoikeuksien ja arvojen ohjelman perustamisesta sekä Euroopan parlamentin ja neuvoston asetuksen (EU) N:o 1381/2013 ja neuvoston asetuksen (EU) N:o 390/2014 kumoamisesta 28. huhtikuuta 2021 annetun Euroopan parlamentin ja neuvoston asetuksen (EU) 2021/692,</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3</w:t>
            </w:r>
            <w:r w:rsidRPr="008E725B">
              <w:t xml:space="preserve"> </w:t>
            </w:r>
            <w:r w:rsidRPr="008E725B">
              <w:rPr>
                <w:b/>
                <w:i/>
              </w:rPr>
              <w:t>EUVL L 156, 5.5.2021, s. 1, ELI: http://data.europa.eu/eli/reg/2021/692/oj.</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13</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lastRenderedPageBreak/>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8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kansalaisten, tasa-arvon, perusoikeuksien ja arvojen ohjelman perustamisesta sekä Euroopan parlamentin ja neuvoston asetuksen (EU) N:o 1381/2013 ja neuvoston asetuksen (EU) N:o 390/2014 kumoamisesta 28. huhtikuuta 2021 annetun Euroopan parlamentin ja neuvoston asetuksen (EU) 2021/692</w:t>
            </w:r>
            <w:r w:rsidRPr="008E725B">
              <w:rPr>
                <w:b/>
                <w:i/>
                <w:vertAlign w:val="superscript"/>
              </w:rPr>
              <w:t>3</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3</w:t>
            </w:r>
            <w:r w:rsidRPr="008E725B">
              <w:t xml:space="preserve"> </w:t>
            </w:r>
            <w:r w:rsidRPr="008E725B">
              <w:rPr>
                <w:b/>
                <w:i/>
              </w:rPr>
              <w:t>EUVL L 156, 5.5.2021, s. 1., ELI: http://data.europa.eu/eli/reg/2021/692/oj.</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14</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8 a viite (uusi)</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kidutuksen ja muun julman, epäinhimillisen tai halventavan kohtelun tai rangaistuksen vastaisen yleissopimuksen, jonka YK:n yleiskokous hyväksyi 10. joulukuuta 1984, ja myöhemmät pöytäkirjat,</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15</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9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ihmisoikeuksien yleismaailmallisen julistuksen,</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16</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10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YK:n välineet ihmisoikeuksien ja perusvapauksien suojaamiseksi, YK:n yleisen määräaikaisarvioinnin yhteydessä annetut suositukset ja raportit sekä YK:n sopimuselinten oikeuskäytännön ja YK:n ihmisoikeusneuvoston erityismenettelyt,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17</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10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YK:n välineet ihmisoikeuksien ja perusvapauksien suojaamiseksi, YK:n yleisen määräaikaisarvioinnin yhteydessä annetut suositukset ja raportit sekä YK:n sopimuselinten oikeuskäytännön ja YK:n ihmisoikeusneuvoston erityismenettelyt,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lastRenderedPageBreak/>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18</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Loránt Vincze</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10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w:t>
            </w:r>
            <w:r w:rsidRPr="008E725B">
              <w:tab/>
              <w:t>ottaa huomioon YK:n välineet ihmisoikeuksien ja perusvapauksien suojaamiseksi, YK:n yleisen määräaikaisarvioinnin yhteydessä annetut suositukset ja raportit sekä YK:n sopimuselinten oikeuskäytännön ja YK:n ihmisoikeusneuvoston erityismenettelyt,</w:t>
            </w:r>
          </w:p>
        </w:tc>
        <w:tc>
          <w:tcPr>
            <w:tcW w:w="4876" w:type="dxa"/>
            <w:tcBorders>
              <w:top w:val="nil"/>
              <w:left w:val="nil"/>
              <w:bottom w:val="nil"/>
              <w:right w:val="nil"/>
            </w:tcBorders>
          </w:tcPr>
          <w:p w:rsidR="005E49C0" w:rsidRPr="008E725B" w:rsidRDefault="005E49C0" w:rsidP="00B5562F">
            <w:pPr>
              <w:pStyle w:val="Normal6a"/>
            </w:pPr>
            <w:r w:rsidRPr="008E725B">
              <w:t>–</w:t>
            </w:r>
            <w:r w:rsidRPr="008E725B">
              <w:tab/>
              <w:t xml:space="preserve">ottaa huomioon YK:n välineet ihmisoikeuksien ja perusvapauksien suojaamiseksi, </w:t>
            </w:r>
            <w:r w:rsidRPr="008E725B">
              <w:rPr>
                <w:b/>
                <w:i/>
              </w:rPr>
              <w:t>erityisesti ihmisoikeuksien yleismaailmallisen julistuksen, kansalaisoikeuksia ja poliittisia oikeuksia koskevan kansainvälisen yleissopimuksen, kaikkinaisen rotusyrjinnän poistamista koskevan yleissopimuksen, kaikkinaisen naisten syrjinnän poistamista koskevan yleissopimuksen ja vammaisten henkilöiden oikeuksia koskevan yleissopimuksen, kansallisiin tai etnisiin, uskonnollisiin ja kielellisiin vähemmistöihin kuuluvien henkilöiden oikeuksia koskevan julistuksen ja YK:n vähemmistöasioiden foorumin suositukset,</w:t>
            </w:r>
            <w:r w:rsidRPr="008E725B">
              <w:t xml:space="preserve"> YK:n yleisen määräaikaisarvioinnin yhteydessä annetut suositukset ja raportit sekä YK:n sopimuselinten oikeuskäytännön ja YK:n ihmisoikeusneuvoston erityismenettelyt,</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19</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11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 xml:space="preserve">ottaa huomioon Euroopan ihmisoikeussopimuksen, Euroopan sosiaalisen peruskirjan, Euroopan </w:t>
            </w:r>
            <w:r w:rsidRPr="008E725B">
              <w:rPr>
                <w:b/>
                <w:i/>
              </w:rPr>
              <w:lastRenderedPageBreak/>
              <w:t>ihmisoikeustuomioistuimen oikeuskäytännön ja Euroopan sosiaalisten oikeuksien komitean päätökset sekä Euroopan neuvoston parlamentaarisen yleiskokouksen, ministerikomitean, ihmisoikeusvaltuutetun, Euroopan rasismin ja suvaitsemattomuuden vastaisen komission, syrjimättömyyttä, monimuotoisuutta ja osallisuutta käsittelevän ohjauskomitean, Venetsian komission ja muiden Euroopan neuvoston elinten yleissopimukset, suositukset, päätöslauselmat, lausunnot ja raportit,</w:t>
            </w:r>
          </w:p>
        </w:tc>
        <w:tc>
          <w:tcPr>
            <w:tcW w:w="4876" w:type="dxa"/>
            <w:tcBorders>
              <w:top w:val="nil"/>
              <w:left w:val="nil"/>
              <w:bottom w:val="nil"/>
              <w:right w:val="nil"/>
            </w:tcBorders>
          </w:tcPr>
          <w:p w:rsidR="005E49C0" w:rsidRPr="008E725B" w:rsidRDefault="005E49C0" w:rsidP="00B5562F">
            <w:pPr>
              <w:pStyle w:val="Normal6a"/>
            </w:pPr>
            <w:r w:rsidRPr="008E725B">
              <w:rPr>
                <w:b/>
                <w:i/>
              </w:rPr>
              <w:lastRenderedPageBreak/>
              <w:t>Poistetaan.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20</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11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Euroopan ihmisoikeussopimuksen, Euroopan sosiaalisen peruskirjan, Euroopan ihmisoikeustuomioistuimen oikeuskäytännön ja Euroopan sosiaalisten oikeuksien komitean päätökset sekä Euroopan neuvoston parlamentaarisen yleiskokouksen, ministerikomitean, ihmisoikeusvaltuutetun, Euroopan rasismin ja suvaitsemattomuuden vastaisen komission, syrjimättömyyttä, monimuotoisuutta ja osallisuutta käsittelevän ohjauskomitean, Venetsian komission ja muiden Euroopan neuvoston elinten yleissopimukset, suositukset, päätöslauselmat, lausunnot ja raportit,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lastRenderedPageBreak/>
        <w:t>&lt;Amend&gt;</w:t>
      </w:r>
      <w:r w:rsidRPr="008E725B">
        <w:t>Tarkistus</w:t>
      </w:r>
      <w:r w:rsidRPr="008E725B">
        <w:tab/>
      </w:r>
      <w:r w:rsidRPr="008E725B">
        <w:tab/>
      </w:r>
      <w:r w:rsidRPr="008E725B">
        <w:rPr>
          <w:rStyle w:val="HideTWBExt"/>
        </w:rPr>
        <w:t>&lt;NumAm&gt;</w:t>
      </w:r>
      <w:r w:rsidRPr="008E725B">
        <w:t>21</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Daniel Freund</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11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w:t>
            </w:r>
            <w:r w:rsidRPr="008E725B">
              <w:tab/>
              <w:t>ottaa huomioon Euroopan ihmisoikeussopimuksen, Euroopan sosiaalisen peruskirjan, Euroopan ihmisoikeustuomioistuimen oikeuskäytännön ja Euroopan sosiaalisten oikeuksien komitean päätökset sekä Euroopan neuvoston parlamentaarisen yleiskokouksen, ministerikomitean, ihmisoikeusvaltuutetun, Euroopan rasismin ja suvaitsemattomuuden vastaisen komission, syrjimättömyyttä, monimuotoisuutta ja osallisuutta käsittelevän ohjauskomitean, Venetsian komission ja muiden Euroopan neuvoston elinten yleissopimukset, suositukset, päätöslauselmat, lausunnot ja raportit,</w:t>
            </w:r>
          </w:p>
        </w:tc>
        <w:tc>
          <w:tcPr>
            <w:tcW w:w="4876" w:type="dxa"/>
            <w:tcBorders>
              <w:top w:val="nil"/>
              <w:left w:val="nil"/>
              <w:bottom w:val="nil"/>
              <w:right w:val="nil"/>
            </w:tcBorders>
          </w:tcPr>
          <w:p w:rsidR="005E49C0" w:rsidRPr="008E725B" w:rsidRDefault="005E49C0" w:rsidP="00B5562F">
            <w:pPr>
              <w:pStyle w:val="Normal6a"/>
            </w:pPr>
            <w:r w:rsidRPr="008E725B">
              <w:t>–</w:t>
            </w:r>
            <w:r w:rsidRPr="008E725B">
              <w:tab/>
              <w:t xml:space="preserve">ottaa huomioon Euroopan ihmisoikeussopimuksen, Euroopan sosiaalisen peruskirjan, Euroopan ihmisoikeustuomioistuimen </w:t>
            </w:r>
            <w:r w:rsidRPr="008E725B">
              <w:rPr>
                <w:b/>
                <w:i/>
              </w:rPr>
              <w:t>(EIT)</w:t>
            </w:r>
            <w:r w:rsidRPr="008E725B">
              <w:t xml:space="preserve"> oikeuskäytännön ja Euroopan sosiaalisten oikeuksien komitean päätökset sekä Euroopan neuvoston parlamentaarisen yleiskokouksen, ministerikomitean, ihmisoikeusvaltuutetun, Euroopan rasismin ja suvaitsemattomuuden vastaisen komission, syrjimättömyyttä, monimuotoisuutta ja osallisuutta käsittelevän ohjauskomitean, Venetsian komission ja muiden Euroopan neuvoston elinten yleissopimukset, suositukset, päätöslauselmat, lausunnot ja raportit,</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22</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Paolo Inselvini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12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naisiin kohdistuvan väkivallan ja perheväkivallan ehkäisemisestä ja torjumisesta tehdyn Euroopan neuvoston yleissopimuksen,</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{IT}</w:t>
      </w:r>
      <w:r w:rsidRPr="008E725B">
        <w:t>it</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23</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lastRenderedPageBreak/>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12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naisiin kohdistuvan väkivallan ja perheväkivallan ehkäisemisestä ja torjumisesta tehdyn Euroopan neuvoston yleissopimuksen,</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24</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12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naisiin kohdistuvan väkivallan ja perheväkivallan ehkäisemisestä ja torjumisesta tehdyn Euroopan neuvoston yleissopimuksen,</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25</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12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naisiin kohdistuvan väkivallan ja perheväkivallan ehkäisemisestä ja torjumisesta tehdyn Euroopan neuvoston yleissopimuksen,</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lastRenderedPageBreak/>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26</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Loránt Vincze</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12 a viite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alueellisia kieliä tai vähemmistökieliä koskevan eurooppalaisen peruskirjan ja kansallisten vähemmistöjen suojelusta tehdyn Euroopan neuvoston puiteyleissopimuksen,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27</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13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23. toukokuuta 2007 tehdyn Euroopan neuvoston ja Euroopan unionin välisen yhteisymmärryspöytäkirjan ja 30. tammikuuta 2023 annetut neuvoston päätelmät EU:n prioriteeteista Euroopan neuvoston kanssa vuosina 2023–2024 tehtävälle yhteistyölle,</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28</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13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23. toukokuuta 2007 tehdyn Euroopan neuvoston ja Euroopan unionin välisen yhteisymmärryspöytäkirjan ja 30. tammikuuta 2023 annetut neuvoston päätelmät EU:n prioriteeteista Euroopan neuvoston kanssa vuosina 2023–2024 tehtävälle yhteistyölle,</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29</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Daniel Freund</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13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w:t>
            </w:r>
            <w:r w:rsidRPr="008E725B">
              <w:tab/>
              <w:t xml:space="preserve">ottaa huomioon 23. toukokuuta 2007 tehdyn Euroopan neuvoston ja Euroopan unionin välisen yhteisymmärryspöytäkirjan ja </w:t>
            </w:r>
            <w:r w:rsidRPr="008E725B">
              <w:rPr>
                <w:b/>
                <w:i/>
              </w:rPr>
              <w:t>30. tammikuuta 2023</w:t>
            </w:r>
            <w:r w:rsidRPr="008E725B">
              <w:t xml:space="preserve"> annetut neuvoston päätelmät EU:n prioriteeteista Euroopan neuvoston kanssa vuosina </w:t>
            </w:r>
            <w:r w:rsidRPr="008E725B">
              <w:rPr>
                <w:b/>
                <w:i/>
              </w:rPr>
              <w:t>2023</w:t>
            </w:r>
            <w:r w:rsidRPr="008E725B">
              <w:t>–</w:t>
            </w:r>
            <w:r w:rsidRPr="008E725B">
              <w:rPr>
                <w:b/>
                <w:i/>
              </w:rPr>
              <w:t>2024</w:t>
            </w:r>
            <w:r w:rsidRPr="008E725B">
              <w:t xml:space="preserve"> tehtävälle yhteistyölle,</w:t>
            </w:r>
          </w:p>
        </w:tc>
        <w:tc>
          <w:tcPr>
            <w:tcW w:w="4876" w:type="dxa"/>
            <w:tcBorders>
              <w:top w:val="nil"/>
              <w:left w:val="nil"/>
              <w:bottom w:val="nil"/>
              <w:right w:val="nil"/>
            </w:tcBorders>
          </w:tcPr>
          <w:p w:rsidR="005E49C0" w:rsidRPr="008E725B" w:rsidRDefault="005E49C0" w:rsidP="00B5562F">
            <w:pPr>
              <w:pStyle w:val="Normal6a"/>
            </w:pPr>
            <w:r w:rsidRPr="008E725B">
              <w:t>–</w:t>
            </w:r>
            <w:r w:rsidRPr="008E725B">
              <w:tab/>
              <w:t xml:space="preserve">ottaa huomioon 23. toukokuuta 2007 tehdyn Euroopan neuvoston ja Euroopan unionin välisen yhteisymmärryspöytäkirjan ja </w:t>
            </w:r>
            <w:r w:rsidRPr="008E725B">
              <w:rPr>
                <w:b/>
                <w:i/>
              </w:rPr>
              <w:t xml:space="preserve">17. joulukuuta 2024 </w:t>
            </w:r>
            <w:r w:rsidRPr="008E725B">
              <w:t xml:space="preserve">annetut neuvoston päätelmät EU:n prioriteeteista Euroopan neuvoston kanssa vuosina </w:t>
            </w:r>
            <w:r w:rsidRPr="008E725B">
              <w:rPr>
                <w:b/>
                <w:i/>
              </w:rPr>
              <w:t>2025</w:t>
            </w:r>
            <w:r w:rsidRPr="008E725B">
              <w:t>–</w:t>
            </w:r>
            <w:r w:rsidRPr="008E725B">
              <w:rPr>
                <w:b/>
                <w:i/>
              </w:rPr>
              <w:t>2026</w:t>
            </w:r>
            <w:r w:rsidRPr="008E725B">
              <w:t xml:space="preserve"> tehtävälle yhteistyölle,</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30</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14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 xml:space="preserve">ottaa huomioon 20. joulukuuta 2017 annetun SEU-sopimuksen 7 artiklan </w:t>
            </w:r>
            <w:r w:rsidRPr="008E725B">
              <w:rPr>
                <w:b/>
                <w:i/>
              </w:rPr>
              <w:lastRenderedPageBreak/>
              <w:t>1 kohdan mukaisen komission perustellun ehdotuksen neuvoston päätökseksi sen toteamisesta, että on olemassa selvä vaara, että Puolan tasavalta loukkaa vakavasti oikeusvaltioperiaatetta (COM(2017)0835),</w:t>
            </w:r>
          </w:p>
        </w:tc>
        <w:tc>
          <w:tcPr>
            <w:tcW w:w="4876" w:type="dxa"/>
            <w:tcBorders>
              <w:top w:val="nil"/>
              <w:left w:val="nil"/>
              <w:bottom w:val="nil"/>
              <w:right w:val="nil"/>
            </w:tcBorders>
          </w:tcPr>
          <w:p w:rsidR="005E49C0" w:rsidRPr="008E725B" w:rsidRDefault="005E49C0" w:rsidP="00B5562F">
            <w:pPr>
              <w:pStyle w:val="Normal6a"/>
            </w:pPr>
            <w:r w:rsidRPr="008E725B">
              <w:rPr>
                <w:b/>
                <w:i/>
              </w:rPr>
              <w:lastRenderedPageBreak/>
              <w:t>Poistetaan.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31</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14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20. joulukuuta 2017 annetun SEU-sopimuksen 7 artiklan 1 kohdan mukaisen komission perustellun ehdotuksen neuvoston päätökseksi sen toteamisesta, että on olemassa selvä vaara, että Puolan tasavalta loukkaa vakavasti oikeusvaltioperiaatetta (COM(2017)0835),</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32</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14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20. joulukuuta 2017 annetun SEU-sopimuksen 7 artiklan 1 kohdan mukaisen komission perustellun ehdotuksen neuvoston päätökseksi sen toteamisesta, että on olemassa selvä vaara, että Puolan tasavalta loukkaa vakavasti oikeusvaltioperiaatetta (COM(2017)0835),</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33</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Michał Wawrykiewicz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14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20. joulukuuta 2017 annetun SEU-sopimuksen 7 artiklan 1 kohdan mukaisen komission perustellun ehdotuksen neuvoston päätökseksi sen toteamisesta, että on olemassa selvä vaara, että Puolan tasavalta loukkaa vakavasti oikeusvaltioperiaatetta (COM(2017)0835),</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34</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15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25. lokakuuta 2016 antamansa päätöslauselman suosituksista komissiolle demokratiaa, oikeusvaltiota ja perusoikeuksia koskevan EU:n järjestelmän perustamisesta</w:t>
            </w:r>
            <w:r w:rsidRPr="008E725B">
              <w:rPr>
                <w:b/>
                <w:i/>
                <w:vertAlign w:val="superscript"/>
              </w:rPr>
              <w:t>4</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4</w:t>
            </w:r>
            <w:r w:rsidRPr="008E725B">
              <w:t xml:space="preserve"> </w:t>
            </w:r>
            <w:r w:rsidRPr="008E725B">
              <w:rPr>
                <w:b/>
                <w:i/>
              </w:rPr>
              <w:t>EUVL C 215, 19.6.2018, s. 162.</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35</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lastRenderedPageBreak/>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15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25. lokakuuta 2016 antamansa päätöslauselman suosituksista komissiolle demokratiaa, oikeusvaltiota ja perusoikeuksia koskevan EU:n järjestelmän perustamisesta</w:t>
            </w:r>
            <w:r w:rsidRPr="008E725B">
              <w:rPr>
                <w:b/>
                <w:i/>
                <w:vertAlign w:val="superscript"/>
              </w:rPr>
              <w:t>4</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4</w:t>
            </w:r>
            <w:r w:rsidRPr="008E725B">
              <w:t xml:space="preserve"> </w:t>
            </w:r>
            <w:r w:rsidRPr="008E725B">
              <w:rPr>
                <w:b/>
                <w:i/>
              </w:rPr>
              <w:t>EUVL C 215, 19.6.2018, s. 162.</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36</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16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 maaliskuuta 2018 antamansa päätöslauselman komission päätöksestä käynnistää SEU-sopimuksen 7 artiklan 1 kohdan mukainen menettely Puolan tilanteen johdosta</w:t>
            </w:r>
            <w:r w:rsidRPr="008E725B">
              <w:rPr>
                <w:b/>
                <w:i/>
                <w:vertAlign w:val="superscript"/>
              </w:rPr>
              <w:t>5</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5</w:t>
            </w:r>
            <w:r w:rsidRPr="008E725B">
              <w:t xml:space="preserve"> </w:t>
            </w:r>
            <w:r w:rsidRPr="008E725B">
              <w:rPr>
                <w:b/>
                <w:i/>
              </w:rPr>
              <w:t>EUVL C 129, 5.4.2019, s. 13.</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37</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16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lastRenderedPageBreak/>
              <w:t>–</w:t>
            </w:r>
            <w:r w:rsidRPr="008E725B">
              <w:tab/>
            </w:r>
            <w:r w:rsidRPr="008E725B">
              <w:rPr>
                <w:b/>
                <w:i/>
              </w:rPr>
              <w:t>ottaa huomioon 1. maaliskuuta 2018 antamansa päätöslauselman komission päätöksestä käynnistää SEU-sopimuksen 7 artiklan 1 kohdan mukainen menettely Puolan tilanteen johdosta,</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5</w:t>
            </w:r>
            <w:r w:rsidRPr="008E725B">
              <w:t xml:space="preserve"> </w:t>
            </w:r>
            <w:r w:rsidRPr="008E725B">
              <w:rPr>
                <w:b/>
                <w:i/>
              </w:rPr>
              <w:t>EUVL C 129, 5.4.2019, s. 13.</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38</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Michał Wawrykiewicz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16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 maaliskuuta 2018 antamansa päätöslauselman komission päätöksestä käynnistää SEU-sopimuksen 7 artiklan 1 kohdan mukainen menettely Puolan tilanteen johdosta,</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5</w:t>
            </w:r>
            <w:r w:rsidRPr="008E725B">
              <w:t xml:space="preserve"> </w:t>
            </w:r>
            <w:r w:rsidRPr="008E725B">
              <w:rPr>
                <w:b/>
                <w:i/>
              </w:rPr>
              <w:t>EUVL C 129, 5.4.2019, s. 13.</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39</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Mary Khan, Milan Uhrík, Ewa Zajączkowska-Hernik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16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 xml:space="preserve">ottaa huomioon 1. maaliskuuta 2018 antamansa päätöslauselman komission päätöksestä käynnistää SEU-sopimuksen 7 artiklan 1 kohdan </w:t>
            </w:r>
            <w:r w:rsidRPr="008E725B">
              <w:rPr>
                <w:b/>
                <w:i/>
              </w:rPr>
              <w:lastRenderedPageBreak/>
              <w:t>mukainen menettely Puolan tilanteen johdosta,</w:t>
            </w:r>
          </w:p>
        </w:tc>
        <w:tc>
          <w:tcPr>
            <w:tcW w:w="4876" w:type="dxa"/>
            <w:tcBorders>
              <w:top w:val="nil"/>
              <w:left w:val="nil"/>
              <w:bottom w:val="nil"/>
              <w:right w:val="nil"/>
            </w:tcBorders>
          </w:tcPr>
          <w:p w:rsidR="005E49C0" w:rsidRPr="008E725B" w:rsidRDefault="005E49C0" w:rsidP="00B5562F">
            <w:pPr>
              <w:pStyle w:val="Normal6a"/>
            </w:pPr>
            <w:r w:rsidRPr="008E725B">
              <w:rPr>
                <w:b/>
                <w:i/>
              </w:rPr>
              <w:lastRenderedPageBreak/>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5</w:t>
            </w:r>
            <w:r w:rsidRPr="008E725B">
              <w:t xml:space="preserve"> </w:t>
            </w:r>
            <w:r w:rsidRPr="008E725B">
              <w:rPr>
                <w:b/>
                <w:i/>
              </w:rPr>
              <w:t>EUVL C 129, 5.4.2019, s. 13.</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40</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16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 maaliskuuta 2018 antamansa päätöslauselman komission päätöksestä käynnistää SEU-sopimuksen 7 artiklan 1 kohdan mukainen menettely Puolan tilanteen johdosta</w:t>
            </w:r>
            <w:r w:rsidRPr="008E725B">
              <w:rPr>
                <w:b/>
                <w:i/>
                <w:vertAlign w:val="superscript"/>
              </w:rPr>
              <w:t>5</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5</w:t>
            </w:r>
            <w:r w:rsidRPr="008E725B">
              <w:t xml:space="preserve"> </w:t>
            </w:r>
            <w:r w:rsidRPr="008E725B">
              <w:rPr>
                <w:b/>
                <w:i/>
              </w:rPr>
              <w:t>EUVL C 129, 5.4.2019, s. 13.</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41</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Michał Wawrykiewicz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16 a viite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29. toukokuuta 2024 julkaistun komission ilmoituksen Puolaa vastaan käynnistetyn 7 artiklan mukaisen menettelyn päättämisestä Puolan toteutettua toimia, joilla se palaa noudattamaan EU:n oikeusvaltioperiaatetta;</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42</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Loránt Vincze</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16 a viite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7. helmikuuta 2018 antamansa päätöslauselman vähemmistöjen suojelusta ja syrjimättömyydestä EU:n jäsenvaltioissa, </w:t>
            </w:r>
            <w:r w:rsidRPr="008E725B">
              <w:rPr>
                <w:b/>
                <w:i/>
                <w:vertAlign w:val="superscript"/>
              </w:rPr>
              <w:t>5 a</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tc>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5 a</w:t>
            </w:r>
            <w:r w:rsidRPr="008E725B">
              <w:t xml:space="preserve"> </w:t>
            </w:r>
            <w:r w:rsidRPr="008E725B">
              <w:rPr>
                <w:b/>
                <w:i/>
              </w:rPr>
              <w:t>EUVL C 463, 21.12.2018, s. 21.</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43</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17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19. huhtikuuta 2018 antamansa päätöslauselman tarpeesta luoda eurooppalaisten arvojen väline perusarvoja Euroopan unionissa paikallisella ja kansallisella tasolla edistävien kansalaisyhteiskunnan järjestöjen tukemiseksi</w:t>
            </w:r>
            <w:r w:rsidRPr="008E725B">
              <w:rPr>
                <w:b/>
                <w:i/>
                <w:vertAlign w:val="superscript"/>
              </w:rPr>
              <w:t>6</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6</w:t>
            </w:r>
            <w:r w:rsidRPr="008E725B">
              <w:t xml:space="preserve"> </w:t>
            </w:r>
            <w:r w:rsidRPr="008E725B">
              <w:rPr>
                <w:b/>
                <w:i/>
              </w:rPr>
              <w:t>EUVL C 390, 18.11.2019, s. 117.</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lastRenderedPageBreak/>
        <w:t>&lt;Amend&gt;</w:t>
      </w:r>
      <w:r w:rsidRPr="008E725B">
        <w:t>Tarkistus</w:t>
      </w:r>
      <w:r w:rsidRPr="008E725B">
        <w:tab/>
      </w:r>
      <w:r w:rsidRPr="008E725B">
        <w:tab/>
      </w:r>
      <w:r w:rsidRPr="008E725B">
        <w:rPr>
          <w:rStyle w:val="HideTWBExt"/>
          <w:b w:val="0"/>
        </w:rPr>
        <w:t>&lt;NumAm&gt;</w:t>
      </w:r>
      <w:r w:rsidRPr="008E725B">
        <w:t>44</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17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19. huhtikuuta 2018 antamansa päätöslauselman tarpeesta luoda eurooppalaisten arvojen väline perusarvoja Euroopan unionissa paikallisella ja kansallisella tasolla edistävien kansalaisyhteiskunnan järjestöjen tukemiseksi</w:t>
            </w:r>
            <w:r w:rsidRPr="008E725B">
              <w:rPr>
                <w:b/>
                <w:i/>
                <w:vertAlign w:val="superscript"/>
              </w:rPr>
              <w:t>6</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6</w:t>
            </w:r>
            <w:r w:rsidRPr="008E725B">
              <w:t xml:space="preserve"> </w:t>
            </w:r>
            <w:r w:rsidRPr="008E725B">
              <w:rPr>
                <w:b/>
                <w:i/>
              </w:rPr>
              <w:t>EUVL C 390, 18.11.2019, s. 117.</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45</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17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19. huhtikuuta 2018 antamansa päätöslauselman tarpeesta luoda eurooppalaisten arvojen väline perusarvoja Euroopan unionissa paikallisella ja kansallisella tasolla edistävien kansalaisyhteiskunnan järjestöjen tukemiseksi,</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6</w:t>
            </w:r>
            <w:r w:rsidRPr="008E725B">
              <w:t xml:space="preserve"> </w:t>
            </w:r>
            <w:r w:rsidRPr="008E725B">
              <w:rPr>
                <w:b/>
                <w:i/>
              </w:rPr>
              <w:t>EUVL C 390, 18.11.2019, s. 117.</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46</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Mary Khan, Milan Uhrík, Ewa Zajączkowska-Hernik</w:t>
      </w:r>
      <w:r w:rsidRPr="008E725B">
        <w:rPr>
          <w:rStyle w:val="HideTWBExt"/>
          <w:b w:val="0"/>
        </w:rPr>
        <w:t>&lt;/Members&gt;</w:t>
      </w:r>
    </w:p>
    <w:p w:rsidR="005E49C0" w:rsidRPr="008E725B" w:rsidRDefault="005E49C0" w:rsidP="005E49C0">
      <w:pPr>
        <w:pStyle w:val="NormalBold"/>
      </w:pPr>
      <w:r w:rsidRPr="008E725B">
        <w:rPr>
          <w:rStyle w:val="HideTWBExt"/>
          <w:b w:val="0"/>
        </w:rPr>
        <w:lastRenderedPageBreak/>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17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19. huhtikuuta 2018 antamansa päätöslauselman tarpeesta luoda eurooppalaisten arvojen väline perusarvoja Euroopan unionissa paikallisella ja kansallisella tasolla edistävien kansalaisyhteiskunnan järjestöjen tukemiseksi,</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6</w:t>
            </w:r>
            <w:r w:rsidRPr="008E725B">
              <w:t xml:space="preserve"> </w:t>
            </w:r>
            <w:r w:rsidRPr="008E725B">
              <w:rPr>
                <w:b/>
                <w:i/>
              </w:rPr>
              <w:t>EUVL C 390, 18.11.2019, s. 117.</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47</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18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12. syyskuuta 2018 antamansa päätöslauselman ehdotuksesta, jolla neuvostoa pyydetään toteamaan Euroopan unionista tehdyn sopimuksen 7 artiklan 1 kohdan nojalla, onko olemassa selvä vaara, että Unkari loukkaa vakavasti unionin perustana olevia arvoja</w:t>
            </w:r>
            <w:r w:rsidRPr="008E725B">
              <w:rPr>
                <w:b/>
                <w:i/>
                <w:vertAlign w:val="superscript"/>
              </w:rPr>
              <w:t>7</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7</w:t>
            </w:r>
            <w:r w:rsidRPr="008E725B">
              <w:t xml:space="preserve"> </w:t>
            </w:r>
            <w:r w:rsidRPr="008E725B">
              <w:rPr>
                <w:b/>
                <w:i/>
              </w:rPr>
              <w:t>EUVL C 433, 23.12.2019, s. 66.</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48</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lastRenderedPageBreak/>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18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12. syyskuuta 2018 antamansa päätöslauselman ehdotuksesta, jolla neuvostoa pyydetään toteamaan Euroopan unionista tehdyn sopimuksen 7 artiklan 1 kohdan nojalla, onko olemassa selvä vaara, että Unkari loukkaa vakavasti unionin perustana olevia arvoja,</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7</w:t>
            </w:r>
            <w:r w:rsidRPr="008E725B">
              <w:t xml:space="preserve"> </w:t>
            </w:r>
            <w:r w:rsidRPr="008E725B">
              <w:rPr>
                <w:b/>
                <w:i/>
              </w:rPr>
              <w:t>EUVL C 433, 23.12.2019, s. 66.</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49</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Mary Khan, Milan Uhrík, Ewa Zajączkowska-Hernik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18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12. syyskuuta 2018 antamansa päätöslauselman ehdotuksesta, jolla neuvostoa pyydetään toteamaan Euroopan unionista tehdyn sopimuksen 7 artiklan 1 kohdan nojalla, onko olemassa selvä vaara, että Unkari loukkaa vakavasti unionin perustana olevia arvoja,</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7</w:t>
            </w:r>
            <w:r w:rsidRPr="008E725B">
              <w:t xml:space="preserve"> </w:t>
            </w:r>
            <w:r w:rsidRPr="008E725B">
              <w:rPr>
                <w:b/>
                <w:i/>
              </w:rPr>
              <w:t>EUVL C 433, 23.12.2019, s. 66.</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50</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lastRenderedPageBreak/>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18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12. syyskuuta 2018 antamansa päätöslauselman ehdotuksesta, jolla neuvostoa pyydetään toteamaan Euroopan unionista tehdyn sopimuksen 7 artiklan 1 kohdan nojalla, onko olemassa selvä vaara, että Unkari loukkaa vakavasti unionin perustana olevia arvoja</w:t>
            </w:r>
            <w:r w:rsidRPr="008E725B">
              <w:rPr>
                <w:b/>
                <w:i/>
                <w:vertAlign w:val="superscript"/>
              </w:rPr>
              <w:t>7</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7</w:t>
            </w:r>
            <w:r w:rsidRPr="008E725B">
              <w:t xml:space="preserve"> </w:t>
            </w:r>
            <w:r w:rsidRPr="008E725B">
              <w:rPr>
                <w:b/>
                <w:i/>
              </w:rPr>
              <w:t>EUVL C 433, 23.12.2019, s. 66.</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51</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19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13. marraskuuta 2018 antamansa päätöslauselman vähemmistöjä koskevista vähimmäisnormeista EU:ssa</w:t>
            </w:r>
            <w:r w:rsidRPr="008E725B">
              <w:rPr>
                <w:b/>
                <w:i/>
                <w:vertAlign w:val="superscript"/>
              </w:rPr>
              <w:t>8</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8</w:t>
            </w:r>
            <w:r w:rsidRPr="008E725B">
              <w:t xml:space="preserve"> </w:t>
            </w:r>
            <w:r w:rsidRPr="008E725B">
              <w:rPr>
                <w:b/>
                <w:i/>
              </w:rPr>
              <w:t>EUVL C 363, 28.10.2020, s. 13.</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52</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20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lastRenderedPageBreak/>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14. marraskuuta 2018 antamansa päätöslauselman kattavan EU-mekanismin tarpeesta demokratian, oikeusvaltion ja perusoikeuksien suojelemiseksi</w:t>
            </w:r>
            <w:r w:rsidRPr="008E725B">
              <w:rPr>
                <w:b/>
                <w:i/>
                <w:vertAlign w:val="superscript"/>
              </w:rPr>
              <w:t>9</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9</w:t>
            </w:r>
            <w:r w:rsidRPr="008E725B">
              <w:t xml:space="preserve"> </w:t>
            </w:r>
            <w:r w:rsidRPr="008E725B">
              <w:rPr>
                <w:b/>
                <w:i/>
              </w:rPr>
              <w:t>EUVL C 363, 28.10.2020, s. 45.</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53</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20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14. marraskuuta 2018 antamansa päätöslauselman kattavan EU-mekanismin tarpeesta demokratian, oikeusvaltion ja perusoikeuksien suojelemiseksi,</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9</w:t>
            </w:r>
            <w:r w:rsidRPr="008E725B">
              <w:t xml:space="preserve"> </w:t>
            </w:r>
            <w:r w:rsidRPr="008E725B">
              <w:rPr>
                <w:b/>
                <w:i/>
              </w:rPr>
              <w:t>EUVL C 363, 28.10.2020, s. 45.</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54</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20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 xml:space="preserve">ottaa huomioon 14. marraskuuta 2018 antamansa päätöslauselman kattavan EU-mekanismin tarpeesta demokratian, oikeusvaltion ja </w:t>
            </w:r>
            <w:r w:rsidRPr="008E725B">
              <w:rPr>
                <w:b/>
                <w:i/>
              </w:rPr>
              <w:lastRenderedPageBreak/>
              <w:t>perusoikeuksien suojelemiseksi</w:t>
            </w:r>
            <w:r w:rsidRPr="008E725B">
              <w:rPr>
                <w:b/>
                <w:i/>
                <w:vertAlign w:val="superscript"/>
              </w:rPr>
              <w:t>9</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lastRenderedPageBreak/>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9</w:t>
            </w:r>
            <w:r w:rsidRPr="008E725B">
              <w:t xml:space="preserve"> </w:t>
            </w:r>
            <w:r w:rsidRPr="008E725B">
              <w:rPr>
                <w:b/>
                <w:i/>
              </w:rPr>
              <w:t>EUVL C 363, 28.10.2020, s. 45.</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55</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Ana Catarina Mendes, Chloé Ridel, Sandro Ruotolo, Francisco Assis, Hannes Heide, Pina Picierno, Matjaž Nemec, Emma Rafowicz, Krzysztof Śmiszek, Katarina Barley, Evin Incir, Juan Fernando López Aguilar, Nacho Sánchez Amor, Marco Tarquinio, Javier Moreno Sánchez, Alessandro Zan</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20 a viite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6. joulukuuta 2023 annetun komission tiedonannon ”Ei sijaa vihalle – Eurooppa yhdessä vihaa vastaan” (JOIN(2023)0051),</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56</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21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7. lokakuuta 2020 antamansa päätöslauselman demokratiaa, oikeusvaltiota ja perusoikeuksia koskevan EU:n järjestelmän perustamisesta</w:t>
            </w:r>
            <w:r w:rsidRPr="008E725B">
              <w:rPr>
                <w:b/>
                <w:i/>
                <w:vertAlign w:val="superscript"/>
              </w:rPr>
              <w:t>10</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10</w:t>
            </w:r>
            <w:r w:rsidRPr="008E725B">
              <w:t xml:space="preserve"> </w:t>
            </w:r>
            <w:r w:rsidRPr="008E725B">
              <w:rPr>
                <w:b/>
                <w:i/>
              </w:rPr>
              <w:t>EUVL C 395, 29.9.2021, s. 2.</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lastRenderedPageBreak/>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57</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21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7. lokakuuta 2020 antamansa päätöslauselman demokratiaa, oikeusvaltiota ja perusoikeuksia koskevan EU:n järjestelmän perustamisesta,</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10</w:t>
            </w:r>
            <w:r w:rsidRPr="008E725B">
              <w:t xml:space="preserve"> </w:t>
            </w:r>
            <w:r w:rsidRPr="008E725B">
              <w:rPr>
                <w:b/>
                <w:i/>
              </w:rPr>
              <w:t>EUVL C 395, 29.9.2021, s. 2.</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58</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21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7. lokakuuta 2020 antamansa päätöslauselman demokratiaa, oikeusvaltiota ja perusoikeuksia koskevan EU:n järjestelmän perustamisesta</w:t>
            </w:r>
            <w:r w:rsidRPr="008E725B">
              <w:rPr>
                <w:b/>
                <w:i/>
                <w:vertAlign w:val="superscript"/>
              </w:rPr>
              <w:t>10</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10</w:t>
            </w:r>
            <w:r w:rsidRPr="008E725B">
              <w:t xml:space="preserve"> </w:t>
            </w:r>
            <w:r w:rsidRPr="008E725B">
              <w:rPr>
                <w:b/>
                <w:i/>
              </w:rPr>
              <w:t>EUVL C 395, 29.9.2021, s. 2.</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59</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22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lastRenderedPageBreak/>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13. marraskuuta 2020 antamansa päätöslauselman covid-19-toimenpiteiden vaikutuksesta demokratiaan, oikeusvaltioon ja perusoikeuksiin</w:t>
            </w:r>
            <w:r w:rsidRPr="008E725B">
              <w:rPr>
                <w:b/>
                <w:i/>
                <w:vertAlign w:val="superscript"/>
              </w:rPr>
              <w:t>11</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11</w:t>
            </w:r>
            <w:r w:rsidRPr="008E725B">
              <w:t xml:space="preserve"> </w:t>
            </w:r>
            <w:r w:rsidRPr="008E725B">
              <w:rPr>
                <w:b/>
                <w:i/>
              </w:rPr>
              <w:t>EUVL C 415, 13.10.2021, s. 36.</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60</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22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13. marraskuuta 2020 antamansa päätöslauselman covid-19-toimenpiteiden vaikutuksesta demokratiaan, oikeusvaltioon ja perusoikeuksiin,</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11</w:t>
            </w:r>
            <w:r w:rsidRPr="008E725B">
              <w:t xml:space="preserve"> </w:t>
            </w:r>
            <w:r w:rsidRPr="008E725B">
              <w:rPr>
                <w:b/>
                <w:i/>
              </w:rPr>
              <w:t>EUVL C 415, 13.10.2021, s. 36.</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61</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23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 xml:space="preserve">ottaa huomioon 17. joulukuuta 2020 antamansa päätöslauselman eurooppalaisesta kansalaisaloitteesta ”Minority SafePack” </w:t>
            </w:r>
            <w:r w:rsidRPr="008E725B">
              <w:rPr>
                <w:b/>
                <w:i/>
              </w:rPr>
              <w:lastRenderedPageBreak/>
              <w:t>– miljoona allekirjoitusta Euroopan monimuotoisuuden puolesta</w:t>
            </w:r>
            <w:r w:rsidRPr="008E725B">
              <w:rPr>
                <w:b/>
                <w:i/>
                <w:vertAlign w:val="superscript"/>
              </w:rPr>
              <w:t>12</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lastRenderedPageBreak/>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12</w:t>
            </w:r>
            <w:r w:rsidRPr="008E725B">
              <w:t xml:space="preserve"> </w:t>
            </w:r>
            <w:r w:rsidRPr="008E725B">
              <w:rPr>
                <w:b/>
                <w:i/>
              </w:rPr>
              <w:t>EUVL C 445, 29.10.2021, s. 70.</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62</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23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17. joulukuuta 2020 antamansa päätöslauselman eurooppalaisesta kansalaisaloitteesta ”Minority SafePack” – miljoona allekirjoitusta Euroopan monimuotoisuuden puolesta</w:t>
            </w:r>
            <w:r w:rsidRPr="008E725B">
              <w:rPr>
                <w:b/>
                <w:i/>
                <w:vertAlign w:val="superscript"/>
              </w:rPr>
              <w:t>12</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12</w:t>
            </w:r>
            <w:r w:rsidRPr="008E725B">
              <w:t xml:space="preserve"> </w:t>
            </w:r>
            <w:r w:rsidRPr="008E725B">
              <w:rPr>
                <w:b/>
                <w:i/>
              </w:rPr>
              <w:t>EUVL C 445, 29.10.2021, s. 70.</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63</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24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10. kesäkuuta 2021 antamansa päätöslauselman oikeusvaltiotilanteesta Euroopan unionissa ja ehdollisuusjärjestelmästä annetun asetuksen (EU, Euratom) 2020/2092 soveltamisesta</w:t>
            </w:r>
            <w:r w:rsidRPr="008E725B">
              <w:rPr>
                <w:b/>
                <w:i/>
                <w:vertAlign w:val="superscript"/>
              </w:rPr>
              <w:t>13</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lastRenderedPageBreak/>
              <w:t>13</w:t>
            </w:r>
            <w:r w:rsidRPr="008E725B">
              <w:t xml:space="preserve"> </w:t>
            </w:r>
            <w:r w:rsidRPr="008E725B">
              <w:rPr>
                <w:b/>
                <w:i/>
              </w:rPr>
              <w:t>EUVL C 67, 8.2.2022, s. 86.</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64</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24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10. kesäkuuta 2021 antamansa päätöslauselman oikeusvaltiotilanteesta Euroopan unionissa ja ehdollisuusjärjestelmästä annetun asetuksen (EU, Euratom) 2020/2092 soveltamisesta,</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13</w:t>
            </w:r>
            <w:r w:rsidRPr="008E725B">
              <w:t xml:space="preserve"> </w:t>
            </w:r>
            <w:r w:rsidRPr="008E725B">
              <w:rPr>
                <w:b/>
                <w:i/>
              </w:rPr>
              <w:t>EUVL C 67, 8.2.2022, s. 86.</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65</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24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10. kesäkuuta 2021 antamansa päätöslauselman oikeusvaltiotilanteesta Euroopan unionissa ja ehdollisuusjärjestelmästä annetun asetuksen (EU, Euratom) 2020/2092 soveltamisesta</w:t>
            </w:r>
            <w:r w:rsidRPr="008E725B">
              <w:rPr>
                <w:b/>
                <w:i/>
                <w:vertAlign w:val="superscript"/>
              </w:rPr>
              <w:t>13</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13</w:t>
            </w:r>
            <w:r w:rsidRPr="008E725B">
              <w:t xml:space="preserve"> </w:t>
            </w:r>
            <w:r w:rsidRPr="008E725B">
              <w:rPr>
                <w:b/>
                <w:i/>
              </w:rPr>
              <w:t>EUVL C 67, 8.2.2022, s. 86.</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lastRenderedPageBreak/>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66</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25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24. kesäkuuta 2021 antamansa päätöslauselman komission oikeusvaltiokertomuksesta 2020</w:t>
            </w:r>
            <w:r w:rsidRPr="008E725B">
              <w:rPr>
                <w:b/>
                <w:i/>
                <w:vertAlign w:val="superscript"/>
              </w:rPr>
              <w:t>14</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14</w:t>
            </w:r>
            <w:r w:rsidRPr="008E725B">
              <w:t xml:space="preserve"> </w:t>
            </w:r>
            <w:r w:rsidRPr="008E725B">
              <w:rPr>
                <w:b/>
                <w:i/>
              </w:rPr>
              <w:t>EUVL C 81, 18.2.2022, s. 27.</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67</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25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24. kesäkuuta 2021 antamansa päätöslauselman komission oikeusvaltiokertomuksesta 2020,</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14</w:t>
            </w:r>
            <w:r w:rsidRPr="008E725B">
              <w:t xml:space="preserve"> </w:t>
            </w:r>
            <w:r w:rsidRPr="008E725B">
              <w:rPr>
                <w:b/>
                <w:i/>
              </w:rPr>
              <w:t>EUVL C 81, 18.2.2022, s. 27.</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68</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25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lastRenderedPageBreak/>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24. kesäkuuta 2021 antamansa päätöslauselman komission oikeusvaltiokertomuksesta 2020</w:t>
            </w:r>
            <w:r w:rsidRPr="008E725B">
              <w:rPr>
                <w:b/>
                <w:i/>
                <w:vertAlign w:val="superscript"/>
              </w:rPr>
              <w:t>14</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14</w:t>
            </w:r>
            <w:r w:rsidRPr="008E725B">
              <w:t xml:space="preserve"> </w:t>
            </w:r>
            <w:r w:rsidRPr="008E725B">
              <w:rPr>
                <w:b/>
                <w:i/>
              </w:rPr>
              <w:t>EUVL C 81, 18.2.2022, s. 27.</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69</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26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8. heinäkuuta 2021 antamansa päätöslauselman suuntaviivojen laatimisesta unionin talousarvion suojaamista koskevan yleisen ehdollisuusjärjestelmän soveltamiseksi</w:t>
            </w:r>
            <w:r w:rsidRPr="008E725B">
              <w:rPr>
                <w:b/>
                <w:i/>
                <w:vertAlign w:val="superscript"/>
              </w:rPr>
              <w:t>15</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15</w:t>
            </w:r>
            <w:r w:rsidRPr="008E725B">
              <w:t xml:space="preserve"> </w:t>
            </w:r>
            <w:r w:rsidRPr="008E725B">
              <w:rPr>
                <w:b/>
                <w:i/>
              </w:rPr>
              <w:t>EUVL C 99, 1.3.2022, s. 146.</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70</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26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 xml:space="preserve">ottaa huomioon 8. heinäkuuta 2021 antamansa päätöslauselman suuntaviivojen laatimisesta unionin talousarvion suojaamista koskevan </w:t>
            </w:r>
            <w:r w:rsidRPr="008E725B">
              <w:rPr>
                <w:b/>
                <w:i/>
              </w:rPr>
              <w:lastRenderedPageBreak/>
              <w:t>yleisen ehdollisuusjärjestelmän soveltamiseksi,</w:t>
            </w:r>
          </w:p>
        </w:tc>
        <w:tc>
          <w:tcPr>
            <w:tcW w:w="4876" w:type="dxa"/>
            <w:tcBorders>
              <w:top w:val="nil"/>
              <w:left w:val="nil"/>
              <w:bottom w:val="nil"/>
              <w:right w:val="nil"/>
            </w:tcBorders>
          </w:tcPr>
          <w:p w:rsidR="005E49C0" w:rsidRPr="008E725B" w:rsidRDefault="005E49C0" w:rsidP="00B5562F">
            <w:pPr>
              <w:pStyle w:val="Normal6a"/>
            </w:pPr>
            <w:r w:rsidRPr="008E725B">
              <w:rPr>
                <w:b/>
                <w:i/>
              </w:rPr>
              <w:lastRenderedPageBreak/>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15</w:t>
            </w:r>
            <w:r w:rsidRPr="008E725B">
              <w:t xml:space="preserve"> </w:t>
            </w:r>
            <w:r w:rsidRPr="008E725B">
              <w:rPr>
                <w:b/>
                <w:i/>
              </w:rPr>
              <w:t>EUVL C 99, 1.3.2022, s. 146.</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71</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26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8. heinäkuuta 2021 antamansa päätöslauselman suuntaviivojen laatimisesta unionin talousarvion suojaamista koskevan yleisen ehdollisuusjärjestelmän soveltamiseksi</w:t>
            </w:r>
            <w:r w:rsidRPr="008E725B">
              <w:rPr>
                <w:b/>
                <w:i/>
                <w:vertAlign w:val="superscript"/>
              </w:rPr>
              <w:t>15</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15</w:t>
            </w:r>
            <w:r w:rsidRPr="008E725B">
              <w:t xml:space="preserve"> </w:t>
            </w:r>
            <w:r w:rsidRPr="008E725B">
              <w:rPr>
                <w:b/>
                <w:i/>
              </w:rPr>
              <w:t>EUVL C 99, 1.3.2022, s. 146.</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72</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27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16. syyskuuta 2021 antamansa päätöslauselman suosituksista komissiolle sukupuolistuneen väkivallan määrittelemisestä uudeksi rikollisuuden alaksi, joka mainitaan SEUT-sopimuksen 83 artiklan 1 kohdassa</w:t>
            </w:r>
            <w:r w:rsidRPr="008E725B">
              <w:rPr>
                <w:b/>
                <w:i/>
                <w:vertAlign w:val="superscript"/>
              </w:rPr>
              <w:t>16</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lastRenderedPageBreak/>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16</w:t>
            </w:r>
            <w:r w:rsidRPr="008E725B">
              <w:t xml:space="preserve"> </w:t>
            </w:r>
            <w:r w:rsidRPr="008E725B">
              <w:rPr>
                <w:b/>
                <w:i/>
              </w:rPr>
              <w:t>EUVL C 117, 11.3.2022, s. 88.</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73</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27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16. syyskuuta 2021 antamansa päätöslauselman suosituksista komissiolle sukupuolistuneen väkivallan määrittelemisestä uudeksi rikollisuuden alaksi, joka mainitaan SEUT-sopimuksen 83 artiklan 1 kohdassa,</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16</w:t>
            </w:r>
            <w:r w:rsidRPr="008E725B">
              <w:t xml:space="preserve"> </w:t>
            </w:r>
            <w:r w:rsidRPr="008E725B">
              <w:rPr>
                <w:b/>
                <w:i/>
              </w:rPr>
              <w:t>EUVL C 117, 11.3.2022, s. 88.</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74</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27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16. syyskuuta 2021 antamansa päätöslauselman suosituksista komissiolle sukupuolistuneen väkivallan määrittelemisestä uudeksi rikollisuuden alaksi, joka mainitaan SEUT-sopimuksen 83 artiklan 1 kohdassa</w:t>
            </w:r>
            <w:r w:rsidRPr="008E725B">
              <w:rPr>
                <w:b/>
                <w:i/>
                <w:vertAlign w:val="superscript"/>
              </w:rPr>
              <w:t>16</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16</w:t>
            </w:r>
            <w:r w:rsidRPr="008E725B">
              <w:t xml:space="preserve"> </w:t>
            </w:r>
            <w:r w:rsidRPr="008E725B">
              <w:rPr>
                <w:b/>
                <w:i/>
              </w:rPr>
              <w:t>EUVL C 117, 11.3.2022, s. 88.</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75</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28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11. marraskuuta 2021 antamansa päätöslauselman demokratian, tiedotusvälineiden vapauden ja moniarvoisuuden vahvistamisesta EU:ssa: yksityis- ja rikosoikeudellisten keinojen aiheeton käyttö toimittajien, kansalaisjärjestöjen ja kansalaisyhteiskunnan vaientamiseksi</w:t>
            </w:r>
            <w:r w:rsidRPr="008E725B">
              <w:rPr>
                <w:b/>
                <w:i/>
                <w:vertAlign w:val="superscript"/>
              </w:rPr>
              <w:t>17</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17</w:t>
            </w:r>
            <w:r w:rsidRPr="008E725B">
              <w:t xml:space="preserve"> </w:t>
            </w:r>
            <w:r w:rsidRPr="008E725B">
              <w:rPr>
                <w:b/>
                <w:i/>
              </w:rPr>
              <w:t>EUVL C 205, 20.5.2022, s. 2.</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76</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28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11. marraskuuta 2021 antamansa päätöslauselman demokratian, tiedotusvälineiden vapauden ja moniarvoisuuden vahvistamisesta EU:ssa: yksityis- ja rikosoikeudellisten keinojen aiheeton käyttö toimittajien, kansalaisjärjestöjen ja kansalaisyhteiskunnan vaientamiseksi,</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17</w:t>
            </w:r>
            <w:r w:rsidRPr="008E725B">
              <w:t xml:space="preserve"> </w:t>
            </w:r>
            <w:r w:rsidRPr="008E725B">
              <w:rPr>
                <w:b/>
                <w:i/>
              </w:rPr>
              <w:t>EUVL C 205, 20.5.2022, s. 2.</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77</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29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15. joulukuuta 2021 antamansa päätöslauselman korruption, sääntöjenvastaisten menojen ja EU:n ja jäsenvaltioiden varojen väärinkäytön välttämiseen hätäapurahastojen ja kriiseihin liittyvien menoalojen tapauksessa tähtäävien ennaltaehkäisevien toimenpiteiden arvioinnista</w:t>
            </w:r>
            <w:r w:rsidRPr="008E725B">
              <w:rPr>
                <w:b/>
                <w:i/>
                <w:vertAlign w:val="superscript"/>
              </w:rPr>
              <w:t>18</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18</w:t>
            </w:r>
            <w:r w:rsidRPr="008E725B">
              <w:t xml:space="preserve"> </w:t>
            </w:r>
            <w:r w:rsidRPr="008E725B">
              <w:rPr>
                <w:b/>
                <w:i/>
              </w:rPr>
              <w:t>EUVL C 251, 30.6.2022, s. 48.</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78</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30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8. maaliskuuta 2022 antamansa päätöslauselman kansalaisyhteiskunnan toimintamahdollisuuksien kaventumisesta Euroopassa</w:t>
            </w:r>
            <w:r w:rsidRPr="008E725B">
              <w:rPr>
                <w:b/>
                <w:i/>
                <w:vertAlign w:val="superscript"/>
              </w:rPr>
              <w:t>19</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19</w:t>
            </w:r>
            <w:r w:rsidRPr="008E725B">
              <w:t xml:space="preserve"> </w:t>
            </w:r>
            <w:r w:rsidRPr="008E725B">
              <w:rPr>
                <w:b/>
                <w:i/>
              </w:rPr>
              <w:t>EUVL C 347, 9.9.2022, s. 2.</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lastRenderedPageBreak/>
        <w:t>&lt;Amend&gt;</w:t>
      </w:r>
      <w:r w:rsidRPr="008E725B">
        <w:t>Tarkistus</w:t>
      </w:r>
      <w:r w:rsidRPr="008E725B">
        <w:tab/>
      </w:r>
      <w:r w:rsidRPr="008E725B">
        <w:tab/>
      </w:r>
      <w:r w:rsidRPr="008E725B">
        <w:rPr>
          <w:rStyle w:val="HideTWBExt"/>
        </w:rPr>
        <w:t>&lt;NumAm&gt;</w:t>
      </w:r>
      <w:r w:rsidRPr="008E725B">
        <w:t>79</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30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8. maaliskuuta 2022 antamansa päätöslauselman kansalaisyhteiskunnan toimintamahdollisuuksien kaventumisesta Euroopassa,</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19</w:t>
            </w:r>
            <w:r w:rsidRPr="008E725B">
              <w:t xml:space="preserve"> </w:t>
            </w:r>
            <w:r w:rsidRPr="008E725B">
              <w:rPr>
                <w:b/>
                <w:i/>
              </w:rPr>
              <w:t>EUVL C 347, 9.9.2022, s. 2.</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80</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31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10. maaliskuuta 2022 antamansa päätöslauselman oikeusvaltioperiaatteesta ja unionin tuomioistuimen päätöksen seurauksista</w:t>
            </w:r>
            <w:r w:rsidRPr="008E725B">
              <w:rPr>
                <w:b/>
                <w:i/>
                <w:vertAlign w:val="superscript"/>
              </w:rPr>
              <w:t>20</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20</w:t>
            </w:r>
            <w:r w:rsidRPr="008E725B">
              <w:t xml:space="preserve"> </w:t>
            </w:r>
            <w:r w:rsidRPr="008E725B">
              <w:rPr>
                <w:b/>
                <w:i/>
              </w:rPr>
              <w:t>EUVL C 347, 9.9.2022, s. 168.</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81</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31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lastRenderedPageBreak/>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10. maaliskuuta 2022 antamansa päätöslauselman oikeusvaltioperiaatteesta ja unionin tuomioistuimen päätöksen seurauksista</w:t>
            </w:r>
            <w:r w:rsidRPr="008E725B">
              <w:rPr>
                <w:b/>
                <w:i/>
                <w:vertAlign w:val="superscript"/>
              </w:rPr>
              <w:t>20</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20</w:t>
            </w:r>
            <w:r w:rsidRPr="008E725B">
              <w:t xml:space="preserve"> </w:t>
            </w:r>
            <w:r w:rsidRPr="008E725B">
              <w:rPr>
                <w:b/>
                <w:i/>
              </w:rPr>
              <w:t>EUVL C 347, 9.9.2022, s. 168.</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82</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31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10. maaliskuuta 2022 antamansa päätöslauselman oikeusvaltioperiaatteesta ja unionin tuomioistuimen päätöksen seurauksista,</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20</w:t>
            </w:r>
            <w:r w:rsidRPr="008E725B">
              <w:t xml:space="preserve"> </w:t>
            </w:r>
            <w:r w:rsidRPr="008E725B">
              <w:rPr>
                <w:b/>
                <w:i/>
              </w:rPr>
              <w:t>EUVL C 347, 9.9.2022, s. 168.</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83</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32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19. toukokuuta 2022 antamansa päätöslauselman komission oikeusvaltiokertomuksesta 2021</w:t>
            </w:r>
            <w:r w:rsidRPr="008E725B">
              <w:rPr>
                <w:b/>
                <w:i/>
                <w:vertAlign w:val="superscript"/>
              </w:rPr>
              <w:t>21</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lastRenderedPageBreak/>
              <w:t>21</w:t>
            </w:r>
            <w:r w:rsidRPr="008E725B">
              <w:t xml:space="preserve"> </w:t>
            </w:r>
            <w:r w:rsidRPr="008E725B">
              <w:rPr>
                <w:b/>
                <w:i/>
              </w:rPr>
              <w:t>EUVL C 479, 16.12.2022, s. 18.</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84</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32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19. toukokuuta 2022 antamansa päätöslauselman komission oikeusvaltiokertomuksesta 2021</w:t>
            </w:r>
            <w:r w:rsidRPr="008E725B">
              <w:rPr>
                <w:b/>
                <w:i/>
                <w:vertAlign w:val="superscript"/>
              </w:rPr>
              <w:t>21</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21</w:t>
            </w:r>
            <w:r w:rsidRPr="008E725B">
              <w:t xml:space="preserve"> </w:t>
            </w:r>
            <w:r w:rsidRPr="008E725B">
              <w:rPr>
                <w:b/>
                <w:i/>
              </w:rPr>
              <w:t>EUVL C 479, 16.12.2022, s. 18.</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85</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32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19. toukokuuta 2022 antamansa päätöslauselman komission oikeusvaltiokertomuksesta 2021</w:t>
            </w:r>
            <w:r w:rsidRPr="008E725B">
              <w:rPr>
                <w:b/>
                <w:i/>
                <w:vertAlign w:val="superscript"/>
              </w:rPr>
              <w:t>12</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21</w:t>
            </w:r>
            <w:r w:rsidRPr="008E725B">
              <w:t xml:space="preserve"> </w:t>
            </w:r>
            <w:r w:rsidRPr="008E725B">
              <w:rPr>
                <w:b/>
                <w:i/>
              </w:rPr>
              <w:t>EUVL C 479, 16.12.2022, s. 18.</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86</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 xml:space="preserve">Mariusz Kamiński, Joachim Stanisław Brudziński, Jadwiga Wiśniewska, Maciej Wąsik, </w:t>
      </w:r>
      <w:r w:rsidRPr="008E725B">
        <w:lastRenderedPageBreak/>
        <w:t>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33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9. kesäkuuta 2022 antamansa päätöslauselman oikeusvaltioperiaatteesta ja mahdollisesta Puolan kansallisen elpymissuunnitelman hyväksymisestä</w:t>
            </w:r>
            <w:r w:rsidRPr="008E725B">
              <w:rPr>
                <w:b/>
                <w:i/>
                <w:vertAlign w:val="superscript"/>
              </w:rPr>
              <w:t>22</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22</w:t>
            </w:r>
            <w:r w:rsidRPr="008E725B">
              <w:t xml:space="preserve"> </w:t>
            </w:r>
            <w:r w:rsidRPr="008E725B">
              <w:rPr>
                <w:b/>
                <w:i/>
              </w:rPr>
              <w:t>EUVL C 493, 27.12.2022, s. 108.</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87</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33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9. kesäkuuta 2022 antamansa päätöslauselman oikeusvaltioperiaatteesta ja mahdollisesta Puolan kansallisen elpymissuunnitelman hyväksymisestä,</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22</w:t>
            </w:r>
            <w:r w:rsidRPr="008E725B">
              <w:t xml:space="preserve"> </w:t>
            </w:r>
            <w:r w:rsidRPr="008E725B">
              <w:rPr>
                <w:b/>
                <w:i/>
              </w:rPr>
              <w:t>EUVL C 493, 27.12.2022, s. 108.</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88</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33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lastRenderedPageBreak/>
              <w:t>–</w:t>
            </w:r>
            <w:r w:rsidRPr="008E725B">
              <w:tab/>
            </w:r>
            <w:r w:rsidRPr="008E725B">
              <w:rPr>
                <w:b/>
                <w:i/>
              </w:rPr>
              <w:t>ottaa huomioon 9. kesäkuuta 2022 antamansa päätöslauselman oikeusvaltioperiaatteesta ja mahdollisesta Puolan kansallisen elpymissuunnitelman hyväksymisestä</w:t>
            </w:r>
            <w:r w:rsidRPr="008E725B">
              <w:rPr>
                <w:b/>
                <w:i/>
                <w:vertAlign w:val="superscript"/>
              </w:rPr>
              <w:t>22</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22</w:t>
            </w:r>
            <w:r w:rsidRPr="008E725B">
              <w:t xml:space="preserve"> </w:t>
            </w:r>
            <w:r w:rsidRPr="008E725B">
              <w:rPr>
                <w:b/>
                <w:i/>
              </w:rPr>
              <w:t>EUVL C 493, 27.12.2022, s. 108.</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89</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34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15. syyskuuta 2022 antamansa päätöslauselman perusoikeuksien tilanteesta Euroopan unionissa vuosina 2020 ja 2021</w:t>
            </w:r>
            <w:r w:rsidRPr="008E725B">
              <w:rPr>
                <w:b/>
                <w:i/>
                <w:vertAlign w:val="superscript"/>
              </w:rPr>
              <w:t>23</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23</w:t>
            </w:r>
            <w:r w:rsidRPr="008E725B">
              <w:t xml:space="preserve"> </w:t>
            </w:r>
            <w:r w:rsidRPr="008E725B">
              <w:rPr>
                <w:b/>
                <w:i/>
              </w:rPr>
              <w:t>EUVL C 125, 5.4.2023, s. 80.</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90</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34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15. syyskuuta 2022 antamansa päätöslauselman perusoikeuksien tilanteesta Euroopan unionissa vuosina 2020 ja 2021</w:t>
            </w:r>
            <w:r w:rsidRPr="008E725B">
              <w:rPr>
                <w:b/>
                <w:i/>
                <w:vertAlign w:val="superscript"/>
              </w:rPr>
              <w:t>23</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lastRenderedPageBreak/>
              <w:t>23</w:t>
            </w:r>
            <w:r w:rsidRPr="008E725B">
              <w:t xml:space="preserve"> </w:t>
            </w:r>
            <w:r w:rsidRPr="008E725B">
              <w:rPr>
                <w:b/>
                <w:i/>
              </w:rPr>
              <w:t>EUVL C 125, 5.4.2023, s. 80.</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91</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34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15. syyskuuta 2022 antamansa päätöslauselman perusoikeuksien tilanteesta Euroopan unionissa vuosina 2020 ja 2021,</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23</w:t>
            </w:r>
            <w:r w:rsidRPr="008E725B">
              <w:t xml:space="preserve"> </w:t>
            </w:r>
            <w:r w:rsidRPr="008E725B">
              <w:rPr>
                <w:b/>
                <w:i/>
              </w:rPr>
              <w:t>EUVL C 125, 5.4.2023, s. 80.</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92</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Daniel Freund</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34 a viite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15. syyskuuta 2022 antamansa päätöslauselman ehdotuksesta neuvoston päätökseksi sen toteamiseksi Euroopan unionista tehdyn sopimuksen 7 artiklan 1 kohdan nojalla, onko olemassa selvä vaara, että Unkari loukkaa vakavasti unionin perustana olevia arvoja,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93</w:t>
      </w:r>
      <w:r w:rsidRPr="008E725B">
        <w:rPr>
          <w:rStyle w:val="HideTWBExt"/>
          <w:b w:val="0"/>
        </w:rPr>
        <w:t>&lt;/NumAm&gt;</w:t>
      </w:r>
    </w:p>
    <w:p w:rsidR="005E49C0" w:rsidRPr="008E725B" w:rsidRDefault="005E49C0" w:rsidP="005E49C0">
      <w:pPr>
        <w:pStyle w:val="NormalBold"/>
      </w:pPr>
      <w:r w:rsidRPr="008E725B">
        <w:rPr>
          <w:rStyle w:val="HideTWBExt"/>
          <w:b w:val="0"/>
        </w:rPr>
        <w:lastRenderedPageBreak/>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35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20. lokakuuta 2022 antamansa päätöslauselman oikeusvaltioperiaatteesta Maltassa viisi vuotta Daphne Caruana Galizian murhan jälkeen</w:t>
            </w:r>
            <w:r w:rsidRPr="008E725B">
              <w:rPr>
                <w:b/>
                <w:i/>
                <w:vertAlign w:val="superscript"/>
              </w:rPr>
              <w:t>24</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24</w:t>
            </w:r>
            <w:r w:rsidRPr="008E725B">
              <w:t xml:space="preserve"> </w:t>
            </w:r>
            <w:r w:rsidRPr="008E725B">
              <w:rPr>
                <w:b/>
                <w:i/>
              </w:rPr>
              <w:t>EUVL C 149, 28.4.2023, s. 15.</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94</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Emmanuel Fragkos, Geadis Geadi, Galato Alexandraki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36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20. lokakuuta 2022 antamansa päätöslauselman hlbtiq+-henkilöihin kohdistuvien viharikosten lisääntymisestä kaikkialla Euroopassa hiljattain Slovakiassa tapahtuneen homofobisen murhan valossa</w:t>
            </w:r>
            <w:r w:rsidRPr="008E725B">
              <w:rPr>
                <w:b/>
                <w:i/>
                <w:vertAlign w:val="superscript"/>
              </w:rPr>
              <w:t>25</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25</w:t>
            </w:r>
            <w:r w:rsidRPr="008E725B">
              <w:rPr>
                <w:b/>
                <w:i/>
              </w:rPr>
              <w:t xml:space="preserve"> EUVL C 149, 28.4.2023, s. 22.</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{EL}</w:t>
      </w:r>
      <w:r w:rsidRPr="008E725B">
        <w:t>el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95</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36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lastRenderedPageBreak/>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20. lokakuuta 2022 antamansa päätöslauselman hlbtiq+-henkilöihin kohdistuvien viharikosten lisääntymisestä kaikkialla Euroopassa hiljattain Slovakiassa tapahtuneen homofobisen murhan valossa</w:t>
            </w:r>
            <w:r w:rsidRPr="008E725B">
              <w:rPr>
                <w:b/>
                <w:i/>
                <w:vertAlign w:val="superscript"/>
              </w:rPr>
              <w:t>25</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25</w:t>
            </w:r>
            <w:r w:rsidRPr="008E725B">
              <w:t xml:space="preserve"> </w:t>
            </w:r>
            <w:r w:rsidRPr="008E725B">
              <w:rPr>
                <w:b/>
                <w:i/>
              </w:rPr>
              <w:t>EUVL C 149, 28.4.2023, s. 22.</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96</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Paolo Inselvini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36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20. lokakuuta 2022 antamansa päätöslauselman hlbtiq+-henkilöihin kohdistuvien viharikosten lisääntymisestä kaikkialla Euroopassa hiljattain Slovakiassa tapahtuneen homofobisen murhan valossa</w:t>
            </w:r>
            <w:r w:rsidRPr="008E725B">
              <w:rPr>
                <w:b/>
                <w:i/>
                <w:vertAlign w:val="superscript"/>
              </w:rPr>
              <w:t>25</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25</w:t>
            </w:r>
            <w:r w:rsidRPr="008E725B">
              <w:t xml:space="preserve"> </w:t>
            </w:r>
            <w:r w:rsidRPr="008E725B">
              <w:rPr>
                <w:b/>
                <w:i/>
              </w:rPr>
              <w:t>EUVL C 149, 28.4.2023, s. 22.</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{IT}</w:t>
      </w:r>
      <w:r w:rsidRPr="008E725B">
        <w:t>it</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97</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36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lastRenderedPageBreak/>
              <w:t>–</w:t>
            </w:r>
            <w:r w:rsidRPr="008E725B">
              <w:tab/>
            </w:r>
            <w:r w:rsidRPr="008E725B">
              <w:rPr>
                <w:b/>
                <w:i/>
              </w:rPr>
              <w:t>ottaa huomioon 20. lokakuuta 2022 antamansa päätöslauselman hlbtiq+-henkilöihin kohdistuvien viharikosten lisääntymisestä kaikkialla Euroopassa hiljattain Slovakiassa tapahtuneen homofobisen murhan valossa,</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25</w:t>
            </w:r>
            <w:r w:rsidRPr="008E725B">
              <w:t xml:space="preserve"> </w:t>
            </w:r>
            <w:r w:rsidRPr="008E725B">
              <w:rPr>
                <w:b/>
                <w:i/>
              </w:rPr>
              <w:t>EUVL C 149, 28.4.2023, s. 22.</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98</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37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10. marraskuuta 2022 antamansa päätöslauselman rodullisesta oikeudenmukaisuudesta, syrjimättömyydestä ja rasismintorjunnasta EU:ssa</w:t>
            </w:r>
            <w:r w:rsidRPr="008E725B">
              <w:rPr>
                <w:b/>
                <w:i/>
                <w:vertAlign w:val="superscript"/>
              </w:rPr>
              <w:t>26</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26</w:t>
            </w:r>
            <w:r w:rsidRPr="008E725B">
              <w:t xml:space="preserve"> </w:t>
            </w:r>
            <w:r w:rsidRPr="008E725B">
              <w:rPr>
                <w:b/>
                <w:i/>
              </w:rPr>
              <w:t>EUVL C 161, 5.5.2023, s. 10.</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99</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37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 xml:space="preserve">ottaa huomioon 10. marraskuuta 2022 antamansa päätöslauselman rodullisesta oikeudenmukaisuudesta, syrjimättömyydestä ja </w:t>
            </w:r>
            <w:r w:rsidRPr="008E725B">
              <w:rPr>
                <w:b/>
                <w:i/>
              </w:rPr>
              <w:lastRenderedPageBreak/>
              <w:t>rasismintorjunnasta EU:ssa,</w:t>
            </w:r>
          </w:p>
        </w:tc>
        <w:tc>
          <w:tcPr>
            <w:tcW w:w="4876" w:type="dxa"/>
            <w:tcBorders>
              <w:top w:val="nil"/>
              <w:left w:val="nil"/>
              <w:bottom w:val="nil"/>
              <w:right w:val="nil"/>
            </w:tcBorders>
          </w:tcPr>
          <w:p w:rsidR="005E49C0" w:rsidRPr="008E725B" w:rsidRDefault="005E49C0" w:rsidP="00B5562F">
            <w:pPr>
              <w:pStyle w:val="Normal6a"/>
            </w:pPr>
            <w:r w:rsidRPr="008E725B">
              <w:rPr>
                <w:b/>
                <w:i/>
              </w:rPr>
              <w:lastRenderedPageBreak/>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26</w:t>
            </w:r>
            <w:r w:rsidRPr="008E725B">
              <w:t xml:space="preserve"> </w:t>
            </w:r>
            <w:r w:rsidRPr="008E725B">
              <w:rPr>
                <w:b/>
                <w:i/>
              </w:rPr>
              <w:t>EUVL C 161, 5.5.2023, s. 10.</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100</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38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24. marraskuuta 2022 antamansa päätöslauselman arviosta siitä, noudattaako Unkari ehdollisuusasetuksen oikeusvaltioperiaatetta koskevia ehtoja, ja Unkarin elpymis- ja palautumissuunnitelman tilanteesta</w:t>
            </w:r>
            <w:r w:rsidRPr="008E725B">
              <w:rPr>
                <w:b/>
                <w:i/>
                <w:vertAlign w:val="superscript"/>
              </w:rPr>
              <w:t>27</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27</w:t>
            </w:r>
            <w:r w:rsidRPr="008E725B">
              <w:t xml:space="preserve"> </w:t>
            </w:r>
            <w:r w:rsidRPr="008E725B">
              <w:rPr>
                <w:b/>
                <w:i/>
              </w:rPr>
              <w:t>EUVL C 167, 11.5.2023, s. 74.</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101</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38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24. marraskuuta 2022 antamansa päätöslauselman arviosta siitä, noudattaako Unkari ehdollisuusasetuksen oikeusvaltioperiaatetta koskevia ehtoja, ja Unkarin elpymis- ja palautumissuunnitelman tilanteesta</w:t>
            </w:r>
            <w:r w:rsidRPr="008E725B">
              <w:rPr>
                <w:b/>
                <w:i/>
                <w:vertAlign w:val="superscript"/>
              </w:rPr>
              <w:t>27</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lastRenderedPageBreak/>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27</w:t>
            </w:r>
            <w:r w:rsidRPr="008E725B">
              <w:t xml:space="preserve"> </w:t>
            </w:r>
            <w:r w:rsidRPr="008E725B">
              <w:rPr>
                <w:b/>
                <w:i/>
              </w:rPr>
              <w:t>EUVL C 167, 11.5.2023, s. 74.</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102</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38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24. marraskuuta 2022 antamansa päätöslauselman arviosta siitä, noudattaako Unkari ehdollisuusasetuksen oikeusvaltioperiaatetta koskevia ehtoja, ja Unkarin elpymis- ja palautumissuunnitelman tilanteesta,</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27</w:t>
            </w:r>
            <w:r w:rsidRPr="008E725B">
              <w:t xml:space="preserve"> </w:t>
            </w:r>
            <w:r w:rsidRPr="008E725B">
              <w:rPr>
                <w:b/>
                <w:i/>
              </w:rPr>
              <w:t>EUVL C 167, 11.5.2023, s. 74.</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103</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39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30. maaliskuuta 2023 antamansa päätöslauselman oikeusvaltiokertomuksesta 2022 – Oikeusvaltiotilanne Euroopan unionissa</w:t>
            </w:r>
            <w:r w:rsidRPr="008E725B">
              <w:rPr>
                <w:b/>
                <w:i/>
                <w:vertAlign w:val="superscript"/>
              </w:rPr>
              <w:t>28</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28</w:t>
            </w:r>
            <w:r w:rsidRPr="008E725B">
              <w:t xml:space="preserve"> </w:t>
            </w:r>
            <w:r w:rsidRPr="008E725B">
              <w:rPr>
                <w:b/>
                <w:i/>
              </w:rPr>
              <w:t>EUVL C 341, 27.9.2023, s. 2.</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104</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39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30. maaliskuuta 2023 antamansa päätöslauselman oikeusvaltiokertomuksesta 2022 – Oikeusvaltiotilanne Euroopan unionissa</w:t>
            </w:r>
            <w:r w:rsidRPr="008E725B">
              <w:rPr>
                <w:b/>
                <w:i/>
                <w:vertAlign w:val="superscript"/>
              </w:rPr>
              <w:t>28</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28</w:t>
            </w:r>
            <w:r w:rsidRPr="008E725B">
              <w:t xml:space="preserve"> </w:t>
            </w:r>
            <w:r w:rsidRPr="008E725B">
              <w:rPr>
                <w:b/>
                <w:i/>
              </w:rPr>
              <w:t>EUVL C 341, 27.9.2023, s. 2.</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105</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39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30. maaliskuuta 2023 antamansa päätöslauselman oikeusvaltiokertomuksesta 2022 – Oikeusvaltiotilanne Euroopan unionissa,</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28</w:t>
            </w:r>
            <w:r w:rsidRPr="008E725B">
              <w:t xml:space="preserve"> </w:t>
            </w:r>
            <w:r w:rsidRPr="008E725B">
              <w:rPr>
                <w:b/>
                <w:i/>
              </w:rPr>
              <w:t>EUVL C 341, 27.9.2023, s. 2.</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106</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Loránt Vincze</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lastRenderedPageBreak/>
        <w:t>&lt;Article&gt;</w:t>
      </w:r>
      <w:r w:rsidRPr="008E725B">
        <w:t>Johdanto-osan 39 a viite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18. huhtikuuta 2023 antamansa päätöslauselman EU:n ja Euroopan neuvoston välisistä institutionaalisista suhteista</w:t>
            </w:r>
            <w:r w:rsidRPr="008E725B">
              <w:rPr>
                <w:b/>
                <w:i/>
                <w:vertAlign w:val="superscript"/>
              </w:rPr>
              <w:t>28 a</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tc>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28 a</w:t>
            </w:r>
            <w:r w:rsidRPr="008E725B">
              <w:t xml:space="preserve"> </w:t>
            </w:r>
            <w:r w:rsidRPr="008E725B">
              <w:rPr>
                <w:b/>
                <w:i/>
              </w:rPr>
              <w:t>EUVL C, C/2023/442, 1.12.2023.</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107</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40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28. helmikuuta 2024 antamansa päätöslauselman komission oikeusvaltiokertomuksesta 2023</w:t>
            </w:r>
            <w:r w:rsidRPr="008E725B">
              <w:rPr>
                <w:b/>
                <w:i/>
                <w:vertAlign w:val="superscript"/>
              </w:rPr>
              <w:t>29</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29</w:t>
            </w:r>
            <w:r w:rsidRPr="008E725B">
              <w:t xml:space="preserve"> </w:t>
            </w:r>
            <w:r w:rsidRPr="008E725B">
              <w:rPr>
                <w:b/>
                <w:i/>
              </w:rPr>
              <w:t>EUVL C C/2024/6743, 26.11.2024, ELI: http://data.europa.eu/eli/C/2024/6743/oj.</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108</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40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 xml:space="preserve">ottaa huomioon 28. helmikuuta 2024 antamansa päätöslauselman komission </w:t>
            </w:r>
            <w:r w:rsidRPr="008E725B">
              <w:rPr>
                <w:b/>
                <w:i/>
              </w:rPr>
              <w:lastRenderedPageBreak/>
              <w:t>oikeusvaltiokertomuksesta 2023</w:t>
            </w:r>
            <w:r w:rsidRPr="008E725B">
              <w:rPr>
                <w:b/>
                <w:i/>
                <w:vertAlign w:val="superscript"/>
              </w:rPr>
              <w:t>29</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lastRenderedPageBreak/>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29</w:t>
            </w:r>
            <w:r w:rsidRPr="008E725B">
              <w:t xml:space="preserve"> </w:t>
            </w:r>
            <w:r w:rsidRPr="008E725B">
              <w:rPr>
                <w:b/>
                <w:i/>
              </w:rPr>
              <w:t>EUVL C, C/2024/6743, 26.11.2024, ELI: http://data.europa.eu/eli/C/2024/6743/oj.</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109</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40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28. helmikuuta 2024 antamansa päätöslauselman komission oikeusvaltiokertomuksesta 2023</w:t>
            </w:r>
            <w:r w:rsidRPr="008E725B">
              <w:rPr>
                <w:b/>
                <w:i/>
                <w:vertAlign w:val="superscript"/>
              </w:rPr>
              <w:t>29</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29</w:t>
            </w:r>
            <w:r w:rsidRPr="008E725B">
              <w:t xml:space="preserve"> </w:t>
            </w:r>
            <w:r w:rsidRPr="008E725B">
              <w:rPr>
                <w:b/>
                <w:i/>
              </w:rPr>
              <w:t>EUVL C, C/2024/6743, 26.11.2024, ELI: http://data.europa.eu/eli/C/2024/6743/oj.</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110</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40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28. helmikuuta 2024 antamansa päätöslauselman komission oikeusvaltiokertomuksesta 2023,</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29</w:t>
            </w:r>
            <w:r w:rsidRPr="008E725B">
              <w:t xml:space="preserve"> </w:t>
            </w:r>
            <w:r w:rsidRPr="008E725B">
              <w:rPr>
                <w:b/>
                <w:i/>
              </w:rPr>
              <w:t xml:space="preserve">EUVL C, C/2024/6743, 26.11.2024, ELI: </w:t>
            </w:r>
            <w:r w:rsidRPr="008E725B">
              <w:rPr>
                <w:b/>
                <w:i/>
              </w:rPr>
              <w:lastRenderedPageBreak/>
              <w:t>http://data.europa.eu/eli/C/2024/6743/oj.</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111</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41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 kesäkuuta 2023 antamansa päätöslauselman oikeusvaltiorikkomuksista ja perusoikeusloukkauksista Unkarissa ja jäädytetyistä EU:n varoista</w:t>
            </w:r>
            <w:r w:rsidRPr="008E725B">
              <w:rPr>
                <w:b/>
                <w:i/>
                <w:vertAlign w:val="superscript"/>
              </w:rPr>
              <w:t>30</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30</w:t>
            </w:r>
            <w:r w:rsidRPr="008E725B">
              <w:t xml:space="preserve"> </w:t>
            </w:r>
            <w:r w:rsidRPr="008E725B">
              <w:rPr>
                <w:b/>
                <w:i/>
              </w:rPr>
              <w:t>EUVL C, C/2023/1223, 21.12.2023, ELI: http://data.europa.eu/eli/C/2023/1223/oj.</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112</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41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 kesäkuuta 2023 antamansa päätöslauselman oikeusvaltiorikkomuksista ja perusoikeusloukkauksista Unkarissa ja jäädytetyistä EU:n varoista</w:t>
            </w:r>
            <w:r w:rsidRPr="008E725B">
              <w:rPr>
                <w:b/>
                <w:i/>
                <w:vertAlign w:val="superscript"/>
              </w:rPr>
              <w:t>30</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30</w:t>
            </w:r>
            <w:r w:rsidRPr="008E725B">
              <w:t xml:space="preserve"> </w:t>
            </w:r>
            <w:r w:rsidRPr="008E725B">
              <w:rPr>
                <w:b/>
                <w:i/>
              </w:rPr>
              <w:t>EUVL C, C/2023/1223, 21.12.2023, ELI: http://data.europa.eu/eli/C/2023/1223/oj.</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113</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41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 kesäkuuta 2023 antamansa päätöslauselman oikeusvaltiorikkomuksista ja perusoikeusloukkauksista Unkarissa ja jäädytetyistä EU:n varoista,</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30</w:t>
            </w:r>
            <w:r w:rsidRPr="008E725B">
              <w:t xml:space="preserve"> </w:t>
            </w:r>
            <w:r w:rsidRPr="008E725B">
              <w:rPr>
                <w:b/>
                <w:i/>
              </w:rPr>
              <w:t>EUVL C, C/2023/1223, 21.12.2023, ELI: http://data.europa.eu/eli/C/2023/1223/oj.</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114</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42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15. kesäkuuta 2023 antamansa suosituksen neuvostolle ja komissiolle epäilyjä unionin oikeuden rikkomisesta ja unionin oikeutta sovellettaessa tapahtuneesta hallinnollisesta epäkohdasta Pegasus-ohjelman ja vastaavien vakoiluohjelmien käytön yhteydessä koskevan tutkinnan johdosta</w:t>
            </w:r>
            <w:r w:rsidRPr="008E725B">
              <w:rPr>
                <w:b/>
                <w:i/>
                <w:vertAlign w:val="superscript"/>
              </w:rPr>
              <w:t>31</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31</w:t>
            </w:r>
            <w:r w:rsidRPr="008E725B">
              <w:t xml:space="preserve"> </w:t>
            </w:r>
            <w:r w:rsidRPr="008E725B">
              <w:rPr>
                <w:b/>
                <w:i/>
              </w:rPr>
              <w:t>EUVL C, C/2024/494, 23.1.2024, ELI: http://data.europa.eu/eli/C/2024/494/oj.</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115</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42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15. kesäkuuta 2023 antamansa suosituksen neuvostolle ja komissiolle epäilyjä unionin oikeuden rikkomisesta ja unionin oikeutta sovellettaessa tapahtuneesta hallinnollisesta epäkohdasta Pegasus-ohjelman ja vastaavien vakoiluohjelmien käytön yhteydessä koskevan tutkinnan johdosta</w:t>
            </w:r>
            <w:r w:rsidRPr="008E725B">
              <w:rPr>
                <w:b/>
                <w:i/>
                <w:vertAlign w:val="superscript"/>
              </w:rPr>
              <w:t>31</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31</w:t>
            </w:r>
            <w:r w:rsidRPr="008E725B">
              <w:t xml:space="preserve"> </w:t>
            </w:r>
            <w:r w:rsidRPr="008E725B">
              <w:rPr>
                <w:b/>
                <w:i/>
              </w:rPr>
              <w:t>EUVL C, C/2024/494, 23.1.2024, ELI: http://data.europa.eu/eli/C/2024/494/oj.</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116</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42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15. kesäkuuta 2023 antamansa suosituksen neuvostolle ja komissiolle epäilyjä unionin oikeuden rikkomisesta ja unionin oikeutta sovellettaessa tapahtuneesta hallinnollisesta epäkohdasta Pegasus-ohjelman ja vastaavien vakoiluohjelmien käytön yhteydessä koskevan tutkinnan johdosta,</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lastRenderedPageBreak/>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31</w:t>
            </w:r>
            <w:r w:rsidRPr="008E725B">
              <w:t xml:space="preserve"> </w:t>
            </w:r>
            <w:r w:rsidRPr="008E725B">
              <w:rPr>
                <w:b/>
                <w:i/>
              </w:rPr>
              <w:t>EUVL C, C/2024/494, 23.1.2024, ELI: http://data.europa.eu/eli/C/2024/494/oj.</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117</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43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11. heinäkuuta 2023 antamansa päätöslauselman Puolan vaalilainsäädännöstä, tutkintakomiteasta ja oikeusvaltiotilanteesta,</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32</w:t>
            </w:r>
            <w:r w:rsidRPr="008E725B">
              <w:t xml:space="preserve"> </w:t>
            </w:r>
            <w:r w:rsidRPr="008E725B">
              <w:rPr>
                <w:b/>
                <w:i/>
              </w:rPr>
              <w:t>EUVL C, C/2024/3995, 17.7.2024, ELI: http://data.europa.eu/eli/C/2024/3995/oj.</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118</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43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11. heinäkuuta 2023 antamansa päätöslauselman Puolan vaalilainsäädännöstä, tutkintakomiteasta ja oikeusvaltiotilanteesta</w:t>
            </w:r>
            <w:r w:rsidRPr="008E725B">
              <w:rPr>
                <w:b/>
                <w:i/>
                <w:vertAlign w:val="superscript"/>
              </w:rPr>
              <w:t>32</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32</w:t>
            </w:r>
            <w:r w:rsidRPr="008E725B">
              <w:t xml:space="preserve"> </w:t>
            </w:r>
            <w:r w:rsidRPr="008E725B">
              <w:rPr>
                <w:b/>
                <w:i/>
              </w:rPr>
              <w:t>EUVL C, C/2024/3995, 17.7.2024, ELI: http://data.europa.eu/eli/C/2024/3995/oj.</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lastRenderedPageBreak/>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119</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43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11. heinäkuuta 2023 antamansa päätöslauselman Puolan vaalilainsäädännöstä, tutkintakomiteasta ja oikeusvaltiotilanteesta</w:t>
            </w:r>
            <w:r w:rsidRPr="008E725B">
              <w:rPr>
                <w:b/>
                <w:i/>
                <w:vertAlign w:val="superscript"/>
              </w:rPr>
              <w:t>32</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32</w:t>
            </w:r>
            <w:r w:rsidRPr="008E725B">
              <w:t xml:space="preserve"> </w:t>
            </w:r>
            <w:r w:rsidRPr="008E725B">
              <w:rPr>
                <w:b/>
                <w:i/>
              </w:rPr>
              <w:t>EUVL C, C/2024/3995, 17.7.2024, ELI: http://data.europa.eu/eli/C/2024/3995/oj.</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120</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Emma Rafowicz, Birgit Sippel, Chloé Ridel, Krzysztof Śmiszek, Hannes Heide</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43 a viite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20. kesäkuuta 2024 annetun Commission nationale consultative des droits de l’homme -komitean lausunnon julkisten tilojen valvonnasta</w:t>
            </w:r>
            <w:r w:rsidRPr="008E725B">
              <w:rPr>
                <w:b/>
                <w:i/>
                <w:vertAlign w:val="superscript"/>
              </w:rPr>
              <w:t>1 a</w:t>
            </w:r>
            <w:r w:rsidRPr="008E725B">
              <w:rPr>
                <w:b/>
                <w:i/>
              </w:rPr>
              <w:t>,</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tc>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1a</w:t>
            </w:r>
            <w:r w:rsidRPr="008E725B">
              <w:t xml:space="preserve"> </w:t>
            </w:r>
            <w:r w:rsidRPr="008E725B">
              <w:rPr>
                <w:b/>
                <w:i/>
              </w:rPr>
              <w:t>Commission nationale consultative des droits de l’homme, Avis sur la surveillance de l’</w:t>
            </w:r>
            <w:r w:rsidR="008E725B">
              <w:rPr>
                <w:b/>
                <w:i/>
              </w:rPr>
              <w:t>e</w:t>
            </w:r>
            <w:r w:rsidRPr="008E725B">
              <w:rPr>
                <w:b/>
                <w:i/>
              </w:rPr>
              <w:t>space public, 20.6.2024.</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121</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lastRenderedPageBreak/>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44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19. lokakuuta 2023 antamansa päätöslauselman oikeusvaltioperiaatteesta Maltassa kuusi vuotta Daphne Caruana Galizian murhan jälkeen ja toimittajien suojelun tarpeesta</w:t>
            </w:r>
            <w:r w:rsidRPr="008E725B">
              <w:rPr>
                <w:b/>
                <w:i/>
                <w:vertAlign w:val="superscript"/>
              </w:rPr>
              <w:t>33</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33</w:t>
            </w:r>
            <w:r w:rsidRPr="008E725B">
              <w:t xml:space="preserve"> </w:t>
            </w:r>
            <w:r w:rsidRPr="008E725B">
              <w:rPr>
                <w:b/>
                <w:i/>
              </w:rPr>
              <w:t>EUVL C, C/2024/2656, 29.4.2024, ELI: http://data.europa.eu/eli/C/2024/2656/oj.</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122</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44 a viite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6. joulukuuta 2023 annetun komission tiedonannon ”Ei sijaa vihalle – Eurooppa yhdessä vihaa vastaan” (JOIN(2023)0051),</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123</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45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lastRenderedPageBreak/>
              <w:t>–</w:t>
            </w:r>
            <w:r w:rsidRPr="008E725B">
              <w:tab/>
            </w:r>
            <w:r w:rsidRPr="008E725B">
              <w:rPr>
                <w:b/>
                <w:i/>
              </w:rPr>
              <w:t>ottaa huomioon 18. tammikuuta 2024 antamansa päätöslauselman perusoikeuksien tilanteesta Euroopan unionissa – vuosikertomus 2022 ja 2023</w:t>
            </w:r>
            <w:r w:rsidRPr="008E725B">
              <w:rPr>
                <w:b/>
                <w:i/>
                <w:vertAlign w:val="superscript"/>
              </w:rPr>
              <w:t>34</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34</w:t>
            </w:r>
            <w:r w:rsidRPr="008E725B">
              <w:t xml:space="preserve"> </w:t>
            </w:r>
            <w:r w:rsidRPr="008E725B">
              <w:rPr>
                <w:b/>
                <w:i/>
              </w:rPr>
              <w:t>EUVL C, C/2024/5739, 17.10.2024, ELI: http://data.europa.eu/eli/C/2024/5739/oj.</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124</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45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18. tammikuuta 2024 antamansa päätöslauselman perusoikeuksien tilanteesta Euroopan unionissa – vuosikertomus 2022 ja 2023,</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34</w:t>
            </w:r>
            <w:r w:rsidRPr="008E725B">
              <w:t xml:space="preserve"> </w:t>
            </w:r>
            <w:r w:rsidRPr="008E725B">
              <w:rPr>
                <w:b/>
                <w:i/>
              </w:rPr>
              <w:t>EUVL C, C/2024/5739, 17.10.2024, ELI: http://data.europa.eu/eli/C/2024/5739/oj.</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125</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Daniel Freund</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45 a viite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 xml:space="preserve">ottaa huomioon 24. huhtikuuta 2024 antamansa päätöslauselman meneillään olevista SEU-sopimuksen 7 artiklan 1 kohdan mukaisista Unkaria </w:t>
            </w:r>
            <w:r w:rsidRPr="008E725B">
              <w:rPr>
                <w:b/>
                <w:i/>
              </w:rPr>
              <w:lastRenderedPageBreak/>
              <w:t>koskevista kuulemisista oikeusvaltion vahvistamisesta sekä sen talousarviovaikutuksista,</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126</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45 a viite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18. tammikuuta 2024 antamansa päätöslauselman EU-rikosten luettelon laajentamisesta kattamaan vihapuheen ja viharikokset,</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127</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46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Euroopan neuvoston parlamentaarisen yleiskokouksen päätöslauselman 2262 (2019) kansallisiin vähemmistöihin kuuluvien henkilöiden oikeuksien edistämisestä,</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128</w:t>
      </w:r>
      <w:r w:rsidRPr="008E725B">
        <w:rPr>
          <w:rStyle w:val="HideTWBExt"/>
          <w:b w:val="0"/>
        </w:rPr>
        <w:t>&lt;/NumAm&gt;</w:t>
      </w:r>
    </w:p>
    <w:p w:rsidR="005E49C0" w:rsidRPr="008E725B" w:rsidRDefault="005E49C0" w:rsidP="005E49C0">
      <w:pPr>
        <w:pStyle w:val="NormalBold"/>
      </w:pPr>
      <w:r w:rsidRPr="008E725B">
        <w:rPr>
          <w:rStyle w:val="HideTWBExt"/>
          <w:b w:val="0"/>
        </w:rPr>
        <w:lastRenderedPageBreak/>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47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Euroopan turvallisuus- ja yhteistyöjärjestön (Etyj) demokraattisten instituutioiden ja ihmisoikeuksien toimiston, vähemmistövaltuutetun, mediavaltuutetun ja muiden elinten suositukset ja raportit, EU:n ja Etyjin välisen demokratiakehitykseen, institutionaalisten rakenteiden kehittämiseen ja ihmisoikeuksiin liittyvän yhteistyön sekä viharikoksia koskevan Etyjin vuosikertomuksen, jossa osallistuvat valtiot ovat sitoutuneet antamaan lainsäädäntöä, jossa säädetään viharikoksen vakavuuden huomioon ottavista seuraamuksista, sekä puuttumaan aliraportointiin ja ottamaan käyttöön tai kehittämään edelleen toimenpiteitä, joilla parannetaan lainvalvonnan, syyttäjälaitoksen ja oikeuslaitosten virkamiesten valmiuksia ehkäistä ja tutkia viharikoksia sekä nostaa niistä syytteitä,</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129</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48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 xml:space="preserve">ottaa huomioon PEGA-tutkintavaliokunnan mietinnön ja 15. kesäkuuta 2023 antamansa suosituksen neuvostolle ja komissiolle epäilyjä unionin oikeuden rikkomisesta ja </w:t>
            </w:r>
            <w:r w:rsidRPr="008E725B">
              <w:rPr>
                <w:b/>
                <w:i/>
              </w:rPr>
              <w:lastRenderedPageBreak/>
              <w:t>unionin oikeutta sovellettaessa tapahtuneesta hallinnollisesta epäkohdasta Pegasus-ohjelman ja vastaavien vakoiluohjelmien käytön yhteydessä koskevan tutkinnan johdosta</w:t>
            </w:r>
            <w:r w:rsidRPr="008E725B">
              <w:rPr>
                <w:b/>
                <w:i/>
                <w:vertAlign w:val="superscript"/>
              </w:rPr>
              <w:t>35</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lastRenderedPageBreak/>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35</w:t>
            </w:r>
            <w:r w:rsidRPr="008E725B">
              <w:t xml:space="preserve"> </w:t>
            </w:r>
            <w:r w:rsidRPr="008E725B">
              <w:rPr>
                <w:b/>
                <w:i/>
              </w:rPr>
              <w:t>EUVL C, C/2024/494, 23.1.2024, ELI: http://data.europa.eu/eli/C/2024/494/oj.</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130</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48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PEGA-tutkintavaliokunnan mietinnön ja 15. kesäkuuta 2023 antamansa suosituksen neuvostolle ja komissiolle epäilyjä unionin oikeuden rikkomisesta ja unionin oikeutta sovellettaessa tapahtuneesta hallinnollisesta epäkohdasta Pegasus-ohjelman ja vastaavien vakoiluohjelmien käytön yhteydessä koskevan tutkinnan johdosta</w:t>
            </w:r>
            <w:r w:rsidRPr="008E725B">
              <w:rPr>
                <w:b/>
                <w:i/>
                <w:vertAlign w:val="superscript"/>
              </w:rPr>
              <w:t>35</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35</w:t>
            </w:r>
            <w:r w:rsidRPr="008E725B">
              <w:t xml:space="preserve"> </w:t>
            </w:r>
            <w:r w:rsidRPr="008E725B">
              <w:rPr>
                <w:b/>
                <w:i/>
              </w:rPr>
              <w:t>EUVL C, C/2024/494, 23.1.2024, ELI: http://data.europa.eu/eli/C/2024/494/oj.</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131</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48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lastRenderedPageBreak/>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PEGA-tutkintavaliokunnan mietinnön ja 15. kesäkuuta 2023 antamansa suosituksen neuvostolle ja komissiolle epäilyjä unionin oikeuden rikkomisesta ja unionin oikeutta sovellettaessa tapahtuneesta hallinnollisesta epäkohdasta Pegasus-ohjelman ja vastaavien vakoiluohjelmien käytön yhteydessä koskevan tutkinnan johdosta,</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35</w:t>
            </w:r>
            <w:r w:rsidRPr="008E725B">
              <w:t xml:space="preserve"> </w:t>
            </w:r>
            <w:r w:rsidRPr="008E725B">
              <w:rPr>
                <w:b/>
                <w:i/>
              </w:rPr>
              <w:t>EUVL C, C/2024/494, 23.1.2024, ELI: http://data.europa.eu/eli/C/2024/494/oj.</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132</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Sebastian Tynkkynen</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48 a viite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Euroopan perusoikeusviraston kyselytutkimuksen juutalaisten kokemasta antisemitismistä</w:t>
            </w:r>
            <w:r w:rsidRPr="008E725B">
              <w:rPr>
                <w:b/>
                <w:i/>
                <w:vertAlign w:val="superscript"/>
              </w:rPr>
              <w:t>35a</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35a. Jewish People’s Experiences and Perceptions of Antisemitism – EU Survey of Jewish People, 11.7.2024. https://fra.europa.eu/en/publication/2024/ experiences-and-perceptions- antisemitism-third-survey</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{FI}</w:t>
      </w:r>
      <w:r w:rsidRPr="008E725B">
        <w:t>fi</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133</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lastRenderedPageBreak/>
        <w:t>&lt;Article&gt;</w:t>
      </w:r>
      <w:r w:rsidRPr="008E725B">
        <w:t>Johdanto-osan 49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demokratiaa, oikeusvaltioperiaatetta ja perusoikeuksia käsittelevän seurantaryhmänsä (DRFMG) palauteraportit, matkaraportit, kirjalliset kysymykset ja vastaukset</w:t>
            </w:r>
            <w:r w:rsidRPr="008E725B">
              <w:rPr>
                <w:b/>
                <w:i/>
                <w:vertAlign w:val="superscript"/>
              </w:rPr>
              <w:t>36</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36</w:t>
            </w:r>
            <w:r w:rsidRPr="008E725B">
              <w:rPr>
                <w:b/>
                <w:i/>
              </w:rPr>
              <w:t xml:space="preserve"> Tietoa DRFMG:n kaikista seurantatoimista: https://www.europarl.europa.eu/committees/fi/libe-democracy-rule-of-law-and-fundament/product-details/20190103CDT02662</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134</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49 viite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demokratiaa, oikeusvaltioperiaatetta ja perusoikeuksia käsittelevän seurantaryhmänsä (DRFMG) palauteraportit, matkaraportit, kirjalliset kysymykset ja vastaukset</w:t>
            </w:r>
            <w:r w:rsidRPr="008E725B">
              <w:rPr>
                <w:b/>
                <w:i/>
                <w:vertAlign w:val="superscript"/>
              </w:rPr>
              <w:t>36</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36</w:t>
            </w:r>
            <w:r w:rsidRPr="008E725B">
              <w:rPr>
                <w:b/>
                <w:i/>
              </w:rPr>
              <w:t xml:space="preserve"> Tietoa DRFMG:n kaikista seurantatoimista: https://www.europarl.europa.eu/committees/fi/libe-democracy-rule-of-law-and-fundament/product-details/20190103CDT02662</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lastRenderedPageBreak/>
        <w:t>&lt;Amend&gt;</w:t>
      </w:r>
      <w:r w:rsidRPr="008E725B">
        <w:t>Tarkistus</w:t>
      </w:r>
      <w:r w:rsidRPr="008E725B">
        <w:tab/>
      </w:r>
      <w:r w:rsidRPr="008E725B">
        <w:tab/>
      </w:r>
      <w:r w:rsidRPr="008E725B">
        <w:rPr>
          <w:rStyle w:val="HideTWBExt"/>
        </w:rPr>
        <w:t>&lt;NumAm&gt;</w:t>
      </w:r>
      <w:r w:rsidRPr="008E725B">
        <w:t>135</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49 viite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demokratiaa, oikeusvaltioperiaatetta ja perusoikeuksia käsittelevän seurantaryhmänsä (DRFMG) palauteraportit, matkaraportit, kirjalliset kysymykset ja vastaukset</w:t>
            </w:r>
            <w:r w:rsidRPr="008E725B">
              <w:rPr>
                <w:b/>
                <w:i/>
                <w:vertAlign w:val="superscript"/>
              </w:rPr>
              <w:t>36</w:t>
            </w:r>
            <w:r w:rsidRPr="008E725B">
              <w:rPr>
                <w:b/>
                <w:i/>
              </w:rPr>
              <w: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36</w:t>
            </w:r>
            <w:r w:rsidRPr="008E725B">
              <w:rPr>
                <w:b/>
                <w:i/>
              </w:rPr>
              <w:t xml:space="preserve"> Tietoa DRFMG:n kaikista seurantatoimista: https://www.europarl.europa.eu/committees/fi/libe-democracy-rule-of-law-and-fundament/product-details/20190103CDT02662</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136</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Tomas Tobé, Mika Aaltola, Pekka Toveri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49 a viite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Suomen ja Ruotsin hallitusten yhteiskokouksessa Tukholmassa 16. syyskuuta 2024 laaditun yhteisen kirjeen kokonaisvaltaisesta lähestymistavasta oikeusvaltiopolitiikan ja -välineiden vahvistamiseksi,</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137</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Moritz Körner, Hilde Vautmans, Nikola Minchev, Veronika Cifrová Ostrihoňová, Chloé Ridel, Abir Al-Sahlani, Fabienne Keller, Lucia Yar, Irena Joveva, Isabel Wiseler-Lima</w:t>
      </w:r>
      <w:r w:rsidRPr="008E725B">
        <w:rPr>
          <w:rStyle w:val="HideTWBExt"/>
          <w:b w:val="0"/>
        </w:rPr>
        <w:t>&lt;/Members&gt;</w:t>
      </w:r>
    </w:p>
    <w:p w:rsidR="005E49C0" w:rsidRPr="008E725B" w:rsidRDefault="005E49C0" w:rsidP="005E49C0">
      <w:r w:rsidRPr="008E725B">
        <w:rPr>
          <w:rStyle w:val="HideTWBExt"/>
        </w:rPr>
        <w:lastRenderedPageBreak/>
        <w:t>&lt;AuNomDe&gt;</w:t>
      </w:r>
      <w:r w:rsidRPr="008E725B">
        <w:rPr>
          <w:rStyle w:val="HideTWBInt"/>
        </w:rPr>
        <w:t>{LIBE}</w:t>
      </w:r>
      <w:r w:rsidRPr="008E725B">
        <w:t>kansalaisvapauksien sekä oikeus- ja sisäasioiden valiokunnan puolesta</w:t>
      </w:r>
      <w:r w:rsidRPr="008E725B">
        <w:rPr>
          <w:rStyle w:val="HideTWBExt"/>
        </w:rPr>
        <w:t>&lt;/AuNomDe&gt;</w:t>
      </w:r>
    </w:p>
    <w:p w:rsidR="005E49C0" w:rsidRPr="008E725B" w:rsidRDefault="005E49C0" w:rsidP="005E49C0">
      <w:pPr>
        <w:pStyle w:val="NormalBold"/>
      </w:pPr>
      <w:r w:rsidRPr="008E725B">
        <w:rPr>
          <w:rStyle w:val="HideTWBExt"/>
          <w:b w:val="0"/>
        </w:rPr>
        <w:t>&lt;Members&gt;</w:t>
      </w:r>
      <w:r w:rsidRPr="008E725B">
        <w:t>Sophie Wilmès</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52 a viite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äskettäin annetut Euroopan tilintarkastustuomioistuimen kertomukset EU:n lainsäädännön täytäntöönpanon valvonnasta (erityiskertomus 28/2024), oikeusvaltioperiaatteen noudattamista koskevasta komission raportoinnista (katsaus 2/2024) ja oikeusvaltioperiaatteesta EU:ssa (erityiskertomus 3/2024) ja niissä esitetyt suositukset,</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138</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Lukas Mandl</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52 a viite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komission puheenjohtajaehdokkaan Ursula von der Leyenin 18. heinäkuuta 2024 esittämät poliittiset suuntaviivat seuraavalle Euroopan komissiolle 2024–2029,</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139</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Moritz Körner, Hilde Vautmans, Nikola Minchev, Veronika Cifrová Ostrihoňová, Abir Al-Sahlani, Chloé Ridel, Fabienne Keller, Lucia Yar, Irena Joveva, Isabel Wiseler-Lima</w:t>
      </w:r>
      <w:r w:rsidRPr="008E725B">
        <w:rPr>
          <w:rStyle w:val="HideTWBExt"/>
          <w:b w:val="0"/>
        </w:rPr>
        <w:t>&lt;/Members&gt;</w:t>
      </w:r>
    </w:p>
    <w:p w:rsidR="005E49C0" w:rsidRPr="008E725B" w:rsidRDefault="005E49C0" w:rsidP="005E49C0">
      <w:r w:rsidRPr="008E725B">
        <w:rPr>
          <w:rStyle w:val="HideTWBExt"/>
        </w:rPr>
        <w:t>&lt;AuNomDe&gt;</w:t>
      </w:r>
      <w:r w:rsidRPr="008E725B">
        <w:rPr>
          <w:rStyle w:val="HideTWBInt"/>
        </w:rPr>
        <w:t>{LIBE}</w:t>
      </w:r>
      <w:r w:rsidRPr="008E725B">
        <w:t>kansalaisvapauksien sekä oikeus- ja sisäasioiden valiokunnan puolesta</w:t>
      </w:r>
      <w:r w:rsidRPr="008E725B">
        <w:rPr>
          <w:rStyle w:val="HideTWBExt"/>
        </w:rPr>
        <w:t>&lt;/AuNomDe&gt;</w:t>
      </w:r>
    </w:p>
    <w:p w:rsidR="005E49C0" w:rsidRPr="008E725B" w:rsidRDefault="005E49C0" w:rsidP="005E49C0">
      <w:pPr>
        <w:pStyle w:val="NormalBold"/>
      </w:pPr>
      <w:r w:rsidRPr="008E725B">
        <w:rPr>
          <w:rStyle w:val="HideTWBExt"/>
          <w:b w:val="0"/>
        </w:rPr>
        <w:t>&lt;Members&gt;</w:t>
      </w:r>
      <w:r w:rsidRPr="008E725B">
        <w:t>Sophie Wilmès</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lastRenderedPageBreak/>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52 b viite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w:t>
            </w:r>
            <w:r w:rsidRPr="008E725B">
              <w:tab/>
            </w:r>
            <w:r w:rsidRPr="008E725B">
              <w:rPr>
                <w:b/>
                <w:i/>
              </w:rPr>
              <w:t>ottaa huomioon, että vuonna 2024 tehtyjen korruptiota koskevien eurobarometritutkimusten mukaan korruptio on EU:n kansalaisille ja yrityksille edelleen vakava huolenaihe,</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140</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Isabel Serra Sánchez, Ana Catarina Mendes</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A kappale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A.</w:t>
            </w:r>
            <w:r w:rsidRPr="008E725B">
              <w:tab/>
              <w:t>ottaa huomioon, että unioni perustuu SEU-sopimuksen 2 artiklassa vahvistettuihin yhteisiin arvoihin, joita ovat ihmisarvon kunnioittaminen, vapaus, demokratia, tasa‑arvo, oikeusvaltioperiaate ja ihmisoikeuksien kunnioittaminen, vähemmistöihin kuuluvien oikeudet mukaan luettuina, ja että nämä arvot ovat EU:n jäsenvaltioille yhteisiä;</w:t>
            </w:r>
          </w:p>
        </w:tc>
        <w:tc>
          <w:tcPr>
            <w:tcW w:w="4876" w:type="dxa"/>
            <w:tcBorders>
              <w:top w:val="nil"/>
              <w:left w:val="nil"/>
              <w:bottom w:val="nil"/>
              <w:right w:val="nil"/>
            </w:tcBorders>
          </w:tcPr>
          <w:p w:rsidR="005E49C0" w:rsidRPr="008E725B" w:rsidRDefault="005E49C0" w:rsidP="00B5562F">
            <w:pPr>
              <w:pStyle w:val="Normal6a"/>
            </w:pPr>
            <w:r w:rsidRPr="008E725B">
              <w:t>A.</w:t>
            </w:r>
            <w:r w:rsidRPr="008E725B">
              <w:tab/>
              <w:t xml:space="preserve">ottaa huomioon, että unioni perustuu SEU-sopimuksen 2 artiklassa vahvistettuihin yhteisiin arvoihin, joita ovat ihmisarvon kunnioittaminen, vapaus, demokratia, tasa‑arvo, oikeusvaltioperiaate ja ihmisoikeuksien kunnioittaminen, vähemmistöihin kuuluvien oikeudet mukaan luettuina, ja että nämä arvot ovat EU:n jäsenvaltioille yhteisiä </w:t>
            </w:r>
            <w:r w:rsidRPr="008E725B">
              <w:rPr>
                <w:b/>
                <w:i/>
              </w:rPr>
              <w:t>ja ne sisältyvät perusoikeuskirjaan ja kansainvälisiin ihmisoikeussopimuksiin</w:t>
            </w:r>
            <w:r w:rsidRPr="008E725B">
              <w:t xml:space="preserve">; </w:t>
            </w:r>
            <w:r w:rsidRPr="008E725B">
              <w:rPr>
                <w:b/>
                <w:i/>
              </w:rPr>
              <w:t>ottaa huomioon, että perusoikeuskirja on osa EU:n primaarioikeutta; ottaa huomioon, että demokratia, oikeusvaltioperiaate ja perusoikeudet ovat toisiaan vahvistavia arvoja ja niiden heikentäminen on EU:ssa asuvien ihmisten oikeuksille ja vapauksille järjestelmätason uhka;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141</w:t>
      </w:r>
      <w:r w:rsidRPr="008E725B">
        <w:rPr>
          <w:rStyle w:val="HideTWBExt"/>
          <w:b w:val="0"/>
        </w:rPr>
        <w:t>&lt;/NumAm&gt;</w:t>
      </w:r>
    </w:p>
    <w:p w:rsidR="005E49C0" w:rsidRPr="008E725B" w:rsidRDefault="005E49C0" w:rsidP="005E49C0">
      <w:pPr>
        <w:pStyle w:val="NormalBold"/>
      </w:pPr>
      <w:r w:rsidRPr="008E725B">
        <w:rPr>
          <w:rStyle w:val="HideTWBExt"/>
          <w:b w:val="0"/>
        </w:rPr>
        <w:lastRenderedPageBreak/>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A kappale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A.</w:t>
            </w:r>
            <w:r w:rsidRPr="008E725B">
              <w:tab/>
              <w:t>ottaa huomioon, että unioni perustuu SEU-sopimuksen 2 artiklassa vahvistettuihin yhteisiin arvoihin, joita ovat ihmisarvon kunnioittaminen, vapaus, demokratia, tasa‑arvo, oikeusvaltioperiaate ja ihmisoikeuksien kunnioittaminen, vähemmistöihin kuuluvien oikeudet mukaan luettuina, ja että nämä arvot ovat EU:n jäsenvaltioille yhteisiä;</w:t>
            </w:r>
          </w:p>
        </w:tc>
        <w:tc>
          <w:tcPr>
            <w:tcW w:w="4876" w:type="dxa"/>
            <w:tcBorders>
              <w:top w:val="nil"/>
              <w:left w:val="nil"/>
              <w:bottom w:val="nil"/>
              <w:right w:val="nil"/>
            </w:tcBorders>
          </w:tcPr>
          <w:p w:rsidR="005E49C0" w:rsidRPr="008E725B" w:rsidRDefault="005E49C0" w:rsidP="00B5562F">
            <w:pPr>
              <w:pStyle w:val="Normal6a"/>
            </w:pPr>
            <w:r w:rsidRPr="008E725B">
              <w:t>A.</w:t>
            </w:r>
            <w:r w:rsidRPr="008E725B">
              <w:tab/>
              <w:t xml:space="preserve">ottaa huomioon, että unioni perustuu SEU-sopimuksen 2 artiklassa vahvistettuihin yhteisiin arvoihin, joita ovat ihmisarvon kunnioittaminen, vapaus, demokratia, tasa‑arvo, oikeusvaltioperiaate ja ihmisoikeuksien kunnioittaminen, vähemmistöihin kuuluvien oikeudet mukaan luettuina, ja että nämä arvot ovat EU:n jäsenvaltioille yhteisiä </w:t>
            </w:r>
            <w:r w:rsidRPr="008E725B">
              <w:rPr>
                <w:b/>
                <w:i/>
              </w:rPr>
              <w:t>yhteiskunnassa, jolle on ominaista moniarvoisuus, syrjimättömyys, suvaitsevaisuus, oikeudenmukaisuus, yhteisvastuu sekä naisten ja miesten tasa-arvo</w:t>
            </w:r>
            <w:r w:rsidRPr="008E725B">
              <w:t>;</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142</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A kappale</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A.</w:t>
            </w:r>
            <w:r w:rsidRPr="008E725B">
              <w:tab/>
              <w:t xml:space="preserve">ottaa huomioon, että unioni perustuu SEU-sopimuksen 2 artiklassa vahvistettuihin yhteisiin arvoihin, joita ovat ihmisarvon kunnioittaminen, vapaus, demokratia, tasa‑arvo, oikeusvaltioperiaate ja ihmisoikeuksien kunnioittaminen, vähemmistöihin kuuluvien oikeudet mukaan luettuina, ja että nämä arvot ovat </w:t>
            </w:r>
            <w:r w:rsidRPr="008E725B">
              <w:rPr>
                <w:b/>
                <w:i/>
              </w:rPr>
              <w:t>EU:n</w:t>
            </w:r>
            <w:r w:rsidRPr="008E725B">
              <w:t xml:space="preserve"> jäsenvaltioille yhteisiä;</w:t>
            </w:r>
          </w:p>
        </w:tc>
        <w:tc>
          <w:tcPr>
            <w:tcW w:w="4876" w:type="dxa"/>
            <w:tcBorders>
              <w:top w:val="nil"/>
              <w:left w:val="nil"/>
              <w:bottom w:val="nil"/>
              <w:right w:val="nil"/>
            </w:tcBorders>
          </w:tcPr>
          <w:p w:rsidR="005E49C0" w:rsidRPr="008E725B" w:rsidRDefault="005E49C0" w:rsidP="00B5562F">
            <w:pPr>
              <w:pStyle w:val="Normal6a"/>
            </w:pPr>
            <w:r w:rsidRPr="008E725B">
              <w:t>A.</w:t>
            </w:r>
            <w:r w:rsidRPr="008E725B">
              <w:tab/>
              <w:t xml:space="preserve">ottaa huomioon, että unioni perustuu SEU-sopimuksen 2 artiklassa vahvistettuihin yhteisiin arvoihin, joita ovat ihmisarvon kunnioittaminen, vapaus, demokratia, tasa‑arvo, oikeusvaltioperiaate ja ihmisoikeuksien kunnioittaminen, vähemmistöihin kuuluvien oikeudet mukaan luettuina, ja että nämä arvot ovat jäsenvaltioille yhteisiä </w:t>
            </w:r>
            <w:r w:rsidRPr="008E725B">
              <w:rPr>
                <w:b/>
                <w:i/>
              </w:rPr>
              <w:t>yhteiskunnassa, jolle on ominaista moniarvoisuus, syrjimättömyys, suvaitsevaisuus, oikeudenmukaisuus, yhteisvastuu sekä naisten ja miesten tasa-arvo</w:t>
            </w:r>
            <w:r w:rsidRPr="008E725B">
              <w:t>;</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143</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A kappale</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A.</w:t>
            </w:r>
            <w:r w:rsidRPr="008E725B">
              <w:tab/>
              <w:t>ottaa huomioon, että unioni perustuu SEU-sopimuksen 2 artiklassa vahvistettuihin yhteisiin arvoihin, joita ovat ihmisarvon kunnioittaminen, vapaus, demokratia, tasa‑arvo, oikeusvaltioperiaate ja ihmisoikeuksien kunnioittaminen, vähemmistöihin kuuluvien oikeudet mukaan luettuina, ja että nämä arvot ovat EU:n jäsenvaltioille yhteisiä;</w:t>
            </w:r>
          </w:p>
        </w:tc>
        <w:tc>
          <w:tcPr>
            <w:tcW w:w="4876" w:type="dxa"/>
            <w:tcBorders>
              <w:top w:val="nil"/>
              <w:left w:val="nil"/>
              <w:bottom w:val="nil"/>
              <w:right w:val="nil"/>
            </w:tcBorders>
          </w:tcPr>
          <w:p w:rsidR="005E49C0" w:rsidRPr="008E725B" w:rsidRDefault="005E49C0" w:rsidP="00B5562F">
            <w:pPr>
              <w:pStyle w:val="Normal6a"/>
            </w:pPr>
            <w:r w:rsidRPr="008E725B">
              <w:t>A.</w:t>
            </w:r>
            <w:r w:rsidRPr="008E725B">
              <w:tab/>
              <w:t xml:space="preserve">ottaa huomioon, että unioni perustuu SEU-sopimuksen 2 artiklassa vahvistettuihin yhteisiin arvoihin, joita ovat ihmisarvon kunnioittaminen, vapaus, demokratia, tasa‑arvo, oikeusvaltioperiaate ja ihmisoikeuksien kunnioittaminen, vähemmistöihin kuuluvien oikeudet mukaan luettuina, ja että nämä arvot ovat EU:n jäsenvaltioille yhteisiä; </w:t>
            </w:r>
            <w:r w:rsidRPr="008E725B">
              <w:rPr>
                <w:b/>
                <w:i/>
              </w:rPr>
              <w:t>ottaa huomioon, että unionin toimielinten on myös noudatettava oikeusvaltioperiaatetta toimiessaan;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144</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Klára Dobrev, Csaba Molnár, Birgit Sippel, Krzysztof Śmiszek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A a kappale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A a.</w:t>
            </w:r>
            <w:r w:rsidRPr="008E725B">
              <w:tab/>
            </w:r>
            <w:r w:rsidRPr="008E725B">
              <w:rPr>
                <w:b/>
                <w:i/>
              </w:rPr>
              <w:t xml:space="preserve">ottaa huomioon, että SEU-sopimuksen 49 artiklasta, jossa määrätään jokaisella Euroopan valtiolla olevasta mahdollisuudesta hakea unionin jäsenyyttä, ilmenee, että unioni muodostuu valtioista, jotka ovat vapaasti ja vapaaehtoisesti sitoutuneet SEU-sopimuksen 2 artiklassa tarkoitettuihin yhteisiin arvoihin, jotka kunnioittavat näitä arvoja ja jotka sitoutuvat edistämään niitä; ottaa huomioon, että unionin oikeus pohjautuu näin ollen </w:t>
            </w:r>
            <w:r w:rsidRPr="008E725B">
              <w:rPr>
                <w:b/>
                <w:i/>
              </w:rPr>
              <w:lastRenderedPageBreak/>
              <w:t>siihen perustavanlaatuiseen lähtökohtaan, että kullakin jäsenvaltiolla on kaikkien muiden jäsenvaltioiden kanssa – ja kukin jäsenvaltio tunnustaa kaikilla muilla jäsenvaltioilla olevan sen kanssa – samat arvot; ottaa huomioon, että tämä lähtökohta merkitsee sitä – ja perustelee sen –, että jäsenvaltioiden välillä vallitsee keskinäinen luottamus siihen, että kyseiset arvot tunnustetaan ja näin ollen ne täytäntöön panevaa unionin oikeutta noudatetaan;</w:t>
            </w:r>
            <w:r w:rsidRPr="008E725B">
              <w:rPr>
                <w:b/>
                <w:i/>
                <w:vertAlign w:val="superscript"/>
              </w:rPr>
              <w:t>1 a</w:t>
            </w:r>
            <w:r w:rsidRPr="008E725B">
              <w:rPr>
                <w:b/>
                <w:i/>
              </w:rPr>
              <w:t xml:space="preserve"> </w:t>
            </w:r>
            <w:r w:rsidRPr="008E725B">
              <w:rPr>
                <w:b/>
                <w:i/>
                <w:vertAlign w:val="superscript"/>
              </w:rPr>
              <w:t>2 a</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tc>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1 a</w:t>
            </w:r>
            <w:r w:rsidRPr="008E725B">
              <w:t xml:space="preserve"> </w:t>
            </w:r>
            <w:r w:rsidRPr="008E725B">
              <w:rPr>
                <w:b/>
                <w:i/>
              </w:rPr>
              <w:t>Unionin tuomioistuin, lausunto 2/13, 18.12.2014, ECLI:EU:C:2014:2454, 168 kohta.</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tc>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2 a</w:t>
            </w:r>
            <w:r w:rsidRPr="008E725B">
              <w:t xml:space="preserve"> </w:t>
            </w:r>
            <w:r w:rsidRPr="008E725B">
              <w:rPr>
                <w:b/>
                <w:i/>
              </w:rPr>
              <w:t>Unionin tuomioistuimen</w:t>
            </w:r>
            <w:r w:rsidRPr="008E725B">
              <w:t xml:space="preserve"> </w:t>
            </w:r>
            <w:r w:rsidRPr="008E725B">
              <w:rPr>
                <w:b/>
                <w:i/>
              </w:rPr>
              <w:t>tuomio 24.6.2019, Euroopan komissio v. Puolan tasavalta, C-619/18, ECLI:EU:C:2019:531, 42 kohta.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145</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Daniel Freund</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A a kappale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A a.</w:t>
            </w:r>
            <w:r w:rsidRPr="008E725B">
              <w:tab/>
            </w:r>
            <w:r w:rsidRPr="008E725B">
              <w:rPr>
                <w:b/>
                <w:i/>
              </w:rPr>
              <w:t xml:space="preserve">ottaa huomioon, että SEU-sopimuksen 49 artiklasta, jossa määrätään jokaisella Euroopan valtiolla olevasta mahdollisuudesta hakea unionin jäsenyyttä, ilmenee, että unioni muodostuu valtioista, jotka ovat vapaasti ja vapaaehtoisesti sitoutuneet SEU-sopimuksen 2 artiklassa tarkoitettuihin yhteisiin arvoihin, jotka kunnioittavat näitä arvoja ja jotka sitoutuvat edistämään niitä, ja että unionin oikeus pohjautuu siihen perustavanlaatuiseen lähtökohtaan, että kullakin jäsenvaltiolla on kaikkien muiden jäsenvaltioiden </w:t>
            </w:r>
            <w:r w:rsidRPr="008E725B">
              <w:rPr>
                <w:b/>
                <w:i/>
              </w:rPr>
              <w:lastRenderedPageBreak/>
              <w:t>kanssa – ja kukin jäsenvaltio tunnustaa kaikilla muilla jäsenvaltioilla olevan sen kanssa – samat arvot; ottaa huomioon, että jäsenvaltion on varmistettava, ettei SEU-sopimuksen 2 artiklassa vahvistettujen arvojen suoja heikkene;</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146</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Isabel Serra Sánchez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A a kappale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A a.</w:t>
            </w:r>
            <w:r w:rsidRPr="008E725B">
              <w:tab/>
            </w:r>
            <w:r w:rsidRPr="008E725B">
              <w:rPr>
                <w:b/>
                <w:i/>
              </w:rPr>
              <w:t>katsoo, että on ensiarvoisen tärkeää tarkastella Euroopan menneisyyttä SEU-sopimuksen 2 artiklassa vahvistettujen arvojen pohjalta; katsoo, että historiaa ei saa koskaan suhteuttaa, vääristellä tai väärentää poliittisia tarkoituksia varten; katsoo, että muistilakien väärinkäyttö ja rikkominen jäsenvaltioissa edistää osaltaan sitä, että historia ja totalitaaristen hallintojen rikokset, joiden ei saa antaa toistua, kiistetään; toteaa, että joidenkin Espanjan kuntien paikallisviranomaiset ovat rikkoneet Espanjan historiallista muistia koskevaa lakia viimeksi kuluneen vuoden aikana;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147</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Michał Wawrykiewicz, Ana Catarina Mendes, Moritz Körner</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A a kappale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A a.</w:t>
            </w:r>
            <w:r w:rsidRPr="008E725B">
              <w:tab/>
            </w:r>
            <w:r w:rsidRPr="008E725B">
              <w:rPr>
                <w:b/>
                <w:i/>
              </w:rPr>
              <w:t>toteaa, että kansalaisjärjestöt, oikeusyhteisö, yhdistykset, riippumattomat tiedotusvälineet ja ruohonjuuritason liikkeet ovat edelleen oikeusvaltion kulmakivi edistäessään avoimuutta, vastuuvelvollisuutta ja kansalaisten osallistumista demokraattisiin prosesseihin; katsoo, että näillä toimijoilla on ollut keskeinen merkitys oikeuslaitoksen riippumattomuuden, sananvapauden ja muiden perustuslaillisten arvojen turvaamisessa, ja toteaa, että niiden toimintaan kohdistuu usein yhä enemmän poliittisia ja oikeudellisia rajoitteita;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148</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Marieke Ehlers, Jorge Buxadé Villalba, Tom Vandendriessche, Fabrice Leggeri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A a kappale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A a.</w:t>
            </w:r>
            <w:r w:rsidRPr="008E725B">
              <w:tab/>
            </w:r>
            <w:r w:rsidRPr="008E725B">
              <w:rPr>
                <w:b/>
                <w:i/>
              </w:rPr>
              <w:t>katsoo, että komissio pyrkii yhtäältä sitomaan jäsenvaltiot unionin oikeuteen asettamalla unionin hierarkkisesti jäsenvaltioiden yläpuolelle ja toisaalta korvaamaan oikeusvaltioperiaatteen perinteisen sisällön luomalla subjektiivisia arvoja ja periaatteita;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149</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Johdanto-osan A a kappale (uusi)</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lastRenderedPageBreak/>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A a.</w:t>
            </w:r>
            <w:r w:rsidRPr="008E725B">
              <w:tab/>
            </w:r>
            <w:r w:rsidRPr="008E725B">
              <w:rPr>
                <w:b/>
                <w:i/>
              </w:rPr>
              <w:t>ottaa huomioon, että käsitteestä ’oikeusvaltioperiaate’ ei ole hyväksyttyä määritelmää eikä oikeusvaltioperiaatteen noudattamisen arvioimiseksi EU:n tasolla ole olemassa yhtenäistä järjestelmää, jota sovellettaisiin yhtäläisesti kaikkiin jäsenvaltioihin ja jossa otettaisiin huomioon perustuslaillisten järjestelmien ja perinteiden moninaisuus;</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150</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Jorge Buxadé Villalba, Marieke Ehlers, Malika Sorel, Fabrice Leggeri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A a kappale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A a.</w:t>
            </w:r>
            <w:r w:rsidRPr="008E725B">
              <w:tab/>
            </w:r>
            <w:r w:rsidRPr="008E725B">
              <w:rPr>
                <w:b/>
                <w:i/>
              </w:rPr>
              <w:t>ottaa huomioon, että vallanjako, yhdenvertaisuus lain edessä, avoimuus ja vastuuvelvollisuus ovat jokaisen terveen demokratian keskeisiä periaatteita; ottaa huomioon, että perussopimusten mukaan unionin toimielimet edistävät näitä periaatteita;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151</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A a kappale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A a.</w:t>
            </w:r>
            <w:r w:rsidRPr="008E725B">
              <w:tab/>
            </w:r>
            <w:r w:rsidRPr="008E725B">
              <w:rPr>
                <w:b/>
                <w:i/>
              </w:rPr>
              <w:t>ottaa huomioon, että vuotuinen oikeusvaltiokertomus on komission luoma väline, jolla ei ole oikeusperustaa perussopimuksissa;</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152</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Mary Khan, Christine Anderson, Milan Uhrík, Ewa Zajączkowska-Hernik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A a kappale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A a.</w:t>
            </w:r>
            <w:r w:rsidRPr="008E725B">
              <w:tab/>
            </w:r>
            <w:r w:rsidRPr="008E725B">
              <w:rPr>
                <w:b/>
                <w:i/>
              </w:rPr>
              <w:t>katsoo, että digipalvelusäädös on selkeä uhka sananvapaudelle;</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153</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Isabel Serra Sánchez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A b kappale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A b.</w:t>
            </w:r>
            <w:r w:rsidRPr="008E725B">
              <w:tab/>
            </w:r>
            <w:r w:rsidRPr="008E725B">
              <w:rPr>
                <w:b/>
                <w:i/>
              </w:rPr>
              <w:t>toteaa, että Francon diktatuurin aikana ja demokratian varhaisina vuosina tuhansia vastasyntyneitä vietiin väkisin äideiltään ja adoptoitiin laittomasti; toteaa, että tämä järjestelmällinen vauvojen varastaminen on rikos, joka on edelleen laajalti rankaisematta ja joka edellyttää oikeuden, totuuden ja hyvityksen toteutumista; katsoo, että rankaisemattomuuden jatkuminen ja toimielinten passiivisuus näiden rikosten käsittelyssä merkitsee oikeusvaltioperiaatteen vakavaa rikkomista, heikentää uhrien oikeutta totuuteen, oikeudenmukaisuuteen ja hyvitykseen ja korostaa tarvetta toimia täysin SEU-sopimuksen 2 artiklassa vahvistettujen arvojen ja kansainvälisten ihmisoikeusvelvoitteiden mukaisesti;</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lastRenderedPageBreak/>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154</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Daniel Freund</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A b kappale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A b.</w:t>
            </w:r>
            <w:r w:rsidRPr="008E725B">
              <w:tab/>
            </w:r>
            <w:r w:rsidRPr="008E725B">
              <w:rPr>
                <w:b/>
                <w:i/>
              </w:rPr>
              <w:t>toteaa, että SEU-sopimuksen 4 artiklan 3 kohdassa vahvistettu vilpittömän yhteistyön periaate velvoittaa unionin ja jäsenvaltiot kunnioittamaan ja avustamaan toisiaan perussopimuksista johtuvia tehtäviä täyttäessään ja se velvoittaa jäsenvaltiot toteuttamaan kaikki yleis- tai erityistoimenpiteet, joilla voidaan varmistaa perussopimuksista tai unionin toimielinten säädöksistä johtuvien velvoitteiden täyttäminen; toteaa, että jäsenvaltioiden olisi pidättäydyttävä kaikista toimenpiteistä, jotka voivat vaarantaa unionin tavoitteiden toteutumisen;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155</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Jorge Buxadé Villalba, Malika Sorel, Fabrice Leggeri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A b kappale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A b.</w:t>
            </w:r>
            <w:r w:rsidRPr="008E725B">
              <w:tab/>
            </w:r>
            <w:r w:rsidRPr="008E725B">
              <w:rPr>
                <w:b/>
                <w:i/>
              </w:rPr>
              <w:t xml:space="preserve">katsoo, että sananvapaudella ja tiedonsaantioikeudella ei ole asianmukaista suojaa unionissa; katsoo, että tiedotusvälineiden keskittyminen, tiedotusvälineiden omistuksen ja julkisen rahoituksen läpinäkyvyyden puute, toimittajien riippumattomuuden puute kaupallisen ja poliittisen vaikuttamisen suhteen sekä kannattavuusongelmat ovat riski tiedonsaantioikeuden kannalta; </w:t>
            </w:r>
            <w:r w:rsidRPr="008E725B">
              <w:rPr>
                <w:b/>
                <w:i/>
              </w:rPr>
              <w:lastRenderedPageBreak/>
              <w:t>katsoo, että ei-riippumattomien yhdistysten harjoittaman oikeudellisen sisällön moderoinnin ja faktantarkistuksen edistäminen on suoranainen hyökkäys sananvapautta vastaan;</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156</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Marieke Ehlers, Jorge Buxadé Villalba, Tom Vandendriessche, Fabrice Leggeri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A b kappale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A b.</w:t>
            </w:r>
            <w:r w:rsidRPr="008E725B">
              <w:tab/>
            </w:r>
            <w:r w:rsidRPr="008E725B">
              <w:rPr>
                <w:b/>
                <w:i/>
              </w:rPr>
              <w:t>toteaa, että oikeusvaltioperiaatteelle ei ole yhteistä eurooppalaista määritelmää, koska esimerkiksi käsitteillä ”the rule of law”, ”Rechtsstaatlichkeit” ja ”l’etat de droit” on eri merkitys erilaisten oikeusperinteiden vuoksi; katsoo, että yritys määritellä oikeusvaltioperiaate tapahtuu Euroopassa vallitsevien pitkäaikaisten oikeusperinteiden kustannuksella;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157</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Mary Khan, Christine Anderson, Milan Uhrík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A b kappale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A b.</w:t>
            </w:r>
            <w:r w:rsidRPr="008E725B">
              <w:tab/>
            </w:r>
            <w:r w:rsidRPr="008E725B">
              <w:rPr>
                <w:b/>
                <w:i/>
              </w:rPr>
              <w:t xml:space="preserve">toteaa, että joukko ulkomaisia miljardöörejä, esimerkiksi Bill Gates ja George Soros, sijoittaa miljoonia saksalaisiin tiedotusvälineisiin ohjatakseen yleistä mielipidettä; toteaa, </w:t>
            </w:r>
            <w:r w:rsidRPr="008E725B">
              <w:rPr>
                <w:b/>
                <w:i/>
              </w:rPr>
              <w:lastRenderedPageBreak/>
              <w:t>että EU vaikenee tällaisesta sekaantumisesta mutta ottaa suorasanaisesti kantaa, kun oletettuna sekaantujana ovat konservatiiviset tahot, joita se ei hyväksy, kuten Elon Musk;</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158</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A b kappale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A b.</w:t>
            </w:r>
            <w:r w:rsidRPr="008E725B">
              <w:tab/>
            </w:r>
            <w:r w:rsidRPr="008E725B">
              <w:rPr>
                <w:b/>
                <w:i/>
              </w:rPr>
              <w:t>katsoo, että ilman objektiivista, oikeudenmukaista, puolueetonta ja tosiasioihin perustuvaa lähestymistapaa oikeusvaltiokertomus ei ole uskottava väline eikä sitä voida ottaa huomioon minkään muun mekanismin yhteydessä;</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159</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Isabel Serra Sánchez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A c kappale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A c.</w:t>
            </w:r>
            <w:r w:rsidRPr="008E725B">
              <w:tab/>
            </w:r>
            <w:r w:rsidRPr="008E725B">
              <w:rPr>
                <w:b/>
                <w:i/>
              </w:rPr>
              <w:t xml:space="preserve">toteaa, että Unkarin hallitus on jättänyt panematta täytäntöön useita Unkarin perustuslakituomioistuimen, unionin tuomioistuimen ja Euroopan ihmisoikeustuomioistuimen tuomioita, jotka se on saanut rikottuaan SEU-sopimuksen 2 artiklassa vahvistettuja arvoja, eikä se ole noudattanut suurinta osaa komission vuosien 2023 ja 2024 oikeusvaltiokertomuksissa esitetyistä suosituksista eikä muiden kansainvälisten </w:t>
            </w:r>
            <w:r w:rsidRPr="008E725B">
              <w:rPr>
                <w:b/>
                <w:i/>
              </w:rPr>
              <w:lastRenderedPageBreak/>
              <w:t>elinten, kuten GRECOn ja Venetsian komission, suosituksia;</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160</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A c kappale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A c.</w:t>
            </w:r>
            <w:r w:rsidRPr="008E725B">
              <w:tab/>
            </w:r>
            <w:r w:rsidRPr="008E725B">
              <w:rPr>
                <w:b/>
                <w:i/>
              </w:rPr>
              <w:t>toteaa, että perussopimusten mukaan komissiolla ei ole toimivaltaa luoda lisämekanismeja voidakseen valvoa oikeusvaltioperiaatteen noudattamista jäsenvaltioissa;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161</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Johdanto-osan A d kappale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A d.</w:t>
            </w:r>
            <w:r w:rsidRPr="008E725B">
              <w:tab/>
            </w:r>
            <w:r w:rsidRPr="008E725B">
              <w:rPr>
                <w:b/>
                <w:i/>
              </w:rPr>
              <w:t>toteaa, että komissio käyttää ulkomaista rahoitusta saavilta kansalaisjärjestöiltä peräisin olevia tietoja laatiessaan vuotuista oikeusvaltiokertomusta;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162</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Moritz Körner, Hilde Vautmans, Nikola Minchev, Veronika Cifrová Ostrihoňová, Chloé Ridel, Abir Al-Sahlani, Fabienne Keller, Lucia Yar, Irena Joveva, Isabel Wiseler-Lima</w:t>
      </w:r>
      <w:r w:rsidRPr="008E725B">
        <w:rPr>
          <w:rStyle w:val="HideTWBExt"/>
          <w:b w:val="0"/>
        </w:rPr>
        <w:t>&lt;/Members&gt;</w:t>
      </w:r>
    </w:p>
    <w:p w:rsidR="005E49C0" w:rsidRPr="008E725B" w:rsidRDefault="005E49C0" w:rsidP="005E49C0">
      <w:r w:rsidRPr="008E725B">
        <w:rPr>
          <w:rStyle w:val="HideTWBExt"/>
        </w:rPr>
        <w:t>&lt;AuNomDe&gt;</w:t>
      </w:r>
      <w:r w:rsidRPr="008E725B">
        <w:rPr>
          <w:rStyle w:val="HideTWBInt"/>
        </w:rPr>
        <w:t>{LIBE}</w:t>
      </w:r>
      <w:r w:rsidRPr="008E725B">
        <w:t>kansalaisvapauksien sekä oikeus- ja sisäasioiden valiokunnan puolesta</w:t>
      </w:r>
      <w:r w:rsidRPr="008E725B">
        <w:rPr>
          <w:rStyle w:val="HideTWBExt"/>
        </w:rPr>
        <w:t>&lt;/AuNomDe&gt;</w:t>
      </w:r>
    </w:p>
    <w:p w:rsidR="005E49C0" w:rsidRPr="008E725B" w:rsidRDefault="005E49C0" w:rsidP="005E49C0">
      <w:pPr>
        <w:pStyle w:val="NormalBold"/>
      </w:pPr>
      <w:r w:rsidRPr="008E725B">
        <w:rPr>
          <w:rStyle w:val="HideTWBExt"/>
          <w:b w:val="0"/>
        </w:rPr>
        <w:t>&lt;Members&gt;</w:t>
      </w:r>
      <w:r w:rsidRPr="008E725B">
        <w:t>Sophie Wilmès</w:t>
      </w:r>
      <w:r w:rsidRPr="008E725B">
        <w:rPr>
          <w:rStyle w:val="HideTWBExt"/>
          <w:b w:val="0"/>
        </w:rPr>
        <w:t>&lt;/Members&gt;</w:t>
      </w:r>
    </w:p>
    <w:p w:rsidR="005E49C0" w:rsidRPr="008E725B" w:rsidRDefault="005E49C0" w:rsidP="005E49C0">
      <w:pPr>
        <w:pStyle w:val="NormalBold"/>
      </w:pPr>
      <w:r w:rsidRPr="008E725B">
        <w:rPr>
          <w:rStyle w:val="HideTWBExt"/>
          <w:b w:val="0"/>
        </w:rPr>
        <w:lastRenderedPageBreak/>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 alaotsikko</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 xml:space="preserve">Oikeusasiat ja </w:t>
            </w:r>
            <w:r w:rsidRPr="008E725B">
              <w:rPr>
                <w:b/>
                <w:i/>
              </w:rPr>
              <w:t>korruptio</w:t>
            </w:r>
          </w:p>
        </w:tc>
        <w:tc>
          <w:tcPr>
            <w:tcW w:w="4876" w:type="dxa"/>
            <w:tcBorders>
              <w:top w:val="nil"/>
              <w:left w:val="nil"/>
              <w:bottom w:val="nil"/>
              <w:right w:val="nil"/>
            </w:tcBorders>
          </w:tcPr>
          <w:p w:rsidR="005E49C0" w:rsidRPr="008E725B" w:rsidRDefault="005E49C0" w:rsidP="00B5562F">
            <w:pPr>
              <w:pStyle w:val="Normal6a"/>
            </w:pPr>
            <w:r w:rsidRPr="008E725B">
              <w:t xml:space="preserve">Oikeusasiat ja </w:t>
            </w:r>
            <w:r w:rsidRPr="008E725B">
              <w:rPr>
                <w:b/>
                <w:i/>
              </w:rPr>
              <w:t>korruptiontorjuntakehys</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163</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1 kohta</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w:t>
            </w:r>
            <w:r w:rsidRPr="008E725B">
              <w:tab/>
              <w:t>korostaa, että oikeudenmukainen ja saavutettava oikeusjärjestelmä on yksi perustavanlaatuisista oikeusvaltion periaatteista, jonka toteutuminen edellyttää riippumatonta oikeuslaitosta; toistaa, että oikeussuojan saatavuus on keskeisen tärkeää, jotta kansalaiset voivat käyttää oikeuksiaan, puuttua syrjintään ja saattaa päätöksentekijöitä vastuuseen;</w:t>
            </w:r>
          </w:p>
        </w:tc>
        <w:tc>
          <w:tcPr>
            <w:tcW w:w="4876" w:type="dxa"/>
            <w:tcBorders>
              <w:top w:val="nil"/>
              <w:left w:val="nil"/>
              <w:bottom w:val="nil"/>
              <w:right w:val="nil"/>
            </w:tcBorders>
          </w:tcPr>
          <w:p w:rsidR="005E49C0" w:rsidRPr="008E725B" w:rsidRDefault="005E49C0" w:rsidP="00B5562F">
            <w:pPr>
              <w:pStyle w:val="Normal6a"/>
            </w:pPr>
            <w:r w:rsidRPr="008E725B">
              <w:t>1.</w:t>
            </w:r>
            <w:r w:rsidRPr="008E725B">
              <w:tab/>
              <w:t xml:space="preserve">korostaa, että oikeudenmukainen ja saavutettava oikeusjärjestelmä on yksi perustavanlaatuisista oikeusvaltion periaatteista, jonka toteutuminen edellyttää riippumatonta oikeuslaitosta; toistaa, että oikeussuojan saatavuus on keskeisen tärkeää, jotta kansalaiset voivat käyttää oikeuksiaan, puuttua syrjintään ja saattaa päätöksentekijöitä vastuuseen; </w:t>
            </w:r>
            <w:r w:rsidRPr="008E725B">
              <w:rPr>
                <w:b/>
                <w:i/>
              </w:rPr>
              <w:t xml:space="preserve">huomauttaa, että tiettyjen jäsenvaltioiden ja EU:n ehdokasvaltioiden oikeusjärjestelmiä muovaavat edelleen kommunistiselta aikakaudelta peräisin olevat vastavuoroiset edut; korostaa EU:n kannan epäjohdonmukaisuutta, koska se tukee Moldovan kaltaisten EU:n ehdokasmaiden oikeuslaitoksen uudistamista ja suojelee samalla Puolassa yhtä tehotonta, puutteellista ja jälkikommunistista järjestelmää; toteaa, että vaikka tiettyjen jäsenvaltioiden tuomarien nimitysjärjestelmät eivät aiheuta kiistoja, samanlaisten järjestelmien perustamiseen pyrkiviä uudistuksia muissa maissa on arvosteltu; kehottaa komissiota pidättäytymään puuttumasta oikeuslaitoksen järjestämistä </w:t>
            </w:r>
            <w:r w:rsidRPr="008E725B">
              <w:rPr>
                <w:b/>
                <w:i/>
              </w:rPr>
              <w:lastRenderedPageBreak/>
              <w:t>koskeviin uudistuksiin; katsoo, että on mahdotonta hyväksyä sitä, että muut maat ja myös EU edistävät oikeusjärjestelmän edustajista koostuvien organisaatioiden poliittisia toimia, vaatii keskeyttämään tällaiset toimet ja kehottaa julkistamaan avoimesti kaiken tähänastisen puuttumisen;</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164</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w:t>
            </w:r>
            <w:r w:rsidRPr="008E725B">
              <w:tab/>
              <w:t>korostaa, että oikeudenmukainen ja saavutettava oikeusjärjestelmä on yksi perustavanlaatuisista oikeusvaltion periaatteista, jonka toteutuminen edellyttää riippumatonta oikeuslaitosta; toistaa, että oikeussuojan saatavuus on keskeisen tärkeää, jotta kansalaiset voivat käyttää oikeuksiaan, puuttua syrjintään ja saattaa päätöksentekijöitä vastuuseen;</w:t>
            </w:r>
          </w:p>
        </w:tc>
        <w:tc>
          <w:tcPr>
            <w:tcW w:w="4876" w:type="dxa"/>
            <w:tcBorders>
              <w:top w:val="nil"/>
              <w:left w:val="nil"/>
              <w:bottom w:val="nil"/>
              <w:right w:val="nil"/>
            </w:tcBorders>
          </w:tcPr>
          <w:p w:rsidR="005E49C0" w:rsidRPr="008E725B" w:rsidRDefault="005E49C0" w:rsidP="00B5562F">
            <w:pPr>
              <w:pStyle w:val="Normal6a"/>
            </w:pPr>
            <w:r w:rsidRPr="008E725B">
              <w:t>1.</w:t>
            </w:r>
            <w:r w:rsidRPr="008E725B">
              <w:tab/>
              <w:t>korostaa, että oikeudenmukainen ja saavutettava oikeusjärjestelmä on yksi perustavanlaatuisista oikeusvaltion periaatteista, jonka toteutuminen edellyttää riippumatonta oikeuslaitosta; toistaa, että oikeussuojan saatavuus on keskeisen tärkeää, jotta kansalaiset voivat käyttää oikeuksiaan, puuttua syrjintään ja saattaa päätöksentekijöitä vastuuseen;</w:t>
            </w:r>
            <w:r w:rsidRPr="008E725B">
              <w:rPr>
                <w:b/>
                <w:i/>
              </w:rPr>
              <w:t> korostaa sen vuoksi, että asianmukaisen palkan maksaminen on olennaista pätevän tuomioistuinhenkilöstön houkuttelemisen ja palveluksessa pitämisen kannalta;</w:t>
            </w:r>
            <w:r w:rsidRPr="008E725B">
              <w:t xml:space="preserve"> </w:t>
            </w:r>
            <w:r w:rsidRPr="008E725B">
              <w:rPr>
                <w:b/>
                <w:i/>
              </w:rPr>
              <w:t>muistuttaa, että riittävillä resursseilla, rahoitus mukaan luettuna, asianmukaisella infrastruktuurilla ja pätevällä henkilöstöllä on ratkaiseva merkitys oikeusjärjestelmän tehokkuuden ja saavutettavuuden kannalta; korostaa digitalisaation suurta merkitystä kansallisten oikeuslaitosten muutoksessa;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lastRenderedPageBreak/>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165</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Juan Fernando López Aguilar, Nacho Sánchez Amor, Javier Moreno Sánchez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w:t>
            </w:r>
            <w:r w:rsidRPr="008E725B">
              <w:tab/>
              <w:t>korostaa, että oikeudenmukainen ja saavutettava oikeusjärjestelmä on yksi perustavanlaatuisista oikeusvaltion periaatteista, jonka toteutuminen edellyttää riippumatonta oikeuslaitosta; toistaa, että oikeussuojan saatavuus on keskeisen tärkeää, jotta kansalaiset voivat käyttää oikeuksiaan, puuttua syrjintään ja saattaa päätöksentekijöitä vastuuseen;</w:t>
            </w:r>
          </w:p>
        </w:tc>
        <w:tc>
          <w:tcPr>
            <w:tcW w:w="4876" w:type="dxa"/>
            <w:tcBorders>
              <w:top w:val="nil"/>
              <w:left w:val="nil"/>
              <w:bottom w:val="nil"/>
              <w:right w:val="nil"/>
            </w:tcBorders>
          </w:tcPr>
          <w:p w:rsidR="005E49C0" w:rsidRPr="008E725B" w:rsidRDefault="005E49C0" w:rsidP="00B5562F">
            <w:pPr>
              <w:pStyle w:val="Normal6a"/>
            </w:pPr>
            <w:r w:rsidRPr="008E725B">
              <w:t>1.</w:t>
            </w:r>
            <w:r w:rsidRPr="008E725B">
              <w:tab/>
              <w:t>korostaa, että oikeudenmukainen ja saavutettava oikeusjärjestelmä on yksi perustavanlaatuisista oikeusvaltion periaatteista, jonka toteutuminen edellyttää riippumatonta oikeuslaitosta;</w:t>
            </w:r>
            <w:r w:rsidRPr="008E725B">
              <w:rPr>
                <w:b/>
                <w:i/>
              </w:rPr>
              <w:t xml:space="preserve"> suhtautuu myönteisesti joidenkin jäsenvaltioiden aloitteisiin, joiden tarkoituksena on varmistaa oikeuslaitoksen riippumattomuus erityisesti oikeusneuvoston tehokkaan toiminnan avulla;</w:t>
            </w:r>
            <w:r w:rsidRPr="008E725B">
              <w:t xml:space="preserve"> toistaa, että oikeussuojan saatavuus on keskeisen tärkeää, jotta kansalaiset voivat käyttää oikeuksiaan, puuttua syrjintään ja saattaa päätöksentekijöitä vastuuseen;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166</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Alessandro Ciriani, Paolo Inselvini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w:t>
            </w:r>
            <w:r w:rsidRPr="008E725B">
              <w:tab/>
              <w:t>korostaa, että oikeudenmukainen ja saavutettava oikeusjärjestelmä on yksi perustavanlaatuisista oikeusvaltion periaatteista, jonka toteutuminen edellyttää riippumatonta oikeuslaitosta; toistaa, että oikeussuojan saatavuus on keskeisen tärkeää, jotta kansalaiset voivat käyttää oikeuksiaan, puuttua syrjintään ja saattaa päätöksentekijöitä vastuuseen;</w:t>
            </w:r>
          </w:p>
        </w:tc>
        <w:tc>
          <w:tcPr>
            <w:tcW w:w="4876" w:type="dxa"/>
            <w:tcBorders>
              <w:top w:val="nil"/>
              <w:left w:val="nil"/>
              <w:bottom w:val="nil"/>
              <w:right w:val="nil"/>
            </w:tcBorders>
          </w:tcPr>
          <w:p w:rsidR="005E49C0" w:rsidRPr="008E725B" w:rsidRDefault="005E49C0" w:rsidP="00B5562F">
            <w:pPr>
              <w:pStyle w:val="Normal6a"/>
            </w:pPr>
            <w:r w:rsidRPr="008E725B">
              <w:t>1.</w:t>
            </w:r>
            <w:r w:rsidRPr="008E725B">
              <w:tab/>
              <w:t xml:space="preserve">korostaa, että oikeudenmukainen ja saavutettava oikeusjärjestelmä on yksi perustavanlaatuisista oikeusvaltion periaatteista, jonka toteutuminen edellyttää riippumatonta oikeuslaitosta; toistaa, että oikeussuojan saatavuus on keskeisen tärkeää, jotta kansalaiset voivat käyttää oikeuksiaan, puuttua syrjintään ja saattaa päätöksentekijöitä vastuuseen; </w:t>
            </w:r>
            <w:r w:rsidRPr="008E725B">
              <w:rPr>
                <w:b/>
                <w:i/>
              </w:rPr>
              <w:t xml:space="preserve">muistuttaa, että Euroopan unionin perussopimuksissa </w:t>
            </w:r>
            <w:r w:rsidRPr="008E725B">
              <w:rPr>
                <w:b/>
                <w:i/>
              </w:rPr>
              <w:lastRenderedPageBreak/>
              <w:t>oikeuslaitoksen organisointi asetetaan jäsenvaltioiden toimivaltaan;</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{IT}</w:t>
      </w:r>
      <w:r w:rsidRPr="008E725B">
        <w:t>it</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167</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1 kohta</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w:t>
            </w:r>
            <w:r w:rsidRPr="008E725B">
              <w:tab/>
              <w:t xml:space="preserve">korostaa, että oikeudenmukainen ja saavutettava oikeusjärjestelmä on yksi perustavanlaatuisista oikeusvaltion periaatteista, </w:t>
            </w:r>
            <w:r w:rsidRPr="008E725B">
              <w:rPr>
                <w:b/>
                <w:i/>
              </w:rPr>
              <w:t>jonka</w:t>
            </w:r>
            <w:r w:rsidRPr="008E725B">
              <w:t xml:space="preserve"> toteutuminen edellyttää riippumatonta oikeuslaitosta; toistaa, että oikeussuojan saatavuus on keskeisen tärkeää, jotta kansalaiset voivat käyttää oikeuksiaan, puuttua syrjintään ja saattaa päätöksentekijöitä vastuuseen;</w:t>
            </w:r>
          </w:p>
        </w:tc>
        <w:tc>
          <w:tcPr>
            <w:tcW w:w="4876" w:type="dxa"/>
            <w:tcBorders>
              <w:top w:val="nil"/>
              <w:left w:val="nil"/>
              <w:bottom w:val="nil"/>
              <w:right w:val="nil"/>
            </w:tcBorders>
          </w:tcPr>
          <w:p w:rsidR="005E49C0" w:rsidRPr="008E725B" w:rsidRDefault="005E49C0" w:rsidP="00B5562F">
            <w:pPr>
              <w:pStyle w:val="Normal6a"/>
            </w:pPr>
            <w:r w:rsidRPr="008E725B">
              <w:t>1.</w:t>
            </w:r>
            <w:r w:rsidRPr="008E725B">
              <w:tab/>
              <w:t xml:space="preserve">korostaa, että oikeudenmukainen ja saavutettava oikeusjärjestelmä on yksi perustavanlaatuisista oikeusvaltion periaatteista, </w:t>
            </w:r>
            <w:r w:rsidRPr="008E725B">
              <w:rPr>
                <w:b/>
                <w:i/>
              </w:rPr>
              <w:t>joiden</w:t>
            </w:r>
            <w:r w:rsidRPr="008E725B">
              <w:t xml:space="preserve"> toteutuminen edellyttää riippumatonta oikeuslaitosta; toistaa, että oikeussuojan saatavuus on keskeisen tärkeää, jotta kansalaiset voivat käyttää oikeuksiaan, puuttua syrjintään ja saattaa päätöksentekijöitä vastuuseen;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168</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Nicolas Bay</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w:t>
            </w:r>
            <w:r w:rsidRPr="008E725B">
              <w:tab/>
              <w:t xml:space="preserve">korostaa, että oikeudenmukainen ja saavutettava oikeusjärjestelmä on yksi perustavanlaatuisista oikeusvaltion periaatteista, jonka toteutuminen edellyttää riippumatonta oikeuslaitosta; toistaa, että oikeussuojan saatavuus on keskeisen tärkeää, jotta kansalaiset voivat käyttää oikeuksiaan, </w:t>
            </w:r>
            <w:r w:rsidRPr="008E725B">
              <w:rPr>
                <w:b/>
                <w:i/>
              </w:rPr>
              <w:t>puuttua syrjintään</w:t>
            </w:r>
            <w:r w:rsidRPr="008E725B">
              <w:t xml:space="preserve"> ja saattaa päätöksentekijöitä vastuuseen;</w:t>
            </w:r>
          </w:p>
        </w:tc>
        <w:tc>
          <w:tcPr>
            <w:tcW w:w="4876" w:type="dxa"/>
            <w:tcBorders>
              <w:top w:val="nil"/>
              <w:left w:val="nil"/>
              <w:bottom w:val="nil"/>
              <w:right w:val="nil"/>
            </w:tcBorders>
          </w:tcPr>
          <w:p w:rsidR="005E49C0" w:rsidRPr="008E725B" w:rsidRDefault="005E49C0" w:rsidP="00B5562F">
            <w:pPr>
              <w:pStyle w:val="Normal6a"/>
            </w:pPr>
            <w:r w:rsidRPr="008E725B">
              <w:t>1.</w:t>
            </w:r>
            <w:r w:rsidRPr="008E725B">
              <w:tab/>
              <w:t xml:space="preserve">korostaa, että oikeudenmukainen ja saavutettava oikeusjärjestelmä on yksi perustavanlaatuisista oikeusvaltion periaatteista, jonka toteutuminen edellyttää riippumatonta oikeuslaitosta; toistaa, että oikeussuojan saatavuus on keskeisen tärkeää, jotta kansalaiset voivat käyttää oikeuksiaan, </w:t>
            </w:r>
            <w:r w:rsidRPr="008E725B">
              <w:rPr>
                <w:b/>
                <w:i/>
              </w:rPr>
              <w:t>saada varmuuden siitä, että he ovat yhdenvertaisia lain edessä,</w:t>
            </w:r>
            <w:r w:rsidRPr="008E725B">
              <w:t xml:space="preserve"> ja saattaa päätöksentekijöitä vastuuseen;</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{FR}</w:t>
      </w:r>
      <w:r w:rsidRPr="008E725B">
        <w:t>fr</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169</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 a.</w:t>
            </w:r>
            <w:r w:rsidRPr="008E725B">
              <w:tab/>
            </w:r>
            <w:r w:rsidRPr="008E725B">
              <w:rPr>
                <w:b/>
                <w:i/>
              </w:rPr>
              <w:t>panee merkille, että komissio on todennut myös usean jäsenvaltion osoittaneen lisäresursseja oikeusjärjestelmien kestävyyden vahvistamiseen; on tässä yhteydessä tyytyväinen toimiin oikeuslaitoksen resurssien lisäämiseksi ja henkilöstön palkkojen korottamiseksi; panee merkille, että komissio on todennut, että palkkojen taso aiheuttaa joissakin jäsenvaltioissa edelleen haasteita, jotka johtavat usein työvoimapulaan ja virkojen jäämiseen täyttämättä; korostaa sen vuoksi, että asianmukaisen palkan maksaminen on olennaista pätevän tuomioistuinhenkilöstön houkuttelemisen ja palveluksessa pitämisen kannalta; muistuttaa, että riittävillä resursseilla, rahoitus mukaan luettuna, asianmukaisella infrastruktuurilla ja pätevällä henkilöstöllä on ratkaiseva merkitys oikeusjärjestelmän tehokkuuden ja saavutettavuuden kannalta; korostaa digitalisaation suurta merkitystä kansallisten oikeuslaitosten muutoksessa;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170</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Giuseppe Antoci, Isabel Serra Sánchez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lastRenderedPageBreak/>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 a.</w:t>
            </w:r>
            <w:r w:rsidRPr="008E725B">
              <w:tab/>
            </w:r>
            <w:r w:rsidRPr="008E725B">
              <w:rPr>
                <w:b/>
                <w:i/>
              </w:rPr>
              <w:t>on syvästi huolissaan Italian hallituksen yrityksistä heikentää oikeuslaitoksen riippumattomuutta ja itsenäisyyttä; katsoo, että äskeisellä oikeusalan urien erottamista koskevalla uudistuksella ja ylemmän kurinpitotuomioistuimen perustamisella rikotaan Italian SEU-sopimuksen 2, 19 ja 49 artiklasta ja perusoikeuskirjan 47 artiklasta johtuvia velvollisuuksia; muistuttaa, että unionin tuomioistuimen oikeuskäytännössä on määritetty erityiset riippumattomuuden takeet tuomareita koskevissa kurinpitomenettelyissä; kehottaa komissiota arvioimaan, onko Italian oikeuslaitoksen äskeinen uudistus perussopimusten periaatteiden mukainen;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171</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Javier Zarzalejos</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 a.</w:t>
            </w:r>
            <w:r w:rsidRPr="008E725B">
              <w:tab/>
            </w:r>
            <w:r w:rsidRPr="008E725B">
              <w:rPr>
                <w:b/>
                <w:i/>
              </w:rPr>
              <w:t>korostaa oikeusneuvostojen suurta merkitystä oikeuslaitoksen riippumattomuuden turvaamisessa; pitää tarpeellisena arvioida uudistuksia, joiden hyväksymisprosessit ovat parhaillaan käynnissä eri jäsenvaltioissa, ja kannustaa mukauttamaan näiden elinten kokoonpanon ja toiminnan komission ja Euroopan neuvoston vahvistamiin ja unionin tuomioistuimen hyväksymiin normeihin;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lastRenderedPageBreak/>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172</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1 a kohta (uusi)</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 a.</w:t>
            </w:r>
            <w:r w:rsidRPr="008E725B">
              <w:tab/>
            </w:r>
            <w:r w:rsidRPr="008E725B">
              <w:rPr>
                <w:b/>
                <w:i/>
              </w:rPr>
              <w:t>kehottaa vahvistamaan korkeimmilla hallinnon tasoilla korruptiota torjuvien henkilöiden suojelua; pitää valitettavana, että tietyissä jäsenvaltioissa, muun muassa Puolassa, korruptiota torjuviin henkilöihin kohdistuu kostotoimia ja vainoa, jopa yli kymmenen vuotta sen jälkeen, kun korruptiotapauksia on julkistettu korkeimmilla hallinnon tasoilla;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173</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Ewa Zajączkowska-Hernik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1 a kohta (uusi)</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 a.</w:t>
            </w:r>
            <w:r w:rsidRPr="008E725B">
              <w:tab/>
            </w:r>
            <w:r w:rsidRPr="008E725B">
              <w:rPr>
                <w:b/>
                <w:i/>
              </w:rPr>
              <w:t>korostaa, että oikeuslaitos kuuluu jäsenvaltioiden toimivaltaan ja että silti komissio osallistuu tällä alalla toimiin, jotka ovat vastoin EU:n perussopimusten periaatteita ja vastoin jäsenvaltioiden demokraattisesti legitiimien parlamenttien päätöksiä;</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174</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Alessandro Ciriani, Paolo Inselvini</w:t>
      </w:r>
      <w:r w:rsidRPr="008E725B">
        <w:rPr>
          <w:rStyle w:val="HideTWBExt"/>
          <w:b w:val="0"/>
        </w:rPr>
        <w:t>&lt;/Members&gt;</w:t>
      </w:r>
    </w:p>
    <w:p w:rsidR="005E49C0" w:rsidRPr="008E725B" w:rsidRDefault="005E49C0" w:rsidP="005E49C0">
      <w:pPr>
        <w:pStyle w:val="NormalBold"/>
      </w:pPr>
      <w:r w:rsidRPr="008E725B">
        <w:rPr>
          <w:rStyle w:val="HideTWBExt"/>
          <w:b w:val="0"/>
        </w:rPr>
        <w:lastRenderedPageBreak/>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 a.</w:t>
            </w:r>
            <w:r w:rsidRPr="008E725B">
              <w:tab/>
            </w:r>
            <w:r w:rsidRPr="008E725B">
              <w:rPr>
                <w:b/>
                <w:i/>
              </w:rPr>
              <w:t>toteaa, että komissio on löytänyt näyttöä siitä, että eri jäsenvaltioissa on saavutettu edistystä oikeudenkäytön digitalisoinnissa ja oikeuslaitoksen käytössä olevien taloudellisten ja henkilöresurssien kasvussa, ja että tämä on saatu aikaan sen riippumattomuuden ja tehokkuuden parantamiseen tähtäävillä uudistuksilla;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{IT}</w:t>
      </w:r>
      <w:r w:rsidRPr="008E725B">
        <w:t>it</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175</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Tomáš Zdechovský</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 a.</w:t>
            </w:r>
            <w:r w:rsidRPr="008E725B">
              <w:tab/>
            </w:r>
            <w:r w:rsidRPr="008E725B">
              <w:rPr>
                <w:b/>
                <w:i/>
              </w:rPr>
              <w:t>on tyytyväinen, että unionin tuomioistuimella on keskeinen rooli oikeusvaltioperiaatteen vaalimisessa kaikkialla EU:ssa; kannattaa uusia aloitteita unionin tuomioistuimen resurssien ja toimintamahdollisuuksien lisäämiseksi niin, että voidaan vastata tehokkaasti oikeusvaltioperiaatteeseen liittyviin uusiin haasteisiin;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176</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Isabel Serra Sánchez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lastRenderedPageBreak/>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 a.</w:t>
            </w:r>
            <w:r w:rsidRPr="008E725B">
              <w:tab/>
            </w:r>
            <w:r w:rsidRPr="008E725B">
              <w:rPr>
                <w:b/>
                <w:i/>
              </w:rPr>
              <w:t>tuomitsee oikeusjärjestelmän hyödyntämisen poliittisiin tarkoituksiin, pyrkimyksenä vahingoittaa ja hiljentää eriäviä poliittisia mielipiteitä ja viedä niiltä oikeutus; kehottaa jäsenvaltioita olemaan käyttämättä rikosoikeusjärjestelmää poliittisten vastustajien vainoamiseen;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177</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Marieke Ehlers, Jorge Buxadé Villalba, Tom Vandendriessche, Fabrice Leggeri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 a.</w:t>
            </w:r>
            <w:r w:rsidRPr="008E725B">
              <w:tab/>
            </w:r>
            <w:r w:rsidRPr="008E725B">
              <w:rPr>
                <w:b/>
                <w:i/>
              </w:rPr>
              <w:t>on huolissaan siitä, että komissio soveltaa omaa tulkintaansa oikeusvaltioperiaatteesta ilman jäsenvaltioiden kesken sovittua selkeää määritelmää;</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178</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Marieke Ehlers, Jorge Buxadé Villalba, Tom Vandendriessche, Fabrice Leggeri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 b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 b.</w:t>
            </w:r>
            <w:r w:rsidRPr="008E725B">
              <w:tab/>
            </w:r>
            <w:r w:rsidRPr="008E725B">
              <w:rPr>
                <w:b/>
                <w:i/>
              </w:rPr>
              <w:t xml:space="preserve">kehottaa kiinnittämään huomiota siihen, että useilla jäsenvaltioiden lainkäyttöalueilla on erilaisia määritelmiä oikeusvaltioperiaatteen käsitteelle ja että näitä kansallisten lainsäädäntöjen eroavuuksia olisi kunnioitettava ja arvostettava sen sijaan, että ne jätetään </w:t>
            </w:r>
            <w:r w:rsidRPr="008E725B">
              <w:rPr>
                <w:b/>
                <w:i/>
              </w:rPr>
              <w:lastRenderedPageBreak/>
              <w:t>huomiotta tai poistetaan; korostaa, että vertailevan oikeustieteen alalla on tehty runsaasti akateemista tutkimusta, joka osoittaa, että oikeusvaltioperiaatteesta ei ole yhtenäistä käsitystä; katsoo, että tämä käsitteellisen yksimielisyyden puute EU:n tasolla aiheuttaa oikeudellista epävarmuutta ja avaa mahdollisuuden poliittiseen puuttumiseen, joka on itsessään oikeusvaltioperiaatteen vastaista; kehottaa kaikkia jäsenvaltioita kunnioittamaan vallanjakoa oikeusvaltioperiaatteen olennaisena osana;</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179</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Javier Zarzalejos</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 b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 b.</w:t>
            </w:r>
            <w:r w:rsidRPr="008E725B">
              <w:tab/>
            </w:r>
            <w:r w:rsidRPr="008E725B">
              <w:rPr>
                <w:b/>
                <w:i/>
              </w:rPr>
              <w:t>huomauttaa, että syyttäjälaitos on keskeinen tekijä oikeuslaitoksen kyvyssä torjua rikollisuutta ja korruptiota; korostaa, että on tärkeää taata syyttäjälaitoksen itsenäisyys ja riippumattomuus; korostaa, että on tarpeen ottaa käyttöön suojatoimia syyttäjälaitoksen riippumattomuuden säilyttämiseksi, jotta siihen ei kohdistu epäasianmukaista poliittista painostusta, erityisesti hallituksen taholta;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180</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Marieke Ehlers, Jorge Buxadé Villalba, Tom Vandendriessche, Fabrice Leggeri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 c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 c.</w:t>
            </w:r>
            <w:r w:rsidRPr="008E725B">
              <w:tab/>
            </w:r>
            <w:r w:rsidRPr="008E725B">
              <w:rPr>
                <w:b/>
                <w:i/>
              </w:rPr>
              <w:t>pitää valitettavana, että komissio arvioi oikeusvaltioperiaatteen soveltamista vain jäsenvaltioissa, ei EU:n toimielimissä; korostaa, että väitettyjä EU:n toimielinten, varsinkin komission, oikeusvaltiorikkomuksia on paljon ja ne edellyttävät asianmukaista tutkintaa;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181</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Javier Zarzalejos</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 c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 c.</w:t>
            </w:r>
            <w:r w:rsidRPr="008E725B">
              <w:tab/>
            </w:r>
            <w:r w:rsidRPr="008E725B">
              <w:rPr>
                <w:b/>
                <w:i/>
              </w:rPr>
              <w:t>toteaa, että parlamentin valiokuntien perustaminen niin sanotun ”oikeussodan” (lawfare) tai politiikan oikeudellistumisen esiintymisen tutkimiseksi merkitsee käytännössä oikeudellisten menettelyjen ja päätösten saattamista parlamentin uudelleentarkastelun kohteeksi siten, että oikeuslaitoksen riippumattomuuteen ja vallanjakoon puututaan selvästi;</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182</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Moritz Körner, Hilde Vautmans, Nikola Minchev, Veronika Cifrová Ostrihoňová, Chloé Ridel, Abir Al-Sahlani, Fabienne Keller, Lucia Yar, Irena Joveva, Isabel Wiseler-Lima, Daniel Freund</w:t>
      </w:r>
      <w:r w:rsidRPr="008E725B">
        <w:rPr>
          <w:rStyle w:val="HideTWBExt"/>
          <w:b w:val="0"/>
        </w:rPr>
        <w:t>&lt;/Members&gt;</w:t>
      </w:r>
    </w:p>
    <w:p w:rsidR="005E49C0" w:rsidRPr="008E725B" w:rsidRDefault="005E49C0" w:rsidP="005E49C0">
      <w:r w:rsidRPr="008E725B">
        <w:rPr>
          <w:rStyle w:val="HideTWBExt"/>
        </w:rPr>
        <w:t>&lt;AuNomDe&gt;</w:t>
      </w:r>
      <w:r w:rsidRPr="008E725B">
        <w:rPr>
          <w:rStyle w:val="HideTWBInt"/>
        </w:rPr>
        <w:t>{LIBE}</w:t>
      </w:r>
      <w:r w:rsidRPr="008E725B">
        <w:t>kansalaisvapauksien sekä oikeus- ja sisäasioiden valiokunnan puolesta</w:t>
      </w:r>
      <w:r w:rsidRPr="008E725B">
        <w:rPr>
          <w:rStyle w:val="HideTWBExt"/>
        </w:rPr>
        <w:t>&lt;/AuNomDe&gt;</w:t>
      </w:r>
    </w:p>
    <w:p w:rsidR="005E49C0" w:rsidRPr="008E725B" w:rsidRDefault="005E49C0" w:rsidP="005E49C0">
      <w:pPr>
        <w:pStyle w:val="NormalBold"/>
      </w:pPr>
      <w:r w:rsidRPr="008E725B">
        <w:rPr>
          <w:rStyle w:val="HideTWBExt"/>
          <w:b w:val="0"/>
        </w:rPr>
        <w:t>&lt;Members&gt;</w:t>
      </w:r>
      <w:r w:rsidRPr="008E725B">
        <w:t>Sophie Wilmès</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2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lastRenderedPageBreak/>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2.</w:t>
            </w:r>
            <w:r w:rsidRPr="008E725B">
              <w:tab/>
              <w:t>toteaa, että komissio on havainnut rakenteellisia haasteita oikeusjärjestelmien tehokkuuden kehittämisessä joissakin jäsenvaltioissa</w:t>
            </w:r>
            <w:r w:rsidRPr="008E725B">
              <w:rPr>
                <w:vertAlign w:val="superscript"/>
              </w:rPr>
              <w:t>37</w:t>
            </w:r>
            <w:r w:rsidRPr="008E725B">
              <w:t>;</w:t>
            </w:r>
            <w:r w:rsidRPr="008E725B">
              <w:rPr>
                <w:b/>
                <w:i/>
              </w:rPr>
              <w:t xml:space="preserve"> korostaa, että nimitykset oikeuslaitoksen korkeisiin virkoihin on tehtävä avoimesti ja ansioiden perusteella ilman poliittista puuttumista;</w:t>
            </w:r>
          </w:p>
        </w:tc>
        <w:tc>
          <w:tcPr>
            <w:tcW w:w="4876" w:type="dxa"/>
            <w:tcBorders>
              <w:top w:val="nil"/>
              <w:left w:val="nil"/>
              <w:bottom w:val="nil"/>
              <w:right w:val="nil"/>
            </w:tcBorders>
          </w:tcPr>
          <w:p w:rsidR="005E49C0" w:rsidRPr="008E725B" w:rsidRDefault="005E49C0" w:rsidP="00B5562F">
            <w:pPr>
              <w:pStyle w:val="Normal6a"/>
            </w:pPr>
            <w:r w:rsidRPr="008E725B">
              <w:t>2.</w:t>
            </w:r>
            <w:r w:rsidRPr="008E725B">
              <w:tab/>
              <w:t>toteaa, että komissio on havainnut rakenteellisia haasteita oikeusjärjestelmien tehokkuuden</w:t>
            </w:r>
            <w:r w:rsidRPr="008E725B">
              <w:rPr>
                <w:b/>
                <w:i/>
              </w:rPr>
              <w:t>, saavutettavuuden ja laadun</w:t>
            </w:r>
            <w:r w:rsidRPr="008E725B">
              <w:t xml:space="preserve"> kehittämisessä joissakin jäsenvaltioissa</w:t>
            </w:r>
            <w:r w:rsidRPr="008E725B">
              <w:rPr>
                <w:vertAlign w:val="superscript"/>
              </w:rPr>
              <w:t>37</w:t>
            </w:r>
            <w:r w:rsidRPr="008E725B">
              <w:t xml:space="preserve">; </w:t>
            </w:r>
            <w:r w:rsidRPr="008E725B">
              <w:rPr>
                <w:b/>
                <w:i/>
              </w:rPr>
              <w:t>muistuttaa, että oikeusjärjestelmän tehokkuuden parantaminen edellyttää toimenpiteitä menettelyjen keston lyhentämiseksi ja tuomioistuinten asiaruuhkien purkamiseksi; kehottaa jäsenvaltiota toteuttamaan jatkotoimia korruptiotapauksissa kohtuullisessa määräajassa, jotta kansalaisista ei tunnu, että ne jäävät rankaisematta; muistuttaa, että oikeusjärjestelmä ei voi olla tehokas ilman riittäviä taloudellisia, infrastruktuuri- ja henkilöstöresursseja;</w:t>
            </w:r>
            <w:r w:rsidRPr="008E725B">
              <w:t xml:space="preserve"> </w:t>
            </w:r>
            <w:r w:rsidRPr="008E725B">
              <w:rPr>
                <w:b/>
                <w:i/>
              </w:rPr>
              <w:t>kehottaa jäsenvaltioita hyödyntämään digitalisaation tarjoamia mahdollisuuksia yksinkertaistamiseen, tehokkuuden ja saavutettavuuden parantamiseen, ajan säästämiseen ja varastointikustannusten vähentämiseen;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37</w:t>
            </w:r>
            <w:r w:rsidRPr="008E725B">
              <w:t xml:space="preserve"> Komission tiedonanto ”Oikeusvaltiokertomus 2024”, annettu 24. heinäkuuta 2024 (COM(2024)0800), suosituksia sisältävä liite, s. 1, 9, 11, 19 ja 24.</w:t>
            </w:r>
          </w:p>
        </w:tc>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37</w:t>
            </w:r>
            <w:r w:rsidRPr="008E725B">
              <w:t xml:space="preserve"> Komission tiedonanto ”Oikeusvaltiokertomus 2024”, annettu 24. heinäkuuta 2024 (COM(2024)0800), suosituksia sisältävä liite, s. 1, 9, 11, 19 ja 24.</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183</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2 kohta</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2.</w:t>
            </w:r>
            <w:r w:rsidRPr="008E725B">
              <w:tab/>
              <w:t xml:space="preserve">toteaa, että komissio </w:t>
            </w:r>
            <w:r w:rsidRPr="008E725B">
              <w:rPr>
                <w:b/>
                <w:i/>
              </w:rPr>
              <w:t>on havainnut rakenteellisia haasteita</w:t>
            </w:r>
            <w:r w:rsidRPr="008E725B">
              <w:t xml:space="preserve"> oikeusjärjestelmien </w:t>
            </w:r>
            <w:r w:rsidRPr="008E725B">
              <w:rPr>
                <w:b/>
                <w:i/>
              </w:rPr>
              <w:t xml:space="preserve">tehokkuuden </w:t>
            </w:r>
            <w:r w:rsidRPr="008E725B">
              <w:rPr>
                <w:b/>
                <w:i/>
              </w:rPr>
              <w:lastRenderedPageBreak/>
              <w:t>kehittämisessä joissakin</w:t>
            </w:r>
            <w:r w:rsidRPr="008E725B">
              <w:t xml:space="preserve"> jäsenvaltioissa</w:t>
            </w:r>
            <w:r w:rsidRPr="008E725B">
              <w:rPr>
                <w:b/>
                <w:i/>
                <w:vertAlign w:val="superscript"/>
              </w:rPr>
              <w:t>37</w:t>
            </w:r>
            <w:r w:rsidRPr="008E725B">
              <w:t xml:space="preserve">, korostaa, että </w:t>
            </w:r>
            <w:r w:rsidRPr="008E725B">
              <w:rPr>
                <w:b/>
                <w:i/>
              </w:rPr>
              <w:t>nimitykset</w:t>
            </w:r>
            <w:r w:rsidRPr="008E725B">
              <w:t xml:space="preserve"> oikeuslaitoksen korkeisiin virkoihin </w:t>
            </w:r>
            <w:r w:rsidRPr="008E725B">
              <w:rPr>
                <w:b/>
                <w:i/>
              </w:rPr>
              <w:t xml:space="preserve">on tehtävä </w:t>
            </w:r>
            <w:r w:rsidRPr="008E725B">
              <w:t>avoimesti ja</w:t>
            </w:r>
            <w:r w:rsidRPr="008E725B">
              <w:rPr>
                <w:b/>
                <w:i/>
              </w:rPr>
              <w:t xml:space="preserve"> ansioiden perusteella</w:t>
            </w:r>
            <w:r w:rsidRPr="008E725B">
              <w:t xml:space="preserve"> ilman poliittista puuttumista;</w:t>
            </w:r>
          </w:p>
        </w:tc>
        <w:tc>
          <w:tcPr>
            <w:tcW w:w="4876" w:type="dxa"/>
            <w:tcBorders>
              <w:top w:val="nil"/>
              <w:left w:val="nil"/>
              <w:bottom w:val="nil"/>
              <w:right w:val="nil"/>
            </w:tcBorders>
          </w:tcPr>
          <w:p w:rsidR="005E49C0" w:rsidRPr="008E725B" w:rsidRDefault="005E49C0" w:rsidP="00B5562F">
            <w:pPr>
              <w:pStyle w:val="Normal6a"/>
            </w:pPr>
            <w:r w:rsidRPr="008E725B">
              <w:lastRenderedPageBreak/>
              <w:t>2.</w:t>
            </w:r>
            <w:r w:rsidRPr="008E725B">
              <w:tab/>
              <w:t xml:space="preserve">toteaa, että komissio </w:t>
            </w:r>
            <w:r w:rsidRPr="008E725B">
              <w:rPr>
                <w:b/>
                <w:i/>
              </w:rPr>
              <w:t>ei ole toimivaltainen tutkimaan tai arvioimaan</w:t>
            </w:r>
            <w:r w:rsidRPr="008E725B">
              <w:t xml:space="preserve"> oikeusjärjestelmien </w:t>
            </w:r>
            <w:r w:rsidRPr="008E725B">
              <w:rPr>
                <w:b/>
                <w:i/>
              </w:rPr>
              <w:t>järjestämistä</w:t>
            </w:r>
            <w:r w:rsidRPr="008E725B">
              <w:t xml:space="preserve"> </w:t>
            </w:r>
            <w:r w:rsidRPr="008E725B">
              <w:lastRenderedPageBreak/>
              <w:t>jäsenvaltioissa,</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t xml:space="preserve">korostaa, että </w:t>
            </w:r>
            <w:r w:rsidRPr="008E725B">
              <w:rPr>
                <w:b/>
                <w:i/>
              </w:rPr>
              <w:t>jäsenvaltiot ovat toimivaltaisia laatimaan</w:t>
            </w:r>
            <w:r w:rsidRPr="008E725B">
              <w:t xml:space="preserve"> oikeuslaitoksen korkeisiin virkoihin </w:t>
            </w:r>
            <w:r w:rsidRPr="008E725B">
              <w:rPr>
                <w:b/>
                <w:i/>
              </w:rPr>
              <w:t xml:space="preserve">nimittämistä koskevat menettelyt </w:t>
            </w:r>
            <w:r w:rsidRPr="008E725B">
              <w:t xml:space="preserve">avoimesti ja ilman poliittista puuttumista; </w:t>
            </w:r>
            <w:r w:rsidRPr="008E725B">
              <w:rPr>
                <w:b/>
                <w:i/>
              </w:rPr>
              <w:t>korostaa, että komissio ei saa puuttua jäsenvaltioiden toimintaan, jonka tavoitteena on uudistaa oikeuslaitoksen järjestämistä ja parantaa sen tehokkuutta;</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37</w:t>
            </w:r>
            <w:r w:rsidRPr="008E725B">
              <w:rPr>
                <w:b/>
                <w:i/>
              </w:rPr>
              <w:t xml:space="preserve"> Komission tiedonanto ”Oikeusvaltiokertomus 2024”, annettu 24. heinäkuuta 2024 (COM(2024)0800), suosituksia sisältävä liite, s. 1, 9, 11, 19 ja 24.</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184</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Jorge Buxadé Villalba, Malika Sorel</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2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2.</w:t>
            </w:r>
            <w:r w:rsidRPr="008E725B">
              <w:tab/>
              <w:t>toteaa, että komissio on havainnut rakenteellisia haasteita oikeusjärjestelmien tehokkuuden kehittämisessä joissakin jäsenvaltioissa</w:t>
            </w:r>
            <w:r w:rsidRPr="008E725B">
              <w:rPr>
                <w:vertAlign w:val="superscript"/>
              </w:rPr>
              <w:t>37</w:t>
            </w:r>
            <w:r w:rsidRPr="008E725B">
              <w:t>; korostaa, että nimitykset oikeuslaitoksen korkeisiin virkoihin on tehtävä avoimesti ja ansioiden perusteella ilman poliittista puuttumista;</w:t>
            </w:r>
          </w:p>
        </w:tc>
        <w:tc>
          <w:tcPr>
            <w:tcW w:w="4876" w:type="dxa"/>
            <w:tcBorders>
              <w:top w:val="nil"/>
              <w:left w:val="nil"/>
              <w:bottom w:val="nil"/>
              <w:right w:val="nil"/>
            </w:tcBorders>
          </w:tcPr>
          <w:p w:rsidR="005E49C0" w:rsidRPr="008E725B" w:rsidRDefault="005E49C0" w:rsidP="00B5562F">
            <w:pPr>
              <w:pStyle w:val="Normal6a"/>
            </w:pPr>
            <w:r w:rsidRPr="008E725B">
              <w:t>2.</w:t>
            </w:r>
            <w:r w:rsidRPr="008E725B">
              <w:tab/>
              <w:t>toteaa, että komissio on havainnut rakenteellisia haasteita oikeusjärjestelmien tehokkuuden kehittämisessä joissakin jäsenvaltioissa</w:t>
            </w:r>
            <w:r w:rsidRPr="008E725B">
              <w:rPr>
                <w:vertAlign w:val="superscript"/>
              </w:rPr>
              <w:t>37</w:t>
            </w:r>
            <w:r w:rsidRPr="008E725B">
              <w:t xml:space="preserve">; korostaa, että nimitykset oikeuslaitoksen korkeisiin virkoihin on tehtävä avoimesti ja ansioiden perusteella ilman poliittista puuttumista; </w:t>
            </w:r>
            <w:r w:rsidRPr="008E725B">
              <w:rPr>
                <w:b/>
                <w:i/>
              </w:rPr>
              <w:t>muistuttaa tuomarineuvostojen tuomarijäsenten valintaa koskevista Euroopan neuvoston normeista, joiden mukaan tuomarijäsenten olisi oltava muiden tuomareiden valitsemia vallanjaon varmistamiseksi;</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vertAlign w:val="superscript"/>
              </w:rPr>
              <w:lastRenderedPageBreak/>
              <w:t>37</w:t>
            </w:r>
            <w:r w:rsidRPr="008E725B">
              <w:t xml:space="preserve"> Komission tiedonanto ”Oikeusvaltiokertomus 2024”, annettu 24. heinäkuuta 2024 (COM(2024)0800), suosituksia sisältävä liite, s. 1, 9, 11, 19 ja 24.</w:t>
            </w:r>
          </w:p>
        </w:tc>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37</w:t>
            </w:r>
            <w:r w:rsidRPr="008E725B">
              <w:t xml:space="preserve"> Komission tiedonanto ”Oikeusvaltiokertomus 2024”, annettu 24. heinäkuuta 2024 (COM(2024)0800), suosituksia sisältävä liite, s. 1, 9, 11, 19 ja 24.</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185</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2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2.</w:t>
            </w:r>
            <w:r w:rsidRPr="008E725B">
              <w:tab/>
              <w:t xml:space="preserve">toteaa, että </w:t>
            </w:r>
            <w:r w:rsidRPr="008E725B">
              <w:rPr>
                <w:b/>
                <w:i/>
              </w:rPr>
              <w:t>komissio on havainnut rakenteellisia haasteita oikeusjärjestelmien tehokkuuden kehittämisessä joissakin jäsenvaltioissa</w:t>
            </w:r>
            <w:r w:rsidRPr="008E725B">
              <w:rPr>
                <w:b/>
                <w:i/>
                <w:vertAlign w:val="superscript"/>
              </w:rPr>
              <w:t>37</w:t>
            </w:r>
            <w:r w:rsidRPr="008E725B">
              <w:t xml:space="preserve">; </w:t>
            </w:r>
            <w:r w:rsidRPr="008E725B">
              <w:rPr>
                <w:b/>
                <w:i/>
              </w:rPr>
              <w:t>korostaa, että nimitykset oikeuslaitoksen korkeisiin virkoihin on tehtävä avoimesti ja ansioiden perusteella ilman poliittista puuttumista;</w:t>
            </w:r>
          </w:p>
        </w:tc>
        <w:tc>
          <w:tcPr>
            <w:tcW w:w="4876" w:type="dxa"/>
            <w:tcBorders>
              <w:top w:val="nil"/>
              <w:left w:val="nil"/>
              <w:bottom w:val="nil"/>
              <w:right w:val="nil"/>
            </w:tcBorders>
          </w:tcPr>
          <w:p w:rsidR="005E49C0" w:rsidRPr="008E725B" w:rsidRDefault="005E49C0" w:rsidP="00B5562F">
            <w:pPr>
              <w:pStyle w:val="Normal6a"/>
            </w:pPr>
            <w:r w:rsidRPr="008E725B">
              <w:t>2.</w:t>
            </w:r>
            <w:r w:rsidRPr="008E725B">
              <w:tab/>
              <w:t xml:space="preserve">toteaa, että </w:t>
            </w:r>
            <w:r w:rsidRPr="008E725B">
              <w:rPr>
                <w:b/>
                <w:i/>
              </w:rPr>
              <w:t>komission vuotuinen oikeusvaltiokertomus on jälleen yksi poliittisen painostuksen väline</w:t>
            </w:r>
            <w:r w:rsidRPr="008E725B">
              <w:t>;</w:t>
            </w:r>
            <w:r w:rsidRPr="008E725B">
              <w:rPr>
                <w:b/>
                <w:i/>
              </w:rPr>
              <w:t xml:space="preserve"> pitää valitettavana, että kertomuksessa ei esitetä objektiivista ja oikeaksi osoitettua kuvaa oikeusvaltiotilanteesta jäsenvaltioissa; tähdentää, että tämä kertomus ei voi toimia minkään muun EU:n mekanismin tai menettelyn perustana; pitää valitettavana, että komissio sisällyttää ulkomaista rahoitusta saavilta kansalaisjärjestöiltä peräisin olevia tietoja laatimaansa vuotuiseen oikeusvaltiokertomukseen;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37</w:t>
            </w:r>
            <w:r w:rsidRPr="008E725B">
              <w:t xml:space="preserve"> </w:t>
            </w:r>
            <w:r w:rsidRPr="008E725B">
              <w:rPr>
                <w:b/>
                <w:i/>
              </w:rPr>
              <w:t>Komission tiedonanto ”Oikeusvaltiokertomus 2024”, annettu 24. heinäkuuta 2024 (COM(2024)0800), suosituksia sisältävä liite, s. 1, 9, 11, 19 ja 24.</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186</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Nicolas Bay</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lastRenderedPageBreak/>
        <w:t>&lt;Article&gt;</w:t>
      </w:r>
      <w:r w:rsidRPr="008E725B">
        <w:t>2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2.</w:t>
            </w:r>
            <w:r w:rsidRPr="008E725B">
              <w:tab/>
              <w:t>toteaa, että komissio on havainnut rakenteellisia haasteita oikeusjärjestelmien tehokkuuden kehittämisessä joissakin jäsenvaltioissa</w:t>
            </w:r>
            <w:r w:rsidRPr="008E725B">
              <w:rPr>
                <w:vertAlign w:val="superscript"/>
              </w:rPr>
              <w:t>37</w:t>
            </w:r>
            <w:r w:rsidRPr="008E725B">
              <w:t>, korostaa, että nimitykset oikeuslaitoksen korkeisiin virkoihin on tehtävä avoimesti ja ansioiden perusteella ilman poliittista puuttumista;</w:t>
            </w:r>
          </w:p>
        </w:tc>
        <w:tc>
          <w:tcPr>
            <w:tcW w:w="4876" w:type="dxa"/>
            <w:tcBorders>
              <w:top w:val="nil"/>
              <w:left w:val="nil"/>
              <w:bottom w:val="nil"/>
              <w:right w:val="nil"/>
            </w:tcBorders>
          </w:tcPr>
          <w:p w:rsidR="005E49C0" w:rsidRPr="008E725B" w:rsidRDefault="005E49C0" w:rsidP="00B5562F">
            <w:pPr>
              <w:pStyle w:val="Normal6a"/>
            </w:pPr>
            <w:r w:rsidRPr="008E725B">
              <w:t>2.</w:t>
            </w:r>
            <w:r w:rsidRPr="008E725B">
              <w:tab/>
              <w:t>toteaa, että komissio on havainnut rakenteellisia haasteita oikeusjärjestelmien tehokkuuden kehittämisessä joissakin jäsenvaltioissa</w:t>
            </w:r>
            <w:r w:rsidRPr="008E725B">
              <w:rPr>
                <w:vertAlign w:val="superscript"/>
              </w:rPr>
              <w:t>37</w:t>
            </w:r>
            <w:r w:rsidRPr="008E725B">
              <w:t>, korostaa, että nimitykset oikeuslaitoksen korkeisiin virkoihin on tehtävä avoimesti ja ansioiden perusteella ilman poliittista puuttumista</w:t>
            </w:r>
            <w:r w:rsidRPr="008E725B">
              <w:rPr>
                <w:b/>
                <w:i/>
              </w:rPr>
              <w:t>, mukaan lukien komission, jonka on kunnioitettava tarkasti kansallista suvereniteettia ja toimivaltaa</w:t>
            </w:r>
            <w:r w:rsidRPr="008E725B">
              <w:t>;</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37</w:t>
            </w:r>
            <w:r w:rsidRPr="008E725B">
              <w:t xml:space="preserve"> Komission tiedonanto ”Oikeusvaltiokertomus 2024”, annettu 24. heinäkuuta 2024 (COM(2024)0800), suosituksia sisältävä liite, s. 1, 9, 19 ja 24.</w:t>
            </w:r>
          </w:p>
        </w:tc>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37</w:t>
            </w:r>
            <w:r w:rsidRPr="008E725B">
              <w:t xml:space="preserve"> Komission tiedonanto ”Oikeusvaltiokertomus 2024”, annettu 24. heinäkuuta 2024 (COM(2024)0800), suosituksia sisältävä liite, s. 1, 9, 19 ja 24.</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{FR}</w:t>
      </w:r>
      <w:r w:rsidRPr="008E725B">
        <w:t>fr</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187</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Ewa Zajączkowska-Hernik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2 kohta</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2.</w:t>
            </w:r>
            <w:r w:rsidRPr="008E725B">
              <w:tab/>
              <w:t>toteaa, että komissio on</w:t>
            </w:r>
            <w:r w:rsidRPr="008E725B">
              <w:rPr>
                <w:b/>
                <w:i/>
              </w:rPr>
              <w:t xml:space="preserve"> havainnut rakenteellisia haasteita oikeusjärjestelmien tehokkuuden kehittämisessä joissakin jäsenvaltioissa</w:t>
            </w:r>
            <w:r w:rsidRPr="008E725B">
              <w:rPr>
                <w:vertAlign w:val="superscript"/>
              </w:rPr>
              <w:t>37</w:t>
            </w:r>
            <w:r w:rsidRPr="008E725B">
              <w:t>, korostaa, että nimitykset oikeuslaitoksen korkeisiin virkoihin on tehtävä avoimesti ja ansioiden perusteella ilman poliittista puuttumista;</w:t>
            </w:r>
          </w:p>
        </w:tc>
        <w:tc>
          <w:tcPr>
            <w:tcW w:w="4876" w:type="dxa"/>
            <w:tcBorders>
              <w:top w:val="nil"/>
              <w:left w:val="nil"/>
              <w:bottom w:val="nil"/>
              <w:right w:val="nil"/>
            </w:tcBorders>
          </w:tcPr>
          <w:p w:rsidR="005E49C0" w:rsidRPr="008E725B" w:rsidRDefault="005E49C0" w:rsidP="00B5562F">
            <w:pPr>
              <w:pStyle w:val="Normal6a"/>
            </w:pPr>
            <w:r w:rsidRPr="008E725B">
              <w:t>2.</w:t>
            </w:r>
            <w:r w:rsidRPr="008E725B">
              <w:tab/>
              <w:t>toteaa, että komissio on</w:t>
            </w:r>
            <w:r w:rsidRPr="008E725B">
              <w:rPr>
                <w:b/>
                <w:i/>
              </w:rPr>
              <w:t xml:space="preserve"> ylittänyt toimivaltansa ryhtymällä toimiin, jotka voidaan katsoa puuttumiseksi joidenkin jäsenvaltioiden oikeusjärjestelmään</w:t>
            </w:r>
            <w:r w:rsidRPr="008E725B">
              <w:rPr>
                <w:vertAlign w:val="superscript"/>
              </w:rPr>
              <w:t>37</w:t>
            </w:r>
            <w:r w:rsidRPr="008E725B">
              <w:t>, korostaa, että nimitykset oikeuslaitoksen korkeisiin virkoihin on tehtävä avoimesti ja ansioiden perusteella ilman</w:t>
            </w:r>
            <w:r w:rsidRPr="008E725B">
              <w:rPr>
                <w:b/>
                <w:i/>
              </w:rPr>
              <w:t xml:space="preserve"> Euroopan unionin toimielimissä valtaa pitävän ryhmän</w:t>
            </w:r>
            <w:r w:rsidRPr="008E725B">
              <w:t xml:space="preserve"> poliittista puuttumista;</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37</w:t>
            </w:r>
            <w:r w:rsidRPr="008E725B">
              <w:rPr>
                <w:b/>
                <w:i/>
              </w:rPr>
              <w:t xml:space="preserve"> Komission tiedonanto ”Oikeusvaltiokertomus 2024”, annettu 24. heinäkuuta 2024 (COM(2024)0800), suosituksia sisältävä liite, s. 1, 9, 11, 19 ja </w:t>
            </w:r>
            <w:r w:rsidRPr="008E725B">
              <w:rPr>
                <w:b/>
                <w:i/>
              </w:rPr>
              <w:lastRenderedPageBreak/>
              <w:t>24.</w:t>
            </w:r>
          </w:p>
        </w:tc>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lastRenderedPageBreak/>
              <w:t>37</w:t>
            </w:r>
            <w:r w:rsidRPr="008E725B">
              <w:rPr>
                <w:b/>
                <w:i/>
              </w:rPr>
              <w:t xml:space="preserve"> Komission tiedonanto ”Oikeusvaltiokertomus 2024”, annettu 24. heinäkuuta 2024 (COM(2024)0800), suosituksia sisältävä liite, s. 1, 9, 11, 19 ja </w:t>
            </w:r>
            <w:r w:rsidRPr="008E725B">
              <w:rPr>
                <w:b/>
                <w:i/>
              </w:rPr>
              <w:lastRenderedPageBreak/>
              <w:t>24.</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188</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Michał Wawrykiewicz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2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2.</w:t>
            </w:r>
            <w:r w:rsidRPr="008E725B">
              <w:tab/>
              <w:t>toteaa, että komissio on havainnut rakenteellisia haasteita oikeusjärjestelmien tehokkuuden kehittämisessä joissakin jäsenvaltioissa</w:t>
            </w:r>
            <w:r w:rsidRPr="008E725B">
              <w:rPr>
                <w:vertAlign w:val="superscript"/>
              </w:rPr>
              <w:t>37</w:t>
            </w:r>
            <w:r w:rsidRPr="008E725B">
              <w:t>; korostaa, että nimitykset oikeuslaitoksen korkeisiin virkoihin on tehtävä avoimesti ja ansioiden perusteella ilman poliittista puuttumista;</w:t>
            </w:r>
          </w:p>
        </w:tc>
        <w:tc>
          <w:tcPr>
            <w:tcW w:w="4876" w:type="dxa"/>
            <w:tcBorders>
              <w:top w:val="nil"/>
              <w:left w:val="nil"/>
              <w:bottom w:val="nil"/>
              <w:right w:val="nil"/>
            </w:tcBorders>
          </w:tcPr>
          <w:p w:rsidR="005E49C0" w:rsidRPr="008E725B" w:rsidRDefault="005E49C0" w:rsidP="00B5562F">
            <w:pPr>
              <w:pStyle w:val="Normal6a"/>
            </w:pPr>
            <w:r w:rsidRPr="008E725B">
              <w:t>2.</w:t>
            </w:r>
            <w:r w:rsidRPr="008E725B">
              <w:tab/>
              <w:t>toteaa, että komissio on havainnut rakenteellisia haasteita oikeusjärjestelmien tehokkuuden kehittämisessä joissakin jäsenvaltioissa</w:t>
            </w:r>
            <w:r w:rsidRPr="008E725B">
              <w:rPr>
                <w:vertAlign w:val="superscript"/>
              </w:rPr>
              <w:t>37</w:t>
            </w:r>
            <w:r w:rsidRPr="008E725B">
              <w:t>; korostaa, että nimitykset oikeuslaitoksen korkeisiin virkoihin on tehtävä avoimesti ja ansioiden perusteella ilman poliittista puuttumista</w:t>
            </w:r>
            <w:r w:rsidRPr="008E725B">
              <w:rPr>
                <w:b/>
                <w:i/>
              </w:rPr>
              <w:t>, jonka vuoksi niiden puolueettomuus kärsisi</w:t>
            </w:r>
            <w:r w:rsidRPr="008E725B">
              <w:t>;</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37</w:t>
            </w:r>
            <w:r w:rsidRPr="008E725B">
              <w:t xml:space="preserve"> Komission tiedonanto ”Oikeusvaltiokertomus 2024”, annettu 24. heinäkuuta 2024 (COM(2024)0800), suosituksia sisältävä liite, s. 1, 9, 11, 19 ja 24.</w:t>
            </w:r>
          </w:p>
        </w:tc>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37</w:t>
            </w:r>
            <w:r w:rsidRPr="008E725B">
              <w:t xml:space="preserve"> Komission tiedonanto ”Oikeusvaltiokertomus 2024”, annettu 24. heinäkuuta 2024 (COM(2024)0800), suosituksia sisältävä liite, s. 1, 9, 11, 19 ja 24.</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189</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Raquel García Hermida-Van Der Walle, Fabienne Keller, Sophie Wilmès, Moritz Körner, Abir Al-Sahlani, Sigrid Friis, Lucia Yar</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2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2.</w:t>
            </w:r>
            <w:r w:rsidRPr="008E725B">
              <w:tab/>
              <w:t>toteaa, että komissio on havainnut rakenteellisia haasteita oikeusjärjestelmien tehokkuuden kehittämisessä joissakin jäsenvaltioissa</w:t>
            </w:r>
            <w:r w:rsidRPr="008E725B">
              <w:rPr>
                <w:vertAlign w:val="superscript"/>
              </w:rPr>
              <w:t>37</w:t>
            </w:r>
            <w:r w:rsidRPr="008E725B">
              <w:t xml:space="preserve">; korostaa, että nimitykset oikeuslaitoksen </w:t>
            </w:r>
            <w:r w:rsidRPr="008E725B">
              <w:rPr>
                <w:b/>
                <w:i/>
              </w:rPr>
              <w:t>korkeisiin</w:t>
            </w:r>
            <w:r w:rsidRPr="008E725B">
              <w:t xml:space="preserve"> virkoihin on </w:t>
            </w:r>
            <w:r w:rsidRPr="008E725B">
              <w:lastRenderedPageBreak/>
              <w:t>tehtävä avoimesti ja ansioiden perusteella ilman poliittista puuttumista;</w:t>
            </w:r>
          </w:p>
        </w:tc>
        <w:tc>
          <w:tcPr>
            <w:tcW w:w="4876" w:type="dxa"/>
            <w:tcBorders>
              <w:top w:val="nil"/>
              <w:left w:val="nil"/>
              <w:bottom w:val="nil"/>
              <w:right w:val="nil"/>
            </w:tcBorders>
          </w:tcPr>
          <w:p w:rsidR="005E49C0" w:rsidRPr="008E725B" w:rsidRDefault="005E49C0" w:rsidP="00B5562F">
            <w:pPr>
              <w:pStyle w:val="Normal6a"/>
            </w:pPr>
            <w:r w:rsidRPr="008E725B">
              <w:lastRenderedPageBreak/>
              <w:t>2.</w:t>
            </w:r>
            <w:r w:rsidRPr="008E725B">
              <w:tab/>
              <w:t>toteaa, että komissio on havainnut rakenteellisia haasteita oikeusjärjestelmien tehokkuuden kehittämisessä joissakin jäsenvaltioissa</w:t>
            </w:r>
            <w:r w:rsidRPr="008E725B">
              <w:rPr>
                <w:vertAlign w:val="superscript"/>
              </w:rPr>
              <w:t>37</w:t>
            </w:r>
            <w:r w:rsidRPr="008E725B">
              <w:t xml:space="preserve">; korostaa, että </w:t>
            </w:r>
            <w:r w:rsidRPr="008E725B">
              <w:rPr>
                <w:b/>
                <w:i/>
              </w:rPr>
              <w:t>ehdollepano ja</w:t>
            </w:r>
            <w:r w:rsidRPr="008E725B">
              <w:t xml:space="preserve"> nimitykset oikeuslaitoksen </w:t>
            </w:r>
            <w:r w:rsidRPr="008E725B">
              <w:lastRenderedPageBreak/>
              <w:t xml:space="preserve">virkoihin on tehtävä </w:t>
            </w:r>
            <w:r w:rsidRPr="008E725B">
              <w:rPr>
                <w:b/>
                <w:i/>
              </w:rPr>
              <w:t>kaikissa jäsenvaltioissa</w:t>
            </w:r>
            <w:r w:rsidRPr="008E725B">
              <w:t xml:space="preserve"> avoimesti ja ansioiden perusteella ilman poliittista puuttumista;</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lastRenderedPageBreak/>
              <w:t>_________________</w:t>
            </w:r>
          </w:p>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37</w:t>
            </w:r>
            <w:r w:rsidRPr="008E725B">
              <w:t xml:space="preserve"> Komission tiedonanto ”Oikeusvaltiokertomus 2024”, annettu 24. heinäkuuta 2024 (COM(2024)0800), suosituksia sisältävä liite, s. 1, 9, 11, 19 ja 24.</w:t>
            </w:r>
          </w:p>
        </w:tc>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37</w:t>
            </w:r>
            <w:r w:rsidRPr="008E725B">
              <w:t xml:space="preserve"> Komission tiedonanto ”Oikeusvaltiokertomus 2024”, annettu 24. heinäkuuta 2024 (COM(2024)0800), suosituksia sisältävä liite, s. 1, 9, 11, 19 ja 24.</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190</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Moritz Körner, Malik Azmani, Dainius Žalimas, Lucia Yar, Fabienne Keller, Sophie Wilmès, Raquel García Hermida-Van Der Walle, Abir Al-Sahlani, Veronika Cifrová Ostrihoňová</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2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2.</w:t>
            </w:r>
            <w:r w:rsidRPr="008E725B">
              <w:tab/>
              <w:t>toteaa, että komissio on havainnut rakenteellisia haasteita oikeusjärjestelmien tehokkuuden kehittämisessä joissakin jäsenvaltioissa</w:t>
            </w:r>
            <w:r w:rsidRPr="008E725B">
              <w:rPr>
                <w:vertAlign w:val="superscript"/>
              </w:rPr>
              <w:t>37</w:t>
            </w:r>
            <w:r w:rsidRPr="008E725B">
              <w:t xml:space="preserve">; korostaa, että nimitykset oikeuslaitoksen korkeisiin virkoihin on tehtävä </w:t>
            </w:r>
            <w:r w:rsidRPr="008E725B">
              <w:rPr>
                <w:b/>
                <w:i/>
              </w:rPr>
              <w:t>avoimesti ja ansioiden</w:t>
            </w:r>
            <w:r w:rsidRPr="008E725B">
              <w:t xml:space="preserve"> perusteella ilman poliittista puuttumista;</w:t>
            </w:r>
          </w:p>
        </w:tc>
        <w:tc>
          <w:tcPr>
            <w:tcW w:w="4876" w:type="dxa"/>
            <w:tcBorders>
              <w:top w:val="nil"/>
              <w:left w:val="nil"/>
              <w:bottom w:val="nil"/>
              <w:right w:val="nil"/>
            </w:tcBorders>
          </w:tcPr>
          <w:p w:rsidR="005E49C0" w:rsidRPr="008E725B" w:rsidRDefault="005E49C0" w:rsidP="00B5562F">
            <w:pPr>
              <w:pStyle w:val="Normal6a"/>
            </w:pPr>
            <w:r w:rsidRPr="008E725B">
              <w:t>2.</w:t>
            </w:r>
            <w:r w:rsidRPr="008E725B">
              <w:tab/>
              <w:t>toteaa, että komissio on havainnut rakenteellisia haasteita oikeusjärjestelmien tehokkuuden kehittämisessä joissakin jäsenvaltioissa</w:t>
            </w:r>
            <w:r w:rsidRPr="008E725B">
              <w:rPr>
                <w:vertAlign w:val="superscript"/>
              </w:rPr>
              <w:t>37</w:t>
            </w:r>
            <w:r w:rsidRPr="008E725B">
              <w:t xml:space="preserve">; korostaa, että nimitykset oikeuslaitoksen korkeisiin virkoihin on tehtävä </w:t>
            </w:r>
            <w:r w:rsidRPr="008E725B">
              <w:rPr>
                <w:b/>
                <w:i/>
              </w:rPr>
              <w:t>julkaistujen täysin avoimien, ansioihin perustuvien kriteerien</w:t>
            </w:r>
            <w:r w:rsidRPr="008E725B">
              <w:t xml:space="preserve"> perusteella ilman poliittista puuttumista;</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37</w:t>
            </w:r>
            <w:r w:rsidRPr="008E725B">
              <w:t xml:space="preserve"> Komission tiedonanto ”Oikeusvaltiokertomus 2024”, annettu 24. heinäkuuta 2024 (COM(2024)0800), suosituksia sisältävä liite, s. 1, 9, 11, 19 ja 24.</w:t>
            </w:r>
          </w:p>
        </w:tc>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37</w:t>
            </w:r>
            <w:r w:rsidRPr="008E725B">
              <w:t xml:space="preserve"> Komission tiedonanto ”Oikeusvaltiokertomus 2024”, annettu 24. heinäkuuta 2024 (COM(2024)0800), suosituksia sisältävä liite, s. 1, 9, 11, 19 ja 24.</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191</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lastRenderedPageBreak/>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2 kohta</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2.</w:t>
            </w:r>
            <w:r w:rsidRPr="008E725B">
              <w:tab/>
              <w:t>toteaa, että komissio on havainnut rakenteellisia haasteita oikeusjärjestelmien tehokkuuden kehittämisessä joissakin jäsenvaltioissa</w:t>
            </w:r>
            <w:r w:rsidRPr="008E725B">
              <w:rPr>
                <w:vertAlign w:val="superscript"/>
              </w:rPr>
              <w:t>37</w:t>
            </w:r>
            <w:r w:rsidRPr="008E725B">
              <w:t xml:space="preserve">, </w:t>
            </w:r>
            <w:r w:rsidRPr="008E725B">
              <w:rPr>
                <w:b/>
                <w:i/>
              </w:rPr>
              <w:t xml:space="preserve">korostaa, että nimitykset </w:t>
            </w:r>
            <w:r w:rsidRPr="008E725B">
              <w:t>oikeuslaitoksen korkeisiin virkoihin</w:t>
            </w:r>
            <w:r w:rsidRPr="008E725B">
              <w:rPr>
                <w:b/>
                <w:i/>
              </w:rPr>
              <w:t xml:space="preserve"> on tehtävä avoimesti ja ansioiden perusteella ilman poliittista puuttumista</w:t>
            </w:r>
            <w:r w:rsidRPr="008E725B">
              <w:t>;</w:t>
            </w:r>
          </w:p>
        </w:tc>
        <w:tc>
          <w:tcPr>
            <w:tcW w:w="4876" w:type="dxa"/>
            <w:tcBorders>
              <w:top w:val="nil"/>
              <w:left w:val="nil"/>
              <w:bottom w:val="nil"/>
              <w:right w:val="nil"/>
            </w:tcBorders>
          </w:tcPr>
          <w:p w:rsidR="005E49C0" w:rsidRPr="008E725B" w:rsidRDefault="005E49C0" w:rsidP="00B5562F">
            <w:pPr>
              <w:pStyle w:val="Normal6a"/>
            </w:pPr>
            <w:r w:rsidRPr="008E725B">
              <w:t>2.</w:t>
            </w:r>
            <w:r w:rsidRPr="008E725B">
              <w:tab/>
              <w:t>toteaa, että komissio on havainnut rakenteellisia haasteita oikeusjärjestelmien tehokkuuden kehittämisessä joissakin jäsenvaltioissa</w:t>
            </w:r>
            <w:r w:rsidRPr="008E725B">
              <w:rPr>
                <w:vertAlign w:val="superscript"/>
              </w:rPr>
              <w:t>37</w:t>
            </w:r>
            <w:r w:rsidRPr="008E725B">
              <w:t xml:space="preserve">, </w:t>
            </w:r>
            <w:r w:rsidRPr="008E725B">
              <w:rPr>
                <w:b/>
                <w:i/>
              </w:rPr>
              <w:t>kunnioittaa jäsenvaltioiden toimivaltaa laatia</w:t>
            </w:r>
            <w:r w:rsidRPr="008E725B">
              <w:t xml:space="preserve"> oikeuslaitoksen korkeisiin virkoihin</w:t>
            </w:r>
            <w:r w:rsidRPr="008E725B">
              <w:rPr>
                <w:b/>
                <w:i/>
              </w:rPr>
              <w:t xml:space="preserve"> nimittämistä koskevat säännöt</w:t>
            </w:r>
            <w:r w:rsidRPr="008E725B">
              <w:t>;</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37</w:t>
            </w:r>
            <w:r w:rsidRPr="008E725B">
              <w:t xml:space="preserve"> Komission tiedonanto ”Oikeusvaltiokertomus 2024”, annettu 24. heinäkuuta 2024 (COM(2024)0800), suosituksia sisältävä liite, s. 1, 9, 11, 19 ja 24.</w:t>
            </w:r>
          </w:p>
        </w:tc>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37</w:t>
            </w:r>
            <w:r w:rsidRPr="008E725B">
              <w:t xml:space="preserve"> Komission tiedonanto ”Oikeusvaltiokertomus 2024”, annettu 24. heinäkuuta 2024 (COM(2024)0800), suosituksia sisältävä liite, s. 1, 9, 11, 19 ja 24.</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192</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Alessandro Zan, Cecilia Strada, Sandro Ruotolo, Pina Picierno, Marco Tarquinio</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2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2 a.</w:t>
            </w:r>
            <w:r w:rsidRPr="008E725B">
              <w:tab/>
            </w:r>
            <w:r w:rsidRPr="008E725B">
              <w:rPr>
                <w:b/>
                <w:i/>
              </w:rPr>
              <w:t xml:space="preserve">panee merkille, että komissio on todennut käsityksen oikeuslaitoksen riippumattomuudesta olevan edelleen alhaisella tasolla Italiassa; ilmaisee huolensa täytäntöönpanolainsäädännön hyväksymisestä Italian oikeuslaitoksen uudistuksen yhteydessä ja siitä seuranneesta oikeuslaitoksen heikkenemisestä; on huolissaan ehdotetuista perustuslain uudistuksista, jotka koskevat oikeusalan urien erottamista toisistaan ja ehdotusta perustaa ylempi kurinpitotuomioistuin valvomaan tuomareiden toimintaa; korostaa, että on tärkeää turvata oikeuslaitoksen riippumattomuus ja </w:t>
            </w:r>
            <w:r w:rsidRPr="008E725B">
              <w:rPr>
                <w:b/>
                <w:i/>
              </w:rPr>
              <w:lastRenderedPageBreak/>
              <w:t>vallanjako;</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193</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Moritz Körner, Hilde Vautmans, Nikola Minchev, Veronika Cifrová Ostrihoňová, Abir Al-Sahlani, Fabienne Keller, Lucia Yar, Irena Joveva, Isabel Wiseler-Lima, Daniel Freund</w:t>
      </w:r>
      <w:r w:rsidRPr="008E725B">
        <w:rPr>
          <w:rStyle w:val="HideTWBExt"/>
          <w:b w:val="0"/>
        </w:rPr>
        <w:t>&lt;/Members&gt;</w:t>
      </w:r>
    </w:p>
    <w:p w:rsidR="005E49C0" w:rsidRPr="008E725B" w:rsidRDefault="005E49C0" w:rsidP="005E49C0">
      <w:r w:rsidRPr="008E725B">
        <w:rPr>
          <w:rStyle w:val="HideTWBExt"/>
        </w:rPr>
        <w:t>&lt;AuNomDe&gt;</w:t>
      </w:r>
      <w:r w:rsidRPr="008E725B">
        <w:rPr>
          <w:rStyle w:val="HideTWBInt"/>
        </w:rPr>
        <w:t>{LIBE}</w:t>
      </w:r>
      <w:r w:rsidRPr="008E725B">
        <w:t>kansalaisvapauksien sekä oikeus- ja sisäasioiden valiokunnan puolesta</w:t>
      </w:r>
      <w:r w:rsidRPr="008E725B">
        <w:rPr>
          <w:rStyle w:val="HideTWBExt"/>
        </w:rPr>
        <w:t>&lt;/AuNomDe&gt;</w:t>
      </w:r>
    </w:p>
    <w:p w:rsidR="005E49C0" w:rsidRPr="008E725B" w:rsidRDefault="005E49C0" w:rsidP="005E49C0">
      <w:pPr>
        <w:pStyle w:val="NormalBold"/>
      </w:pPr>
      <w:r w:rsidRPr="008E725B">
        <w:rPr>
          <w:rStyle w:val="HideTWBExt"/>
          <w:b w:val="0"/>
        </w:rPr>
        <w:t>&lt;Members&gt;</w:t>
      </w:r>
      <w:r w:rsidRPr="008E725B">
        <w:t>Sophie Wilmès</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2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2 a.</w:t>
            </w:r>
            <w:r w:rsidRPr="008E725B">
              <w:tab/>
            </w:r>
            <w:r w:rsidRPr="008E725B">
              <w:rPr>
                <w:b/>
                <w:i/>
              </w:rPr>
              <w:t>pitää valitettavana, että tuomareiden ja tuomioistuinhenkilöstön palkkojen taso on edelleen ongelmallinen useissa jäsenvaltioissa, mikä heikentää virkojen houkuttelevuutta ja vaikeuttaa sen vuoksi niiden täyttämistä; muistuttaa, että läpinäkyvillä tuomareiden nimittämis- ja erottamismenettelyillä sekä tuomarineuvostojen toimivallalla ja kokoonpanolla on olennainen merkitys oikeuslaitoksen riippumattomuuden turvaamisessa; kehottaa jäsenvaltioita ottamaan käyttöön riittävät suojatoimet epäasianmukaista poliittista vaikuttamista, myös kolmansien maiden harjoittamaa vaikuttamista, vastaan;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194</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Giuseppe Antoci, Isabel Serra Sánchez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2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2 a.</w:t>
            </w:r>
            <w:r w:rsidRPr="008E725B">
              <w:tab/>
            </w:r>
            <w:r w:rsidRPr="008E725B">
              <w:rPr>
                <w:b/>
                <w:i/>
              </w:rPr>
              <w:t xml:space="preserve">katsoo, että Italian tilanne </w:t>
            </w:r>
            <w:r w:rsidRPr="008E725B">
              <w:rPr>
                <w:b/>
                <w:i/>
              </w:rPr>
              <w:lastRenderedPageBreak/>
              <w:t>ansaitsee erityistä huomiota, koska oikeusvaltioperiaatteen noudattaminen maassa heikkenee koko ajan; tuomitsee rikoslain uudistuksen, jonka seurauksena virka-aseman väärinkäyttö ei ole enää rikos; korostaa, että tämä vaikuttaa kielteisesti korruption ja järjestäytyneen rikollisuuden torjuntaan Italiassa ja EU:ssa; kehottaa komissiota seuraamaan tiiviisti Italian tilannetta tältä osin ja raportoimaan siitä vuoden 2025 oikeusvaltiokertomuksessa;</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195</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Ewa Zajączkowska-Hernik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2 a kohta (uusi)</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2 a.</w:t>
            </w:r>
            <w:r w:rsidRPr="008E725B">
              <w:tab/>
            </w:r>
            <w:r w:rsidRPr="008E725B">
              <w:rPr>
                <w:b/>
                <w:i/>
              </w:rPr>
              <w:t>katsoo, että komissio harjoittaa omaa yksipuolista politiikkaansa ja käyttää oikeusvaltioperiaatetta iskulauseena suosiakseen – rahoituksen ja viestinnän osalta ja muodollisesti – jäsenvaltioiden suosikkipoliitikkojaan ja pitää räikeästi pilkkanaan periaatetta, jonka mukaan jokaisen hallinnonalan, myös oikeuslaitoksen, olisi osoitettava demokraattinen legitimiteettinsä;</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196</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lastRenderedPageBreak/>
        <w:t>&lt;Article&gt;</w:t>
      </w:r>
      <w:r w:rsidRPr="008E725B">
        <w:t>2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2 a.</w:t>
            </w:r>
            <w:r w:rsidRPr="008E725B">
              <w:tab/>
            </w:r>
            <w:r w:rsidRPr="008E725B">
              <w:rPr>
                <w:b/>
                <w:i/>
              </w:rPr>
              <w:t>kehottaa komissiota arvioimaan tulevissa oikeusvaltiokertomuksissa vankiloiden olosuhteita, sillä vankiloiden tilanahtaus, epäasianmukaiset asuinolosuhteet ja itsemurhien hälyttävät määrät herättävät vakavaa ja kasvavaa huolta eri puolilla Eurooppaa;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197</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Moritz Körner, Malik Azmani, Dainius Žalimas, Lucia Yar, Fabienne Keller, Sophie Wilmès, Raquel García Hermida-Van Der Walle, Abir Al-Sahlani, Veronika Cifrová Ostrihoňová</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2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2 a.</w:t>
            </w:r>
            <w:r w:rsidRPr="008E725B">
              <w:tab/>
            </w:r>
            <w:r w:rsidRPr="008E725B">
              <w:rPr>
                <w:b/>
                <w:i/>
              </w:rPr>
              <w:t>muistuttaa, että tuomareiden ja syyttäjien nimitysten ja ylennysten on perustuttava yksinomaan heidän pätevyyteensä eivätkä poliittiset tai henkilökohtaiset seikat saa vaikuttaa niihin;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198</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Jorge Buxadé Villalba, Marieke Ehlers, Malika Sorel</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2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2 a.</w:t>
            </w:r>
            <w:r w:rsidRPr="008E725B">
              <w:tab/>
            </w:r>
            <w:r w:rsidRPr="008E725B">
              <w:rPr>
                <w:b/>
                <w:i/>
              </w:rPr>
              <w:t>korostaa syyttäjälaitoksen riippumattomuuden ja itsenäisyyden merkitystä;</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199</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Moritz Körner, Hilde Vautmans, Nikola Minchev, Veronika Cifrová Ostrihoňová, Chloé Ridel, Abir Al-Sahlani, Fabienne Keller, Lucia Yar, Irena Joveva, Isabel Wiseler-Lima</w:t>
      </w:r>
      <w:r w:rsidRPr="008E725B">
        <w:rPr>
          <w:rStyle w:val="HideTWBExt"/>
          <w:b w:val="0"/>
        </w:rPr>
        <w:t>&lt;/Members&gt;</w:t>
      </w:r>
    </w:p>
    <w:p w:rsidR="005E49C0" w:rsidRPr="008E725B" w:rsidRDefault="005E49C0" w:rsidP="005E49C0">
      <w:r w:rsidRPr="008E725B">
        <w:rPr>
          <w:rStyle w:val="HideTWBExt"/>
        </w:rPr>
        <w:t>&lt;AuNomDe&gt;</w:t>
      </w:r>
      <w:r w:rsidRPr="008E725B">
        <w:rPr>
          <w:rStyle w:val="HideTWBInt"/>
        </w:rPr>
        <w:t>{LIBE}</w:t>
      </w:r>
      <w:r w:rsidRPr="008E725B">
        <w:t>kansalaisvapauksien sekä oikeus- ja sisäasioiden valiokunnan puolesta</w:t>
      </w:r>
      <w:r w:rsidRPr="008E725B">
        <w:rPr>
          <w:rStyle w:val="HideTWBExt"/>
        </w:rPr>
        <w:t>&lt;/AuNomDe&gt;</w:t>
      </w:r>
    </w:p>
    <w:p w:rsidR="005E49C0" w:rsidRPr="008E725B" w:rsidRDefault="005E49C0" w:rsidP="005E49C0">
      <w:pPr>
        <w:pStyle w:val="NormalBold"/>
      </w:pPr>
      <w:r w:rsidRPr="008E725B">
        <w:rPr>
          <w:rStyle w:val="HideTWBExt"/>
          <w:b w:val="0"/>
        </w:rPr>
        <w:t>&lt;Members&gt;</w:t>
      </w:r>
      <w:r w:rsidRPr="008E725B">
        <w:t>Sophie Wilmès</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2 b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2 b.</w:t>
            </w:r>
            <w:r w:rsidRPr="008E725B">
              <w:tab/>
            </w:r>
            <w:r w:rsidRPr="008E725B">
              <w:rPr>
                <w:b/>
                <w:i/>
              </w:rPr>
              <w:t>muistuttaa, että on tarpeen taata syyttäjälaitoksen itsenäisyys ja estää näin poliittinen puuttuminen sen työhön; kehottaa uudistamaan kurinpitomenettelyjärjestelmää, jotta poliittisen vallan käyttäjät eivät voi käyttää kurinpitomenettelyjä oikeuslaitoksen valvontaan; vaatii tältä osin, että kurinpitomenettelyjen on oltava riippumattoman elimen vastuulla;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200</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Moritz Körner, Malik Azmani, Dainius Žalimas, Lucia Yar, Fabienne Keller, Sophie Wilmès, Raquel García Hermida-Van Der Walle, Abir Al-Sahlani, Veronika Cifrová Ostrihoňová, Ana Catarina Mendes</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2 b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2 b.</w:t>
            </w:r>
            <w:r w:rsidRPr="008E725B">
              <w:tab/>
            </w:r>
            <w:r w:rsidRPr="008E725B">
              <w:rPr>
                <w:b/>
                <w:i/>
              </w:rPr>
              <w:t xml:space="preserve">korostaa tarvetta taata syyttäjälaitoksen itsenäisyys ja vastuuvelvollisuus, mikä suojaa niitä epäasianmukaiselta poliittiselta painostukselta; korostaa, että syyttäjien nimitysprosessien läpinäkyvyys on olennaisen tärkeää, jotta voidaan säilyttää kansalaisten luottamus </w:t>
            </w:r>
            <w:r w:rsidRPr="008E725B">
              <w:rPr>
                <w:b/>
                <w:i/>
              </w:rPr>
              <w:lastRenderedPageBreak/>
              <w:t>rikosoikeusjärjestelmään;</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201</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Moritz Körner, Malik Azmani, Dainius Žalimas, Lucia Yar, Fabienne Keller, Sophie Wilmès, Raquel García Hermida-Van Der Walle, Abir Al-Sahlani, Veronika Cifrová Ostrihoňová, Michał Wawrykiewicz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2 c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2 c.</w:t>
            </w:r>
            <w:r w:rsidRPr="008E725B">
              <w:tab/>
            </w:r>
            <w:r w:rsidRPr="008E725B">
              <w:rPr>
                <w:b/>
                <w:i/>
              </w:rPr>
              <w:t>kehottaa komissiota suorittamaan jatkuvaa valvontaa varmistaakseen, että tuomarit ja syyttäjät ovat edelleen riippumattomia heidän nimityksistään tai uudelleennimityksistään vastanneista viranomaisista;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202</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Moritz Körner, Malik Azmani, Dainius Žalimas, Lucia Yar, Fabienne Keller, Sophie Wilmès, Raquel García Hermida-Van Der Walle, Abir Al-Sahlani, Veronika Cifrová Ostrihoňová, Michał Wawrykiewicz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2 d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2 d.</w:t>
            </w:r>
            <w:r w:rsidRPr="008E725B">
              <w:tab/>
            </w:r>
            <w:r w:rsidRPr="008E725B">
              <w:rPr>
                <w:b/>
                <w:i/>
              </w:rPr>
              <w:t>vaatii, että tuomareiden kurinpitomenettelyjen on oltava poliittisesta vaikuttamisesta vapaiden riippumattomien elinten vastuulla;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203</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 xml:space="preserve">Moritz Körner, Malik Azmani, Dainius Žalimas, Lucia Yar, Fabienne Keller, Sophie </w:t>
      </w:r>
      <w:r w:rsidRPr="008E725B">
        <w:lastRenderedPageBreak/>
        <w:t>Wilmès, Raquel García Hermida-Van Der Walle, Abir Al-Sahlani, Michał Wawrykiewicz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2 e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2 e.</w:t>
            </w:r>
            <w:r w:rsidRPr="008E725B">
              <w:tab/>
            </w:r>
            <w:r w:rsidRPr="008E725B">
              <w:rPr>
                <w:b/>
                <w:i/>
              </w:rPr>
              <w:t>panee huolestuneena merkille, että poliittislähtöiset yleistä armahdusta koskevat lait herättävät yleistä epäilyä perustuslain säännösten ja EU:n normien noudattamisesta; pitää valitettavana hallituksen harjoittamaa tai poliittista puuttumista korruptiotutkimuksiin ja muistuttaa, että kukaan ei ole lain yläpuolella;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204</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Nicolas Bay</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3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3.</w:t>
            </w:r>
            <w:r w:rsidRPr="008E725B">
              <w:tab/>
            </w:r>
            <w:r w:rsidRPr="008E725B">
              <w:rPr>
                <w:b/>
                <w:i/>
              </w:rPr>
              <w:t>kehottaa jäsenvaltioita panemaan täytäntöönpanoa odottavat tuomiot viipymättä täytäntöön ja kehottaa komissiota arvioimaan seuraukset unionin oikeuden noudattamiselle ja käynnistämään tarvittaessa rikkomusmenettelyjä;</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{FR}</w:t>
      </w:r>
      <w:r w:rsidRPr="008E725B">
        <w:t>fr</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205</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Mary Khan, Milan Uhrík, Ewa Zajączkowska-Hernik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3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lastRenderedPageBreak/>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3.</w:t>
            </w:r>
            <w:r w:rsidRPr="008E725B">
              <w:tab/>
            </w:r>
            <w:r w:rsidRPr="008E725B">
              <w:rPr>
                <w:b/>
                <w:i/>
              </w:rPr>
              <w:t>kehottaa jäsenvaltioita panemaan täytäntöönpanoa odottavat tuomiot viipymättä täytäntöön ja kehottaa komissiota arvioimaan seuraukset unionin oikeuden noudattamiselle ja käynnistämään tarvittaessa rikkomusmenettelyjä;</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206</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Isabel Serra Sánchez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3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3.</w:t>
            </w:r>
            <w:r w:rsidRPr="008E725B">
              <w:tab/>
              <w:t>kehottaa jäsenvaltioita panemaan täytäntöönpanoa odottavat tuomiot viipymättä täytäntöön ja kehottaa komissiota arvioimaan seuraukset unionin oikeuden noudattamiselle ja käynnistämään tarvittaessa rikkomusmenettelyjä;</w:t>
            </w:r>
          </w:p>
        </w:tc>
        <w:tc>
          <w:tcPr>
            <w:tcW w:w="4876" w:type="dxa"/>
            <w:tcBorders>
              <w:top w:val="nil"/>
              <w:left w:val="nil"/>
              <w:bottom w:val="nil"/>
              <w:right w:val="nil"/>
            </w:tcBorders>
          </w:tcPr>
          <w:p w:rsidR="005E49C0" w:rsidRPr="008E725B" w:rsidRDefault="005E49C0" w:rsidP="00B5562F">
            <w:pPr>
              <w:pStyle w:val="Normal6a"/>
            </w:pPr>
            <w:r w:rsidRPr="008E725B">
              <w:t>3.</w:t>
            </w:r>
            <w:r w:rsidRPr="008E725B">
              <w:tab/>
              <w:t xml:space="preserve">kehottaa jäsenvaltioita panemaan täytäntöönpanoa odottavat tuomiot viipymättä täytäntöön ja kehottaa komissiota arvioimaan seuraukset unionin oikeuden noudattamiselle ja käynnistämään tarvittaessa rikkomusmenettelyjä; </w:t>
            </w:r>
            <w:r w:rsidRPr="008E725B">
              <w:rPr>
                <w:b/>
                <w:i/>
              </w:rPr>
              <w:t>korostaa, että kansallisten ja kansainvälisten tuomioistuinten tuomioiden täytäntöönpanon laiminlyönti johtaa ihmisoikeusloukkauksiin, jotka jäävät ilman korjaavia toimia ja jotka voivat olla jopa toistuvia; korostaa myös, että se antaa kansalaisille sellaisen käsityksen, että tuomiot voidaan jättää huomiotta, mikä heikentää oikeuslaitoksen riippumattomuutta ja yleistä luottamusta oikeudenmukaisten tuomioiden merkitykseen erityisesti silloin, kun valtion virastot vastustavat kansallisten tuomioistuinten antamien tuomioiden noudattamista tai kun valtiot alkavat romuttaa kansainvälistä sopimusjärjestelmää jättämällä noudattamatta kansainvälisten tuomioistuinten tuomioita;</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207</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3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3.</w:t>
            </w:r>
            <w:r w:rsidRPr="008E725B">
              <w:tab/>
              <w:t>kehottaa jäsenvaltioita panemaan täytäntöönpanoa odottavat tuomiot viipymättä täytäntöön ja kehottaa komissiota arvioimaan seuraukset unionin oikeuden noudattamiselle ja käynnistämään tarvittaessa rikkomusmenettelyjä;</w:t>
            </w:r>
          </w:p>
        </w:tc>
        <w:tc>
          <w:tcPr>
            <w:tcW w:w="4876" w:type="dxa"/>
            <w:tcBorders>
              <w:top w:val="nil"/>
              <w:left w:val="nil"/>
              <w:bottom w:val="nil"/>
              <w:right w:val="nil"/>
            </w:tcBorders>
          </w:tcPr>
          <w:p w:rsidR="005E49C0" w:rsidRPr="008E725B" w:rsidRDefault="005E49C0" w:rsidP="00B5562F">
            <w:pPr>
              <w:pStyle w:val="Normal6a"/>
            </w:pPr>
            <w:r w:rsidRPr="008E725B">
              <w:t>3.</w:t>
            </w:r>
            <w:r w:rsidRPr="008E725B">
              <w:tab/>
              <w:t xml:space="preserve">kehottaa jäsenvaltioita panemaan täytäntöönpanoa odottavat tuomiot viipymättä täytäntöön ja kehottaa komissiota arvioimaan seuraukset unionin oikeuden noudattamiselle ja käynnistämään tarvittaessa rikkomusmenettelyjä; </w:t>
            </w:r>
            <w:r w:rsidRPr="008E725B">
              <w:rPr>
                <w:b/>
                <w:i/>
              </w:rPr>
              <w:t>ehdottaa, että perustetaan tuomioiden täytäntöönpanoa valvova yksikkö, joka varmistaa yhteistyön Euroopan neuvoston kanssa;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208</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3 kohta</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3.</w:t>
            </w:r>
            <w:r w:rsidRPr="008E725B">
              <w:tab/>
              <w:t>kehottaa jäsenvaltioita panemaan täytäntöönpanoa odottavat tuomiot viipymättä täytäntöön</w:t>
            </w:r>
            <w:r w:rsidRPr="008E725B">
              <w:rPr>
                <w:b/>
                <w:i/>
              </w:rPr>
              <w:t xml:space="preserve"> ja kehottaa komissiota arvioimaan seuraukset unionin oikeuden noudattamiselle ja käynnistämään tarvittaessa rikkomusmenettelyjä</w:t>
            </w:r>
            <w:r w:rsidRPr="008E725B">
              <w:t>;</w:t>
            </w:r>
          </w:p>
        </w:tc>
        <w:tc>
          <w:tcPr>
            <w:tcW w:w="4876" w:type="dxa"/>
            <w:tcBorders>
              <w:top w:val="nil"/>
              <w:left w:val="nil"/>
              <w:bottom w:val="nil"/>
              <w:right w:val="nil"/>
            </w:tcBorders>
          </w:tcPr>
          <w:p w:rsidR="005E49C0" w:rsidRPr="008E725B" w:rsidRDefault="005E49C0" w:rsidP="00B5562F">
            <w:pPr>
              <w:pStyle w:val="Normal6a"/>
            </w:pPr>
            <w:r w:rsidRPr="008E725B">
              <w:t>3.</w:t>
            </w:r>
            <w:r w:rsidRPr="008E725B">
              <w:tab/>
              <w:t>kehottaa jäsenvaltioita panemaan täytäntöönpanoa odottavat tuomiot viipymättä täytäntöön</w:t>
            </w:r>
            <w:r w:rsidRPr="008E725B">
              <w:rPr>
                <w:b/>
                <w:i/>
              </w:rPr>
              <w:t xml:space="preserve"> perustuslakituomioistuimissa</w:t>
            </w:r>
            <w:r w:rsidRPr="008E725B">
              <w:t>;</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lastRenderedPageBreak/>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209</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Michał Wawrykiewicz, Ana Catarina Mendes, Moritz Körner</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3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3.</w:t>
            </w:r>
            <w:r w:rsidRPr="008E725B">
              <w:tab/>
              <w:t>kehottaa jäsenvaltioita panemaan täytäntöönpanoa odottavat tuomiot viipymättä täytäntöön ja kehottaa komissiota arvioimaan seuraukset unionin oikeuden noudattamiselle ja käynnistämään tarvittaessa rikkomusmenettelyjä;</w:t>
            </w:r>
          </w:p>
        </w:tc>
        <w:tc>
          <w:tcPr>
            <w:tcW w:w="4876" w:type="dxa"/>
            <w:tcBorders>
              <w:top w:val="nil"/>
              <w:left w:val="nil"/>
              <w:bottom w:val="nil"/>
              <w:right w:val="nil"/>
            </w:tcBorders>
          </w:tcPr>
          <w:p w:rsidR="005E49C0" w:rsidRPr="008E725B" w:rsidRDefault="005E49C0" w:rsidP="00B5562F">
            <w:pPr>
              <w:pStyle w:val="Normal6a"/>
            </w:pPr>
            <w:r w:rsidRPr="008E725B">
              <w:t>3.</w:t>
            </w:r>
            <w:r w:rsidRPr="008E725B">
              <w:tab/>
              <w:t xml:space="preserve">kehottaa jäsenvaltioita panemaan täytäntöönpanoa odottavat </w:t>
            </w:r>
            <w:r w:rsidRPr="008E725B">
              <w:rPr>
                <w:b/>
                <w:i/>
              </w:rPr>
              <w:t xml:space="preserve">unionin tuomioistuimen ja Euroopan ihmisoikeustuomioistuimen </w:t>
            </w:r>
            <w:r w:rsidRPr="008E725B">
              <w:t xml:space="preserve">tuomiot viipymättä täytäntöön ja kehottaa komissiota arvioimaan seuraukset unionin oikeuden noudattamiselle ja käynnistämään tarvittaessa rikkomusmenettelyjä </w:t>
            </w:r>
            <w:r w:rsidRPr="008E725B">
              <w:rPr>
                <w:b/>
                <w:i/>
              </w:rPr>
              <w:t>sekä esittämään välitoimia</w:t>
            </w:r>
            <w:r w:rsidRPr="008E725B">
              <w:t>;</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210</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Moritz Körner, Malik Azmani, Dainius Žalimas, Lucia Yar, Fabienne Keller, Sophie Wilmès, Raquel García Hermida-Van Der Walle, Abir Al-Sahlani, Veronika Cifrová Ostrihoňová, Michał Wawrykiewicz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3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3.</w:t>
            </w:r>
            <w:r w:rsidRPr="008E725B">
              <w:tab/>
              <w:t>kehottaa jäsenvaltioita panemaan täytäntöönpanoa odottavat tuomiot viipymättä täytäntöön ja kehottaa komissiota arvioimaan seuraukset unionin oikeuden noudattamiselle ja käynnistämään tarvittaessa rikkomusmenettelyjä;</w:t>
            </w:r>
          </w:p>
        </w:tc>
        <w:tc>
          <w:tcPr>
            <w:tcW w:w="4876" w:type="dxa"/>
            <w:tcBorders>
              <w:top w:val="nil"/>
              <w:left w:val="nil"/>
              <w:bottom w:val="nil"/>
              <w:right w:val="nil"/>
            </w:tcBorders>
          </w:tcPr>
          <w:p w:rsidR="005E49C0" w:rsidRPr="008E725B" w:rsidRDefault="005E49C0" w:rsidP="00B5562F">
            <w:pPr>
              <w:pStyle w:val="Normal6a"/>
            </w:pPr>
            <w:r w:rsidRPr="008E725B">
              <w:t>3.</w:t>
            </w:r>
            <w:r w:rsidRPr="008E725B">
              <w:tab/>
              <w:t>kehottaa jäsenvaltioita panemaan täytäntöönpanoa odottavat tuomiot</w:t>
            </w:r>
            <w:r w:rsidRPr="008E725B">
              <w:rPr>
                <w:b/>
                <w:i/>
              </w:rPr>
              <w:t>, myös Euroopan ihmisoikeustuomioistuimen tuomiot,</w:t>
            </w:r>
            <w:r w:rsidRPr="008E725B">
              <w:t xml:space="preserve"> viipymättä täytäntöön ja kehottaa komissiota arvioimaan seuraukset unionin oikeuden noudattamiselle ja käynnistämään tarvittaessa rikkomusmenettelyjä;</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211</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lastRenderedPageBreak/>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3 kohta</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3.</w:t>
            </w:r>
            <w:r w:rsidRPr="008E725B">
              <w:tab/>
              <w:t xml:space="preserve">kehottaa jäsenvaltioita panemaan täytäntöönpanoa odottavat tuomiot viipymättä täytäntöön </w:t>
            </w:r>
            <w:r w:rsidRPr="008E725B">
              <w:rPr>
                <w:b/>
                <w:i/>
              </w:rPr>
              <w:t>ja kehottaa komissiota arvioimaan seuraukset unionin oikeuden noudattamiselle ja käynnistämään tarvittaessa</w:t>
            </w:r>
            <w:r w:rsidRPr="008E725B">
              <w:t xml:space="preserve"> rikkomusmenettelyjä;</w:t>
            </w:r>
          </w:p>
        </w:tc>
        <w:tc>
          <w:tcPr>
            <w:tcW w:w="4876" w:type="dxa"/>
            <w:tcBorders>
              <w:top w:val="nil"/>
              <w:left w:val="nil"/>
              <w:bottom w:val="nil"/>
              <w:right w:val="nil"/>
            </w:tcBorders>
          </w:tcPr>
          <w:p w:rsidR="005E49C0" w:rsidRPr="008E725B" w:rsidRDefault="005E49C0" w:rsidP="00B5562F">
            <w:pPr>
              <w:pStyle w:val="Normal6a"/>
            </w:pPr>
            <w:r w:rsidRPr="008E725B">
              <w:t>3.</w:t>
            </w:r>
            <w:r w:rsidRPr="008E725B">
              <w:tab/>
              <w:t xml:space="preserve">kehottaa jäsenvaltioita panemaan täytäntöönpanoa odottavat tuomiot viipymättä täytäntöön </w:t>
            </w:r>
            <w:r w:rsidRPr="008E725B">
              <w:rPr>
                <w:b/>
                <w:i/>
              </w:rPr>
              <w:t>mutta kunnioittamaan siinä komission harkintavaltaa käynnistää</w:t>
            </w:r>
            <w:r w:rsidRPr="008E725B">
              <w:t xml:space="preserve"> rikkomusmenettelyjä</w:t>
            </w:r>
            <w:r w:rsidRPr="008E725B">
              <w:rPr>
                <w:b/>
                <w:i/>
              </w:rPr>
              <w:t>, jos se katsoo ne oikeutetuiksi</w:t>
            </w:r>
            <w:r w:rsidRPr="008E725B">
              <w:t>;</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212</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Jaume Asens Llodrà, Diana Riba i Giner</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3 kohta – 1 alakohta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w:t>
            </w:r>
            <w:r w:rsidRPr="008E725B">
              <w:tab/>
            </w:r>
            <w:r w:rsidRPr="008E725B">
              <w:rPr>
                <w:b/>
                <w:i/>
              </w:rPr>
              <w:t>toteaa, että oikeusvaltioperiaate heikkenee, kun tietyillä oikeuden- tai hallinnonaloilla jarrutetaan tai vastustetaan demokraattisesti hyväksyttyjä lakeja, mikä estää niiden asianmukaisen täytäntöönpanon;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213</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Jaume Asens Llodrà, Diana Riba i Giner</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3 kohta – 2 alakohta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(2)</w:t>
            </w:r>
            <w:r w:rsidRPr="008E725B">
              <w:tab/>
            </w:r>
            <w:r w:rsidRPr="008E725B">
              <w:rPr>
                <w:b/>
                <w:i/>
              </w:rPr>
              <w:t xml:space="preserve">toteaa, että Espanjan parlamentti hyväksyi 30. toukokuuta 2024 yleistä armahdusta koskevan lain, jonka </w:t>
            </w:r>
            <w:r w:rsidRPr="008E725B">
              <w:rPr>
                <w:b/>
                <w:i/>
              </w:rPr>
              <w:lastRenderedPageBreak/>
              <w:t>tavoitteena on ratkaista Katalonian kriisin poliittiset ja oikeudelliset seuraukset ja joka heijastelee demokraattisesti valittujen edustajien tahtoa pyrkiä vuoropuheluun ja normalisointiin; toteaa, että laki tuli voimaan 11. kesäkuuta 2024; toteaa, että Espanjan tuomioistuimilla oli kaksi kuukautta aikaa panna laki täytäntöön sen tultua voimaan;</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214</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Jaume Asens Llodrà, Diana Riba i Giner</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3 kohta – 3 alakohta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(3)</w:t>
            </w:r>
            <w:r w:rsidRPr="008E725B">
              <w:tab/>
            </w:r>
            <w:r w:rsidRPr="008E725B">
              <w:rPr>
                <w:b/>
                <w:i/>
              </w:rPr>
              <w:t>on huolissaan siitä, että tietyt Espanjan oikeusalan ja hallinnon toimijat ovat haluttomia panemaan yleistä armahdusta koskevaa lakia täytäntöön kokonaan, mikä voi heikentää oikeusvarmuutta, demokratian ensisijaisuutta ja vallanjakoa; korostaa, että demokraattisesti säädettyjen lakien täytäntöönpanon laiminlyönti voi uhata oikeusvaltioperiaatetta ja perusoikeuksia sekä yhteiskunnallista ja poliittista vakautta;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215</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Jaume Asens Llodrà, Diana Riba i Giner</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3 kohta – 4 alakohta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(4)</w:t>
            </w:r>
            <w:r w:rsidRPr="008E725B">
              <w:tab/>
            </w:r>
            <w:r w:rsidRPr="008E725B">
              <w:rPr>
                <w:b/>
                <w:i/>
              </w:rPr>
              <w:t xml:space="preserve">toteaa, että Espanjan </w:t>
            </w:r>
            <w:r w:rsidRPr="008E725B">
              <w:rPr>
                <w:b/>
                <w:i/>
              </w:rPr>
              <w:lastRenderedPageBreak/>
              <w:t>perustuslakituomioistuin on jo hälventänyt epäilyt armahduksen perustuslainmukaisuudesta oikeudellisena välineenä tuomioissaan 63/1983, 147/1983 ja 147/1986, viitaten vuoden 1977 armahduslakiin (tarkistettu vuonna 1984);</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216</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Jaume Asens Llodrà, Diana Riba i Giner</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3 kohta – 5 alakohta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(5)</w:t>
            </w:r>
            <w:r w:rsidRPr="008E725B">
              <w:tab/>
            </w:r>
            <w:r w:rsidRPr="008E725B">
              <w:rPr>
                <w:b/>
                <w:i/>
              </w:rPr>
              <w:t>varoittaa, että alle puolet armahdusta anoneista henkilöistä on saanut myönteisen päätöksen; korostaa, että tuomioistuimet eivät ole juurikaan olleet oma-aloitteisia lain soveltamisessa; huomauttaa, että joissakin tapauksista armahdusanomusten jälkeen on ilmennyt menettelyn monimutkaisuuteen liittyviä ongelmia, jotka johtuvat osittain lain uutuudesta ja osittain haluttomuudesta ratkaista asiat nopeasti;</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217</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Jaume Asens Llodrà, Diana Riba i Giner</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3 kohta – 6 alakohta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(6)</w:t>
            </w:r>
            <w:r w:rsidRPr="008E725B">
              <w:tab/>
            </w:r>
            <w:r w:rsidRPr="008E725B">
              <w:rPr>
                <w:b/>
                <w:i/>
              </w:rPr>
              <w:t xml:space="preserve">tuomitsee sen, että lähes puolet armahdusanomuksista on seitsemän kuukauden kuluttua lain voimaantulosta edelleen ratkaisematta; toteaa, että 13 </w:t>
            </w:r>
            <w:r w:rsidRPr="008E725B">
              <w:rPr>
                <w:b/>
                <w:i/>
              </w:rPr>
              <w:lastRenderedPageBreak/>
              <w:t>prosentissa tapauksista käsittelyä on lykätty siihen saakka, kun saadaan vastaus perustuslakituomioistuimelle tai unionin tuomioistuimelle esitettyihin oikeudellisiin kysymyksiin, ja lähes 15 prosenttia anomuksista on hylätty suoraan, usein ilman selkeitä perusteluja tai mielivaltaisten ja ideologisten kriteerien perusteella;</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218</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Isabel Serra Sánchez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3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3 a.</w:t>
            </w:r>
            <w:r w:rsidRPr="008E725B">
              <w:tab/>
            </w:r>
            <w:r w:rsidRPr="008E725B">
              <w:rPr>
                <w:b/>
                <w:i/>
              </w:rPr>
              <w:t>kehottaa kaikkia jäsenvaltioita hyväksymään tuomareita koskevat käytännesäännöt noudattaen lahjonnan vastaisen valtioiden ryhmän (GRECO) suosituksia ja ottaen huomioon Euroopan ihmisoikeustuomioistuimessa ja unionin tuomioistuimessa sovellettavat käytännesäännöt, luomaan riippumattomia mekanismeja käytännesääntöjen ja muiden sääntöjen väitettyjen rikkomusten tutkimista varten, parantamaan tiedonantovaatimuksia ja avoimuutta eturistiriitatilanteiden ja oikeuslaitoksen vastaanottamien lahjojen osalta, puuttumaan pyöröovi-ilmiön ongelmaan ja edellyttämään, että tuomarit selittävät esteellisyyspäätöksensä julkisesti;</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219</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Marieke Ehlers, Jorge Buxadé Villalba, Tom Vandendriessche, Fabrice Leggeri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lastRenderedPageBreak/>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3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3 a.</w:t>
            </w:r>
            <w:r w:rsidRPr="008E725B">
              <w:tab/>
            </w:r>
            <w:r w:rsidRPr="008E725B">
              <w:rPr>
                <w:b/>
                <w:i/>
              </w:rPr>
              <w:t>kannustaa jäsenvaltioita parantamaan valmiuksiaan tutkia ja riitauttaa unionin toimet tehokkaasti ja varmistamaan, että lainsäädäntöaloitteissa kunnioitetaan unionin ja sen jäsenvaltioiden välistä vallan tasapainoa;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220</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Moritz Körner, Malik Azmani, Dainius Žalimas, Lucia Yar, Fabienne Keller, Raquel García Hermida-Van Der Walle, Abir Al-Sahlani, Ana Catarina Mendes, Michał Wawrykiewicz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3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3 a.</w:t>
            </w:r>
            <w:r w:rsidRPr="008E725B">
              <w:tab/>
            </w:r>
            <w:r w:rsidRPr="008E725B">
              <w:rPr>
                <w:b/>
                <w:i/>
              </w:rPr>
              <w:t>korostaa, että unionin oikeuden järjestelmällisestä noudattamatta jättämisestä olisi määrättävä konkreettisia taloudellisia seuraamuksia todellisen pelotevaikutuksen varmistamiseksi;</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221</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Isabel Serra Sánchez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3 b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3 b.</w:t>
            </w:r>
            <w:r w:rsidRPr="008E725B">
              <w:tab/>
            </w:r>
            <w:r w:rsidRPr="008E725B">
              <w:rPr>
                <w:b/>
                <w:i/>
              </w:rPr>
              <w:t xml:space="preserve">on vahvasti sitä mieltä, että koulutus on keskeinen tekijä, joka takaa tuomareiden riippumattomuuden sekä </w:t>
            </w:r>
            <w:r w:rsidRPr="008E725B">
              <w:rPr>
                <w:b/>
                <w:i/>
              </w:rPr>
              <w:lastRenderedPageBreak/>
              <w:t>oikeusjärjestelmän laadun ja tehokkuuden; on vahvasti sitä mieltä, että koulutuksen olisi oltava monialaista, koska tuomarit tarvitsevat arkipäivän tietoa uusista aiheista ja se auttaa tuomareita laajentamaan ajattelutapaansa kulttuuriseen monimuotoisuuteen ja erilaisiin sosiaalisiin realiteetteihin; kehottaa jäsenvaltioita järjestämään tuomareille pakollista koulutusta sukupuolten tasa-arvosta, sukupuoleen perustuvasta syrjinnästä, sukupuolistuneesta väkivallasta, sukupuolisensitiivisistä menetelmistä, joita he voivat käyttää työssään, sekä lasten oikeuksista ja lapsen edun periaatteesta lapsiystävällisen oikeudenkäytön varmistamiseksi;</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222</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Moritz Körner, Malik Azmani, Dainius Žalimas, Lucia Yar, Fabienne Keller, Sophie Wilmès, Raquel García Hermida-Van Der Walle, Abir Al-Sahlani, Veronika Cifrová Ostrihoňová</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3 b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3 b.</w:t>
            </w:r>
            <w:r w:rsidRPr="008E725B">
              <w:tab/>
            </w:r>
            <w:r w:rsidRPr="008E725B">
              <w:rPr>
                <w:b/>
                <w:i/>
              </w:rPr>
              <w:t>kehottaa jäsenvaltioita osoittamaan oikeuslaitokselle riittävät resurssit asioiden ripeän ratkaisemisen varmistamiseksi ja asiaruuhkien purkamiseksi; korostaa, että liian vähäinen rahoitus ja henkilöstövaje voivat heikentää oikeusjärjestelmien saavutettavuutta ja tehokkuutta ja rapauttaa näin luottamusta oikeusvaltioon;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lastRenderedPageBreak/>
        <w:t>&lt;Amend&gt;</w:t>
      </w:r>
      <w:r w:rsidRPr="008E725B">
        <w:t>Tarkistus</w:t>
      </w:r>
      <w:r w:rsidRPr="008E725B">
        <w:tab/>
      </w:r>
      <w:r w:rsidRPr="008E725B">
        <w:tab/>
      </w:r>
      <w:r w:rsidRPr="008E725B">
        <w:rPr>
          <w:rStyle w:val="HideTWBExt"/>
        </w:rPr>
        <w:t>&lt;NumAm&gt;</w:t>
      </w:r>
      <w:r w:rsidRPr="008E725B">
        <w:t>223</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Isabel Serra Sánchez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3 c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3 c.</w:t>
            </w:r>
            <w:r w:rsidRPr="008E725B">
              <w:tab/>
            </w:r>
            <w:r w:rsidRPr="008E725B">
              <w:rPr>
                <w:b/>
                <w:i/>
              </w:rPr>
              <w:t>korostaa, että Unkarin oikeuslaitoksen riippumattomuus herättää edelleen vakavaa huolta, ja huomauttaa, että sen oikeusjärjestelmä ei ole perusoikeuskirjassa ja SEU-sopimuksessa asetettujen vaatimusten mukainen;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224</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Isabel Serra Sánchez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3 d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3 d.</w:t>
            </w:r>
            <w:r w:rsidRPr="008E725B">
              <w:tab/>
            </w:r>
            <w:r w:rsidRPr="008E725B">
              <w:rPr>
                <w:b/>
                <w:i/>
              </w:rPr>
              <w:t>muistuttaa, että komissio toteaa vuoden 2024 oikeusvaltiokertomuksessa, että Unkarissa syyttäjälaitokseen kohdistuva poliittinen vaikuttaminen jatkuu, mikä voi johtaa epäasianmukaiseen puuttumiseen yksittäisiin asioihin, että tuomareiden sananvapauteen kohdistuu edelleen paineita ja että tuomareita koskevat mustamaalauskampanjat jatkuvat tiedotusvälineissä;</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225</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8E725B">
        <w:rPr>
          <w:rStyle w:val="HideTWBExt"/>
          <w:b w:val="0"/>
        </w:rPr>
        <w:t>&lt;/Members&gt;</w:t>
      </w:r>
    </w:p>
    <w:p w:rsidR="005E49C0" w:rsidRPr="008E725B" w:rsidRDefault="005E49C0" w:rsidP="005E49C0">
      <w:pPr>
        <w:pStyle w:val="NormalBold"/>
      </w:pPr>
      <w:r w:rsidRPr="008E725B">
        <w:rPr>
          <w:rStyle w:val="HideTWBExt"/>
          <w:b w:val="0"/>
        </w:rPr>
        <w:lastRenderedPageBreak/>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4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4.</w:t>
            </w:r>
            <w:r w:rsidRPr="008E725B">
              <w:tab/>
              <w:t>pitää myönteisenä rikoksen uhrien oikeuksia koskevan direktiivin</w:t>
            </w:r>
            <w:r w:rsidRPr="008E725B">
              <w:rPr>
                <w:vertAlign w:val="superscript"/>
              </w:rPr>
              <w:t>38</w:t>
            </w:r>
            <w:r w:rsidRPr="008E725B">
              <w:t xml:space="preserve"> tarkistamista, jolla poistetaan oikeusjärjestelmissä olevia puutteita ja varmistetaan, että uhreilla on käytössään oikeussuojakeinoja ja tukipalveluja;</w:t>
            </w:r>
          </w:p>
        </w:tc>
        <w:tc>
          <w:tcPr>
            <w:tcW w:w="4876" w:type="dxa"/>
            <w:tcBorders>
              <w:top w:val="nil"/>
              <w:left w:val="nil"/>
              <w:bottom w:val="nil"/>
              <w:right w:val="nil"/>
            </w:tcBorders>
          </w:tcPr>
          <w:p w:rsidR="005E49C0" w:rsidRPr="008E725B" w:rsidRDefault="005E49C0" w:rsidP="00B5562F">
            <w:pPr>
              <w:pStyle w:val="Normal6a"/>
            </w:pPr>
            <w:r w:rsidRPr="008E725B">
              <w:t>4.</w:t>
            </w:r>
            <w:r w:rsidRPr="008E725B">
              <w:tab/>
              <w:t>pitää myönteisenä rikoksen uhrien oikeuksia koskevan direktiivin</w:t>
            </w:r>
            <w:r w:rsidRPr="008E725B">
              <w:rPr>
                <w:vertAlign w:val="superscript"/>
              </w:rPr>
              <w:t>38</w:t>
            </w:r>
            <w:r w:rsidRPr="008E725B">
              <w:t xml:space="preserve"> tarkistamista, jolla poistetaan oikeusjärjestelmissä olevia puutteita ja varmistetaan, että uhreilla on käytössään oikeussuojakeinoja ja tukipalveluja</w:t>
            </w:r>
            <w:r w:rsidRPr="008E725B">
              <w:rPr>
                <w:b/>
                <w:i/>
              </w:rPr>
              <w:t>, mukaan lukien keinot saattaa uhreja koskevat päätökset uudelleen käsiteltäväksi rikosoikeudellisissa menettelyissä, uhrien tukeminen ja suojelu, mahdollisuus saada korvausta sekä tehokas tietojenkeruu, rikoksen uhrin oikeuksien vaalimiseen tarkoitettujen resurssien parempi kohdentaminen, uhrien yksityisyyden kunnioittaminen ja heidän henkilötietonsa suojaaminen, paperittomien muuttajien ja turvapaikanhakijoiden tiedot mukaan luettuina</w:t>
            </w:r>
            <w:r w:rsidRPr="008E725B">
              <w:t>;</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38</w:t>
            </w:r>
            <w:r w:rsidRPr="008E725B">
              <w:t xml:space="preserve"> Euroopan parlamentin ja neuvoston direktiivi 2012/29/EU, annettu 25. lokakuuta 2012, rikoksen uhrien oikeuksia, tukea ja suojelua koskevista vähimmäisvaatimuksista sekä neuvoston puitepäätöksen 2001/220/YOS korvaamisesta (EUVL L 315, 14.11.2012, s. 57, ELI: http://data.europa.eu/eli/dir/2012/29/oj).</w:t>
            </w:r>
          </w:p>
        </w:tc>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38</w:t>
            </w:r>
            <w:r w:rsidRPr="008E725B">
              <w:t xml:space="preserve"> Euroopan parlamentin ja neuvoston direktiivi 2012/29/EU, annettu 25. lokakuuta 2012, rikoksen uhrien oikeuksia, tukea ja suojelua koskevista vähimmäisvaatimuksista sekä neuvoston puitepäätöksen 2001/220/YOS korvaamisesta (EUVL L 315, 14.11.2012, s. 57, ELI: http://data.europa.eu/eli/dir/2012/29/oj).</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226</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Alessandro Ciriani, Paolo Inselvini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4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lastRenderedPageBreak/>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4.</w:t>
            </w:r>
            <w:r w:rsidRPr="008E725B">
              <w:tab/>
              <w:t>pitää myönteisenä rikoksen uhrien oikeuksia koskevan direktiivin</w:t>
            </w:r>
            <w:r w:rsidRPr="008E725B">
              <w:rPr>
                <w:vertAlign w:val="superscript"/>
              </w:rPr>
              <w:t>38</w:t>
            </w:r>
            <w:r w:rsidRPr="008E725B">
              <w:t xml:space="preserve"> tarkistamista, jolla poistetaan oikeusjärjestelmissä olevia puutteita ja varmistetaan</w:t>
            </w:r>
            <w:r w:rsidRPr="008E725B">
              <w:rPr>
                <w:b/>
                <w:i/>
              </w:rPr>
              <w:t>, että uhreilla on käytössään oikeussuojakeinoja ja tukipalveluja</w:t>
            </w:r>
            <w:r w:rsidRPr="008E725B">
              <w:t>;</w:t>
            </w:r>
          </w:p>
        </w:tc>
        <w:tc>
          <w:tcPr>
            <w:tcW w:w="4876" w:type="dxa"/>
            <w:tcBorders>
              <w:top w:val="nil"/>
              <w:left w:val="nil"/>
              <w:bottom w:val="nil"/>
              <w:right w:val="nil"/>
            </w:tcBorders>
          </w:tcPr>
          <w:p w:rsidR="005E49C0" w:rsidRPr="008E725B" w:rsidRDefault="005E49C0" w:rsidP="00B5562F">
            <w:pPr>
              <w:pStyle w:val="Normal6a"/>
            </w:pPr>
            <w:r w:rsidRPr="008E725B">
              <w:t>4.</w:t>
            </w:r>
            <w:r w:rsidRPr="008E725B">
              <w:tab/>
              <w:t>pitää myönteisenä rikoksen uhrien oikeuksia koskevan direktiivin</w:t>
            </w:r>
            <w:r w:rsidRPr="008E725B">
              <w:rPr>
                <w:vertAlign w:val="superscript"/>
              </w:rPr>
              <w:t>38</w:t>
            </w:r>
            <w:r w:rsidRPr="008E725B">
              <w:t xml:space="preserve"> tarkistamista, jolla poistetaan oikeusjärjestelmissä olevia puutteita ja varmistetaan </w:t>
            </w:r>
            <w:r w:rsidRPr="008E725B">
              <w:rPr>
                <w:b/>
                <w:i/>
              </w:rPr>
              <w:t>parempi suoja ja tuki uhreille koko unionissa</w:t>
            </w:r>
            <w:r w:rsidRPr="008E725B">
              <w:t xml:space="preserve">; </w:t>
            </w:r>
            <w:r w:rsidRPr="008E725B">
              <w:rPr>
                <w:b/>
                <w:i/>
              </w:rPr>
              <w:t>katsoo, että on tarpeen ottaa huomioon koko kansallisten lakien kokonaisuus, jotta voidaan varmistaa, että muutokset voidaan tosiasiallisesti toteuttaa ja että niiden ansiosta voidaan antaa konkreettista tukea miljoonille rikollisuuden uhreille koko unionissa;</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38</w:t>
            </w:r>
            <w:r w:rsidRPr="008E725B">
              <w:t xml:space="preserve"> Euroopan parlamentin ja neuvoston direktiivi 2012/29/EU, annettu 25. lokakuuta 2012, rikoksen uhrien oikeuksia, tukea ja suojelua koskevista vähimmäisvaatimuksista sekä neuvoston puitepäätöksen 2001/220/YOS korvaamisesta (EUVL L 315, 14.11.2012, s. 57, ELI: http://data.europa.eu/eli/dir/2012/29/oj).</w:t>
            </w:r>
          </w:p>
        </w:tc>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38</w:t>
            </w:r>
            <w:r w:rsidRPr="008E725B">
              <w:t xml:space="preserve"> Euroopan parlamentin ja neuvoston direktiivi 2012/29/EU, annettu 25. lokakuuta 2012, rikoksen uhrien oikeuksia, tukea ja suojelua koskevista vähimmäisvaatimuksista sekä neuvoston puitepäätöksen 2001/220/YOS korvaamisesta (EUVL L 315, 14.11.2012, s. 57, ELI: http://data.europa.eu/eli/dir/2012/29/oj).</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{IT}</w:t>
      </w:r>
      <w:r w:rsidRPr="008E725B">
        <w:t>it</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227</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Jorge Buxadé Villalba, Malika Sorel, Fabrice Leggeri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4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4.</w:t>
            </w:r>
            <w:r w:rsidRPr="008E725B">
              <w:tab/>
              <w:t>pitää myönteisenä rikoksen uhrien oikeuksia koskevan direktiivin</w:t>
            </w:r>
            <w:r w:rsidRPr="008E725B">
              <w:rPr>
                <w:vertAlign w:val="superscript"/>
              </w:rPr>
              <w:t>38</w:t>
            </w:r>
            <w:r w:rsidRPr="008E725B">
              <w:t xml:space="preserve"> tarkistamista, jolla poistetaan oikeusjärjestelmissä olevia puutteita ja varmistetaan, että uhreilla on käytössään oikeussuojakeinoja ja tukipalveluja;</w:t>
            </w:r>
          </w:p>
        </w:tc>
        <w:tc>
          <w:tcPr>
            <w:tcW w:w="4876" w:type="dxa"/>
            <w:tcBorders>
              <w:top w:val="nil"/>
              <w:left w:val="nil"/>
              <w:bottom w:val="nil"/>
              <w:right w:val="nil"/>
            </w:tcBorders>
          </w:tcPr>
          <w:p w:rsidR="005E49C0" w:rsidRPr="008E725B" w:rsidRDefault="005E49C0" w:rsidP="00B5562F">
            <w:pPr>
              <w:pStyle w:val="Normal6a"/>
            </w:pPr>
            <w:r w:rsidRPr="008E725B">
              <w:t>4.</w:t>
            </w:r>
            <w:r w:rsidRPr="008E725B">
              <w:tab/>
              <w:t>pitää myönteisenä rikoksen uhrien oikeuksia koskevan direktiivin</w:t>
            </w:r>
            <w:r w:rsidRPr="008E725B">
              <w:rPr>
                <w:vertAlign w:val="superscript"/>
              </w:rPr>
              <w:t>38</w:t>
            </w:r>
            <w:r w:rsidRPr="008E725B">
              <w:t xml:space="preserve"> tarkistamista, jolla poistetaan oikeusjärjestelmissä olevia puutteita ja varmistetaan, että uhreilla on käytössään oikeussuojakeinoja ja tukipalveluja; </w:t>
            </w:r>
            <w:r w:rsidRPr="008E725B">
              <w:rPr>
                <w:b/>
                <w:i/>
              </w:rPr>
              <w:t xml:space="preserve">korostaa tässä yhteydessä, että jäsenvaltioiden olisi uhrien ihmisarvon suojaamiseksi estettävä rikosten </w:t>
            </w:r>
            <w:r w:rsidRPr="008E725B">
              <w:rPr>
                <w:b/>
                <w:i/>
              </w:rPr>
              <w:lastRenderedPageBreak/>
              <w:t>ylistäminen ja kunnianosoitukset tuomituille rikoksentekijöille;</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lastRenderedPageBreak/>
              <w:t>_________________</w:t>
            </w:r>
          </w:p>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38</w:t>
            </w:r>
            <w:r w:rsidRPr="008E725B">
              <w:t xml:space="preserve"> Euroopan parlamentin ja neuvoston direktiivi 2012/29/EU, annettu 25. lokakuuta 2012, rikoksen uhrien oikeuksia, tukea ja suojelua koskevista vähimmäisvaatimuksista sekä neuvoston puitepäätöksen 2001/220/YOS korvaamisesta (EUVL L 315, 14.11.2012, s. 57, ELI: http://data.europa.eu/eli/dir/2012/29/oj).</w:t>
            </w:r>
          </w:p>
        </w:tc>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38</w:t>
            </w:r>
            <w:r w:rsidRPr="008E725B">
              <w:t xml:space="preserve"> Euroopan parlamentin ja neuvoston direktiivi 2012/29/EU, annettu 25. lokakuuta 2012, rikoksen uhrien oikeuksia, tukea ja suojelua koskevista vähimmäisvaatimuksista sekä neuvoston puitepäätöksen 2001/220/YOS korvaamisesta (EUVL L 315, 14.11.2012, s. 57, ELI: http://data.europa.eu/eli/dir/2012/29/oj).</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228</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Michał Wawrykiewicz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4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4.</w:t>
            </w:r>
            <w:r w:rsidRPr="008E725B">
              <w:tab/>
              <w:t>pitää myönteisenä rikoksen uhrien oikeuksia koskevan direktiivin</w:t>
            </w:r>
            <w:r w:rsidRPr="008E725B">
              <w:rPr>
                <w:vertAlign w:val="superscript"/>
              </w:rPr>
              <w:t>38</w:t>
            </w:r>
            <w:r w:rsidRPr="008E725B">
              <w:t xml:space="preserve"> tarkistamista, jolla poistetaan oikeusjärjestelmissä olevia puutteita ja varmistetaan, että uhreilla on käytössään oikeussuojakeinoja ja tukipalveluja;</w:t>
            </w:r>
          </w:p>
        </w:tc>
        <w:tc>
          <w:tcPr>
            <w:tcW w:w="4876" w:type="dxa"/>
            <w:tcBorders>
              <w:top w:val="nil"/>
              <w:left w:val="nil"/>
              <w:bottom w:val="nil"/>
              <w:right w:val="nil"/>
            </w:tcBorders>
          </w:tcPr>
          <w:p w:rsidR="005E49C0" w:rsidRPr="008E725B" w:rsidRDefault="005E49C0" w:rsidP="00B5562F">
            <w:pPr>
              <w:pStyle w:val="Normal6a"/>
            </w:pPr>
            <w:r w:rsidRPr="008E725B">
              <w:t>4.</w:t>
            </w:r>
            <w:r w:rsidRPr="008E725B">
              <w:tab/>
              <w:t>pitää myönteisenä rikoksen uhrien oikeuksia koskevan direktiivin</w:t>
            </w:r>
            <w:r w:rsidRPr="008E725B">
              <w:rPr>
                <w:vertAlign w:val="superscript"/>
              </w:rPr>
              <w:t>38</w:t>
            </w:r>
            <w:r w:rsidRPr="008E725B">
              <w:t xml:space="preserve"> tarkistamista, jolla poistetaan oikeusjärjestelmissä olevia puutteita ja varmistetaan, että uhreilla on käytössään oikeussuojakeinoja ja tukipalveluja; </w:t>
            </w:r>
            <w:r w:rsidRPr="008E725B">
              <w:rPr>
                <w:b/>
                <w:i/>
              </w:rPr>
              <w:t>odottaa, että lainsäätäjät saavuttavat ratkaisuja, joissa uhri on keskeisellä sijalla;</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38</w:t>
            </w:r>
            <w:r w:rsidRPr="008E725B">
              <w:t xml:space="preserve"> Euroopan parlamentin ja neuvoston direktiivi 2012/29/EU, annettu 25. lokakuuta 2012, rikoksen uhrien oikeuksia, tukea ja suojelua koskevista vähimmäisvaatimuksista sekä neuvoston puitepäätöksen 2001/220/YOS korvaamisesta (EUVL L 315, 14.11.2012, s. 57, ELI: http://data.europa.eu/eli/dir/2012/29/oj).</w:t>
            </w:r>
          </w:p>
        </w:tc>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38</w:t>
            </w:r>
            <w:r w:rsidRPr="008E725B">
              <w:t xml:space="preserve"> Euroopan parlamentin ja neuvoston direktiivi 2012/29/EU, annettu 25. lokakuuta 2012, rikoksen uhrien oikeuksia, tukea ja suojelua koskevista vähimmäisvaatimuksista sekä neuvoston puitepäätöksen 2001/220/YOS korvaamisesta (EUVL L 315, 14.11.2012, s. 57, ELI: http://data.europa.eu/eli/dir/2012/29/oj).</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lastRenderedPageBreak/>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229</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4 kohta</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4.</w:t>
            </w:r>
            <w:r w:rsidRPr="008E725B">
              <w:tab/>
              <w:t>pitää myönteisenä rikoksen uhrien oikeuksia koskevan direktiivin</w:t>
            </w:r>
            <w:r w:rsidRPr="008E725B">
              <w:rPr>
                <w:vertAlign w:val="superscript"/>
              </w:rPr>
              <w:t>38</w:t>
            </w:r>
            <w:r w:rsidRPr="008E725B">
              <w:t xml:space="preserve"> tarkistamista, jolla </w:t>
            </w:r>
            <w:r w:rsidRPr="008E725B">
              <w:rPr>
                <w:b/>
                <w:i/>
              </w:rPr>
              <w:t>poistetaan oikeusjärjestelmissä olevia puutteita ja</w:t>
            </w:r>
            <w:r w:rsidRPr="008E725B">
              <w:t xml:space="preserve"> varmistetaan, että uhreilla on käytössään oikeussuojakeinoja ja tukipalveluja;</w:t>
            </w:r>
          </w:p>
        </w:tc>
        <w:tc>
          <w:tcPr>
            <w:tcW w:w="4876" w:type="dxa"/>
            <w:tcBorders>
              <w:top w:val="nil"/>
              <w:left w:val="nil"/>
              <w:bottom w:val="nil"/>
              <w:right w:val="nil"/>
            </w:tcBorders>
          </w:tcPr>
          <w:p w:rsidR="005E49C0" w:rsidRPr="008E725B" w:rsidRDefault="005E49C0" w:rsidP="00B5562F">
            <w:pPr>
              <w:pStyle w:val="Normal6a"/>
            </w:pPr>
            <w:r w:rsidRPr="008E725B">
              <w:t>4.</w:t>
            </w:r>
            <w:r w:rsidRPr="008E725B">
              <w:tab/>
              <w:t>pitää myönteisenä rikoksen uhrien oikeuksia koskevan direktiivin</w:t>
            </w:r>
            <w:r w:rsidRPr="008E725B">
              <w:rPr>
                <w:vertAlign w:val="superscript"/>
              </w:rPr>
              <w:t>38</w:t>
            </w:r>
            <w:r w:rsidRPr="008E725B">
              <w:t xml:space="preserve"> tarkistamista, jolla varmistetaan, että uhreilla on käytössään oikeussuojakeinoja ja tukipalveluja;</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38</w:t>
            </w:r>
            <w:r w:rsidRPr="008E725B">
              <w:t xml:space="preserve"> Euroopan parlamentin ja neuvoston direktiivi 2012/29/EU, annettu 25. lokakuuta 2012, rikoksen uhrien oikeuksia, tukea ja suojelua koskevista vähimmäisvaatimuksista sekä neuvoston puitepäätöksen 2001/220/YOS korvaamisesta (EUVL L 315, 14.11.2012, s. 57, ELI: http://data.europa.eu/eli/dir/2012/29/oj).</w:t>
            </w:r>
          </w:p>
        </w:tc>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38</w:t>
            </w:r>
            <w:r w:rsidRPr="008E725B">
              <w:t xml:space="preserve"> Euroopan parlamentin ja neuvoston direktiivi 2012/29/EU, annettu 25. lokakuuta 2012, rikoksen uhrien oikeuksia, tukea ja suojelua koskevista vähimmäisvaatimuksista sekä neuvoston puitepäätöksen 2001/220/YOS korvaamisesta (EUVL L 315, 14.11.2012, s. 57, ELI: http://data.europa.eu/eli/dir/2012/29/oj).</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230</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5 kohta</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5.</w:t>
            </w:r>
            <w:r w:rsidRPr="008E725B">
              <w:tab/>
              <w:t xml:space="preserve">kehottaa jälleen komissiota saattamaan nopeasti päätökseen neuvottelut EU:n jäsenyydestä Euroopan neuvoston lahjonnan vastaisessa valtioiden ryhmässä (GRECO) </w:t>
            </w:r>
            <w:r w:rsidRPr="008E725B">
              <w:rPr>
                <w:b/>
                <w:i/>
              </w:rPr>
              <w:t>ja</w:t>
            </w:r>
            <w:r w:rsidRPr="008E725B">
              <w:t xml:space="preserve"> vaatii, että vuotuinen oikeusvaltiokertomus kattaa myös EU:n toimielimet;</w:t>
            </w:r>
          </w:p>
        </w:tc>
        <w:tc>
          <w:tcPr>
            <w:tcW w:w="4876" w:type="dxa"/>
            <w:tcBorders>
              <w:top w:val="nil"/>
              <w:left w:val="nil"/>
              <w:bottom w:val="nil"/>
              <w:right w:val="nil"/>
            </w:tcBorders>
          </w:tcPr>
          <w:p w:rsidR="005E49C0" w:rsidRPr="008E725B" w:rsidRDefault="005E49C0" w:rsidP="00B5562F">
            <w:pPr>
              <w:pStyle w:val="Normal6a"/>
            </w:pPr>
            <w:r w:rsidRPr="008E725B">
              <w:t>5.</w:t>
            </w:r>
            <w:r w:rsidRPr="008E725B">
              <w:tab/>
              <w:t>kehottaa jälleen komissiota saattamaan nopeasti päätökseen neuvottelut EU:n jäsenyydestä Euroopan neuvoston lahjonnan vastaisessa valtioiden ryhmässä (GRECO)</w:t>
            </w:r>
            <w:r w:rsidRPr="008E725B">
              <w:rPr>
                <w:b/>
                <w:i/>
              </w:rPr>
              <w:t>; toteaa, että viimeaikaisten skandaalien valossa yksikään EU:n toimielimistä ei ole vapaa korruptiosta;</w:t>
            </w:r>
            <w:r w:rsidRPr="008E725B">
              <w:t xml:space="preserve"> vaatii, että vuotuinen oikeusvaltiokertomus </w:t>
            </w:r>
            <w:r w:rsidRPr="008E725B">
              <w:lastRenderedPageBreak/>
              <w:t>kattaa myös EU:n toimielimet</w:t>
            </w:r>
            <w:r w:rsidRPr="008E725B">
              <w:rPr>
                <w:b/>
                <w:i/>
              </w:rPr>
              <w:t>, erityisesti korruptiota, vallan väärinkäyttöä, edunvalvontaa, valittujen maiden tai yritysten suosimista ja ideologista ennakkoluuloa, jota ei voida hyväksyä, koskevien asioiden osalta</w:t>
            </w:r>
            <w:r w:rsidRPr="008E725B">
              <w:t xml:space="preserve">; </w:t>
            </w:r>
            <w:r w:rsidRPr="008E725B">
              <w:rPr>
                <w:b/>
                <w:i/>
              </w:rPr>
              <w:t>kannustaa tutkivia toimittajia ja kansalaisyhteiskuntaa valvomaan vielä yksityiskohtaisemmin EU:n toimielinten toimintaa; kehottaa EU:n toimielimiä ottamaan käyttöön uskottavan mekanismin väärinkäytösten paljastajille, jotka ilmoittavat sääntöjenvastaisuuksista EU:n toimielinten toiminnassa;</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231</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5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5.</w:t>
            </w:r>
            <w:r w:rsidRPr="008E725B">
              <w:tab/>
            </w:r>
            <w:r w:rsidRPr="008E725B">
              <w:rPr>
                <w:b/>
                <w:i/>
              </w:rPr>
              <w:t>kehottaa jälleen komissiota saattamaan nopeasti päätökseen neuvottelut EU:n jäsenyydestä Euroopan neuvoston lahjonnan vastaisessa valtioiden ryhmässä (GRECO) ja</w:t>
            </w:r>
            <w:r w:rsidRPr="008E725B">
              <w:t xml:space="preserve"> vaatii, että vuotuinen oikeusvaltiokertomus kattaa myös EU:n toimielimet;</w:t>
            </w:r>
          </w:p>
        </w:tc>
        <w:tc>
          <w:tcPr>
            <w:tcW w:w="4876" w:type="dxa"/>
            <w:tcBorders>
              <w:top w:val="nil"/>
              <w:left w:val="nil"/>
              <w:bottom w:val="nil"/>
              <w:right w:val="nil"/>
            </w:tcBorders>
          </w:tcPr>
          <w:p w:rsidR="005E49C0" w:rsidRPr="008E725B" w:rsidRDefault="005E49C0" w:rsidP="00B5562F">
            <w:pPr>
              <w:pStyle w:val="Normal6a"/>
            </w:pPr>
            <w:r w:rsidRPr="008E725B">
              <w:t>5.</w:t>
            </w:r>
            <w:r w:rsidRPr="008E725B">
              <w:tab/>
              <w:t>vaatii, että vuotuinen oikeusvaltiokertomus kattaa myös EU:n toimielimet;</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232</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5 kohta</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5.</w:t>
            </w:r>
            <w:r w:rsidRPr="008E725B">
              <w:tab/>
            </w:r>
            <w:r w:rsidRPr="008E725B">
              <w:rPr>
                <w:b/>
                <w:i/>
              </w:rPr>
              <w:t xml:space="preserve">kehottaa jälleen komissiota </w:t>
            </w:r>
            <w:r w:rsidRPr="008E725B">
              <w:rPr>
                <w:b/>
                <w:i/>
              </w:rPr>
              <w:lastRenderedPageBreak/>
              <w:t>saattamaan nopeasti päätökseen neuvottelut EU:n jäsenyydestä Euroopan neuvoston lahjonnan vastaisessa valtioiden ryhmässä (GRECO) ja</w:t>
            </w:r>
            <w:r w:rsidRPr="008E725B">
              <w:t xml:space="preserve"> vaatii, että vuotuinen oikeusvaltiokertomus kattaa myös EU:n toimielimet;</w:t>
            </w:r>
          </w:p>
        </w:tc>
        <w:tc>
          <w:tcPr>
            <w:tcW w:w="4876" w:type="dxa"/>
            <w:tcBorders>
              <w:top w:val="nil"/>
              <w:left w:val="nil"/>
              <w:bottom w:val="nil"/>
              <w:right w:val="nil"/>
            </w:tcBorders>
          </w:tcPr>
          <w:p w:rsidR="005E49C0" w:rsidRPr="008E725B" w:rsidRDefault="005E49C0" w:rsidP="00B5562F">
            <w:pPr>
              <w:pStyle w:val="Normal6a"/>
            </w:pPr>
            <w:r w:rsidRPr="008E725B">
              <w:lastRenderedPageBreak/>
              <w:t>5.</w:t>
            </w:r>
            <w:r w:rsidRPr="008E725B">
              <w:tab/>
              <w:t xml:space="preserve">vaatii, että vuotuinen </w:t>
            </w:r>
            <w:r w:rsidRPr="008E725B">
              <w:lastRenderedPageBreak/>
              <w:t xml:space="preserve">oikeusvaltiokertomus kattaa myös </w:t>
            </w:r>
            <w:r w:rsidRPr="008E725B">
              <w:rPr>
                <w:b/>
                <w:i/>
              </w:rPr>
              <w:t>kaikki</w:t>
            </w:r>
            <w:r w:rsidRPr="008E725B">
              <w:t xml:space="preserve"> EU:n toimielimet</w:t>
            </w:r>
            <w:r w:rsidRPr="008E725B">
              <w:rPr>
                <w:b/>
                <w:i/>
              </w:rPr>
              <w:t xml:space="preserve"> ja niiden toiminnan</w:t>
            </w:r>
            <w:r w:rsidRPr="008E725B">
              <w:t>;</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233</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Moritz Körner, Malik Azmani, Dainius Žalimas, Lucia Yar, Fabienne Keller, Raquel García Hermida-Van Der Walle, Abir Al-Sahlani, Veronika Cifrová Ostrihoňová</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5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5.</w:t>
            </w:r>
            <w:r w:rsidRPr="008E725B">
              <w:tab/>
              <w:t xml:space="preserve">kehottaa jälleen komissiota saattamaan </w:t>
            </w:r>
            <w:r w:rsidRPr="008E725B">
              <w:rPr>
                <w:b/>
                <w:i/>
              </w:rPr>
              <w:t xml:space="preserve">nopeasti </w:t>
            </w:r>
            <w:r w:rsidRPr="008E725B">
              <w:t>päätökseen neuvottelut EU:n jäsenyydestä Euroopan neuvoston lahjonnan vastaisessa valtioiden ryhmässä (GRECO) ja vaatii, että vuotuinen oikeusvaltiokertomus kattaa myös EU:n toimielimet;</w:t>
            </w:r>
          </w:p>
        </w:tc>
        <w:tc>
          <w:tcPr>
            <w:tcW w:w="4876" w:type="dxa"/>
            <w:tcBorders>
              <w:top w:val="nil"/>
              <w:left w:val="nil"/>
              <w:bottom w:val="nil"/>
              <w:right w:val="nil"/>
            </w:tcBorders>
          </w:tcPr>
          <w:p w:rsidR="005E49C0" w:rsidRPr="008E725B" w:rsidRDefault="005E49C0" w:rsidP="00B5562F">
            <w:pPr>
              <w:pStyle w:val="Normal6a"/>
            </w:pPr>
            <w:r w:rsidRPr="008E725B">
              <w:t>5.</w:t>
            </w:r>
            <w:r w:rsidRPr="008E725B">
              <w:tab/>
              <w:t xml:space="preserve">kehottaa jälleen komissiota saattamaan </w:t>
            </w:r>
            <w:r w:rsidRPr="008E725B">
              <w:rPr>
                <w:b/>
                <w:i/>
              </w:rPr>
              <w:t>heti</w:t>
            </w:r>
            <w:r w:rsidRPr="008E725B">
              <w:t xml:space="preserve"> päätökseen neuvottelut EU:n jäsenyydestä Euroopan neuvoston lahjonnan vastaisessa valtioiden ryhmässä (GRECO) ja vaatii, että vuotuinen oikeusvaltiokertomus kattaa myös EU:n toimielimet;</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234</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Moritz Körner, Hilde Vautmans, Nikola Minchev, Chloé Ridel, Abir Al-Sahlani, Fabienne Keller, Lucia Yar, Irena Joveva, Daniel Freund</w:t>
      </w:r>
      <w:r w:rsidRPr="008E725B">
        <w:rPr>
          <w:rStyle w:val="HideTWBExt"/>
          <w:b w:val="0"/>
        </w:rPr>
        <w:t>&lt;/Members&gt;</w:t>
      </w:r>
    </w:p>
    <w:p w:rsidR="005E49C0" w:rsidRPr="008E725B" w:rsidRDefault="005E49C0" w:rsidP="005E49C0">
      <w:r w:rsidRPr="008E725B">
        <w:rPr>
          <w:rStyle w:val="HideTWBExt"/>
        </w:rPr>
        <w:t>&lt;AuNomDe&gt;</w:t>
      </w:r>
      <w:r w:rsidRPr="008E725B">
        <w:rPr>
          <w:rStyle w:val="HideTWBInt"/>
        </w:rPr>
        <w:t>{LIBE}</w:t>
      </w:r>
      <w:r w:rsidRPr="008E725B">
        <w:t>kansalaisvapauksien sekä oikeus- ja sisäasioiden valiokunnan puolesta</w:t>
      </w:r>
      <w:r w:rsidRPr="008E725B">
        <w:rPr>
          <w:rStyle w:val="HideTWBExt"/>
        </w:rPr>
        <w:t>&lt;/AuNomDe&gt;</w:t>
      </w:r>
    </w:p>
    <w:p w:rsidR="005E49C0" w:rsidRPr="008E725B" w:rsidRDefault="005E49C0" w:rsidP="005E49C0">
      <w:pPr>
        <w:pStyle w:val="NormalBold"/>
      </w:pPr>
      <w:r w:rsidRPr="008E725B">
        <w:rPr>
          <w:rStyle w:val="HideTWBExt"/>
          <w:b w:val="0"/>
        </w:rPr>
        <w:t>&lt;Members&gt;</w:t>
      </w:r>
      <w:r w:rsidRPr="008E725B">
        <w:t>Sophie Wilmès</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5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5 a.</w:t>
            </w:r>
            <w:r w:rsidRPr="008E725B">
              <w:tab/>
            </w:r>
            <w:r w:rsidRPr="008E725B">
              <w:rPr>
                <w:b/>
                <w:i/>
              </w:rPr>
              <w:t xml:space="preserve">kehottaa jäsenvaltioita hyväksymään, päivittämään, panemaan täytäntöön ja tarkistamaan kansalliset korruptiontorjuntastrategiansa ja seuraamaan niitä, jotta voidaan varmistaa </w:t>
            </w:r>
            <w:r w:rsidRPr="008E725B">
              <w:rPr>
                <w:b/>
                <w:i/>
              </w:rPr>
              <w:lastRenderedPageBreak/>
              <w:t>korruptionvastaisten toimien valtavirtaistaminen osaksi kaikkia asiaankuuluvia politiikan aloja; muistuttaa kansallisten viranomaisten ja Euroopan syyttäjänviraston (EPPO) yhteistyön merkityksestä; suosittaa, että jäsenvaltioilla, jotka eivät osallistu EPPOn toimintaan, ei olisi mahdollisuutta hallinnoida varoja suoraan;</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235</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Cecilia Strada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5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5 a.</w:t>
            </w:r>
            <w:r w:rsidRPr="008E725B">
              <w:tab/>
            </w:r>
            <w:r w:rsidRPr="008E725B">
              <w:rPr>
                <w:b/>
                <w:i/>
              </w:rPr>
              <w:t>kehottaa jälleen kaikkia jäsenvaltioita hyväksymään tuomareita koskevat käytännesäännöt noudattaen GRECOn suosituksia ja ottaen huomioon Euroopan ihmisoikeustuomioistuimessa sovellettavat käytännesäännöt;</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236</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Javier Zarzalejos</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5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5 a.</w:t>
            </w:r>
            <w:r w:rsidRPr="008E725B">
              <w:tab/>
            </w:r>
            <w:r w:rsidRPr="008E725B">
              <w:rPr>
                <w:b/>
                <w:i/>
              </w:rPr>
              <w:t xml:space="preserve">katsoo, että henkilöön käyvät oikeudelliset uudistukset rikkovat oikeusvaltion perusperiaatteita, kuten </w:t>
            </w:r>
            <w:r w:rsidRPr="008E725B">
              <w:rPr>
                <w:b/>
                <w:i/>
              </w:rPr>
              <w:lastRenderedPageBreak/>
              <w:t>yhdenvertaisuutta lain edessä ja oikeuslaitoksen riippumattomuutta;</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237</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Michał Wawrykiewicz, Cecilia Strada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5 b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5 b.</w:t>
            </w:r>
            <w:r w:rsidRPr="008E725B">
              <w:tab/>
            </w:r>
            <w:r w:rsidRPr="008E725B">
              <w:rPr>
                <w:b/>
                <w:i/>
              </w:rPr>
              <w:t>muistuttaa, että korruptio on vakava uhka demokratialle, perusoikeuksille ja oikeusvaltioperiaatteelle; korostaa, että korruptio heikentää kansalaisten luottamusta julkisiin toimielimiin; pitää valitettavana, että vuonna 2024 tehdyn korruptiota koskevan eurobarometritutkimuksen mukaan korruptio on EU:n kansalaisille ja yrityksille edelleen vakava huolenaihe, sillä 68 prosenttia kansalaisista arvelee korruption olevan yleistä heidän kotimaassaan, 65 prosenttia katsoo, että korkean tason korruptiotapauksiin ei paneuduta riittävästi, ja 41 prosenttia arvelee, että korruptio on lisääntynyt; katsoo, että EU:n on tämän vuoksi tehostettava korruptiontorjuntatoimiaan;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238</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Moritz Körner, Hilde Vautmans, Nikola Minchev, Veronika Cifrová Ostrihoňová, Chloé Ridel, Abir Al-Sahlani, Fabienne Keller, Lucia Yar, Irena Joveva, Isabel Wiseler-Lima</w:t>
      </w:r>
      <w:r w:rsidRPr="008E725B">
        <w:rPr>
          <w:rStyle w:val="HideTWBExt"/>
          <w:b w:val="0"/>
        </w:rPr>
        <w:t>&lt;/Members&gt;</w:t>
      </w:r>
    </w:p>
    <w:p w:rsidR="005E49C0" w:rsidRPr="008E725B" w:rsidRDefault="005E49C0" w:rsidP="005E49C0">
      <w:r w:rsidRPr="008E725B">
        <w:rPr>
          <w:rStyle w:val="HideTWBExt"/>
        </w:rPr>
        <w:t>&lt;AuNomDe&gt;</w:t>
      </w:r>
      <w:r w:rsidRPr="008E725B">
        <w:rPr>
          <w:rStyle w:val="HideTWBInt"/>
        </w:rPr>
        <w:t>{LIBE}</w:t>
      </w:r>
      <w:r w:rsidRPr="008E725B">
        <w:t>kansalaisvapauksien sekä oikeus- ja sisäasioiden valiokunnan puolesta</w:t>
      </w:r>
      <w:r w:rsidRPr="008E725B">
        <w:rPr>
          <w:rStyle w:val="HideTWBExt"/>
        </w:rPr>
        <w:t>&lt;/AuNomDe&gt;</w:t>
      </w:r>
    </w:p>
    <w:p w:rsidR="005E49C0" w:rsidRPr="008E725B" w:rsidRDefault="005E49C0" w:rsidP="005E49C0">
      <w:pPr>
        <w:pStyle w:val="NormalBold"/>
      </w:pPr>
      <w:r w:rsidRPr="008E725B">
        <w:rPr>
          <w:rStyle w:val="HideTWBExt"/>
          <w:b w:val="0"/>
        </w:rPr>
        <w:t>&lt;Members&gt;</w:t>
      </w:r>
      <w:r w:rsidRPr="008E725B">
        <w:t>Sophie Wilmès</w:t>
      </w:r>
      <w:r w:rsidRPr="008E725B">
        <w:rPr>
          <w:rStyle w:val="HideTWBExt"/>
          <w:b w:val="0"/>
        </w:rPr>
        <w:t>&lt;/Members&gt;</w:t>
      </w:r>
    </w:p>
    <w:p w:rsidR="005E49C0" w:rsidRPr="008E725B" w:rsidRDefault="005E49C0" w:rsidP="005E49C0">
      <w:pPr>
        <w:pStyle w:val="NormalBold"/>
      </w:pPr>
      <w:r w:rsidRPr="008E725B">
        <w:rPr>
          <w:rStyle w:val="HideTWBExt"/>
          <w:b w:val="0"/>
        </w:rPr>
        <w:lastRenderedPageBreak/>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5 b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5 b.</w:t>
            </w:r>
            <w:r w:rsidRPr="008E725B">
              <w:tab/>
            </w:r>
            <w:r w:rsidRPr="008E725B">
              <w:rPr>
                <w:b/>
                <w:i/>
              </w:rPr>
              <w:t>kehottaa Europolia, Eurojustia, Euroopan tilintarkastustuomioistuinta, EPPOa, Euroopan petostentorjuntavirastoa (OLAF) ja muita EU:n elimiä parantamaan yhteistyötään;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239</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Sebastian Tynkkynen</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6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6.</w:t>
            </w:r>
            <w:r w:rsidRPr="008E725B">
              <w:tab/>
            </w:r>
            <w:r w:rsidRPr="008E725B">
              <w:rPr>
                <w:b/>
                <w:i/>
              </w:rPr>
              <w:t>panee merkille, että joissain jäsenvaltioissa viivytellään Euroopan unionin tuomioistuimen tuomioiden täytäntöönpanossa tai ei panna niitä ollenkaan täytäntöön, ja vaatii, että näiden tuomioiden täytäntöönpano asetetaan etusijalle;</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{FI}</w:t>
      </w:r>
      <w:r w:rsidRPr="008E725B">
        <w:t>fi</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240</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Alessandro Ciriani, Paolo Inselvini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6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6.</w:t>
            </w:r>
            <w:r w:rsidRPr="008E725B">
              <w:tab/>
            </w:r>
            <w:r w:rsidRPr="008E725B">
              <w:rPr>
                <w:b/>
                <w:i/>
              </w:rPr>
              <w:t xml:space="preserve">panee merkille, että joissain jäsenvaltioissa viivytellään Euroopan unionin tuomioistuimen tuomioiden täytäntöönpanossa tai ei panna niitä </w:t>
            </w:r>
            <w:r w:rsidRPr="008E725B">
              <w:rPr>
                <w:b/>
                <w:i/>
              </w:rPr>
              <w:lastRenderedPageBreak/>
              <w:t>ollenkaan täytäntöön, ja vaatii, että näiden tuomioiden täytäntöönpano asetetaan etusijalle;</w:t>
            </w:r>
          </w:p>
        </w:tc>
        <w:tc>
          <w:tcPr>
            <w:tcW w:w="4876" w:type="dxa"/>
            <w:tcBorders>
              <w:top w:val="nil"/>
              <w:left w:val="nil"/>
              <w:bottom w:val="nil"/>
              <w:right w:val="nil"/>
            </w:tcBorders>
          </w:tcPr>
          <w:p w:rsidR="005E49C0" w:rsidRPr="008E725B" w:rsidRDefault="005E49C0" w:rsidP="00B5562F">
            <w:pPr>
              <w:pStyle w:val="Normal6a"/>
            </w:pPr>
            <w:r w:rsidRPr="008E725B">
              <w:rPr>
                <w:b/>
                <w:i/>
              </w:rPr>
              <w:lastRenderedPageBreak/>
              <w:t>Poistetaan.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{IT}</w:t>
      </w:r>
      <w:r w:rsidRPr="008E725B">
        <w:t>it</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241</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Daniel Freund</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6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6.</w:t>
            </w:r>
            <w:r w:rsidRPr="008E725B">
              <w:tab/>
              <w:t>panee merkille, että joissain jäsenvaltioissa viivytellään Euroopan unionin tuomioistuimen tuomioiden täytäntöönpanossa tai ei panna niitä ollenkaan täytäntöön, ja vaatii, että näiden tuomioiden täytäntöönpano asetetaan etusijalle;</w:t>
            </w:r>
          </w:p>
        </w:tc>
        <w:tc>
          <w:tcPr>
            <w:tcW w:w="4876" w:type="dxa"/>
            <w:tcBorders>
              <w:top w:val="nil"/>
              <w:left w:val="nil"/>
              <w:bottom w:val="nil"/>
              <w:right w:val="nil"/>
            </w:tcBorders>
          </w:tcPr>
          <w:p w:rsidR="005E49C0" w:rsidRPr="008E725B" w:rsidRDefault="005E49C0" w:rsidP="00B5562F">
            <w:pPr>
              <w:pStyle w:val="Normal6a"/>
            </w:pPr>
            <w:r w:rsidRPr="008E725B">
              <w:t>6.</w:t>
            </w:r>
            <w:r w:rsidRPr="008E725B">
              <w:tab/>
              <w:t xml:space="preserve">panee merkille, että joissain jäsenvaltioissa viivytellään Euroopan unionin tuomioistuimen </w:t>
            </w:r>
            <w:r w:rsidRPr="008E725B">
              <w:rPr>
                <w:b/>
                <w:i/>
              </w:rPr>
              <w:t>ja Euroopan ihmisoikeustuomioistuimen</w:t>
            </w:r>
            <w:r w:rsidRPr="008E725B">
              <w:t xml:space="preserve"> tuomioiden täytäntöönpanossa tai ei panna niitä ollenkaan täytäntöön, ja vaatii, että näiden tuomioiden täytäntöönpano asetetaan etusijalle; </w:t>
            </w:r>
            <w:r w:rsidRPr="008E725B">
              <w:rPr>
                <w:b/>
                <w:i/>
              </w:rPr>
              <w:t xml:space="preserve">kehottaa, että komissio perussopimusten valvojana täyttäisi velvollisuutensa EU:n ihmisoikeuslainsäädännön täytäntöönpanon valvonnassa eikä luottaisi siihen, että kansalaiset itse vievät asioita tuomioistuimeen varmistaakseen unionin oikeuden soveltamisen; kehottaa komissiota ottamaan käyttöön tulostaulun, jossa seurataan unionin tuomioistuimen ja Euroopan ihmisoikeustuomioistuimen jokaisen demokratiaan, oikeusvaltioperiaatteeseen ja perusoikeuksiin liittyvän tuomion täytäntöönpanoa, ja sisällyttämään sen kokonaan vuotuiseen oikeusvaltiokertomukseen; suosittaa, että komissio erityisesti ryhtyy SEUT-sopimuksen 260 artiklan 2 kohdan mukaisiin toimiin, jos unionin tuomioistuimen tuomioita ei ole pantu täytäntöön, ja soveltaa ehdollisuusasetusta, jos unionin tuomioistuimen ja Euroopan ihmisoikeustuomioistuimen tuomioita ei </w:t>
            </w:r>
            <w:r w:rsidRPr="008E725B">
              <w:rPr>
                <w:b/>
                <w:i/>
              </w:rPr>
              <w:lastRenderedPageBreak/>
              <w:t>ole noudatettu; kehottaa komissiota analysoimaan järjestelmällisesti tietoja yksilövalituksia koskevien YK:n sopimuselinten päätösten noudattamatta jättämisestä;</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242</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Michał Wawrykiewicz, Ana Catarina Mendes, Moritz Körner</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6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6.</w:t>
            </w:r>
            <w:r w:rsidRPr="008E725B">
              <w:tab/>
              <w:t>panee merkille, että joissain jäsenvaltioissa viivytellään Euroopan unionin tuomioistuimen tuomioiden täytäntöönpanossa tai ei panna niitä ollenkaan täytäntöön, ja vaatii, että näiden tuomioiden täytäntöönpano asetetaan etusijalle;</w:t>
            </w:r>
          </w:p>
        </w:tc>
        <w:tc>
          <w:tcPr>
            <w:tcW w:w="4876" w:type="dxa"/>
            <w:tcBorders>
              <w:top w:val="nil"/>
              <w:left w:val="nil"/>
              <w:bottom w:val="nil"/>
              <w:right w:val="nil"/>
            </w:tcBorders>
          </w:tcPr>
          <w:p w:rsidR="005E49C0" w:rsidRPr="008E725B" w:rsidRDefault="005E49C0" w:rsidP="00B5562F">
            <w:pPr>
              <w:pStyle w:val="Normal6a"/>
            </w:pPr>
            <w:r w:rsidRPr="008E725B">
              <w:t>6.</w:t>
            </w:r>
            <w:r w:rsidRPr="008E725B">
              <w:tab/>
              <w:t xml:space="preserve">panee merkille, että joissain jäsenvaltioissa viivytellään Euroopan unionin tuomioistuimen tuomioiden täytäntöönpanossa tai ei panna niitä ollenkaan täytäntöön, ja vaatii, että näiden tuomioiden täytäntöönpano asetetaan etusijalle; </w:t>
            </w:r>
            <w:r w:rsidRPr="008E725B">
              <w:rPr>
                <w:b/>
                <w:i/>
              </w:rPr>
              <w:t>korostaa, että jäsenvaltioiden ja EU:n toimielinten on järjestelmällisesti sisällytettävä ja pantava täytäntöön unionin tuomioistuimen uusin oikeuskäytäntö noudattaakseen oikeusvaltioperiaatetta ja varmistaakseen unionin oikeuden yhdenmukaisen soveltamisen; vaatii, että kansallista lainsäädäntöä ja institutionaalista kehystä on mukautettava pikaisesti tuomioistuimen ratkaisujen noudattamiseksi; kehottaa komissiota seuraamaan niiden noudattamista ja ryhtymään toimiin, jos täytäntöönpanon laiminlyönti jatkuu;</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243</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Javier Zarzalejos</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lastRenderedPageBreak/>
        <w:t>&lt;Article&gt;</w:t>
      </w:r>
      <w:r w:rsidRPr="008E725B">
        <w:t>6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6.</w:t>
            </w:r>
            <w:r w:rsidRPr="008E725B">
              <w:tab/>
              <w:t>panee merkille, että joissain jäsenvaltioissa viivytellään Euroopan unionin tuomioistuimen tuomioiden täytäntöönpanossa tai ei panna niitä ollenkaan täytäntöön, ja vaatii</w:t>
            </w:r>
            <w:r w:rsidRPr="008E725B">
              <w:rPr>
                <w:b/>
                <w:i/>
              </w:rPr>
              <w:t>, että näiden tuomioiden täytäntöönpano asetetaan etusijalle</w:t>
            </w:r>
            <w:r w:rsidRPr="008E725B">
              <w:t>;</w:t>
            </w:r>
          </w:p>
        </w:tc>
        <w:tc>
          <w:tcPr>
            <w:tcW w:w="4876" w:type="dxa"/>
            <w:tcBorders>
              <w:top w:val="nil"/>
              <w:left w:val="nil"/>
              <w:bottom w:val="nil"/>
              <w:right w:val="nil"/>
            </w:tcBorders>
          </w:tcPr>
          <w:p w:rsidR="005E49C0" w:rsidRPr="008E725B" w:rsidRDefault="005E49C0" w:rsidP="00B5562F">
            <w:pPr>
              <w:pStyle w:val="Normal6a"/>
            </w:pPr>
            <w:r w:rsidRPr="008E725B">
              <w:t>6.</w:t>
            </w:r>
            <w:r w:rsidRPr="008E725B">
              <w:tab/>
              <w:t xml:space="preserve">panee merkille, että joissain jäsenvaltioissa viivytellään Euroopan unionin tuomioistuimen tuomioiden täytäntöönpanossa tai ei panna niitä ollenkaan täytäntöön, ja vaatii </w:t>
            </w:r>
            <w:r w:rsidRPr="008E725B">
              <w:rPr>
                <w:b/>
                <w:i/>
              </w:rPr>
              <w:t>niiden ripeää täytäntöönpanoa</w:t>
            </w:r>
            <w:r w:rsidRPr="008E725B">
              <w:t>;</w:t>
            </w:r>
            <w:r w:rsidRPr="008E725B">
              <w:rPr>
                <w:b/>
                <w:i/>
              </w:rPr>
              <w:t xml:space="preserve"> korostaa, että oikeusvaltioperiaatteen kunnioittamiseen kuuluu unionin tuomioistuimen ratkaisujen noudattaminen kaikilta osin, erityisesti vallanjakoon ja oikeuslaitoksen riippumattomuuteen vaikuttavissa asioissa; kehottaa komissiota arvioimaan, antaako viivyttely tällaisten ratkaisujen täytäntöönpanossa tai niiden noudattamatta jättäminen aihetta käynnistää SEUT-sopimuksen 258 artiklan mukainen rikkomusmenettely;</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244</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6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6.</w:t>
            </w:r>
            <w:r w:rsidRPr="008E725B">
              <w:tab/>
              <w:t>panee merkille, että joissain jäsenvaltioissa viivytellään Euroopan unionin tuomioistuimen tuomioiden täytäntöönpanossa tai ei panna niitä ollenkaan täytäntöön, ja vaatii, että näiden tuomioiden täytäntöönpano asetetaan etusijalle;</w:t>
            </w:r>
          </w:p>
        </w:tc>
        <w:tc>
          <w:tcPr>
            <w:tcW w:w="4876" w:type="dxa"/>
            <w:tcBorders>
              <w:top w:val="nil"/>
              <w:left w:val="nil"/>
              <w:bottom w:val="nil"/>
              <w:right w:val="nil"/>
            </w:tcBorders>
          </w:tcPr>
          <w:p w:rsidR="005E49C0" w:rsidRPr="008E725B" w:rsidRDefault="005E49C0" w:rsidP="00B5562F">
            <w:pPr>
              <w:pStyle w:val="Normal6a"/>
            </w:pPr>
            <w:r w:rsidRPr="008E725B">
              <w:t>6.</w:t>
            </w:r>
            <w:r w:rsidRPr="008E725B">
              <w:tab/>
              <w:t xml:space="preserve">panee merkille, että joissain jäsenvaltioissa viivytellään Euroopan unionin tuomioistuimen tuomioiden täytäntöönpanossa tai ei panna niitä ollenkaan täytäntöön, ja vaatii, että näiden tuomioiden täytäntöönpano asetetaan etusijalle; </w:t>
            </w:r>
            <w:r w:rsidRPr="008E725B">
              <w:rPr>
                <w:b/>
                <w:i/>
              </w:rPr>
              <w:t xml:space="preserve">muistuttaa, että tuomioiden tehokas täytäntöönpano on olennaista SEU-sopimuksessa, SEUT-sopimuksessa ja perusoikeuskirjassa vahvistettujen perusoikeuksien ja taloudellisten </w:t>
            </w:r>
            <w:r w:rsidRPr="008E725B">
              <w:rPr>
                <w:b/>
                <w:i/>
              </w:rPr>
              <w:lastRenderedPageBreak/>
              <w:t>vapauksien suojan varmistamiseksi; kehottaa kaikkia jäsenvaltioita asettamaan etusijalle unionin tuomioistuimen tuomioiden ripeän ja tehokkaan täytäntöönpanon;</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245</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6 kohta</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6.</w:t>
            </w:r>
            <w:r w:rsidRPr="008E725B">
              <w:tab/>
              <w:t>panee merkille, että joissain jäsenvaltioissa viivytellään Euroopan unionin tuomioistuimen tuomioiden täytäntöönpanossa tai ei panna niitä ollenkaan täytäntöön</w:t>
            </w:r>
            <w:r w:rsidRPr="008E725B">
              <w:rPr>
                <w:b/>
                <w:i/>
              </w:rPr>
              <w:t>, ja vaatii, että näiden tuomioiden täytäntöönpano asetetaan etusijalle</w:t>
            </w:r>
            <w:r w:rsidRPr="008E725B">
              <w:t>;</w:t>
            </w:r>
          </w:p>
        </w:tc>
        <w:tc>
          <w:tcPr>
            <w:tcW w:w="4876" w:type="dxa"/>
            <w:tcBorders>
              <w:top w:val="nil"/>
              <w:left w:val="nil"/>
              <w:bottom w:val="nil"/>
              <w:right w:val="nil"/>
            </w:tcBorders>
          </w:tcPr>
          <w:p w:rsidR="005E49C0" w:rsidRPr="008E725B" w:rsidRDefault="005E49C0" w:rsidP="00B5562F">
            <w:pPr>
              <w:pStyle w:val="Normal6a"/>
            </w:pPr>
            <w:r w:rsidRPr="008E725B">
              <w:t>6.</w:t>
            </w:r>
            <w:r w:rsidRPr="008E725B">
              <w:tab/>
              <w:t>panee merkille, että joissain jäsenvaltioissa viivytellään Euroopan unionin tuomioistuimen tuomioiden täytäntöönpanossa tai ei panna niitä ollenkaan täytäntöön</w:t>
            </w:r>
            <w:r w:rsidRPr="008E725B">
              <w:rPr>
                <w:b/>
                <w:i/>
              </w:rPr>
              <w:t>; katsoo, että tietyt unionin tuomioistuimen tuomiot ovat äärimmäisiä ja rikkovat jäsenvaltioiden toimivaltaa; kehottaa EU:n toimielimiä ja jäsenvaltioita kunnioittamaan jäsenvaltioiden hyväksymiä perustuslaillisia ratkaisuja ja perustuslakituomioistuinten kansallista oikeuskäytäntöä</w:t>
            </w:r>
            <w:r w:rsidRPr="008E725B">
              <w:t>;</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246</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6 kohta</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6.</w:t>
            </w:r>
            <w:r w:rsidRPr="008E725B">
              <w:tab/>
            </w:r>
            <w:r w:rsidRPr="008E725B">
              <w:rPr>
                <w:b/>
                <w:i/>
              </w:rPr>
              <w:t xml:space="preserve">panee merkille, että joissain jäsenvaltioissa viivytellään Euroopan unionin tuomioistuimen tuomioiden </w:t>
            </w:r>
            <w:r w:rsidRPr="008E725B">
              <w:rPr>
                <w:b/>
                <w:i/>
              </w:rPr>
              <w:lastRenderedPageBreak/>
              <w:t>täytäntöönpanossa tai ei panna niitä ollenkaan täytäntöön, ja vaatii, että näiden tuomioiden täytäntöönpano asetetaan etusijalle</w:t>
            </w:r>
            <w:r w:rsidRPr="008E725B">
              <w:t>;</w:t>
            </w:r>
          </w:p>
        </w:tc>
        <w:tc>
          <w:tcPr>
            <w:tcW w:w="4876" w:type="dxa"/>
            <w:tcBorders>
              <w:top w:val="nil"/>
              <w:left w:val="nil"/>
              <w:bottom w:val="nil"/>
              <w:right w:val="nil"/>
            </w:tcBorders>
          </w:tcPr>
          <w:p w:rsidR="005E49C0" w:rsidRPr="008E725B" w:rsidRDefault="005E49C0" w:rsidP="00B5562F">
            <w:pPr>
              <w:pStyle w:val="Normal6a"/>
            </w:pPr>
            <w:r w:rsidRPr="008E725B">
              <w:lastRenderedPageBreak/>
              <w:t>6.</w:t>
            </w:r>
            <w:r w:rsidRPr="008E725B">
              <w:tab/>
            </w:r>
            <w:r w:rsidRPr="008E725B">
              <w:rPr>
                <w:b/>
                <w:i/>
              </w:rPr>
              <w:t xml:space="preserve">kehottaa tutkimaan komission toimia, jotka koskevat Euroopan vihreän kehityksen ohjelman tukemiseen </w:t>
            </w:r>
            <w:r w:rsidRPr="008E725B">
              <w:rPr>
                <w:b/>
                <w:i/>
              </w:rPr>
              <w:lastRenderedPageBreak/>
              <w:t>tähtääviä epäsuoria lobbauskäytäntöjä koskevia väitteitä ja joissa komission väitetään myöntäneen EU:n varoja kansalaisjärjestöille, jotta ne voivat vaikuttaa muihin EU:n toimielimiin ja edistää sen politiikkaa</w:t>
            </w:r>
            <w:r w:rsidRPr="008E725B">
              <w:t>;</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247</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Nicolas Bay</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6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6.</w:t>
            </w:r>
            <w:r w:rsidRPr="008E725B">
              <w:tab/>
              <w:t>panee merkille, että joissain jäsenvaltioissa viivytellään Euroopan unionin tuomioistuimen tuomioiden täytäntöönpanossa tai ei panna niitä ollenkaan täytäntöön</w:t>
            </w:r>
            <w:r w:rsidRPr="008E725B">
              <w:rPr>
                <w:b/>
                <w:i/>
              </w:rPr>
              <w:t>, ja vaatii, että näiden tuomioiden täytäntöönpano asetetaan etusijalle</w:t>
            </w:r>
            <w:r w:rsidRPr="008E725B">
              <w:t>;</w:t>
            </w:r>
          </w:p>
        </w:tc>
        <w:tc>
          <w:tcPr>
            <w:tcW w:w="4876" w:type="dxa"/>
            <w:tcBorders>
              <w:top w:val="nil"/>
              <w:left w:val="nil"/>
              <w:bottom w:val="nil"/>
              <w:right w:val="nil"/>
            </w:tcBorders>
          </w:tcPr>
          <w:p w:rsidR="005E49C0" w:rsidRPr="008E725B" w:rsidRDefault="005E49C0" w:rsidP="00B5562F">
            <w:pPr>
              <w:pStyle w:val="Normal6a"/>
            </w:pPr>
            <w:r w:rsidRPr="008E725B">
              <w:t>6.</w:t>
            </w:r>
            <w:r w:rsidRPr="008E725B">
              <w:tab/>
              <w:t>panee merkille, että joissain jäsenvaltioissa viivytellään Euroopan unionin tuomioistuimen tuomioiden täytäntöönpanossa tai ei panna niitä ollenkaan täytäntöön;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{FR}</w:t>
      </w:r>
      <w:r w:rsidRPr="008E725B">
        <w:t>fr</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248</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Moritz Körner, Malik Azmani, Dainius Žalimas, Lucia Yar, Fabienne Keller, Sophie Wilmès, Raquel García Hermida-Van Der Walle, Abir Al-Sahlani, Veronika Cifrová Ostrihoňová, Michał Wawrykiewicz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6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6.</w:t>
            </w:r>
            <w:r w:rsidRPr="008E725B">
              <w:tab/>
              <w:t xml:space="preserve">panee merkille, että joissain jäsenvaltioissa </w:t>
            </w:r>
            <w:r w:rsidRPr="008E725B">
              <w:rPr>
                <w:b/>
                <w:i/>
              </w:rPr>
              <w:t>viivytellään</w:t>
            </w:r>
            <w:r w:rsidRPr="008E725B">
              <w:t xml:space="preserve"> Euroopan unionin tuomioistuimen </w:t>
            </w:r>
            <w:r w:rsidRPr="008E725B">
              <w:rPr>
                <w:b/>
                <w:i/>
              </w:rPr>
              <w:t xml:space="preserve">tuomioiden </w:t>
            </w:r>
            <w:r w:rsidRPr="008E725B">
              <w:t>täytäntöönpanossa tai ei panna niitä ollenkaan täytäntöön, ja vaatii, että näiden tuomioiden täytäntöönpano asetetaan etusijalle;</w:t>
            </w:r>
          </w:p>
        </w:tc>
        <w:tc>
          <w:tcPr>
            <w:tcW w:w="4876" w:type="dxa"/>
            <w:tcBorders>
              <w:top w:val="nil"/>
              <w:left w:val="nil"/>
              <w:bottom w:val="nil"/>
              <w:right w:val="nil"/>
            </w:tcBorders>
          </w:tcPr>
          <w:p w:rsidR="005E49C0" w:rsidRPr="008E725B" w:rsidRDefault="005E49C0" w:rsidP="00B5562F">
            <w:pPr>
              <w:pStyle w:val="Normal6a"/>
            </w:pPr>
            <w:r w:rsidRPr="008E725B">
              <w:t>6.</w:t>
            </w:r>
            <w:r w:rsidRPr="008E725B">
              <w:tab/>
              <w:t xml:space="preserve">panee merkille, että joissain jäsenvaltioissa </w:t>
            </w:r>
            <w:r w:rsidRPr="008E725B">
              <w:rPr>
                <w:b/>
                <w:i/>
              </w:rPr>
              <w:t xml:space="preserve">sovelletaan valikoivasti </w:t>
            </w:r>
            <w:r w:rsidRPr="008E725B">
              <w:t xml:space="preserve">Euroopan unionin tuomioistuimen </w:t>
            </w:r>
            <w:r w:rsidRPr="008E725B">
              <w:rPr>
                <w:b/>
                <w:i/>
              </w:rPr>
              <w:t xml:space="preserve">tuomioita, viivytellään niiden </w:t>
            </w:r>
            <w:r w:rsidRPr="008E725B">
              <w:t xml:space="preserve">täytäntöönpanossa tai ei panna niitä ollenkaan täytäntöön, ja vaatii, että näiden tuomioiden täytäntöönpano asetetaan </w:t>
            </w:r>
            <w:r w:rsidRPr="008E725B">
              <w:lastRenderedPageBreak/>
              <w:t>etusijalle;</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249</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Mary Khan, Milan Uhrík, Ewa Zajączkowska-Hernik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6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6.</w:t>
            </w:r>
            <w:r w:rsidRPr="008E725B">
              <w:tab/>
              <w:t>panee merkille, että joissain jäsenvaltioissa viivytellään Euroopan unionin tuomioistuimen tuomioiden täytäntöönpanossa tai ei panna niitä ollenkaan täytäntöön, ja</w:t>
            </w:r>
            <w:r w:rsidRPr="008E725B">
              <w:rPr>
                <w:b/>
                <w:i/>
              </w:rPr>
              <w:t xml:space="preserve"> vaatii, että näiden tuomioiden täytäntöönpano asetetaan etusijalle</w:t>
            </w:r>
            <w:r w:rsidRPr="008E725B">
              <w:t>;</w:t>
            </w:r>
          </w:p>
        </w:tc>
        <w:tc>
          <w:tcPr>
            <w:tcW w:w="4876" w:type="dxa"/>
            <w:tcBorders>
              <w:top w:val="nil"/>
              <w:left w:val="nil"/>
              <w:bottom w:val="nil"/>
              <w:right w:val="nil"/>
            </w:tcBorders>
          </w:tcPr>
          <w:p w:rsidR="005E49C0" w:rsidRPr="008E725B" w:rsidRDefault="005E49C0" w:rsidP="00B5562F">
            <w:pPr>
              <w:pStyle w:val="Normal6a"/>
            </w:pPr>
            <w:r w:rsidRPr="008E725B">
              <w:t>6.</w:t>
            </w:r>
            <w:r w:rsidRPr="008E725B">
              <w:tab/>
              <w:t xml:space="preserve">panee merkille, että joissain jäsenvaltioissa viivytellään Euroopan unionin tuomioistuimen tuomioiden täytäntöönpanossa tai ei panna niitä ollenkaan täytäntöön, ja </w:t>
            </w:r>
            <w:r w:rsidRPr="008E725B">
              <w:rPr>
                <w:b/>
                <w:i/>
              </w:rPr>
              <w:t>kunnioittaa niiden itsenäistä päätöstä toimia näin</w:t>
            </w:r>
            <w:r w:rsidRPr="008E725B">
              <w:t>;</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250</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Daniel Freund</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6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6 a.</w:t>
            </w:r>
            <w:r w:rsidRPr="008E725B">
              <w:tab/>
            </w:r>
            <w:r w:rsidRPr="008E725B">
              <w:rPr>
                <w:b/>
                <w:i/>
              </w:rPr>
              <w:t xml:space="preserve">korostaa, että demokraattisissa valtioissa varmistetaan poliittiseen ja yhteiskunnalliseen sovinnontekoon, myös armahdustoimenpiteitä toteuttamalla, tarkoitetut mekanismit, joilla edistetään rinnakkaiseloa, estetään poliittisten ristiriitojen liiallista oikeudellistumista ja vahvistetaan demokraattista vuoropuhelua; toteaa, että armahdus ei saa koskea vakavia ihmisoikeusloukkauksia eikä sitä voi käyttää virkamiesten vapauttamiseen julkisen omaisuuden anastamiseen liittyvästä vastuusta; korostaa, että </w:t>
            </w:r>
            <w:r w:rsidRPr="008E725B">
              <w:rPr>
                <w:b/>
                <w:i/>
              </w:rPr>
              <w:lastRenderedPageBreak/>
              <w:t>armahdus johtaa tuomioistuimen päätösten ja menettelyjen kumoamiseen tai estämiseen ja tuomarit ovat velvollisia soveltamaan lakia sekä rikoslainsäädännön muutosten yhteydessä että armahduksen yhteydessä; katsoo, että ristiriitojen siirtyminen poliittiselta tasolta oikeudelliselle tasolle ei ole sinänsä armahduksen tarkoituksen mukaista; on huolissaan tiedoista, joiden mukaan tietyt toimijat ovat haluttomia panemaan kaikilta osin täytäntöön hyväksyttyjä yleistä armahdusta koskevia lakeja, mikä heikentää oikeusvarmuutta ja vallanjakoa;</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251</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Michał Wawrykiewicz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6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6 a.</w:t>
            </w:r>
            <w:r w:rsidRPr="008E725B">
              <w:tab/>
            </w:r>
            <w:r w:rsidRPr="008E725B">
              <w:rPr>
                <w:b/>
                <w:i/>
              </w:rPr>
              <w:t>korostaa, että tarvitaan kohdennettuja toimenpiteitä vastavuoroisen tunnustamisen periaatteeseen kohdistuvien uhkien torjumiseksi oikeudellisessa ja hallinnollisessa yhteistyössä sekä rehellisyyden ja luottamuksen säilymisen varmistamiseksi EU:n sisämarkkinoilla; suosittaa, että kaikissa uusissa säädöksissä säädettäisiin tehokkaista mekanismeista, joilla estetään jäsenvaltioiden ja/tai EU:n toimielinten välinen keskinäisen luottamuksen periaatteeseen perustuva yhteistyö tai muutetaan sitä, jos jäsenvaltion todetaan rikkovan vakavasti oikeusvaltioperiaatetta</w:t>
            </w:r>
            <w:r w:rsidRPr="008E725B">
              <w:rPr>
                <w:b/>
                <w:i/>
                <w:vertAlign w:val="superscript"/>
              </w:rPr>
              <w:t>1 a</w:t>
            </w:r>
            <w:r w:rsidRPr="008E725B">
              <w:rPr>
                <w:b/>
                <w:i/>
              </w:rPr>
              <w:t>;</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tc>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1 a</w:t>
            </w:r>
            <w:r w:rsidRPr="008E725B">
              <w:t xml:space="preserve"> </w:t>
            </w:r>
            <w:r w:rsidRPr="008E725B">
              <w:rPr>
                <w:b/>
                <w:i/>
              </w:rPr>
              <w:t xml:space="preserve">Määritetty unionin tuomioistuimen </w:t>
            </w:r>
            <w:r w:rsidRPr="008E725B">
              <w:rPr>
                <w:b/>
                <w:i/>
              </w:rPr>
              <w:lastRenderedPageBreak/>
              <w:t>asiassa C-577/12, Sped-Pro GmbH v. Finanzamt Linz, 23.10.2014 antamassa tuomiossa.</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252</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Marieke Ehlers, Jorge Buxadé Villalba, Tom Vandendriessche, Fabrice Leggeri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6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6 a.</w:t>
            </w:r>
            <w:r w:rsidRPr="008E725B">
              <w:tab/>
            </w:r>
            <w:r w:rsidRPr="008E725B">
              <w:rPr>
                <w:b/>
                <w:i/>
              </w:rPr>
              <w:t>muistuttaa, että ainoastaan kaksi menettelyä on johtanut varhaisvaroitusmekanismin puitteissa asian käsittelyyn unionin tuomioistuimessa eikä asiaa ratkaistu jäsenvaltion hyväksi kummassakaan tapauksessa; toteaa, että tästä syntyy vaikutelma, jonka mukaan unionin tuomioistuin suhtautuu ennakkoluuloisesti jäsenvaltioihin ja suosii komissiota; toteaa, että tällainen yksipuolinen suhtautuminen merkitsisi oikeusvaltion periaatteiden vakavaa rikkomista;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253</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Moritz Körner, Malik Azmani, Dainius Žalimas, Lucia Yar, Fabienne Keller, Sophie Wilmès, Raquel García Hermida-Van Der Walle, Abir Al-Sahlani, Veronika Cifrová Ostrihoňová</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6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6 a.</w:t>
            </w:r>
            <w:r w:rsidRPr="008E725B">
              <w:tab/>
            </w:r>
            <w:r w:rsidRPr="008E725B">
              <w:rPr>
                <w:b/>
                <w:i/>
              </w:rPr>
              <w:t xml:space="preserve">pitää tuomittavana, että korkean tason korruptiotapausten tutkinta ja syytteeseenpano eivät ole edistyneet </w:t>
            </w:r>
            <w:r w:rsidRPr="008E725B">
              <w:rPr>
                <w:b/>
                <w:i/>
              </w:rPr>
              <w:lastRenderedPageBreak/>
              <w:t>lainkaan tietyissä jäsenvaltioissa; korostaa, että lopulliset tuomiot ja pelotteena toimivat seuraamukset ovat välttämättömiä, jotta voidaan osoittaa todellinen sitoutuminen korruption torjuntaan;</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254</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Alessandro Ciriani, Paolo Inselvini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6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6 a.</w:t>
            </w:r>
            <w:r w:rsidRPr="008E725B">
              <w:tab/>
            </w:r>
            <w:r w:rsidRPr="008E725B">
              <w:rPr>
                <w:b/>
                <w:i/>
              </w:rPr>
              <w:t>kehottaa jäsenvaltioita panemaan täytäntöön Euroopan unionin tuomioistuimen tuomiot;</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{IT}</w:t>
      </w:r>
      <w:r w:rsidRPr="008E725B">
        <w:t>it</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255</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7 kohta</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7.</w:t>
            </w:r>
            <w:r w:rsidRPr="008E725B">
              <w:tab/>
            </w:r>
            <w:r w:rsidRPr="008E725B">
              <w:rPr>
                <w:b/>
                <w:i/>
              </w:rPr>
              <w:t>kehottaa jäsenvaltioita edistämään julkisten toimielinten avoimuutta ja tilivelvollisuutta vahvistamalla korruptiontorjuntakehyksiä, varmistamalla riippumattomien valvontaelinten perustamisen, parantamalla väärinkäytösten paljastajien suojelua, kohentamalla lahjomattomuutta koskevia puitteita ja ajamalla tarvittavan lainsäädännön laatimista; pitää valitettavana, ettei korkean tason korruption torjunnassa ole edistytty riittävästi tietyissä jäsenvaltioissa;</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256</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Alessandro Zan, Cecilia Strada, Sandro Ruotolo, Pina Picierno, Marco Tarquinio</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7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7.</w:t>
            </w:r>
            <w:r w:rsidRPr="008E725B">
              <w:tab/>
              <w:t>kehottaa jäsenvaltioita edistämään julkisten toimielinten avoimuutta ja tilivelvollisuutta vahvistamalla korruptiontorjuntakehyksiä, varmistamalla riippumattomien valvontaelinten perustamisen, parantamalla väärinkäytösten paljastajien suojelua, kohentamalla lahjomattomuutta koskevia puitteita ja ajamalla tarvittavan lainsäädännön laatimista; pitää valitettavana, ettei korkean tason korruption torjunnassa ole edistytty riittävästi tietyissä jäsenvaltioissa;</w:t>
            </w:r>
          </w:p>
        </w:tc>
        <w:tc>
          <w:tcPr>
            <w:tcW w:w="4876" w:type="dxa"/>
            <w:tcBorders>
              <w:top w:val="nil"/>
              <w:left w:val="nil"/>
              <w:bottom w:val="nil"/>
              <w:right w:val="nil"/>
            </w:tcBorders>
          </w:tcPr>
          <w:p w:rsidR="005E49C0" w:rsidRPr="008E725B" w:rsidRDefault="005E49C0" w:rsidP="00B5562F">
            <w:pPr>
              <w:pStyle w:val="Normal6a"/>
            </w:pPr>
            <w:r w:rsidRPr="008E725B">
              <w:t>7.</w:t>
            </w:r>
            <w:r w:rsidRPr="008E725B">
              <w:tab/>
              <w:t xml:space="preserve">kehottaa jäsenvaltioita edistämään julkisten toimielinten avoimuutta ja tilivelvollisuutta vahvistamalla korruptiontorjuntakehyksiä, varmistamalla riippumattomien valvontaelinten perustamisen, parantamalla väärinkäytösten paljastajien suojelua, kohentamalla lahjomattomuutta koskevia puitteita ja ajamalla tarvittavan lainsäädännön laatimista; pitää valitettavana, ettei korkean tason korruption torjunnassa ole edistytty riittävästi tietyissä jäsenvaltioissa; </w:t>
            </w:r>
            <w:r w:rsidRPr="008E725B">
              <w:rPr>
                <w:b/>
                <w:i/>
              </w:rPr>
              <w:t>pitää valitettavana, että Italia ei ole pannut täytäntöön komission antamia korruptiota, puolue- ja vaalikampanjarahoituksen sääntöjä ja lobbauksen sääntelyä koskevia suosituksia; huomauttaa, että virka-aseman väärinkäytön poistaminen rikoslaista ja vaikutusvallan kauppaamista koskevan rikoksen määritelmän kaventaminen heikentävät korruptiontorjunta- ja avoimuuskehystä ja ovat myös ristiriidassa korruption torjuntaa koskevien kansainvälisten yleissopimusten kanssa;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257</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Moritz Körner, Hilde Vautmans, Nikola Minchev, Veronika Cifrová Ostrihoňová, Abir Al-Sahlani, Chloé Ridel, Alessandro Zan, Fabienne Keller, Lucia Yar, Irena Joveva, Isabel Wiseler-Lima, Daniel Freund</w:t>
      </w:r>
      <w:r w:rsidRPr="008E725B">
        <w:rPr>
          <w:rStyle w:val="HideTWBExt"/>
          <w:b w:val="0"/>
        </w:rPr>
        <w:t>&lt;/Members&gt;</w:t>
      </w:r>
    </w:p>
    <w:p w:rsidR="005E49C0" w:rsidRPr="008E725B" w:rsidRDefault="005E49C0" w:rsidP="005E49C0">
      <w:r w:rsidRPr="008E725B">
        <w:rPr>
          <w:rStyle w:val="HideTWBExt"/>
        </w:rPr>
        <w:lastRenderedPageBreak/>
        <w:t>&lt;AuNomDe&gt;</w:t>
      </w:r>
      <w:r w:rsidRPr="008E725B">
        <w:rPr>
          <w:rStyle w:val="HideTWBInt"/>
        </w:rPr>
        <w:t>{LIBE}</w:t>
      </w:r>
      <w:r w:rsidRPr="008E725B">
        <w:t>kansalaisvapauksien sekä oikeus- ja sisäasioiden valiokunnan puolesta</w:t>
      </w:r>
      <w:r w:rsidRPr="008E725B">
        <w:rPr>
          <w:rStyle w:val="HideTWBExt"/>
        </w:rPr>
        <w:t>&lt;/AuNomDe&gt;</w:t>
      </w:r>
    </w:p>
    <w:p w:rsidR="005E49C0" w:rsidRPr="008E725B" w:rsidRDefault="005E49C0" w:rsidP="005E49C0">
      <w:pPr>
        <w:pStyle w:val="NormalBold"/>
      </w:pPr>
      <w:r w:rsidRPr="008E725B">
        <w:rPr>
          <w:rStyle w:val="HideTWBExt"/>
          <w:b w:val="0"/>
        </w:rPr>
        <w:t>&lt;Members&gt;</w:t>
      </w:r>
      <w:r w:rsidRPr="008E725B">
        <w:t>Sophie Wilmès</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7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7.</w:t>
            </w:r>
            <w:r w:rsidRPr="008E725B">
              <w:tab/>
              <w:t xml:space="preserve">kehottaa jäsenvaltioita edistämään julkisten toimielinten avoimuutta ja tilivelvollisuutta vahvistamalla </w:t>
            </w:r>
            <w:r w:rsidRPr="008E725B">
              <w:rPr>
                <w:b/>
                <w:i/>
              </w:rPr>
              <w:t>korruptiontorjuntakehyksiä</w:t>
            </w:r>
            <w:r w:rsidRPr="008E725B">
              <w:t>, varmistamalla riippumattomien valvontaelinten perustamisen, parantamalla väärinkäytösten paljastajien suojelua, kohentamalla lahjomattomuutta koskevia puitteita ja ajamalla tarvittavan lainsäädännön laatimista; pitää valitettavana, ettei korkean tason korruption torjunnassa ole edistytty riittävästi tietyissä jäsenvaltioissa;</w:t>
            </w:r>
          </w:p>
        </w:tc>
        <w:tc>
          <w:tcPr>
            <w:tcW w:w="4876" w:type="dxa"/>
            <w:tcBorders>
              <w:top w:val="nil"/>
              <w:left w:val="nil"/>
              <w:bottom w:val="nil"/>
              <w:right w:val="nil"/>
            </w:tcBorders>
          </w:tcPr>
          <w:p w:rsidR="005E49C0" w:rsidRPr="008E725B" w:rsidRDefault="005E49C0" w:rsidP="00B5562F">
            <w:pPr>
              <w:pStyle w:val="Normal6a"/>
            </w:pPr>
            <w:r w:rsidRPr="008E725B">
              <w:t>7.</w:t>
            </w:r>
            <w:r w:rsidRPr="008E725B">
              <w:tab/>
              <w:t xml:space="preserve">kehottaa jäsenvaltioita edistämään julkisten toimielinten avoimuutta ja tilivelvollisuutta vahvistamalla </w:t>
            </w:r>
            <w:r w:rsidRPr="008E725B">
              <w:rPr>
                <w:b/>
                <w:i/>
              </w:rPr>
              <w:t>korruption torjuntaa ja lahjomattomuutta koskevia oikeudellisia kehyksiä ja raportointiprosesseja korruptiotapausten, myös korkean tason korruptiotapausten, tehokkaan tutkinnan ja syytteeseenpanon varmistamiseksi ja kiinnittämällä erityistä huomiota suuririskisiin alueisiin, kuten satamiin tai maarajoihin</w:t>
            </w:r>
            <w:r w:rsidRPr="008E725B">
              <w:t>, varmistamalla riippumattomien valvontaelinten perustamisen, parantamalla väärinkäytösten paljastajien suojelua, kohentamalla lahjomattomuutta koskevia puitteita ja ajamalla tarvittavan lainsäädännön laatimista; pitää valitettavana, ettei korkean tason korruption torjunnassa ole edistytty riittävästi tietyissä jäsenvaltioissa;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258</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Daniel Freund, Jaume Asens Llodrà, Vicent Marzà Ibáñez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7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7.</w:t>
            </w:r>
            <w:r w:rsidRPr="008E725B">
              <w:tab/>
              <w:t xml:space="preserve">kehottaa jäsenvaltioita edistämään julkisten toimielinten avoimuutta ja tilivelvollisuutta vahvistamalla korruptiontorjuntakehyksiä, varmistamalla riippumattomien valvontaelinten perustamisen, parantamalla väärinkäytösten paljastajien suojelua, </w:t>
            </w:r>
            <w:r w:rsidRPr="008E725B">
              <w:lastRenderedPageBreak/>
              <w:t>kohentamalla lahjomattomuutta koskevia puitteita ja ajamalla tarvittavan lainsäädännön laatimista; pitää valitettavana, ettei korkean tason korruption torjunnassa ole edistytty riittävästi tietyissä jäsenvaltioissa;</w:t>
            </w:r>
          </w:p>
        </w:tc>
        <w:tc>
          <w:tcPr>
            <w:tcW w:w="4876" w:type="dxa"/>
            <w:tcBorders>
              <w:top w:val="nil"/>
              <w:left w:val="nil"/>
              <w:bottom w:val="nil"/>
              <w:right w:val="nil"/>
            </w:tcBorders>
          </w:tcPr>
          <w:p w:rsidR="005E49C0" w:rsidRPr="008E725B" w:rsidRDefault="005E49C0" w:rsidP="00B5562F">
            <w:pPr>
              <w:pStyle w:val="Normal6a"/>
            </w:pPr>
            <w:r w:rsidRPr="008E725B">
              <w:lastRenderedPageBreak/>
              <w:t>7.</w:t>
            </w:r>
            <w:r w:rsidRPr="008E725B">
              <w:tab/>
              <w:t xml:space="preserve">kehottaa jäsenvaltioita edistämään julkisten toimielinten avoimuutta ja tilivelvollisuutta vahvistamalla korruptiontorjuntakehyksiä, varmistamalla riippumattomien valvontaelinten perustamisen </w:t>
            </w:r>
            <w:r w:rsidRPr="008E725B">
              <w:rPr>
                <w:b/>
                <w:i/>
              </w:rPr>
              <w:t xml:space="preserve">ja olemassa olevien virastojen riippumattomuuden ja </w:t>
            </w:r>
            <w:r w:rsidRPr="008E725B">
              <w:rPr>
                <w:b/>
                <w:i/>
              </w:rPr>
              <w:lastRenderedPageBreak/>
              <w:t>asianmukaisen toiminnan</w:t>
            </w:r>
            <w:r w:rsidRPr="008E725B">
              <w:t>, parantamalla väärinkäytösten paljastajien suojelua, kohentamalla lahjomattomuutta koskevia puitteita ja ajamalla tarvittavan lainsäädännön laatimista; pitää valitettavana, ettei korkean tason korruption</w:t>
            </w:r>
            <w:r w:rsidRPr="008E725B">
              <w:rPr>
                <w:b/>
                <w:i/>
              </w:rPr>
              <w:t>, mukaan lukien julkisiin hankintamenettelyihin liittyvä korruptio,</w:t>
            </w:r>
            <w:r w:rsidRPr="008E725B">
              <w:t xml:space="preserve"> torjunnassa ole edistytty riittävästi tietyissä jäsenvaltioissa;</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259</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Jorge Buxadé Villalba, Malika Sorel, Fabrice Leggeri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7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7.</w:t>
            </w:r>
            <w:r w:rsidRPr="008E725B">
              <w:tab/>
              <w:t>kehottaa jäsenvaltioita edistämään julkisten toimielinten avoimuutta ja tilivelvollisuutta vahvistamalla korruptiontorjuntakehyksiä, varmistamalla riippumattomien valvontaelinten perustamisen, parantamalla väärinkäytösten paljastajien suojelua, kohentamalla lahjomattomuutta koskevia puitteita ja ajamalla tarvittavan lainsäädännön laatimista; pitää valitettavana, ettei korkean tason korruption torjunnassa ole edistytty riittävästi tietyissä jäsenvaltioissa;</w:t>
            </w:r>
          </w:p>
        </w:tc>
        <w:tc>
          <w:tcPr>
            <w:tcW w:w="4876" w:type="dxa"/>
            <w:tcBorders>
              <w:top w:val="nil"/>
              <w:left w:val="nil"/>
              <w:bottom w:val="nil"/>
              <w:right w:val="nil"/>
            </w:tcBorders>
          </w:tcPr>
          <w:p w:rsidR="005E49C0" w:rsidRPr="008E725B" w:rsidRDefault="005E49C0" w:rsidP="00B5562F">
            <w:pPr>
              <w:pStyle w:val="Normal6a"/>
            </w:pPr>
            <w:r w:rsidRPr="008E725B">
              <w:t>7.</w:t>
            </w:r>
            <w:r w:rsidRPr="008E725B">
              <w:tab/>
              <w:t xml:space="preserve">kehottaa jäsenvaltioita edistämään julkisten toimielinten avoimuutta ja tilivelvollisuutta vahvistamalla korruptiontorjuntakehyksiä, varmistamalla riippumattomien valvontaelinten perustamisen, parantamalla väärinkäytösten paljastajien suojelua, kohentamalla lahjomattomuutta koskevia puitteita ja ajamalla tarvittavan lainsäädännön laatimista; pitää valitettavana, ettei korkean tason korruption torjunnassa ole edistytty riittävästi tietyissä jäsenvaltioissa </w:t>
            </w:r>
            <w:r w:rsidRPr="008E725B">
              <w:rPr>
                <w:b/>
                <w:i/>
              </w:rPr>
              <w:t>ja että korruptiotapauksissa osallisina olleiden korkean tason virkamiesten osalta on sovellettu yleistä armahdusta koskevia lakeja tai armahdusta</w:t>
            </w:r>
            <w:r w:rsidRPr="008E725B">
              <w:t>;</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260</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lastRenderedPageBreak/>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7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7.</w:t>
            </w:r>
            <w:r w:rsidRPr="008E725B">
              <w:tab/>
              <w:t xml:space="preserve">kehottaa </w:t>
            </w:r>
            <w:r w:rsidRPr="008E725B">
              <w:rPr>
                <w:b/>
                <w:i/>
              </w:rPr>
              <w:t>jäsenvaltioita</w:t>
            </w:r>
            <w:r w:rsidRPr="008E725B">
              <w:t xml:space="preserve"> edistämään </w:t>
            </w:r>
            <w:r w:rsidRPr="008E725B">
              <w:rPr>
                <w:b/>
                <w:i/>
              </w:rPr>
              <w:t>julkisten</w:t>
            </w:r>
            <w:r w:rsidRPr="008E725B">
              <w:t xml:space="preserve"> toimielinten avoimuutta ja tilivelvollisuutta vahvistamalla korruptiontorjuntakehyksiä, varmistamalla riippumattomien valvontaelinten perustamisen, </w:t>
            </w:r>
            <w:r w:rsidRPr="008E725B">
              <w:rPr>
                <w:b/>
                <w:i/>
              </w:rPr>
              <w:t>parantamalla väärinkäytösten paljastajien suojelua,</w:t>
            </w:r>
            <w:r w:rsidRPr="008E725B">
              <w:t xml:space="preserve"> kohentamalla lahjomattomuutta koskevia puitteita ja ajamalla tarvittavan lainsäädännön laatimista; pitää valitettavana, ettei korkean tason korruption torjunnassa ole edistytty riittävästi </w:t>
            </w:r>
            <w:r w:rsidRPr="008E725B">
              <w:rPr>
                <w:b/>
                <w:i/>
              </w:rPr>
              <w:t>tietyissä jäsenvaltioissa</w:t>
            </w:r>
            <w:r w:rsidRPr="008E725B">
              <w:t>;</w:t>
            </w:r>
          </w:p>
        </w:tc>
        <w:tc>
          <w:tcPr>
            <w:tcW w:w="4876" w:type="dxa"/>
            <w:tcBorders>
              <w:top w:val="nil"/>
              <w:left w:val="nil"/>
              <w:bottom w:val="nil"/>
              <w:right w:val="nil"/>
            </w:tcBorders>
          </w:tcPr>
          <w:p w:rsidR="005E49C0" w:rsidRPr="008E725B" w:rsidRDefault="005E49C0" w:rsidP="00B5562F">
            <w:pPr>
              <w:pStyle w:val="Normal6a"/>
            </w:pPr>
            <w:r w:rsidRPr="008E725B">
              <w:t>7.</w:t>
            </w:r>
            <w:r w:rsidRPr="008E725B">
              <w:tab/>
              <w:t xml:space="preserve">kehottaa </w:t>
            </w:r>
            <w:r w:rsidRPr="008E725B">
              <w:rPr>
                <w:b/>
                <w:i/>
              </w:rPr>
              <w:t>komissiota</w:t>
            </w:r>
            <w:r w:rsidRPr="008E725B">
              <w:t xml:space="preserve"> edistämään </w:t>
            </w:r>
            <w:r w:rsidRPr="008E725B">
              <w:rPr>
                <w:b/>
                <w:i/>
              </w:rPr>
              <w:t>EU:n</w:t>
            </w:r>
            <w:r w:rsidRPr="008E725B">
              <w:t xml:space="preserve"> toimielinten avoimuutta ja tilivelvollisuutta vahvistamalla korruptiontorjuntakehyksiä, varmistamalla riippumattomien valvontaelinten perustamisen, kohentamalla lahjomattomuutta koskevia puitteita ja ajamalla tarvittavan lainsäädännön laatimista; pitää valitettavana, ettei korkean tason korruption torjunnassa ole edistytty riittävästi </w:t>
            </w:r>
            <w:r w:rsidRPr="008E725B">
              <w:rPr>
                <w:b/>
                <w:i/>
              </w:rPr>
              <w:t>EU:n toimielimissä</w:t>
            </w:r>
            <w:r w:rsidRPr="008E725B">
              <w:t>;</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261</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7 kohta</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7.</w:t>
            </w:r>
            <w:r w:rsidRPr="008E725B">
              <w:tab/>
              <w:t>kehottaa jäsenvaltioita edistämään julkisten toimielinten avoimuutta ja tilivelvollisuutta vahvistamalla korruptiontorjuntakehyksiä, varmistamalla riippumattomien valvontaelinten perustamisen, parantamalla väärinkäytösten paljastajien suojelua, kohentamalla lahjomattomuutta koskevia puitteita ja ajamalla tarvittavan lainsäädännön laatimista; pitää valitettavana, ettei korkean tason korruption torjunnassa ole edistytty riittävästi tietyissä jäsenvaltioissa;</w:t>
            </w:r>
          </w:p>
        </w:tc>
        <w:tc>
          <w:tcPr>
            <w:tcW w:w="4876" w:type="dxa"/>
            <w:tcBorders>
              <w:top w:val="nil"/>
              <w:left w:val="nil"/>
              <w:bottom w:val="nil"/>
              <w:right w:val="nil"/>
            </w:tcBorders>
          </w:tcPr>
          <w:p w:rsidR="005E49C0" w:rsidRPr="008E725B" w:rsidRDefault="005E49C0" w:rsidP="00B5562F">
            <w:pPr>
              <w:pStyle w:val="Normal6a"/>
            </w:pPr>
            <w:r w:rsidRPr="008E725B">
              <w:t>7.</w:t>
            </w:r>
            <w:r w:rsidRPr="008E725B">
              <w:tab/>
              <w:t>kehottaa jäsenvaltioita edistämään julkisten toimielinten avoimuutta ja tilivelvollisuutta vahvistamalla korruptiontorjuntakehyksiä, varmistamalla riippumattomien valvontaelinten perustamisen, parantamalla väärinkäytösten paljastajien suojelua, kohentamalla lahjomattomuutta koskevia puitteita ja ajamalla tarvittavan lainsäädännön laatimista; pitää valitettavana, ettei korkean tason korruption torjunnassa ole edistytty riittävästi tietyissä jäsenvaltioissa</w:t>
            </w:r>
            <w:r w:rsidRPr="008E725B">
              <w:rPr>
                <w:b/>
                <w:i/>
              </w:rPr>
              <w:t xml:space="preserve"> ja EU:n toimielimissä</w:t>
            </w:r>
            <w:r w:rsidRPr="008E725B">
              <w:t>;</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lastRenderedPageBreak/>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262</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Michał Wawrykiewicz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7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7.</w:t>
            </w:r>
            <w:r w:rsidRPr="008E725B">
              <w:tab/>
              <w:t xml:space="preserve">kehottaa jäsenvaltioita edistämään julkisten toimielinten avoimuutta ja tilivelvollisuutta vahvistamalla korruptiontorjuntakehyksiä, </w:t>
            </w:r>
            <w:r w:rsidRPr="008E725B">
              <w:rPr>
                <w:b/>
                <w:i/>
              </w:rPr>
              <w:t>varmistamalla riippumattomien valvontaelinten perustamisen</w:t>
            </w:r>
            <w:r w:rsidRPr="008E725B">
              <w:t>, parantamalla väärinkäytösten paljastajien suojelua, kohentamalla lahjomattomuutta koskevia puitteita ja ajamalla tarvittavan lainsäädännön laatimista; pitää valitettavana, ettei korkean tason korruption torjunnassa ole edistytty riittävästi tietyissä jäsenvaltioissa;</w:t>
            </w:r>
          </w:p>
        </w:tc>
        <w:tc>
          <w:tcPr>
            <w:tcW w:w="4876" w:type="dxa"/>
            <w:tcBorders>
              <w:top w:val="nil"/>
              <w:left w:val="nil"/>
              <w:bottom w:val="nil"/>
              <w:right w:val="nil"/>
            </w:tcBorders>
          </w:tcPr>
          <w:p w:rsidR="005E49C0" w:rsidRPr="008E725B" w:rsidRDefault="005E49C0" w:rsidP="00B5562F">
            <w:pPr>
              <w:pStyle w:val="Normal6a"/>
            </w:pPr>
            <w:r w:rsidRPr="008E725B">
              <w:t>7.</w:t>
            </w:r>
            <w:r w:rsidRPr="008E725B">
              <w:tab/>
              <w:t xml:space="preserve">kehottaa jäsenvaltioita edistämään julkisten toimielinten avoimuutta ja tilivelvollisuutta vahvistamalla korruptiontorjuntakehyksiä, </w:t>
            </w:r>
            <w:r w:rsidRPr="008E725B">
              <w:rPr>
                <w:b/>
                <w:i/>
              </w:rPr>
              <w:t>vahvistamalla valvontamekanismeja ja -elimiä</w:t>
            </w:r>
            <w:r w:rsidRPr="008E725B">
              <w:t>, varmistamalla riippumattomien valvontaelinten perustamisen, parantamalla väärinkäytösten paljastajien suojelua, kohentamalla lahjomattomuutta koskevia puitteita ja ajamalla tarvittavan lainsäädännön laatimista; pitää valitettavana, ettei korkean tason korruption torjunnassa ole edistytty riittävästi tietyissä jäsenvaltioissa;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263</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Chloé Ridel, Emma Rafowicz, Sandro Ruotolo, Eric Sargiacomo, Michał Wawrykiewicz, Alessandro Zan, Giuseppe Antoci, Klára Dobrev, Csaba Molnár, Bruno Gonçalves, Nora Mebarek, Raphaël Glucksmann, Nikola Minchev, Estelle Ceulemans, Krzysztof Śmiszek, Raquel García Hermida-Van Der Walle, Marta Wcisło, Daniel Freund, Birgit Sippel, Katarina Barley, David Casa, Evin Incir, Matjaž Nemec, Sophie Wilmès</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7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7 a.</w:t>
            </w:r>
            <w:r w:rsidRPr="008E725B">
              <w:tab/>
            </w:r>
            <w:r w:rsidRPr="008E725B">
              <w:rPr>
                <w:b/>
                <w:i/>
              </w:rPr>
              <w:t xml:space="preserve">muistuttaa, että korruptio on vakava uhka demokratialle, perusoikeuksille ja oikeusvaltioperiaatteelle; korostaa, että korruptio heikentää kansalaisten luottamusta julkisiin toimielimiin; pitää valitettavana, että vuonna 2024 tehdyn </w:t>
            </w:r>
            <w:r w:rsidRPr="008E725B">
              <w:rPr>
                <w:b/>
                <w:i/>
              </w:rPr>
              <w:lastRenderedPageBreak/>
              <w:t>korruptiota koskevan eurobarometritutkimuksen mukaan korruptio on EU:n kansalaisille ja yrityksille edelleen vakava huolenaihe, sillä 68 prosenttia kansalaisista arvelee korruption olevan yleistä heidän kotimaassaan, 65 prosenttia katsoo, että korkean tason korruptiotapauksiin ei paneuduta riittävästi, ja 41 prosenttia arvelee, että korruptio on lisääntynyt; katsoo, että EU:n on tämän vuoksi tehostettava korruptiontorjuntatoimiaan;</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264</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Javier Zarzalejos</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7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7 a.</w:t>
            </w:r>
            <w:r w:rsidRPr="008E725B">
              <w:tab/>
            </w:r>
            <w:r w:rsidRPr="008E725B">
              <w:rPr>
                <w:b/>
                <w:i/>
              </w:rPr>
              <w:t>kehottaa jäsenvaltioiden lainsäädäntövallan ja toimeenpanovallan käyttäjiä pidättymään julkisista lausunnoista, jotka voivat heikentää kansalaisten luottamusta oikeuslaitokseen; muistuttaa, että komissio on aiemmissa kertomuksissa varoittanut tällaisten lausuntojen vaikuttavan haitallisesti kansalaisten käsitykseen oikeuslaitoksen riippumattomuudesta; korostaa, että tämä heikkeneminen on erityisen huolestuttavaa, kun arvostelevia lausuntoja esittävät lainsäädäntövallan ja toimeenpanovallan käyttäjät; korostaa, että kaikkien hallinnonalojen velvollisuutena on edistää ja ylläpitää kansalaisten luottamusta perustuslaillisiin elimiin, myös oikeuslaitoksen riippumattomuuteen;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lastRenderedPageBreak/>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265</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Isabel Serra Sánchez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7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7 a.</w:t>
            </w:r>
            <w:r w:rsidRPr="008E725B">
              <w:tab/>
            </w:r>
            <w:r w:rsidRPr="008E725B">
              <w:rPr>
                <w:b/>
                <w:i/>
              </w:rPr>
              <w:t>toteaa, että valtiollisten ja valtiosta riippumattomien toimijoiden rikkomuksia ihmisoikeuksien puolustajia vastaan ei ole tutkittu tehokkaasti, ja painottaa sen olevan edelleen merkittävä huolenaihe; pitää tuomittavana, että kansalliseen ja yleiseen turvallisuuteen liittyvät huolenaiheet ovat joidenkin hallitusten näkemyksen mukaan ensisijaisia ihmisoikeuksiin nähden; on huolissaan valtiollisten toimijoiden harjoittamasta ihmisoikeuksien puolustajien ja poliittisten vastustajien oikeudellisesta häirinnästä, syytteeseen asettamisesta, häiritsevästä valvonnasta ja seurannasta; tuomitsee valtiollisten toimijoiden harjoittaman poliittisten vastustajien vakoilun Espanjassa;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266</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Mary Khan, Christine Anderson, Milan Uhrík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7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7 a.</w:t>
            </w:r>
            <w:r w:rsidRPr="008E725B">
              <w:tab/>
            </w:r>
            <w:r w:rsidRPr="008E725B">
              <w:rPr>
                <w:b/>
                <w:i/>
              </w:rPr>
              <w:t xml:space="preserve">pitää valitettavana, että jäsenvaltioiden hallitusten käymä ”oikeussota” eli oikeusjärjestelmän järjestelmällinen hyödyntäminen toimeenpanovallan käyttäjien suojaamiseen kansalaisten arvostelulta, on jätetty räikeästi huomiotta; </w:t>
            </w:r>
            <w:r w:rsidRPr="008E725B">
              <w:rPr>
                <w:b/>
                <w:i/>
              </w:rPr>
              <w:lastRenderedPageBreak/>
              <w:t>huomauttaa erityisesti Saksan hallituksen loukanneen sananvapautta, sillä liittovaltion talousministeri Robert Habeck on yksinään tehnyt yli 800 rikosilmoitusta toimikautensa aikana;</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267</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7 a kohta (uusi)</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7 a.</w:t>
            </w:r>
            <w:r w:rsidRPr="008E725B">
              <w:tab/>
            </w:r>
            <w:r w:rsidRPr="008E725B">
              <w:rPr>
                <w:b/>
                <w:i/>
              </w:rPr>
              <w:t>ilmaisee syvän huolensa siitä, että Qatargate-tapauksen tutkimisessa ei ole edistytty, ja myös siitä, että tiedotusvälineiden paljastamat muut skandaalit on lakaistu maton alle, muun muassa kysymykset komission puheenjohtajan osallistumisesta covid-19-rokotteiden hankintaan, sekä unionin tuomioistuimen tuomareilla havaituista eturistiriidoista ja vaikutusvallan kaupustelusta sekä Euroopan tilintarkastustuomioistuimen jäseniin liittyvistä sääntöjenvastaisuuksista;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268</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Jorge Buxadé Villalba, Marieke Ehlers, Malika Sorel, Fabrice Leggeri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7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7 a.</w:t>
            </w:r>
            <w:r w:rsidRPr="008E725B">
              <w:tab/>
            </w:r>
            <w:r w:rsidRPr="008E725B">
              <w:rPr>
                <w:b/>
                <w:i/>
              </w:rPr>
              <w:t xml:space="preserve">panee huolestuneena merkille niin sanotussa ”vihreään lobbaukseen” liittyvässä skandaalissa äskettäin ilmi </w:t>
            </w:r>
            <w:r w:rsidRPr="008E725B">
              <w:rPr>
                <w:b/>
                <w:i/>
              </w:rPr>
              <w:lastRenderedPageBreak/>
              <w:t>tulleet tiedot siitä, että komissio on EU:n varoja käyttäen puuttunut EU:n lainsäätäjien toimintaan ja pyrkinyt saamaan tukea Euroopan vihreän kehityksen ohjelmalle; vaatii tässä yhteydessä, että tapaus on tutkittava perusteellisesti ja kaikki aiheettomasti käytetyt veronmaksajien rahat on perittävä takaisin;</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269</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Lukas Mandl, Hannes Heide</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7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7 a.</w:t>
            </w:r>
            <w:r w:rsidRPr="008E725B">
              <w:tab/>
            </w:r>
            <w:r w:rsidRPr="008E725B">
              <w:rPr>
                <w:b/>
                <w:i/>
              </w:rPr>
              <w:t>toteaa, että monissa jäsenvaltioissa notaarien tehtävänä on hoitaa toiminnallisesti tuomioistuintehtäviä; katsoo, että notaarien osuutta oikeusvaltionormeihin olisi käsiteltävä tulevien vuosien oikeusvaltiokertomusten maakohtaisissa luvuissa, joita asia koskee;</w:t>
            </w:r>
            <w:r w:rsidRPr="008E725B">
              <w:rPr>
                <w:b/>
                <w:i/>
                <w:vertAlign w:val="superscript"/>
              </w:rPr>
              <w:t>1 a</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tc>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1 a</w:t>
            </w:r>
            <w:r w:rsidRPr="008E725B">
              <w:t xml:space="preserve"> </w:t>
            </w:r>
            <w:r w:rsidRPr="008E725B">
              <w:rPr>
                <w:b/>
                <w:i/>
              </w:rPr>
              <w:t>Ks. 28. helmikuuta 2024 annettu Euroopan parlamentin päätöslauselma komission vuoden 2023 oikeusvaltiota koskevasta vuosikertomuksesta (2023/2113(INI)).</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270</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Tomáš Zdechovský</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7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lastRenderedPageBreak/>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7 a.</w:t>
            </w:r>
            <w:r w:rsidRPr="008E725B">
              <w:tab/>
            </w:r>
            <w:r w:rsidRPr="008E725B">
              <w:rPr>
                <w:b/>
                <w:i/>
              </w:rPr>
              <w:t>toteaa, että Euroopan syyttäjänvirasto (EPPO) hoitaa menestyksekkäästi korruption torjuntaan liittyviä tehtäviään jäsenvaltioissa; kannattaa EPPOn seuranta- ja koordinointivaltuuksien vahvistamista, jotta se kykenisi paremmin tekemään korruptionvastaista työtä jäsenvaltioissa;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271</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Michał Wawrykiewicz, Ana Catarina Mendes, Moritz Körner, Sophie Wilmès</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7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7 a.</w:t>
            </w:r>
            <w:r w:rsidRPr="008E725B">
              <w:tab/>
            </w:r>
            <w:r w:rsidRPr="008E725B">
              <w:rPr>
                <w:b/>
                <w:i/>
              </w:rPr>
              <w:t>kehottaa kaikkia Euroopan syyttäjänviraston (EPPO) ulkopuolelle jääneitä jäsenvaltioita liittymään EPPOon korruption torjunnan tehostamiseksi, erityisesti EU:n varojen suojan parantamiseksi;</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272</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Daniel Freund, Isabel Serra Sánchez, Cecilia Strada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7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7 a.</w:t>
            </w:r>
            <w:r w:rsidRPr="008E725B">
              <w:tab/>
            </w:r>
            <w:r w:rsidRPr="008E725B">
              <w:rPr>
                <w:b/>
                <w:i/>
              </w:rPr>
              <w:t xml:space="preserve">on tyytyväinen sopimukseen toimielinten välisen eettisen elimen </w:t>
            </w:r>
            <w:r w:rsidRPr="008E725B">
              <w:rPr>
                <w:b/>
                <w:i/>
              </w:rPr>
              <w:lastRenderedPageBreak/>
              <w:t>perustamisesta; kehottaa kaikkia eettisen elimen ulkopuolelle jääneitä EU:n toimielimiä ja neuvoa-antavia elimiä liittymään mukaan; odottaa eettisen elimen ensimmäistä vuosikertomusta;</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273</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Romana Tomc</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7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7 a.</w:t>
            </w:r>
            <w:r w:rsidRPr="008E725B">
              <w:tab/>
            </w:r>
            <w:r w:rsidRPr="008E725B">
              <w:rPr>
                <w:b/>
                <w:i/>
              </w:rPr>
              <w:t>kehottaa komissiota lisäämään kaikkien asiakirjojensa, tapaamistensa ja kokoustensa avoimuutta ja niihin liittyvää tilivelvollisuutta erityisesti yhteyksissä kansallisiin korkean tason toimijoihin;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274</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Chloé Ridel, Emma Rafowicz, Sandro Ruotolo, Eric Sargiacomo, Michał Wawrykiewicz, Alessandro Zan, Giuseppe Antoci, Klára Dobrev, Csaba Molnár, Bruno Gonçalves, Nora Mebarek, Raphaël Glucksmann, Nikola Minchev, Estelle Ceulemans, Krzysztof Śmiszek, Daniel Freund, Birgit Sippel, Katarina Barley, David Casa, Evin Incir, Matjaž Nemec</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7 b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7 b.</w:t>
            </w:r>
            <w:r w:rsidRPr="008E725B">
              <w:tab/>
            </w:r>
            <w:r w:rsidRPr="008E725B">
              <w:rPr>
                <w:b/>
                <w:i/>
              </w:rPr>
              <w:t xml:space="preserve">suhtautuu myönteisesti korruption torjuntaa koskevaan komission direktiiviehdotukseen, jolla yhdenmukaistetaan julkisen ja yksityisen sektorin korruptiorikosten määritelmiä ja vastaavia seuraamuksia; korostaa, että direktiivissä olevaan rangaistavien korruptioon liittyvien rikosten luetteloon </w:t>
            </w:r>
            <w:r w:rsidRPr="008E725B">
              <w:rPr>
                <w:b/>
                <w:i/>
              </w:rPr>
              <w:lastRenderedPageBreak/>
              <w:t>olisi lisättävä laiton poliittinen rahoitus; on tyytyväinen, että korruption torjuntaa koskevaan direktiiviin on otettu mukaan ennalta ehkäisevät toimenpiteet ja koulutus, kuten eturistiriitojen ilmoittamista ja hallintaa koskevat toimivat säännöt, avoin pääsy tietoihin sekä yksityisen ja julkisen sektorin vuorovaikutusta koskevat toimivat säännöt; kehottaa jäsenvaltioita myös ottamaan käyttöön pyöröovi-ilmiötä koskevat toimivat säännöt, laatimaan virkamiehiä koskevat käytännesäännöt, ottamaan käyttöön julkisen lainsäädäntöjalanjäljen ja varmistamaan vaaleilla valittavien virkamiesten tehtävään ehdolla olevien henkilöiden ja poliittisten puolueiden rahoituksen läpinäkyvyyden; pitää myönteisenä, että lähes kaikilla jäsenvaltioilla on nyt käytössä korruptiontorjuntastrategia; pitää kuitenkin valitettavana, että strategioiden täytäntöönpano ja tehokkuus vaihtelee; kehottaa jäsenvaltioita, joilla ei vielä ole korruptiontorjuntastrategiaa, laatimaan ja panemaan täytäntöön vankan ja tehokkaan strategian yhteistyössä kansalaisyhteiskunnan kanssa; korostaa korruption uhrien tunnistamisen, tiedonsaannin, uhrien edustamisen ja koordinoinnin merkitystä; kehottaa jäsenvaltioita suojelemaan korruption uhreja, antamaan heille mahdollisuus esittää näkemyksensä ja huolenaiheensa ja tarkastelemaan niitä asianmukaisissa rikosoikeudellisen menettelyn vaiheissa; kehottaa jäsenvaltioita varmistamaan, että korruption uhreilla on oikeus riittävään ja oikeasuhteiseen korvaukseen;</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275</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 xml:space="preserve">Ana Catarina Mendes, Chloé Ridel, Sandro Ruotolo, Francisco Assis, Hannes Heide, Pina Picierno, Matjaž Nemec, Emma Rafowicz, Krzysztof Śmiszek, Katarina Barley, </w:t>
      </w:r>
      <w:r w:rsidRPr="008E725B">
        <w:lastRenderedPageBreak/>
        <w:t>Evin Incir, Juan Fernando López Aguilar, Nacho Sánchez Amor, Marco Tarquinio, Javier Moreno Sánchez, Alessandro Zan, Daniel Freund, Michał Wawrykiewicz, Cecilia Strada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7 b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7 b.</w:t>
            </w:r>
            <w:r w:rsidRPr="008E725B">
              <w:tab/>
            </w:r>
            <w:r w:rsidRPr="008E725B">
              <w:rPr>
                <w:b/>
                <w:i/>
              </w:rPr>
              <w:t>toteaa, että Euroopan syyttäjänvirastolla (EPPO) on tärkeä rooli oikeusvaltioperiaatteen turvaamisessa ja korruption torjunnassa unionissa, ja kannustaa komissiota seuraamaan myöhemmissä kertomuksissa tiiviisti jäsenvaltioiden ja EPPOn välillä tehtävää yhteistyötä erityisesti toimivaltariitojen ratkaisemisen ja korruptiorikosten osalta;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276</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Jorge Buxadé Villalba, Marieke Ehlers, Malika Sorel, Fabrice Leggeri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7 b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7 b.</w:t>
            </w:r>
            <w:r w:rsidRPr="008E725B">
              <w:tab/>
            </w:r>
            <w:r w:rsidRPr="008E725B">
              <w:rPr>
                <w:b/>
                <w:i/>
              </w:rPr>
              <w:t>pitää valitettavana, että komissio hyväksyi entisen komission jäsenen Thierry Bretonin työskentelyn Bank of America -pankissa huolimatta kahden vuoden karenssiajasta; kehottaa tässä yhteydessä parantamaan komission jäsenten toimintasääntöjen soveltamista pyöröovi-ilmiön haitallisten vaikutusten estämiseksi;</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277</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lastRenderedPageBreak/>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7 b kohta (uusi)</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7 b.</w:t>
            </w:r>
            <w:r w:rsidRPr="008E725B">
              <w:tab/>
            </w:r>
            <w:r w:rsidRPr="008E725B">
              <w:rPr>
                <w:b/>
                <w:i/>
              </w:rPr>
              <w:t>kehottaa komissiota tekemään tiivistä yhteistyötä Belgian viranomaisten kanssa asiassa, joka koskee entistä oikeusasioista vastaavaa komission jäsentä, jota epäillään rahanpesusta; kehottaa komissiota tutkimaan itse kaikki Reyndersin eturistiriidat, jotka ovat saattaneet vaikuttaa siihen, miten hän on hoitanut tehtävänsä;</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278</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Cecilia Strada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7 c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7 c.</w:t>
            </w:r>
            <w:r w:rsidRPr="008E725B">
              <w:tab/>
            </w:r>
            <w:r w:rsidRPr="008E725B">
              <w:rPr>
                <w:b/>
                <w:i/>
              </w:rPr>
              <w:t xml:space="preserve">suhtautuu myönteisesti korruption torjuntaa koskevaan komission direktiiviehdotukseen, jolla yhdenmukaistetaan julkisen ja yksityisen sektorin korruptiorikosten määritelmiä ja vastaavia seuraamuksia; korostaa, että direktiivissä olevaan rangaistavien korruptioon liittyvien rikosten luetteloon olisi lisättävä laiton poliittinen rahoitus; on tyytyväinen, että korruption torjuntaa koskevaan direktiiviin on otettu mukaan ennalta ehkäisevät toimenpiteet ja koulutus, kuten eturistiriitojen ilmoittamista ja hallintaa koskevat toimivat säännöt, avoin pääsy tietoihin sekä yksityisen ja julkisen sektorin vuorovaikutusta koskevat toimivat </w:t>
            </w:r>
            <w:r w:rsidRPr="008E725B">
              <w:rPr>
                <w:b/>
                <w:i/>
              </w:rPr>
              <w:lastRenderedPageBreak/>
              <w:t>säännöt; kehottaa jäsenvaltioita myös ottamaan käyttöön pyöröovi-ilmiötä koskevat toimivat säännöt, laatimaan virkamiehiä koskevat käytännesäännöt, ottamaan käyttöön julkisen lainsäädäntöjalanjäljen ja varmistamaan vaaleilla valittavien virkamiesten tehtävään ehdolla olevien henkilöiden ja poliittisten puolueiden rahoituksen läpinäkyvyyden; pitää myönteisenä, että lähes kaikilla jäsenvaltioilla on nyt käytössä korruptiontorjuntastrategia; pitää kuitenkin valitettavana, että strategioiden täytäntöönpano ja tehokkuus vaihtelee; kehottaa jäsenvaltioita, joilla ei vielä ole korruptiontorjuntastrategiaa, laatimaan ja panemaan täytäntöön vankan ja tehokkaan strategian yhteistyössä kansalaisyhteiskunnan kanssa; korostaa korruption uhrien tunnistamisen, tiedonsaannin, uhrien edustamisen ja koordinoinnin merkitystä; kehottaa jäsenvaltioita suojelemaan korruption uhreja, antamaan heille mahdollisuus esittää näkemyksensä ja huolenaiheensa ja tarkastelemaan niitä asianmukaisissa rikosoikeudellisen menettelyn vaiheissa; kehottaa jäsenvaltioita varmistamaan, että korruption uhreilla on oikeus riittävään ja oikeasuhteiseen korvaukseen;</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279</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Chloé Ridel, Emma Rafowicz, Sandro Ruotolo, Eric Sargiacomo, Alessandro Zan, Giuseppe Antoci, Klára Dobrev, Csaba Molnár, Bruno Gonçalves, Nora Mebarek, Raphaël Glucksmann, Nikola Minchev, Estelle Ceulemans, Krzysztof Śmiszek, Raquel García Hermida-Van Der Walle, Birgit Sippel, Katarina Barley, David Casa, Evin Incir, Matjaž Nemec</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7 c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7 c.</w:t>
            </w:r>
            <w:r w:rsidRPr="008E725B">
              <w:tab/>
            </w:r>
            <w:r w:rsidRPr="008E725B">
              <w:rPr>
                <w:b/>
                <w:i/>
              </w:rPr>
              <w:t>kehottaa kaikkia EU:n toimielimiä, elimiä, toimistoja ja virastoja vahvistamaan ennalta ehkäiseviä toimiaan, jotka liittyvät eturistiriitojen ilmoittamiseen ja hallintaan, avoimeen tietoihin pääsyyn, vuorovaikutusta yksityisen sektorin kanssa koskeviin sääntöihin, pyöröovi-ilmiöön puuttumiseen ja virkamiesten käytännesääntöihin; katsoo, että Euroopan parlamentin jäsenillä ei pidä olla toimikautensa aikana palkallisia sivutoimia voittoa tavoittelevissa organisaatioissa tai yrityksissä, jotka pyrkivät vaikuttamaan EU:n päätöksentekoon; kehottaa kaikkia EU:n toimielimiä ja neuvoa-antavia elimiä liittymään toimielinten väliseen eettiseen elimeen;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280</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7 c kohta (uusi)</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7 c.</w:t>
            </w:r>
            <w:r w:rsidRPr="008E725B">
              <w:tab/>
            </w:r>
            <w:r w:rsidRPr="008E725B">
              <w:rPr>
                <w:b/>
                <w:i/>
              </w:rPr>
              <w:t>kehottaa Donald Tuskin hallitusta pidättäytymään Puolan tasavallan perustuslain uusista rikkomuksista ja Puolan oikeusjärjestyksen perustana olevien riippumattomien instituutioiden enemmästä purkamisesta, myös hyökkäyksistä Puolan oikeusjärjestelmän selkärankaa, perustuslakituomioistuinta, vastaan; toteaa, että Donald Tuskin hallitus tulee saamaan rikosoikeudellisia seuraamuksia Puolan tasavallan perustuslaillisen järjestyksen perusteellisesta muuttamisesta ja systeemisen lainvastaisuuden käyttöönotosta;</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281</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Chloé Ridel, Emma Rafowicz, Sandro Ruotolo, Eric Sargiacomo, Michał Wawrykiewicz, Alessandro Zan, Giuseppe Antoci, Klára Dobrev, Csaba Molnár, Bruno Gonçalves, Nora Mebarek, Raphaël Glucksmann, Nikola Minchev, Estelle Ceulemans, Krzysztof Śmiszek, Raquel García Hermida-Van Der Walle, Marta Wcisło, Daniel Freund, Birgit Sippel, Katarina Barley, David Casa, Evin Incir, Matjaž Nemec</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7 d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7 d.</w:t>
            </w:r>
            <w:r w:rsidRPr="008E725B">
              <w:tab/>
            </w:r>
            <w:r w:rsidRPr="008E725B">
              <w:rPr>
                <w:b/>
                <w:i/>
              </w:rPr>
              <w:t>toteaa, että Euroopan syyttäjänvirastolla (EPPO) on tärkeä rooli oikeusvaltioperiaatteen turvaamisessa ja korruption torjunnassa unionissa, ja kannustaa komissiota seuraamaan myöhemmissä kertomuksissa tiiviisti jäsenvaltioiden ja EPPOn välillä tehtävää yhteistyötä erityisesti toimivaltariitojen ratkaisemisen ja korruptiorikosten osalta; on tyytyväinen, että Irlannin uuden hallituksen tavoitteena on liittyä EPPOon, ja kehottaa muita ulkopuolella olevia jäsenvaltioita seuraamaan sen esimerkkiä; katsoo, että EPPOn jäsenyyden olisi oltava EU:n rahoituksen saamisen ennakkoedellytys; kehottaa komissiota ehdottamaan SEUT-sopimuksen 86 artiklan 4 kohdan nojalla EPPOn toimeksiannon laajentamista EU:n rajoittavien toimenpiteiden kiertämisen ja rajatylittävien ympäristörikosten estämiseksi sekä nopeuttamaan EPPO-asetuksen ja PIF-direktiivin tarkistamista EPPOn ensisijaisen toimivallan turvaamiseksi ja selventämiseksi EU:n taloudellisia etuja vahingoittavissa tai EU:n virkamiesten tekemissä korruptiorikoksissa;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lastRenderedPageBreak/>
        <w:t>&lt;Amend&gt;</w:t>
      </w:r>
      <w:r w:rsidRPr="008E725B">
        <w:t>Tarkistus</w:t>
      </w:r>
      <w:r w:rsidRPr="008E725B">
        <w:tab/>
      </w:r>
      <w:r w:rsidRPr="008E725B">
        <w:tab/>
      </w:r>
      <w:r w:rsidRPr="008E725B">
        <w:rPr>
          <w:rStyle w:val="HideTWBExt"/>
          <w:b w:val="0"/>
        </w:rPr>
        <w:t>&lt;NumAm&gt;</w:t>
      </w:r>
      <w:r w:rsidRPr="008E725B">
        <w:t>282</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7 d kohta (uusi)</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7 d.</w:t>
            </w:r>
            <w:r w:rsidRPr="008E725B">
              <w:tab/>
            </w:r>
            <w:r w:rsidRPr="008E725B">
              <w:rPr>
                <w:b/>
                <w:i/>
              </w:rPr>
              <w:t>pitää valitettavana, että Donald Tuskin hallitus on toiminut lainvastaisesti alistaakseen syyttäjälaitoksen poliittiseen valtaansa, muun muassa yrittämällä erottaa kansallisen yleisen syyttäjän, jonka erottamiseksi valtakunnansyyttäjän on saatava Puolan tasavallan presidentin kirjallinen suostumus, mikä tarkoittaa, että tämä toimi on syyttäjälaitoksesta annetun lain sekä Puolan tasavallan perustuslain ja laillisuusperiaatteen vastainen; kehottaa Donald Tuskin hallitusta lopettamaan hyökkäykset syyttäjälaitosta vastaan ja kansallisen yleisen syyttäjään ja siten myös kaikkien hänen valvomiensa syyttäjien toimivallan heikentämisen; huomauttaa, että kansallisen yleisen syyttäjän on annettava hoitaa tehtävänsä välittömästi, ja toteaa samalla, että muutoin valtakunnansyyttäjän Adam Bodnarin toimet johtavat tuhansien rikollisten vapauttamiseen rikosoikeudellisesta vastuusta;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283</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7 e kohta (uusi)</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7 e.</w:t>
            </w:r>
            <w:r w:rsidRPr="008E725B">
              <w:tab/>
            </w:r>
            <w:r w:rsidRPr="008E725B">
              <w:rPr>
                <w:b/>
                <w:i/>
              </w:rPr>
              <w:t xml:space="preserve">pitää valitettavana, että Puolan </w:t>
            </w:r>
            <w:r w:rsidRPr="008E725B">
              <w:rPr>
                <w:b/>
                <w:i/>
              </w:rPr>
              <w:lastRenderedPageBreak/>
              <w:t>kaltaisissa maissa demokraattiseksi väitetyn poliittisen leirin valtaan pääsemisen seurauksena demokraattisen oikeusvaltion periaatteet korvataan kostopolitiikalla, opposition vainolla, poliittisilla oikeudenkäynneillä, niin sanotuilla poistavilla pidätyksillä ja jopa kidutuksen käyttöä koskevilla tapauksilla;</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284</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7 f kohta (uusi)</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7 f.</w:t>
            </w:r>
            <w:r w:rsidRPr="008E725B">
              <w:tab/>
            </w:r>
            <w:r w:rsidRPr="008E725B">
              <w:rPr>
                <w:b/>
                <w:i/>
              </w:rPr>
              <w:t>kehottaa Donald Tuskin hallitusta noudattamaan Puolan tasavallan perustuslakia ja lakeja sekä noudattamaan perustuslakituomioistuimen tuomioita, jotka ovat lainvoimaisia ja yleisesti sitovia, ja panemaan ne täytäntöön;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285</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Juan Fernando López Aguilar, Nacho Sánchez Amor, Javier Moreno Sánchez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7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7 a.</w:t>
            </w:r>
            <w:r w:rsidRPr="008E725B">
              <w:tab/>
            </w:r>
            <w:r w:rsidRPr="008E725B">
              <w:rPr>
                <w:b/>
                <w:i/>
              </w:rPr>
              <w:t xml:space="preserve">toteaa, että väärinkäytösten paljastajilla on olennainen rooli korruption ilmitulossa ja avoimuuden edistämisessä sekä julkisella että yksityisellä sektorilla; korostaa, että väärinkäytösten paljastajia on tarpeen </w:t>
            </w:r>
            <w:r w:rsidRPr="008E725B">
              <w:rPr>
                <w:b/>
                <w:i/>
              </w:rPr>
              <w:lastRenderedPageBreak/>
              <w:t>suojella vastatoimilta ja häirinnältä; vaatii vahvistamaan väärinkäytösten paljastajia suojelevia riippumattomia ja itsenäisiä viranomaisia ja ottamaan ne tiiviimmin osaksi laajempia kansallisia korruptiontorjuntakehyksiä ja varmistamaan näin yhtenäisen ja päättäväisen lähestymistavan korruption torjuntaan kaikissa jäsenvaltioissa;</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286</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Moritz Körner, Hilde Vautmans, Nikola Minchev, Veronika Cifrová Ostrihoňová, Abir Al-Sahlani, Alessandro Zan, Chloé Ridel, Fabienne Keller, Lucia Yar, Irena Joveva, Isabel Wiseler-Lima, Daniel Freund</w:t>
      </w:r>
      <w:r w:rsidRPr="008E725B">
        <w:rPr>
          <w:rStyle w:val="HideTWBExt"/>
          <w:b w:val="0"/>
        </w:rPr>
        <w:t>&lt;/Members&gt;</w:t>
      </w:r>
    </w:p>
    <w:p w:rsidR="005E49C0" w:rsidRPr="008E725B" w:rsidRDefault="005E49C0" w:rsidP="005E49C0">
      <w:r w:rsidRPr="008E725B">
        <w:rPr>
          <w:rStyle w:val="HideTWBExt"/>
        </w:rPr>
        <w:t>&lt;AuNomDe&gt;</w:t>
      </w:r>
      <w:r w:rsidRPr="008E725B">
        <w:rPr>
          <w:rStyle w:val="HideTWBInt"/>
        </w:rPr>
        <w:t>{LIBE}</w:t>
      </w:r>
      <w:r w:rsidRPr="008E725B">
        <w:t>kansalaisvapauksien sekä oikeus- ja sisäasioiden valiokunnan puolesta</w:t>
      </w:r>
      <w:r w:rsidRPr="008E725B">
        <w:rPr>
          <w:rStyle w:val="HideTWBExt"/>
        </w:rPr>
        <w:t>&lt;/AuNomDe&gt;</w:t>
      </w:r>
    </w:p>
    <w:p w:rsidR="005E49C0" w:rsidRPr="008E725B" w:rsidRDefault="005E49C0" w:rsidP="005E49C0">
      <w:pPr>
        <w:pStyle w:val="NormalBold"/>
      </w:pPr>
      <w:r w:rsidRPr="008E725B">
        <w:rPr>
          <w:rStyle w:val="HideTWBExt"/>
          <w:b w:val="0"/>
        </w:rPr>
        <w:t>&lt;Members&gt;</w:t>
      </w:r>
      <w:r w:rsidRPr="008E725B">
        <w:t>Sophie Wilmès</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7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7 a.</w:t>
            </w:r>
            <w:r w:rsidRPr="008E725B">
              <w:tab/>
            </w:r>
            <w:r w:rsidRPr="008E725B">
              <w:rPr>
                <w:b/>
                <w:i/>
              </w:rPr>
              <w:t>muistuttaa, että vahvat kansalliset oikeusjärjestelmät ovat välttämättömiä, koska komissio turvautuu unionin oikeuden täytäntöönpanon valvonnassa kansallisiin oikeusviranomaisiin, ja niillä on keskeinen merkitys EU:ssa tehtävän oikeudellisen yhteistyön ja keskinäisen luottamuksen edistämisen kannalta;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287</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Alessandro Ciriani, Paolo Inselvini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7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7 a.</w:t>
            </w:r>
            <w:r w:rsidRPr="008E725B">
              <w:tab/>
            </w:r>
            <w:r w:rsidRPr="008E725B">
              <w:rPr>
                <w:b/>
                <w:i/>
              </w:rPr>
              <w:t xml:space="preserve">toteaa komission havainneen, että </w:t>
            </w:r>
            <w:r w:rsidRPr="008E725B">
              <w:rPr>
                <w:b/>
                <w:i/>
              </w:rPr>
              <w:lastRenderedPageBreak/>
              <w:t>eri jäsenvaltioissa on käytössä vankka sääntelykehys, jolla säännellään tiedotusvälineiden alaa ja taataan myös riippumattoman sääntelyviranomaisen tehokas toiminta;</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{IT}</w:t>
      </w:r>
      <w:r w:rsidRPr="008E725B">
        <w:t>it</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288</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Daniel Freund, Diana Riba i Giner</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8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8.</w:t>
            </w:r>
            <w:r w:rsidRPr="008E725B">
              <w:tab/>
              <w:t>suhtautuu myönteisesti eurooppalaisen medianvapaussäädöksen</w:t>
            </w:r>
            <w:r w:rsidRPr="008E725B">
              <w:rPr>
                <w:vertAlign w:val="superscript"/>
              </w:rPr>
              <w:t>39</w:t>
            </w:r>
            <w:r w:rsidRPr="008E725B">
              <w:t xml:space="preserve"> kaltaisiin aloitteisiin ja vaatii sen täytäntöönpanoa viipymättä; kehottaa jäsenvaltioita lisäämään avoimuutta valtion mainonnan jakamisessa; kehottaa komissiota toimittamaan jäsenvaltioille tarvittavaa tukea eurooppalaisen medianvapaussäädöksen saattamiseksi osaksi kansallista lainsäädäntöä;</w:t>
            </w:r>
          </w:p>
        </w:tc>
        <w:tc>
          <w:tcPr>
            <w:tcW w:w="4876" w:type="dxa"/>
            <w:tcBorders>
              <w:top w:val="nil"/>
              <w:left w:val="nil"/>
              <w:bottom w:val="nil"/>
              <w:right w:val="nil"/>
            </w:tcBorders>
          </w:tcPr>
          <w:p w:rsidR="005E49C0" w:rsidRPr="008E725B" w:rsidRDefault="005E49C0" w:rsidP="00B5562F">
            <w:pPr>
              <w:pStyle w:val="Normal6a"/>
            </w:pPr>
            <w:r w:rsidRPr="008E725B">
              <w:t>8.</w:t>
            </w:r>
            <w:r w:rsidRPr="008E725B">
              <w:tab/>
              <w:t>suhtautuu myönteisesti eurooppalaisen medianvapaussäädöksen</w:t>
            </w:r>
            <w:r w:rsidRPr="008E725B">
              <w:rPr>
                <w:vertAlign w:val="superscript"/>
              </w:rPr>
              <w:t>39</w:t>
            </w:r>
            <w:r w:rsidRPr="008E725B">
              <w:t xml:space="preserve"> kaltaisiin aloitteisiin</w:t>
            </w:r>
            <w:r w:rsidRPr="008E725B">
              <w:rPr>
                <w:b/>
                <w:i/>
              </w:rPr>
              <w:t>, joilla pyritään edistämään vapaita, riippumattomia ja moniarvoisia tiedotusvälineitä sekä toimittajille turvallista ja suotuisaa toimintaympäristöä,</w:t>
            </w:r>
            <w:r w:rsidRPr="008E725B">
              <w:t xml:space="preserve"> ja vaatii sen täytäntöönpanoa viipymättä; kehottaa jäsenvaltioita lisäämään avoimuutta valtion mainonnan jakamisessa </w:t>
            </w:r>
            <w:r w:rsidRPr="008E725B">
              <w:rPr>
                <w:b/>
                <w:i/>
              </w:rPr>
              <w:t>ja noudattamaan toimittajien ja muiden media-alan ammattilaisten suojelun, turvallisuuden ja voimaannuttamisen varmistamisesta Euroopan unionissa 16. syyskuuta 2021 annetussa komission suosituksessa esitettyjä suosituksia</w:t>
            </w:r>
            <w:r w:rsidRPr="008E725B">
              <w:t xml:space="preserve">; kehottaa komissiota toimittamaan jäsenvaltioille tarvittavaa tukea eurooppalaisen medianvapaussäädöksen saattamiseksi osaksi kansallista lainsäädäntöä </w:t>
            </w:r>
            <w:r w:rsidRPr="008E725B">
              <w:rPr>
                <w:b/>
                <w:i/>
              </w:rPr>
              <w:t>ja komission suosituksen noudattamiseksi</w:t>
            </w:r>
            <w:r w:rsidRPr="008E725B">
              <w:t>;</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39</w:t>
            </w:r>
            <w:r w:rsidRPr="008E725B">
              <w:t xml:space="preserve"> Euroopan parlamentin ja neuvoston asetus (EU) 2024/1083, annettu 11. huhtikuuta 2024, mediapalvelujen yhteisestä kehyksestä sisämarkkinoilla ja direktiivin 2010/13/EU muuttamisesta (eurooppalainen medianvapaussäädös) (EUVL L, 2024/1083, 17.4.2024, ELI: </w:t>
            </w:r>
            <w:r w:rsidRPr="008E725B">
              <w:lastRenderedPageBreak/>
              <w:t>http://data.europa.eu/eli/reg/2024/1083/oj).</w:t>
            </w:r>
          </w:p>
        </w:tc>
        <w:tc>
          <w:tcPr>
            <w:tcW w:w="4876" w:type="dxa"/>
            <w:tcBorders>
              <w:top w:val="nil"/>
              <w:left w:val="nil"/>
              <w:bottom w:val="nil"/>
              <w:right w:val="nil"/>
            </w:tcBorders>
          </w:tcPr>
          <w:p w:rsidR="005E49C0" w:rsidRPr="008E725B" w:rsidRDefault="005E49C0" w:rsidP="00B5562F">
            <w:pPr>
              <w:pStyle w:val="Normal6a"/>
            </w:pPr>
            <w:r w:rsidRPr="008E725B">
              <w:rPr>
                <w:vertAlign w:val="superscript"/>
              </w:rPr>
              <w:lastRenderedPageBreak/>
              <w:t>39</w:t>
            </w:r>
            <w:r w:rsidRPr="008E725B">
              <w:t xml:space="preserve"> Euroopan parlamentin ja neuvoston asetus (EU) 2024/1083, annettu 11. huhtikuuta 2024, mediapalvelujen yhteisestä kehyksestä sisämarkkinoilla ja direktiivin 2010/13/EU muuttamisesta (eurooppalainen medianvapaussäädös) (EUVL L, 2024/1083, 17.4.2024, ELI: </w:t>
            </w:r>
            <w:r w:rsidRPr="008E725B">
              <w:lastRenderedPageBreak/>
              <w:t>http://data.europa.eu/eli/reg/2024/1083/oj).</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289</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Juan Fernando López Aguilar, Nacho Sánchez Amor, Javier Moreno Sánchez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8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8.</w:t>
            </w:r>
            <w:r w:rsidRPr="008E725B">
              <w:tab/>
              <w:t>suhtautuu myönteisesti eurooppalaisen medianvapaussäädöksen</w:t>
            </w:r>
            <w:r w:rsidRPr="008E725B">
              <w:rPr>
                <w:vertAlign w:val="superscript"/>
              </w:rPr>
              <w:t>39</w:t>
            </w:r>
            <w:r w:rsidRPr="008E725B">
              <w:t xml:space="preserve"> kaltaisiin aloitteisiin </w:t>
            </w:r>
            <w:r w:rsidRPr="008E725B">
              <w:rPr>
                <w:b/>
                <w:i/>
              </w:rPr>
              <w:t>ja</w:t>
            </w:r>
            <w:r w:rsidRPr="008E725B">
              <w:t xml:space="preserve"> vaatii sen täytäntöönpanoa viipymättä; kehottaa jäsenvaltioita lisäämään avoimuutta valtion mainonnan jakamisessa; kehottaa komissiota toimittamaan jäsenvaltioille tarvittavaa tukea eurooppalaisen medianvapaussäädöksen saattamiseksi osaksi kansallista lainsäädäntöä;</w:t>
            </w:r>
          </w:p>
        </w:tc>
        <w:tc>
          <w:tcPr>
            <w:tcW w:w="4876" w:type="dxa"/>
            <w:tcBorders>
              <w:top w:val="nil"/>
              <w:left w:val="nil"/>
              <w:bottom w:val="nil"/>
              <w:right w:val="nil"/>
            </w:tcBorders>
          </w:tcPr>
          <w:p w:rsidR="005E49C0" w:rsidRPr="008E725B" w:rsidRDefault="005E49C0" w:rsidP="00B5562F">
            <w:pPr>
              <w:pStyle w:val="Normal6a"/>
            </w:pPr>
            <w:r w:rsidRPr="008E725B">
              <w:t>8.</w:t>
            </w:r>
            <w:r w:rsidRPr="008E725B">
              <w:tab/>
              <w:t>suhtautuu myönteisesti eurooppalaisen medianvapaussäädöksen</w:t>
            </w:r>
            <w:r w:rsidRPr="008E725B">
              <w:rPr>
                <w:vertAlign w:val="superscript"/>
              </w:rPr>
              <w:t>39</w:t>
            </w:r>
            <w:r w:rsidRPr="008E725B">
              <w:t xml:space="preserve"> kaltaisiin aloitteisiin</w:t>
            </w:r>
            <w:r w:rsidRPr="008E725B">
              <w:rPr>
                <w:b/>
                <w:i/>
              </w:rPr>
              <w:t>,</w:t>
            </w:r>
            <w:r w:rsidRPr="008E725B">
              <w:t xml:space="preserve"> vaatii sen täytäntöönpanoa viipymättä </w:t>
            </w:r>
            <w:r w:rsidRPr="008E725B">
              <w:rPr>
                <w:b/>
                <w:i/>
              </w:rPr>
              <w:t>ja vaatii määrittämään kriteerit sille, mikä on tiedotusväline verrattuna muihin alustoihin, joiden tarkoituksena ei ole tiedottaminen</w:t>
            </w:r>
            <w:r w:rsidRPr="008E725B">
              <w:t xml:space="preserve">; kehottaa jäsenvaltioita lisäämään avoimuutta valtion mainonnan jakamisessa; kehottaa komissiota toimittamaan jäsenvaltioille tarvittavaa tukea eurooppalaisen medianvapaussäädöksen saattamiseksi osaksi kansallista lainsäädäntöä; </w:t>
            </w:r>
            <w:r w:rsidRPr="008E725B">
              <w:rPr>
                <w:b/>
                <w:i/>
              </w:rPr>
              <w:t>suhtautuu myönteisesti kansallisiin aloitteisiin tiedotusvälineiden omistusta ja mainontaan sijoitettuja varoja koskevia julkisia tietoja sisältävän rekisterin perustamisesta läpinäkyvyyden, puolueettomuuden ja todennettavuuden varmistamiseksi;</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39</w:t>
            </w:r>
            <w:r w:rsidRPr="008E725B">
              <w:t xml:space="preserve"> Euroopan parlamentin ja neuvoston asetus (EU) 2024/1083, annettu 11. huhtikuuta 2024, mediapalvelujen yhteisestä kehyksestä sisämarkkinoilla ja direktiivin 2010/13/EU muuttamisesta (eurooppalainen medianvapaussäädös) (EUVL L, 2024/1083, 17.4.2024, ELI: http://data.europa.eu/eli/reg/2024/1083/oj).</w:t>
            </w:r>
          </w:p>
        </w:tc>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39</w:t>
            </w:r>
            <w:r w:rsidRPr="008E725B">
              <w:t xml:space="preserve"> Euroopan parlamentin ja neuvoston asetus (EU) 2024/1083, annettu 11. huhtikuuta 2024, mediapalvelujen yhteisestä kehyksestä sisämarkkinoilla ja direktiivin 2010/13/EU muuttamisesta (eurooppalainen medianvapaussäädös) (EUVL L, 2024/1083, 17.4.2024, ELI: http://data.europa.eu/eli/reg/2024/1083/oj).</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lastRenderedPageBreak/>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290</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8 kohta</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8.</w:t>
            </w:r>
            <w:r w:rsidRPr="008E725B">
              <w:tab/>
            </w:r>
            <w:r w:rsidRPr="008E725B">
              <w:rPr>
                <w:b/>
                <w:i/>
              </w:rPr>
              <w:t>suhtautuu myönteisesti</w:t>
            </w:r>
            <w:r w:rsidRPr="008E725B">
              <w:t xml:space="preserve"> eurooppalaisen medianvapaussäädöksen</w:t>
            </w:r>
            <w:r w:rsidRPr="008E725B">
              <w:rPr>
                <w:vertAlign w:val="superscript"/>
              </w:rPr>
              <w:t>39</w:t>
            </w:r>
            <w:r w:rsidRPr="008E725B">
              <w:t xml:space="preserve"> </w:t>
            </w:r>
            <w:r w:rsidRPr="008E725B">
              <w:rPr>
                <w:b/>
                <w:i/>
              </w:rPr>
              <w:t>kaltaisiin aloitteisiin ja vaatii sen täytäntöönpanoa viipymättä</w:t>
            </w:r>
            <w:r w:rsidRPr="008E725B">
              <w:t xml:space="preserve">; </w:t>
            </w:r>
            <w:r w:rsidRPr="008E725B">
              <w:rPr>
                <w:b/>
                <w:i/>
              </w:rPr>
              <w:t>kehottaa jäsenvaltioita lisäämään avoimuutta valtion mainonnan jakamisessa; kehottaa komissiota toimittamaan jäsenvaltioille tarvittavaa tukea eurooppalaisen medianvapaussäädöksen saattamiseksi osaksi kansallista lainsäädäntöä;</w:t>
            </w:r>
          </w:p>
        </w:tc>
        <w:tc>
          <w:tcPr>
            <w:tcW w:w="4876" w:type="dxa"/>
            <w:tcBorders>
              <w:top w:val="nil"/>
              <w:left w:val="nil"/>
              <w:bottom w:val="nil"/>
              <w:right w:val="nil"/>
            </w:tcBorders>
          </w:tcPr>
          <w:p w:rsidR="005E49C0" w:rsidRPr="008E725B" w:rsidRDefault="005E49C0" w:rsidP="00B5562F">
            <w:pPr>
              <w:pStyle w:val="Normal6a"/>
            </w:pPr>
            <w:r w:rsidRPr="008E725B">
              <w:t>8.</w:t>
            </w:r>
            <w:r w:rsidRPr="008E725B">
              <w:tab/>
            </w:r>
            <w:r w:rsidRPr="008E725B">
              <w:rPr>
                <w:b/>
                <w:i/>
              </w:rPr>
              <w:t>panee merkille</w:t>
            </w:r>
            <w:r w:rsidRPr="008E725B">
              <w:t xml:space="preserve"> eurooppalaisen medianvapaussäädöksen</w:t>
            </w:r>
            <w:r w:rsidRPr="008E725B">
              <w:rPr>
                <w:vertAlign w:val="superscript"/>
              </w:rPr>
              <w:t>39</w:t>
            </w:r>
            <w:r w:rsidRPr="008E725B">
              <w:t xml:space="preserve"> </w:t>
            </w:r>
            <w:r w:rsidRPr="008E725B">
              <w:rPr>
                <w:b/>
                <w:i/>
              </w:rPr>
              <w:t>kaltaiset aloitteet</w:t>
            </w:r>
            <w:r w:rsidRPr="008E725B">
              <w:t>;</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39</w:t>
            </w:r>
            <w:r w:rsidRPr="008E725B">
              <w:t xml:space="preserve"> Euroopan parlamentin ja neuvoston asetus (EU) 2024/1083, annettu 11. huhtikuuta 2024, mediapalvelujen yhteisestä kehyksestä sisämarkkinoilla ja direktiivin 2010/13/EU muuttamisesta (eurooppalainen medianvapaussäädös) (EUVL L, 2024/1083, 17.4.2024, ELI:  http://data.europa.eu/eli/reg/2024/1083/oj).</w:t>
            </w:r>
          </w:p>
        </w:tc>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39</w:t>
            </w:r>
            <w:r w:rsidRPr="008E725B">
              <w:t xml:space="preserve"> Euroopan parlamentin ja neuvoston asetus (EU) 2024/1083, annettu 11. huhtikuuta 2024, mediapalvelujen yhteisestä kehyksestä sisämarkkinoilla ja direktiivin 2010/13/EU muuttamisesta (eurooppalainen medianvapaussäädös) (EUVL L, 2024/1083, 17.4.2024, ELI: http://data.europa.eu/eli/reg/2024/1083/oj).</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291</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Moritz Körner, Hilde Vautmans, Nikola Minchev, Veronika Cifrová Ostrihoňová, Chloé Ridel, Abir Al-Sahlani, Alessandro Zan, Fabienne Keller, Lucia Yar, Isabel Wiseler-Lima, Daniel Freund</w:t>
      </w:r>
      <w:r w:rsidRPr="008E725B">
        <w:rPr>
          <w:rStyle w:val="HideTWBExt"/>
          <w:b w:val="0"/>
        </w:rPr>
        <w:t>&lt;/Members&gt;</w:t>
      </w:r>
    </w:p>
    <w:p w:rsidR="005E49C0" w:rsidRPr="008E725B" w:rsidRDefault="005E49C0" w:rsidP="005E49C0">
      <w:r w:rsidRPr="008E725B">
        <w:rPr>
          <w:rStyle w:val="HideTWBExt"/>
        </w:rPr>
        <w:t>&lt;AuNomDe&gt;</w:t>
      </w:r>
      <w:r w:rsidRPr="008E725B">
        <w:rPr>
          <w:rStyle w:val="HideTWBInt"/>
        </w:rPr>
        <w:t>{LIBE}</w:t>
      </w:r>
      <w:r w:rsidRPr="008E725B">
        <w:t>kansalaisvapauksien sekä oikeus- ja sisäasioiden valiokunnan puolesta</w:t>
      </w:r>
      <w:r w:rsidRPr="008E725B">
        <w:rPr>
          <w:rStyle w:val="HideTWBExt"/>
        </w:rPr>
        <w:t>&lt;/AuNomDe&gt;</w:t>
      </w:r>
    </w:p>
    <w:p w:rsidR="005E49C0" w:rsidRPr="008E725B" w:rsidRDefault="005E49C0" w:rsidP="005E49C0">
      <w:pPr>
        <w:pStyle w:val="NormalBold"/>
      </w:pPr>
      <w:r w:rsidRPr="008E725B">
        <w:rPr>
          <w:rStyle w:val="HideTWBExt"/>
          <w:b w:val="0"/>
        </w:rPr>
        <w:t>&lt;Members&gt;</w:t>
      </w:r>
      <w:r w:rsidRPr="008E725B">
        <w:t>Sophie Wilmès</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8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8.</w:t>
            </w:r>
            <w:r w:rsidRPr="008E725B">
              <w:tab/>
              <w:t>suhtautuu myönteisesti eurooppalaisen medianvapaussäädöksen</w:t>
            </w:r>
            <w:r w:rsidRPr="008E725B">
              <w:rPr>
                <w:vertAlign w:val="superscript"/>
              </w:rPr>
              <w:t>39</w:t>
            </w:r>
            <w:r w:rsidRPr="008E725B">
              <w:t xml:space="preserve"> </w:t>
            </w:r>
            <w:r w:rsidRPr="008E725B">
              <w:lastRenderedPageBreak/>
              <w:t>kaltaisiin aloitteisiin ja vaatii sen täytäntöönpanoa viipymättä; kehottaa jäsenvaltioita lisäämään avoimuutta valtion mainonnan jakamisessa; kehottaa komissiota toimittamaan jäsenvaltioille tarvittavaa tukea eurooppalaisen medianvapaussäädöksen saattamiseksi osaksi kansallista lainsäädäntöä;</w:t>
            </w:r>
          </w:p>
        </w:tc>
        <w:tc>
          <w:tcPr>
            <w:tcW w:w="4876" w:type="dxa"/>
            <w:tcBorders>
              <w:top w:val="nil"/>
              <w:left w:val="nil"/>
              <w:bottom w:val="nil"/>
              <w:right w:val="nil"/>
            </w:tcBorders>
          </w:tcPr>
          <w:p w:rsidR="005E49C0" w:rsidRPr="008E725B" w:rsidRDefault="005E49C0" w:rsidP="00B5562F">
            <w:pPr>
              <w:pStyle w:val="Normal6a"/>
            </w:pPr>
            <w:r w:rsidRPr="008E725B">
              <w:lastRenderedPageBreak/>
              <w:t>8.</w:t>
            </w:r>
            <w:r w:rsidRPr="008E725B">
              <w:tab/>
              <w:t>suhtautuu myönteisesti eurooppalaisen medianvapaussäädöksen</w:t>
            </w:r>
            <w:r w:rsidRPr="008E725B">
              <w:rPr>
                <w:vertAlign w:val="superscript"/>
              </w:rPr>
              <w:t>39</w:t>
            </w:r>
            <w:r w:rsidRPr="008E725B">
              <w:t xml:space="preserve"> </w:t>
            </w:r>
            <w:r w:rsidRPr="008E725B">
              <w:lastRenderedPageBreak/>
              <w:t xml:space="preserve">kaltaisiin aloitteisiin ja vaatii sen täytäntöönpanoa viipymättä; kehottaa jäsenvaltioita lisäämään avoimuutta valtion mainonnan jakamisessa; </w:t>
            </w:r>
            <w:r w:rsidRPr="008E725B">
              <w:rPr>
                <w:b/>
                <w:i/>
              </w:rPr>
              <w:t xml:space="preserve">kehottaa jäsenvaltioita antamaan tiedotusvälineiden omistuksen läpinäkyvyyttä ja julkisen palvelun median riippumatonta toimintaa koskevia erityissäännöksiä; </w:t>
            </w:r>
            <w:r w:rsidRPr="008E725B">
              <w:t>kehottaa komissiota toimittamaan jäsenvaltioille tarvittavaa tukea eurooppalaisen medianvapaussäädöksen saattamiseksi osaksi kansallista lainsäädäntöä;</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lastRenderedPageBreak/>
              <w:t>_________________</w:t>
            </w:r>
          </w:p>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39</w:t>
            </w:r>
            <w:r w:rsidRPr="008E725B">
              <w:t xml:space="preserve"> Euroopan parlamentin ja neuvoston asetus (EU) 2024/1083, annettu 11. huhtikuuta 2024, mediapalvelujen yhteisestä kehyksestä sisämarkkinoilla ja direktiivin 2010/13/EU muuttamisesta (eurooppalainen medianvapaussäädös) (EUVL L, 2024/1083, 17.4.2024, ELI: http://data.europa.eu/eli/reg/2024/1083/oj).</w:t>
            </w:r>
          </w:p>
        </w:tc>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39</w:t>
            </w:r>
            <w:r w:rsidRPr="008E725B">
              <w:t xml:space="preserve"> Euroopan parlamentin ja neuvoston asetus (EU) 2024/1083, annettu 11. huhtikuuta 2024, mediapalvelujen yhteisestä kehyksestä sisämarkkinoilla ja direktiivin 2010/13/EU muuttamisesta (eurooppalainen medianvapaussäädös) (EUVL L, 2024/1083, 17.4.2024, ELI: http://data.europa.eu/eli/reg/2024/1083/oj).</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292</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Romana Tomc</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8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8.</w:t>
            </w:r>
            <w:r w:rsidRPr="008E725B">
              <w:tab/>
              <w:t>suhtautuu myönteisesti eurooppalaisen medianvapaussäädöksen</w:t>
            </w:r>
            <w:r w:rsidRPr="008E725B">
              <w:rPr>
                <w:vertAlign w:val="superscript"/>
              </w:rPr>
              <w:t>39</w:t>
            </w:r>
            <w:r w:rsidRPr="008E725B">
              <w:t xml:space="preserve"> kaltaisiin aloitteisiin ja vaatii sen täytäntöönpanoa viipymättä; kehottaa jäsenvaltioita lisäämään avoimuutta valtion mainonnan jakamisessa; kehottaa komissiota toimittamaan jäsenvaltioille tarvittavaa tukea eurooppalaisen medianvapaussäädöksen saattamiseksi osaksi kansallista lainsäädäntöä;</w:t>
            </w:r>
          </w:p>
        </w:tc>
        <w:tc>
          <w:tcPr>
            <w:tcW w:w="4876" w:type="dxa"/>
            <w:tcBorders>
              <w:top w:val="nil"/>
              <w:left w:val="nil"/>
              <w:bottom w:val="nil"/>
              <w:right w:val="nil"/>
            </w:tcBorders>
          </w:tcPr>
          <w:p w:rsidR="005E49C0" w:rsidRPr="008E725B" w:rsidRDefault="005E49C0" w:rsidP="00B5562F">
            <w:pPr>
              <w:pStyle w:val="Normal6a"/>
            </w:pPr>
            <w:r w:rsidRPr="008E725B">
              <w:t>8.</w:t>
            </w:r>
            <w:r w:rsidRPr="008E725B">
              <w:tab/>
              <w:t>suhtautuu myönteisesti eurooppalaisen medianvapaussäädöksen</w:t>
            </w:r>
            <w:r w:rsidRPr="008E725B">
              <w:rPr>
                <w:vertAlign w:val="superscript"/>
              </w:rPr>
              <w:t>39</w:t>
            </w:r>
            <w:r w:rsidRPr="008E725B">
              <w:t xml:space="preserve"> kaltaisiin aloitteisiin ja vaatii sen täytäntöönpanoa viipymättä; kehottaa jäsenvaltioita lisäämään avoimuutta valtion mainonnan jakamisessa; kehottaa komissiota toimittamaan jäsenvaltioille tarvittavaa tukea eurooppalaisen medianvapaussäädöksen saattamiseksi osaksi kansallista lainsäädäntöä; </w:t>
            </w:r>
            <w:r w:rsidRPr="008E725B">
              <w:rPr>
                <w:b/>
                <w:i/>
              </w:rPr>
              <w:t xml:space="preserve">kehottaa jäsenvaltioita välttämään kansallisten lakien antamista ennen eurooppalaisen </w:t>
            </w:r>
            <w:r w:rsidRPr="008E725B">
              <w:rPr>
                <w:b/>
                <w:i/>
              </w:rPr>
              <w:lastRenderedPageBreak/>
              <w:t>medianvapaussäädöksen saattamista osaksi niiden lainsäädäntöä;</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lastRenderedPageBreak/>
              <w:t>_________________</w:t>
            </w:r>
          </w:p>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39</w:t>
            </w:r>
            <w:r w:rsidRPr="008E725B">
              <w:t xml:space="preserve"> Euroopan parlamentin ja neuvoston asetus (EU) 2024/1083, annettu 11. huhtikuuta 2024, mediapalvelujen yhteisestä kehyksestä sisämarkkinoilla ja direktiivin 2010/13/EU muuttamisesta (eurooppalainen medianvapaussäädös) (EUVL L, 2024/1083, 17.4.2024, ELI: http://data.europa.eu/eli/reg/2024/1083/oj).</w:t>
            </w:r>
          </w:p>
        </w:tc>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39</w:t>
            </w:r>
            <w:r w:rsidRPr="008E725B">
              <w:t xml:space="preserve"> Euroopan parlamentin ja neuvoston asetus (EU) 2024/1083, annettu 11. huhtikuuta 2024, mediapalvelujen yhteisestä kehyksestä sisämarkkinoilla ja direktiivin 2010/13/EU muuttamisesta (eurooppalainen medianvapaussäädös) (EUVL L, 2024/1083, 17.4.2024, ELI: http://data.europa.eu/eli/reg/2024/1083/oj).</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293</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8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8.</w:t>
            </w:r>
            <w:r w:rsidRPr="008E725B">
              <w:tab/>
            </w:r>
            <w:r w:rsidRPr="008E725B">
              <w:rPr>
                <w:b/>
                <w:i/>
              </w:rPr>
              <w:t>suhtautuu myönteisesti</w:t>
            </w:r>
            <w:r w:rsidRPr="008E725B">
              <w:t xml:space="preserve"> eurooppalaisen medianvapaussäädöksen</w:t>
            </w:r>
            <w:r w:rsidRPr="008E725B">
              <w:rPr>
                <w:vertAlign w:val="superscript"/>
              </w:rPr>
              <w:t>39</w:t>
            </w:r>
            <w:r w:rsidRPr="008E725B">
              <w:t xml:space="preserve"> </w:t>
            </w:r>
            <w:r w:rsidRPr="008E725B">
              <w:rPr>
                <w:b/>
                <w:i/>
              </w:rPr>
              <w:t>kaltaisiin aloitteisiin ja vaatii sen täytäntöönpanoa viipymättä</w:t>
            </w:r>
            <w:r w:rsidRPr="008E725B">
              <w:t>;</w:t>
            </w:r>
            <w:r w:rsidRPr="008E725B">
              <w:rPr>
                <w:b/>
                <w:i/>
              </w:rPr>
              <w:t xml:space="preserve"> kehottaa jäsenvaltioita lisäämään avoimuutta valtion mainonnan jakamisessa; kehottaa komissiota toimittamaan jäsenvaltioille tarvittavaa tukea eurooppalaisen medianvapaussäädöksen saattamiseksi osaksi kansallista lainsäädäntöä;</w:t>
            </w:r>
          </w:p>
        </w:tc>
        <w:tc>
          <w:tcPr>
            <w:tcW w:w="4876" w:type="dxa"/>
            <w:tcBorders>
              <w:top w:val="nil"/>
              <w:left w:val="nil"/>
              <w:bottom w:val="nil"/>
              <w:right w:val="nil"/>
            </w:tcBorders>
          </w:tcPr>
          <w:p w:rsidR="005E49C0" w:rsidRPr="008E725B" w:rsidRDefault="005E49C0" w:rsidP="00B5562F">
            <w:pPr>
              <w:pStyle w:val="Normal6a"/>
            </w:pPr>
            <w:r w:rsidRPr="008E725B">
              <w:t>8.</w:t>
            </w:r>
            <w:r w:rsidRPr="008E725B">
              <w:tab/>
            </w:r>
            <w:r w:rsidRPr="008E725B">
              <w:rPr>
                <w:b/>
                <w:i/>
              </w:rPr>
              <w:t>on huolissaan</w:t>
            </w:r>
            <w:r w:rsidRPr="008E725B">
              <w:t xml:space="preserve"> eurooppalaisen medianvapaussäädöksen</w:t>
            </w:r>
            <w:r w:rsidRPr="008E725B">
              <w:rPr>
                <w:vertAlign w:val="superscript"/>
              </w:rPr>
              <w:t>39</w:t>
            </w:r>
            <w:r w:rsidRPr="008E725B">
              <w:rPr>
                <w:b/>
                <w:i/>
              </w:rPr>
              <w:t xml:space="preserve"> kaltaisista aloitteista, sillä Brysselin eliitti yrittää näin jälleen kerran sensuroida vastakkaisia mielipiteitä ja puuttua jäsenvaltioiden itsemääräämisoikeuteen</w:t>
            </w:r>
            <w:r w:rsidRPr="008E725B">
              <w:t>;</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39</w:t>
            </w:r>
            <w:r w:rsidRPr="008E725B">
              <w:t xml:space="preserve"> Euroopan parlamentin ja neuvoston asetus (EU) 2024/1083, annettu 11. huhtikuuta 2024, mediapalvelujen yhteisestä kehyksestä sisämarkkinoilla ja direktiivin 2010/13/EU muuttamisesta (eurooppalainen medianvapaussäädös) (EUVL L, 2024/1083, 17.4.2024, ELI: http://data.europa.eu/eli/reg/2024/1083/oj).</w:t>
            </w:r>
          </w:p>
        </w:tc>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39</w:t>
            </w:r>
            <w:r w:rsidRPr="008E725B">
              <w:t xml:space="preserve"> Euroopan parlamentin ja neuvoston asetus (EU) 2024/1083, annettu 11. huhtikuuta 2024, mediapalvelujen yhteisestä kehyksestä sisämarkkinoilla ja direktiivin 2010/13/EU muuttamisesta (eurooppalainen medianvapaussäädös) (EUVL L, 2024/1083, 17.4.2024, ELI: http://data.europa.eu/eli/reg/2024/1083/oj).</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lastRenderedPageBreak/>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294</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Veronika Cifrová Ostrihoňová</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8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8.</w:t>
            </w:r>
            <w:r w:rsidRPr="008E725B">
              <w:tab/>
              <w:t>suhtautuu myönteisesti eurooppalaisen medianvapaussäädöksen</w:t>
            </w:r>
            <w:r w:rsidRPr="008E725B">
              <w:rPr>
                <w:vertAlign w:val="superscript"/>
              </w:rPr>
              <w:t>39</w:t>
            </w:r>
            <w:r w:rsidRPr="008E725B">
              <w:t xml:space="preserve"> kaltaisiin aloitteisiin ja vaatii sen täytäntöönpanoa viipymättä; kehottaa jäsenvaltioita lisäämään avoimuutta valtion mainonnan jakamisessa; </w:t>
            </w:r>
            <w:r w:rsidRPr="008E725B">
              <w:rPr>
                <w:b/>
                <w:i/>
              </w:rPr>
              <w:t>kehottaa komissiota toimittamaan jäsenvaltioille tarvittavaa tukea eurooppalaisen medianvapaussäädöksen saattamiseksi osaksi kansallista lainsäädäntöä;</w:t>
            </w:r>
          </w:p>
        </w:tc>
        <w:tc>
          <w:tcPr>
            <w:tcW w:w="4876" w:type="dxa"/>
            <w:tcBorders>
              <w:top w:val="nil"/>
              <w:left w:val="nil"/>
              <w:bottom w:val="nil"/>
              <w:right w:val="nil"/>
            </w:tcBorders>
          </w:tcPr>
          <w:p w:rsidR="005E49C0" w:rsidRPr="008E725B" w:rsidRDefault="005E49C0" w:rsidP="00B5562F">
            <w:pPr>
              <w:pStyle w:val="Normal6a"/>
            </w:pPr>
            <w:r w:rsidRPr="008E725B">
              <w:t>8.</w:t>
            </w:r>
            <w:r w:rsidRPr="008E725B">
              <w:tab/>
              <w:t>suhtautuu myönteisesti eurooppalaisen medianvapaussäädöksen</w:t>
            </w:r>
            <w:r w:rsidRPr="008E725B">
              <w:rPr>
                <w:vertAlign w:val="superscript"/>
              </w:rPr>
              <w:t>39</w:t>
            </w:r>
            <w:r w:rsidRPr="008E725B">
              <w:t xml:space="preserve"> kaltaisiin aloitteisiin ja vaatii sen täytäntöönpanoa viipymättä; kehottaa jäsenvaltioita lisäämään avoimuutta valtion mainonnan jakamisessa; </w:t>
            </w:r>
            <w:r w:rsidRPr="008E725B">
              <w:rPr>
                <w:b/>
                <w:i/>
              </w:rPr>
              <w:t>suosittaa, että kansalliset viranomaiset hyödyntäisivät näitä resursseja kattavasti varmistaakseen oikeudellisesti pätevän, yhdenmukaisen ja tehokkaan täytäntöönpanon;</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39</w:t>
            </w:r>
            <w:r w:rsidRPr="008E725B">
              <w:t xml:space="preserve"> Euroopan parlamentin ja neuvoston asetus (EU) 2024/1083, annettu 11. huhtikuuta 2024, mediapalvelujen yhteisestä kehyksestä sisämarkkinoilla ja direktiivin 2010/13/EU muuttamisesta (eurooppalainen medianvapaussäädös) (EUVL L, 2024/1083, 17.4.2024, ELI: http://data.europa.eu/eli/reg/2024/1083/oj).</w:t>
            </w:r>
          </w:p>
        </w:tc>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39</w:t>
            </w:r>
            <w:r w:rsidRPr="008E725B">
              <w:t xml:space="preserve"> Euroopan parlamentin ja neuvoston asetus (EU) 2024/1083, annettu 11. huhtikuuta 2024, mediapalvelujen yhteisestä kehyksestä sisämarkkinoilla ja direktiivin 2010/13/EU muuttamisesta (eurooppalainen medianvapaussäädös) (EUVL L, 2024/1083, 17.4.2024, ELI: http://data.europa.eu/eli/reg/2024/1083/oj).</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295</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Jorge Buxadé Villalba, Malika Sorel, Fabrice Leggeri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8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8.</w:t>
            </w:r>
            <w:r w:rsidRPr="008E725B">
              <w:tab/>
            </w:r>
            <w:r w:rsidRPr="008E725B">
              <w:rPr>
                <w:b/>
                <w:i/>
              </w:rPr>
              <w:t xml:space="preserve">suhtautuu myönteisesti </w:t>
            </w:r>
            <w:r w:rsidRPr="008E725B">
              <w:t>eurooppalaisen medianvapaussäädöksen</w:t>
            </w:r>
            <w:r w:rsidRPr="008E725B">
              <w:rPr>
                <w:vertAlign w:val="superscript"/>
              </w:rPr>
              <w:t>39</w:t>
            </w:r>
            <w:r w:rsidRPr="008E725B">
              <w:t xml:space="preserve"> </w:t>
            </w:r>
            <w:r w:rsidRPr="008E725B">
              <w:rPr>
                <w:b/>
                <w:i/>
              </w:rPr>
              <w:t>kaltaisiin aloitteisiin ja vaatii sen täytäntöönpanoa viipymättä</w:t>
            </w:r>
            <w:r w:rsidRPr="008E725B">
              <w:t xml:space="preserve">; kehottaa jäsenvaltioita lisäämään avoimuutta valtion mainonnan jakamisessa; kehottaa </w:t>
            </w:r>
            <w:r w:rsidRPr="008E725B">
              <w:lastRenderedPageBreak/>
              <w:t xml:space="preserve">komissiota </w:t>
            </w:r>
            <w:r w:rsidRPr="008E725B">
              <w:rPr>
                <w:b/>
                <w:i/>
              </w:rPr>
              <w:t>toimittamaan jäsenvaltioille tarvittavaa tukea eurooppalaisen medianvapaussäädöksen saattamiseksi osaksi kansallista lainsäädäntöä</w:t>
            </w:r>
            <w:r w:rsidRPr="008E725B">
              <w:t>;</w:t>
            </w:r>
          </w:p>
        </w:tc>
        <w:tc>
          <w:tcPr>
            <w:tcW w:w="4876" w:type="dxa"/>
            <w:tcBorders>
              <w:top w:val="nil"/>
              <w:left w:val="nil"/>
              <w:bottom w:val="nil"/>
              <w:right w:val="nil"/>
            </w:tcBorders>
          </w:tcPr>
          <w:p w:rsidR="005E49C0" w:rsidRPr="008E725B" w:rsidRDefault="005E49C0" w:rsidP="00B5562F">
            <w:pPr>
              <w:pStyle w:val="Normal6a"/>
            </w:pPr>
            <w:r w:rsidRPr="008E725B">
              <w:lastRenderedPageBreak/>
              <w:t>8.</w:t>
            </w:r>
            <w:r w:rsidRPr="008E725B">
              <w:tab/>
            </w:r>
            <w:r w:rsidRPr="008E725B">
              <w:rPr>
                <w:b/>
                <w:i/>
              </w:rPr>
              <w:t>huomauttaa, että</w:t>
            </w:r>
            <w:r w:rsidRPr="008E725B">
              <w:t xml:space="preserve"> eurooppalaisen medianvapaussäädöksen</w:t>
            </w:r>
            <w:r w:rsidRPr="008E725B">
              <w:rPr>
                <w:vertAlign w:val="superscript"/>
              </w:rPr>
              <w:t>39</w:t>
            </w:r>
            <w:r w:rsidRPr="008E725B">
              <w:t xml:space="preserve"> </w:t>
            </w:r>
            <w:r w:rsidRPr="008E725B">
              <w:rPr>
                <w:b/>
                <w:i/>
              </w:rPr>
              <w:t>kaltaiset aloitteet eivät suojaa riittävästi tiedonsaantioikeutta ja sananvapautta</w:t>
            </w:r>
            <w:r w:rsidRPr="008E725B">
              <w:t xml:space="preserve">; kehottaa jäsenvaltioita lisäämään avoimuutta </w:t>
            </w:r>
            <w:r w:rsidRPr="008E725B">
              <w:rPr>
                <w:b/>
                <w:i/>
              </w:rPr>
              <w:t>ja oikeudenmukaisuutta</w:t>
            </w:r>
            <w:r w:rsidRPr="008E725B">
              <w:t xml:space="preserve"> </w:t>
            </w:r>
            <w:r w:rsidRPr="008E725B">
              <w:lastRenderedPageBreak/>
              <w:t xml:space="preserve">valtion mainonnan jakamisessa; kehottaa komissiota </w:t>
            </w:r>
            <w:r w:rsidRPr="008E725B">
              <w:rPr>
                <w:b/>
                <w:i/>
              </w:rPr>
              <w:t>esittämään ehdotuksia asianmukaisten ratkaisujen löytämiseksi näihin ongelmiin</w:t>
            </w:r>
            <w:r w:rsidRPr="008E725B">
              <w:t>;</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lastRenderedPageBreak/>
              <w:t>_________________</w:t>
            </w:r>
          </w:p>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39</w:t>
            </w:r>
            <w:r w:rsidRPr="008E725B">
              <w:t xml:space="preserve"> Euroopan parlamentin ja neuvoston asetus (EU) 2024/1083, annettu 11. huhtikuuta 2024, mediapalvelujen yhteisestä kehyksestä sisämarkkinoilla ja direktiivin 2010/13/EU muuttamisesta (eurooppalainen medianvapaussäädös) (EUVL L, 2024/1083, 17.4.2024, ELI: http://data.europa.eu/eli/reg/2024/1083/oj).</w:t>
            </w:r>
          </w:p>
        </w:tc>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39</w:t>
            </w:r>
            <w:r w:rsidRPr="008E725B">
              <w:t xml:space="preserve"> Euroopan parlamentin ja neuvoston asetus (EU) 2024/1083, annettu 11. huhtikuuta 2024, mediapalvelujen yhteisestä kehyksestä sisämarkkinoilla ja direktiivin 2010/13/EU muuttamisesta (eurooppalainen medianvapaussäädös) (EUVL L, 2024/1083, 17.4.2024, ELI: http://data.europa.eu/eli/reg/2024/1083/oj).</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296</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Michał Wawrykiewicz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8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8.</w:t>
            </w:r>
            <w:r w:rsidRPr="008E725B">
              <w:tab/>
              <w:t>suhtautuu myönteisesti eurooppalaisen medianvapaussäädöksen</w:t>
            </w:r>
            <w:r w:rsidRPr="008E725B">
              <w:rPr>
                <w:vertAlign w:val="superscript"/>
              </w:rPr>
              <w:t>39</w:t>
            </w:r>
            <w:r w:rsidRPr="008E725B">
              <w:t xml:space="preserve"> kaltaisiin aloitteisiin ja vaatii sen täytäntöönpanoa viipymättä; kehottaa jäsenvaltioita lisäämään avoimuutta valtion mainonnan jakamisessa; kehottaa komissiota toimittamaan jäsenvaltioille tarvittavaa tukea eurooppalaisen medianvapaussäädöksen saattamiseksi osaksi kansallista lainsäädäntöä;</w:t>
            </w:r>
          </w:p>
        </w:tc>
        <w:tc>
          <w:tcPr>
            <w:tcW w:w="4876" w:type="dxa"/>
            <w:tcBorders>
              <w:top w:val="nil"/>
              <w:left w:val="nil"/>
              <w:bottom w:val="nil"/>
              <w:right w:val="nil"/>
            </w:tcBorders>
          </w:tcPr>
          <w:p w:rsidR="005E49C0" w:rsidRPr="008E725B" w:rsidRDefault="005E49C0" w:rsidP="00B5562F">
            <w:pPr>
              <w:pStyle w:val="Normal6a"/>
            </w:pPr>
            <w:r w:rsidRPr="008E725B">
              <w:t>8.</w:t>
            </w:r>
            <w:r w:rsidRPr="008E725B">
              <w:tab/>
              <w:t>suhtautuu myönteisesti eurooppalaisen medianvapaussäädöksen</w:t>
            </w:r>
            <w:r w:rsidRPr="008E725B">
              <w:rPr>
                <w:vertAlign w:val="superscript"/>
              </w:rPr>
              <w:t>39</w:t>
            </w:r>
            <w:r w:rsidRPr="008E725B">
              <w:t xml:space="preserve"> kaltaisiin aloitteisiin ja vaatii sen täytäntöönpanoa viipymättä; kehottaa jäsenvaltioita lisäämään avoimuutta valtion mainonnan jakamisessa; kehottaa komissiota toimittamaan jäsenvaltioille tarvittavaa tukea eurooppalaisen medianvapaussäädöksen saattamiseksi osaksi kansallista lainsäädäntöä </w:t>
            </w:r>
            <w:r w:rsidRPr="008E725B">
              <w:rPr>
                <w:b/>
                <w:i/>
              </w:rPr>
              <w:t>ja seuraamaan sen täytäntöönpanoa</w:t>
            </w:r>
            <w:r w:rsidRPr="008E725B">
              <w:t>;</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39</w:t>
            </w:r>
            <w:r w:rsidRPr="008E725B">
              <w:t xml:space="preserve"> Euroopan parlamentin ja neuvoston asetus (EU) 2024/1083, annettu 11. huhtikuuta 2024, mediapalvelujen yhteisestä kehyksestä sisämarkkinoilla ja direktiivin 2010/13/EU muuttamisesta (eurooppalainen medianvapaussäädös) (EUVL L, 2024/1083, 17.4.2024, ELI: http://data.europa.eu/eli/reg/2024/1083/oj).</w:t>
            </w:r>
          </w:p>
        </w:tc>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39</w:t>
            </w:r>
            <w:r w:rsidRPr="008E725B">
              <w:t xml:space="preserve"> Euroopan parlamentin ja neuvoston asetus (EU) 2024/1083, annettu 11. huhtikuuta 2024, mediapalvelujen yhteisestä kehyksestä sisämarkkinoilla ja direktiivin 2010/13/EU muuttamisesta (eurooppalainen medianvapaussäädös) (EUVL L, 2024/1083, 17.4.2024, ELI: http://data.europa.eu/eli/reg/2024/1083/oj).</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297</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Moritz Körner, Malik Azmani, Dainius Žalimas, Lucia Yar, Fabienne Keller, Sophie Wilmès, Raquel García Hermida-Van Der Walle, Abir Al-Sahlani, Veronika Cifrová Ostrihoňová, Michał Wawrykiewicz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8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8.</w:t>
            </w:r>
            <w:r w:rsidRPr="008E725B">
              <w:tab/>
              <w:t>suhtautuu myönteisesti eurooppalaisen medianvapaussäädöksen</w:t>
            </w:r>
            <w:r w:rsidRPr="008E725B">
              <w:rPr>
                <w:vertAlign w:val="superscript"/>
              </w:rPr>
              <w:t>39</w:t>
            </w:r>
            <w:r w:rsidRPr="008E725B">
              <w:t xml:space="preserve"> kaltaisiin aloitteisiin ja vaatii sen täytäntöönpanoa viipymättä; kehottaa jäsenvaltioita lisäämään avoimuutta valtion mainonnan jakamisessa; kehottaa komissiota toimittamaan jäsenvaltioille tarvittavaa tukea eurooppalaisen medianvapaussäädöksen saattamiseksi osaksi kansallista lainsäädäntöä;</w:t>
            </w:r>
          </w:p>
        </w:tc>
        <w:tc>
          <w:tcPr>
            <w:tcW w:w="4876" w:type="dxa"/>
            <w:tcBorders>
              <w:top w:val="nil"/>
              <w:left w:val="nil"/>
              <w:bottom w:val="nil"/>
              <w:right w:val="nil"/>
            </w:tcBorders>
          </w:tcPr>
          <w:p w:rsidR="005E49C0" w:rsidRPr="008E725B" w:rsidRDefault="005E49C0" w:rsidP="00B5562F">
            <w:pPr>
              <w:pStyle w:val="Normal6a"/>
            </w:pPr>
            <w:r w:rsidRPr="008E725B">
              <w:t>8.</w:t>
            </w:r>
            <w:r w:rsidRPr="008E725B">
              <w:tab/>
              <w:t>suhtautuu myönteisesti eurooppalaisen medianvapaussäädöksen</w:t>
            </w:r>
            <w:r w:rsidRPr="008E725B">
              <w:rPr>
                <w:vertAlign w:val="superscript"/>
              </w:rPr>
              <w:t>39</w:t>
            </w:r>
            <w:r w:rsidRPr="008E725B">
              <w:t xml:space="preserve"> kaltaisiin aloitteisiin ja vaatii sen täytäntöönpanoa viipymättä; kehottaa jäsenvaltioita lisäämään avoimuutta </w:t>
            </w:r>
            <w:r w:rsidRPr="008E725B">
              <w:rPr>
                <w:b/>
                <w:i/>
              </w:rPr>
              <w:t>verkossa ja sen ulkopuolella tapahtuvan</w:t>
            </w:r>
            <w:r w:rsidRPr="008E725B">
              <w:t xml:space="preserve"> valtion mainonnan jakamisessa; kehottaa komissiota toimittamaan jäsenvaltioille tarvittavaa tukea eurooppalaisen medianvapaussäädöksen saattamiseksi osaksi kansallista lainsäädäntöä;</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39</w:t>
            </w:r>
            <w:r w:rsidRPr="008E725B">
              <w:t xml:space="preserve"> Euroopan parlamentin ja neuvoston asetus (EU) 2024/1083, annettu 11. huhtikuuta 2024, mediapalvelujen yhteisestä kehyksestä sisämarkkinoilla ja direktiivin 2010/13/EU muuttamisesta (eurooppalainen medianvapaussäädös) (EUVL L, 2024/1083, 17.4.2024, ELI: http://data.europa.eu/eli/reg/2024/1083/oj).</w:t>
            </w:r>
          </w:p>
        </w:tc>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39</w:t>
            </w:r>
            <w:r w:rsidRPr="008E725B">
              <w:t xml:space="preserve"> Euroopan parlamentin ja neuvoston asetus (EU) 2024/1083, annettu 11. huhtikuuta 2024, mediapalvelujen yhteisestä kehyksestä sisämarkkinoilla ja direktiivin 2010/13/EU muuttamisesta (eurooppalainen medianvapaussäädös) (EUVL L, 2024/1083, 17.4.2024, ELI: http://data.europa.eu/eli/reg/2024/1083/oj).</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298</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Giuseppe Antoci, Isabel Serra Sánchez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8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8 a.</w:t>
            </w:r>
            <w:r w:rsidRPr="008E725B">
              <w:tab/>
            </w:r>
            <w:r w:rsidRPr="008E725B">
              <w:rPr>
                <w:b/>
                <w:i/>
              </w:rPr>
              <w:t>katsoo, että rikosprosessilain uudistukseen liittyvät Italian hallituksen lainsäädäntöaloitteet, jotka koskevat toimittajien mahdollisuutta tutustua oikeudenkäyntiasiakirjoihin ja telekuuntelutietoihin, heikentävät tiedotusvälineiden vapautta ja rajoittavat aiheettomasti tiedonvälityksen vapautta; pitää tuomittavana, että Italian hallitus perustelee uudistuksia tulkitsemalla direktiiviä (EU) 2016/343 mielivaltaisen laajasti; huomauttaa, että komissio on tuonut esiin tämän ongelman oikeusvaltiokertomuksen Italiaa koskevassa luvussa; kehottaa komissiota seuraamaan tiiviisti, miten laki vaikuttaa Italiassa sananvapauteen ja tiedonvälityksen vapauteen, jotka ovat Euroopan unionin peruskirjan 11 artiklalla suojattuja arvoja;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299</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Juan Fernando López Aguilar, Nacho Sánchez Amor, Javier Moreno Sánchez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8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8 a.</w:t>
            </w:r>
            <w:r w:rsidRPr="008E725B">
              <w:tab/>
            </w:r>
            <w:r w:rsidRPr="008E725B">
              <w:rPr>
                <w:b/>
                <w:i/>
              </w:rPr>
              <w:t>toteaa, että kansalaiset näkevät merkkejä väärän tiedon ja disinformaation vauhdittamasta demokratian rapautumisesta ja että väärän tiedon levittäminen sosiaalisen median kautta voi johtaa EU:n oikeusvaltioajatuksen, perusoikeuksien ja arvojen rapautumiseen;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300</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lastRenderedPageBreak/>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9 kohta</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9.</w:t>
            </w:r>
            <w:r w:rsidRPr="008E725B">
              <w:tab/>
              <w:t>kehottaa jäsenvaltioita panemaan täysimääräisesti täytäntöön SLAPP-kannedirektiivin (julkisen osallistumisen vastaisia strategisia häirintäkanteita koskevan direktiivin)</w:t>
            </w:r>
            <w:r w:rsidRPr="008E725B">
              <w:rPr>
                <w:vertAlign w:val="superscript"/>
              </w:rPr>
              <w:t>40</w:t>
            </w:r>
            <w:r w:rsidRPr="008E725B">
              <w:rPr>
                <w:b/>
                <w:bCs/>
                <w:i/>
                <w:iCs/>
              </w:rPr>
              <w:t xml:space="preserve"> ja julkista osallistumista harjoittavien toimittajien ja ihmisoikeuksien puolustajien suojelemisesta ilmeisen perusteettomilta tai aiheettomilta kanteilta (”strategiset häirintätarkoituksessa nostetut kanteet”) 27. huhtikuuta 2022 annetun komission suosituksen (EU) 2022/758:’)</w:t>
            </w:r>
            <w:r w:rsidRPr="008E725B">
              <w:rPr>
                <w:b/>
                <w:bCs/>
                <w:i/>
                <w:iCs/>
                <w:vertAlign w:val="superscript"/>
              </w:rPr>
              <w:t>41</w:t>
            </w:r>
            <w:r w:rsidRPr="008E725B">
              <w:rPr>
                <w:b/>
                <w:bCs/>
                <w:i/>
                <w:iCs/>
              </w:rPr>
              <w:t xml:space="preserve"> sekä hyväksymään kattavia kansallisia SLAPP-kanteiden vastaisia toimenpiteitä toimittajien suojelemiseksi ja tuen antamiseksi riskeille altistuneille</w:t>
            </w:r>
            <w:r w:rsidRPr="008E725B">
              <w:t>;</w:t>
            </w:r>
          </w:p>
        </w:tc>
        <w:tc>
          <w:tcPr>
            <w:tcW w:w="4876" w:type="dxa"/>
            <w:tcBorders>
              <w:top w:val="nil"/>
              <w:left w:val="nil"/>
              <w:bottom w:val="nil"/>
              <w:right w:val="nil"/>
            </w:tcBorders>
          </w:tcPr>
          <w:p w:rsidR="005E49C0" w:rsidRPr="008E725B" w:rsidRDefault="005E49C0" w:rsidP="00B5562F">
            <w:pPr>
              <w:pStyle w:val="Normal6a"/>
            </w:pPr>
            <w:r w:rsidRPr="008E725B">
              <w:t>9.</w:t>
            </w:r>
            <w:r w:rsidRPr="008E725B">
              <w:tab/>
              <w:t>kehottaa jäsenvaltioita panemaan täysimääräisesti täytäntöön SLAPP-kannedirektiivin (julkisen osallistumisen vastaisia strategisia häirintäkanteita koskevan direktiivin)</w:t>
            </w:r>
            <w:r w:rsidRPr="008E725B">
              <w:rPr>
                <w:vertAlign w:val="superscript"/>
              </w:rPr>
              <w:t>40</w:t>
            </w:r>
            <w:r w:rsidRPr="008E725B">
              <w:t>;</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40</w:t>
            </w:r>
            <w:r w:rsidRPr="008E725B">
              <w:t xml:space="preserve"> Euroopan parlamentin ja neuvoston direktiivi (EU) 2024/1069, annettu 11. huhtikuuta 2024, julkiseen keskusteluun osallistuvien henkilöiden suojelemisesta ilmeisen perusteettomilta vaatimuksilta tai väärinkäyttöön perustuvilta oikeudenkäynneiltä (”julkiseen keskusteluun osallistumista vastustavat strategiset kanteet”) (EUVL L, 2024/1069, 16.4.2024, ELI: http://data.europa.eu/eli/dir/2024/1069/oj).</w:t>
            </w:r>
          </w:p>
        </w:tc>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40</w:t>
            </w:r>
            <w:r w:rsidRPr="008E725B">
              <w:t xml:space="preserve"> Euroopan parlamentin ja neuvoston direktiivi (EU) 2024/1069, annettu 11. huhtikuuta 2024, julkiseen keskusteluun osallistuvien henkilöiden suojelemisesta ilmeisen perusteettomilta vaatimuksilta tai väärinkäyttöön perustuvilta oikeudenkäynneiltä (”julkiseen keskusteluun osallistumista vastustavat strategiset kanteet”) (EUVL L, 2024/1069, 16.4.2024, ELI: http://data.europa.eu/eli/dir/2024/1069/oj).</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vertAlign w:val="superscript"/>
              </w:rPr>
              <w:t>41</w:t>
            </w:r>
            <w:r w:rsidRPr="008E725B">
              <w:t xml:space="preserve"> </w:t>
            </w:r>
            <w:r w:rsidRPr="008E725B">
              <w:rPr>
                <w:b/>
                <w:i/>
              </w:rPr>
              <w:t>EUVL L 138, 17.5.2022, s. 30., ELI: http://data.europa.eu/eli/reco/2022/758/oj.</w:t>
            </w:r>
          </w:p>
        </w:tc>
        <w:tc>
          <w:tcPr>
            <w:tcW w:w="4876" w:type="dxa"/>
            <w:tcBorders>
              <w:top w:val="nil"/>
              <w:left w:val="nil"/>
              <w:bottom w:val="nil"/>
              <w:right w:val="nil"/>
            </w:tcBorders>
          </w:tcPr>
          <w:p w:rsidR="005E49C0" w:rsidRPr="008E725B" w:rsidRDefault="005E49C0" w:rsidP="00B5562F"/>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301</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sidRPr="008E725B">
        <w:rPr>
          <w:rStyle w:val="HideTWBExt"/>
          <w:b w:val="0"/>
        </w:rPr>
        <w:t>&lt;/Members&gt;</w:t>
      </w:r>
    </w:p>
    <w:p w:rsidR="005E49C0" w:rsidRPr="008E725B" w:rsidRDefault="005E49C0" w:rsidP="005E49C0">
      <w:pPr>
        <w:pStyle w:val="NormalBold"/>
      </w:pPr>
      <w:r w:rsidRPr="008E725B">
        <w:rPr>
          <w:rStyle w:val="HideTWBExt"/>
          <w:b w:val="0"/>
        </w:rPr>
        <w:lastRenderedPageBreak/>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9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9.</w:t>
            </w:r>
            <w:r w:rsidRPr="008E725B">
              <w:tab/>
              <w:t>kehottaa jäsenvaltioita panemaan täysimääräisesti täytäntöön SLAPP-kannedirektiivin (julkisen osallistumisen vastaisia strategisia häirintäkanteita koskevan direktiivin)</w:t>
            </w:r>
            <w:r w:rsidRPr="008E725B">
              <w:rPr>
                <w:vertAlign w:val="superscript"/>
              </w:rPr>
              <w:t>40</w:t>
            </w:r>
            <w:r w:rsidRPr="008E725B">
              <w:t xml:space="preserve"> ja julkista osallistumista harjoittavien toimittajien ja ihmisoikeuksien puolustajien suojelemisesta ilmeisen perusteettomilta tai aiheettomilta kanteilta (”strategiset häirintätarkoituksessa nostetut kanteet”) 27. huhtikuuta 2022 annetun komission suosituksen (EU) 2022/758</w:t>
            </w:r>
            <w:r w:rsidRPr="008E725B">
              <w:rPr>
                <w:vertAlign w:val="superscript"/>
              </w:rPr>
              <w:t>41</w:t>
            </w:r>
            <w:r w:rsidRPr="008E725B">
              <w:t xml:space="preserve"> sekä hyväksymään kattavia kansallisia SLAPP-kanteiden vastaisia toimenpiteitä toimittajien suojelemiseksi ja tuen antamiseksi </w:t>
            </w:r>
            <w:r w:rsidRPr="008E725B">
              <w:rPr>
                <w:b/>
                <w:i/>
              </w:rPr>
              <w:t>riskeille altistuneille</w:t>
            </w:r>
            <w:r w:rsidRPr="008E725B">
              <w:t>;</w:t>
            </w:r>
          </w:p>
        </w:tc>
        <w:tc>
          <w:tcPr>
            <w:tcW w:w="4876" w:type="dxa"/>
            <w:tcBorders>
              <w:top w:val="nil"/>
              <w:left w:val="nil"/>
              <w:bottom w:val="nil"/>
              <w:right w:val="nil"/>
            </w:tcBorders>
          </w:tcPr>
          <w:p w:rsidR="005E49C0" w:rsidRPr="008E725B" w:rsidRDefault="005E49C0" w:rsidP="00B5562F">
            <w:pPr>
              <w:pStyle w:val="Normal6a"/>
            </w:pPr>
            <w:r w:rsidRPr="008E725B">
              <w:t>9.</w:t>
            </w:r>
            <w:r w:rsidRPr="008E725B">
              <w:tab/>
              <w:t>kehottaa jäsenvaltioita panemaan täysimääräisesti täytäntöön SLAPP-kannedirektiivin (julkisen osallistumisen vastaisia strategisia häirintäkanteita koskevan direktiivin)</w:t>
            </w:r>
            <w:r w:rsidRPr="008E725B">
              <w:rPr>
                <w:vertAlign w:val="superscript"/>
              </w:rPr>
              <w:t>40</w:t>
            </w:r>
            <w:r w:rsidRPr="008E725B">
              <w:t xml:space="preserve"> ja julkista osallistumista harjoittavien toimittajien ja ihmisoikeuksien puolustajien suojelemisesta ilmeisen perusteettomilta tai aiheettomilta kanteilta (”strategiset häirintätarkoituksessa nostetut kanteet”) 27. huhtikuuta 2022 annetun komission suosituksen (EU) 2022/758</w:t>
            </w:r>
            <w:r w:rsidRPr="008E725B">
              <w:rPr>
                <w:vertAlign w:val="superscript"/>
              </w:rPr>
              <w:t>41</w:t>
            </w:r>
            <w:r w:rsidRPr="008E725B">
              <w:t xml:space="preserve"> sekä hyväksymään kattavia kansallisia SLAPP-kanteiden vastaisia toimenpiteitä toimittajien suojelemiseksi ja tuen antamiseksi </w:t>
            </w:r>
            <w:r w:rsidRPr="008E725B">
              <w:rPr>
                <w:b/>
                <w:i/>
              </w:rPr>
              <w:t>ammattinsa harjoittamisen yhteydessä pelottelun, kunnianloukkausten ja rajoitusten kohteeksi joutuneille</w:t>
            </w:r>
            <w:r w:rsidRPr="008E725B">
              <w:t xml:space="preserve">; </w:t>
            </w:r>
            <w:r w:rsidRPr="008E725B">
              <w:rPr>
                <w:b/>
                <w:i/>
              </w:rPr>
              <w:t>suosittaa, että jäsenvaltiot sisällyttäisivät direktiivin soveltamisalaan myös kansalliset tapaukset saattaessaan direktiivin osaksi lainsäädäntöään, sillä valtaosa SLAPP-kanteista nostetaan kansallisella tasolla;</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40</w:t>
            </w:r>
            <w:r w:rsidRPr="008E725B">
              <w:t xml:space="preserve"> Euroopan parlamentin ja neuvoston direktiivi (EU) 2024/1069, annettu 11. huhtikuuta 2024, julkiseen keskusteluun osallistuvien henkilöiden suojelemisesta ilmeisen perusteettomilta vaatimuksilta tai väärinkäyttöön perustuvilta oikeudenkäynneiltä (”julkiseen keskusteluun osallistumista vastustavat strategiset kanteet”) (EUVL L, 2024/1069, 16.4.2024, ELI: http://data.europa.eu/eli/dir/2024/1069/oj).</w:t>
            </w:r>
          </w:p>
        </w:tc>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40</w:t>
            </w:r>
            <w:r w:rsidRPr="008E725B">
              <w:t xml:space="preserve"> Euroopan parlamentin ja neuvoston direktiivi (EU) 2024/1069, annettu 11. huhtikuuta 2024, julkiseen keskusteluun osallistuvien henkilöiden suojelemisesta ilmeisen perusteettomilta vaatimuksilta tai väärinkäyttöön perustuvilta oikeudenkäynneiltä (”julkiseen keskusteluun osallistumista vastustavat strategiset kanteet”) (EUVL L, 2024/1069, 16.4.2024, ELI: http://data.europa.eu/eli/dir/2024/1069/oj).</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41</w:t>
            </w:r>
            <w:r w:rsidRPr="008E725B">
              <w:t xml:space="preserve"> EUVL L 138, 17.5.2022, s. 30, ELI: http://data.europa.eu/eli/reco/2022/758/oj.</w:t>
            </w:r>
          </w:p>
        </w:tc>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41</w:t>
            </w:r>
            <w:r w:rsidRPr="008E725B">
              <w:t xml:space="preserve"> EUVL L 138, 17.5.2022, s. 30, ELI: http://data.europa.eu/eli/reco/2022/758/oj.</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lastRenderedPageBreak/>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302</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Daniel Freund, Diana Riba i Giner</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9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9.</w:t>
            </w:r>
            <w:r w:rsidRPr="008E725B">
              <w:tab/>
              <w:t>kehottaa jäsenvaltioita panemaan täysimääräisesti täytäntöön SLAPP-kannedirektiivin (julkisen osallistumisen vastaisia strategisia häirintäkanteita koskevan direktiivin)</w:t>
            </w:r>
            <w:r w:rsidRPr="008E725B">
              <w:rPr>
                <w:vertAlign w:val="superscript"/>
              </w:rPr>
              <w:t>40</w:t>
            </w:r>
            <w:r w:rsidRPr="008E725B">
              <w:t xml:space="preserve"> ja julkista osallistumista harjoittavien toimittajien ja ihmisoikeuksien puolustajien suojelemisesta ilmeisen perusteettomilta tai aiheettomilta kanteilta (”strategiset häirintätarkoituksessa nostetut kanteet”) 27. huhtikuuta 2022 annetun komission suosituksen (EU) 2022/758</w:t>
            </w:r>
            <w:r w:rsidRPr="008E725B">
              <w:rPr>
                <w:vertAlign w:val="superscript"/>
              </w:rPr>
              <w:t>41</w:t>
            </w:r>
            <w:r w:rsidRPr="008E725B">
              <w:t xml:space="preserve"> sekä hyväksymään kattavia kansallisia SLAPP-kanteiden vastaisia toimenpiteitä toimittajien suojelemiseksi ja tuen antamiseksi riskeille altistuneille;</w:t>
            </w:r>
          </w:p>
        </w:tc>
        <w:tc>
          <w:tcPr>
            <w:tcW w:w="4876" w:type="dxa"/>
            <w:tcBorders>
              <w:top w:val="nil"/>
              <w:left w:val="nil"/>
              <w:bottom w:val="nil"/>
              <w:right w:val="nil"/>
            </w:tcBorders>
          </w:tcPr>
          <w:p w:rsidR="005E49C0" w:rsidRPr="008E725B" w:rsidRDefault="005E49C0" w:rsidP="00B5562F">
            <w:pPr>
              <w:pStyle w:val="Normal6a"/>
            </w:pPr>
            <w:r w:rsidRPr="008E725B">
              <w:t>9.</w:t>
            </w:r>
            <w:r w:rsidRPr="008E725B">
              <w:tab/>
              <w:t>kehottaa jäsenvaltioita panemaan täysimääräisesti täytäntöön SLAPP-kannedirektiivin (julkisen osallistumisen vastaisia strategisia häirintäkanteita koskevan direktiivin)</w:t>
            </w:r>
            <w:r w:rsidRPr="008E725B">
              <w:rPr>
                <w:vertAlign w:val="superscript"/>
              </w:rPr>
              <w:t>40</w:t>
            </w:r>
            <w:r w:rsidRPr="008E725B">
              <w:t xml:space="preserve"> ja julkista osallistumista harjoittavien toimittajien ja ihmisoikeuksien puolustajien suojelemisesta ilmeisen perusteettomilta tai aiheettomilta kanteilta (”strategiset häirintätarkoituksessa nostetut kanteet”) 27. huhtikuuta 2022 annetun komission suosituksen (EU) 2022/758</w:t>
            </w:r>
            <w:r w:rsidRPr="008E725B">
              <w:rPr>
                <w:vertAlign w:val="superscript"/>
              </w:rPr>
              <w:t>41</w:t>
            </w:r>
            <w:r w:rsidRPr="008E725B">
              <w:t xml:space="preserve"> sekä hyväksymään kattavia kansallisia SLAPP-kanteiden vastaisia toimenpiteitä toimittajien suojelemiseksi ja tuen antamiseksi riskeille altistuneille; </w:t>
            </w:r>
            <w:r w:rsidRPr="008E725B">
              <w:rPr>
                <w:b/>
                <w:i/>
              </w:rPr>
              <w:t>kehottaa komissiota esittämään ehdotuksia nykyisen direktiivin soveltamisalaan kuulumattomien SLAPP-kanteiden käsittelystä;</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c>
          <w:tcPr>
            <w:tcW w:w="4876" w:type="dxa"/>
            <w:tcBorders>
              <w:top w:val="nil"/>
              <w:left w:val="nil"/>
              <w:bottom w:val="nil"/>
              <w:right w:val="nil"/>
            </w:tcBorders>
          </w:tcPr>
          <w:p w:rsidR="005E49C0" w:rsidRPr="008E725B" w:rsidRDefault="005E49C0" w:rsidP="00B5562F">
            <w:pPr>
              <w:pStyle w:val="Normal6a"/>
            </w:pPr>
            <w:r w:rsidRPr="008E725B">
              <w:rPr>
                <w:b/>
                <w:i/>
              </w:rPr>
              <w:t>_________________</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40</w:t>
            </w:r>
            <w:r w:rsidRPr="008E725B">
              <w:t xml:space="preserve"> Euroopan parlamentin ja neuvoston direktiivi (EU) 2024/1069, annettu 11. huhtikuuta 2024, julkiseen keskusteluun osallistuvien henkilöiden suojelemisesta ilmeisen perusteettomilta vaatimuksilta tai väärinkäyttöön perustuvilta oikeudenkäynneiltä (”julkiseen keskusteluun osallistumista vastustavat strategiset kanteet”) (EUVL L, 2024/1069, 16.4.2024, ELI: http://data.europa.eu/eli/dir/2024/1069/oj).</w:t>
            </w:r>
          </w:p>
        </w:tc>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40</w:t>
            </w:r>
            <w:r w:rsidRPr="008E725B">
              <w:t xml:space="preserve"> Euroopan parlamentin ja neuvoston direktiivi (EU) 2024/1069, annettu 11. huhtikuuta 2024, julkiseen keskusteluun osallistuvien henkilöiden suojelemisesta ilmeisen perusteettomilta vaatimuksilta tai väärinkäyttöön perustuvilta oikeudenkäynneiltä (”julkiseen keskusteluun osallistumista vastustavat strategiset kanteet”) (EUVL L, 2024/1069, 16.4.2024, ELI: http://data.europa.eu/eli/dir/2024/1069/oj).</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41</w:t>
            </w:r>
            <w:r w:rsidRPr="008E725B">
              <w:t xml:space="preserve"> EUVL L 138, 17.5.2022, s. 30, ELI: http://data.europa.eu/eli/reco/2022/758/oj.</w:t>
            </w:r>
          </w:p>
        </w:tc>
        <w:tc>
          <w:tcPr>
            <w:tcW w:w="4876" w:type="dxa"/>
            <w:tcBorders>
              <w:top w:val="nil"/>
              <w:left w:val="nil"/>
              <w:bottom w:val="nil"/>
              <w:right w:val="nil"/>
            </w:tcBorders>
          </w:tcPr>
          <w:p w:rsidR="005E49C0" w:rsidRPr="008E725B" w:rsidRDefault="005E49C0" w:rsidP="00B5562F">
            <w:pPr>
              <w:pStyle w:val="Normal6a"/>
            </w:pPr>
            <w:r w:rsidRPr="008E725B">
              <w:rPr>
                <w:vertAlign w:val="superscript"/>
              </w:rPr>
              <w:t>41</w:t>
            </w:r>
            <w:r w:rsidRPr="008E725B">
              <w:t xml:space="preserve"> EUVL L 138, 17.5.2022, s. 30, ELI: http://data.europa.eu/eli/reco/2022/758/oj.</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lastRenderedPageBreak/>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303</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Veronika Cifrová Ostrihoňová</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9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9 a.</w:t>
            </w:r>
            <w:r w:rsidRPr="008E725B">
              <w:tab/>
            </w:r>
            <w:r w:rsidRPr="008E725B">
              <w:rPr>
                <w:b/>
                <w:i/>
              </w:rPr>
              <w:t>on syvästi huolissaan toimittajiin kohdistuvien hyökkäysten lisääntymisestä ja naispuolisiin toimittajiin kohdistuvista suhteettomista vaikutuksista; toteaa, että yleisimpiä uhkailun muotoja ovat sanalliset hyökkäykset, verkkohäirintä ja pelottelu sosiaalisen median ja sähköpostin välityksellä; on syvästi huolissaan oikeudellisilla toimilla uhkaamisesta, mukaan lukien SLAPP-kanteet, sekä vainoamisesta ja henkilökohtaisesta häirinnästä; kehottaa komissiota ja jäsenvaltioita varmistamaan häirinnän vastaisten toimenpiteiden tehokkaan täytäntöönpanon ja saattamaan digitaaliset alustat vastuuseen tällaisen uhkailun mahdollistamisesta;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304</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Moritz Körner, Hilde Vautmans, Nikola Minchev, Veronika Cifrová Ostrihoňová, Chloé Ridel, Abir Al-Sahlani, Alessandro Zan, Fabienne Keller, Lucia Yar, Irena Joveva, Isabel Wiseler-Lima, Daniel Freund</w:t>
      </w:r>
      <w:r w:rsidRPr="008E725B">
        <w:rPr>
          <w:rStyle w:val="HideTWBExt"/>
          <w:b w:val="0"/>
        </w:rPr>
        <w:t>&lt;/Members&gt;</w:t>
      </w:r>
    </w:p>
    <w:p w:rsidR="005E49C0" w:rsidRPr="008E725B" w:rsidRDefault="005E49C0" w:rsidP="005E49C0">
      <w:r w:rsidRPr="008E725B">
        <w:rPr>
          <w:rStyle w:val="HideTWBExt"/>
        </w:rPr>
        <w:t>&lt;AuNomDe&gt;</w:t>
      </w:r>
      <w:r w:rsidRPr="008E725B">
        <w:rPr>
          <w:rStyle w:val="HideTWBInt"/>
        </w:rPr>
        <w:t>{LIBE}</w:t>
      </w:r>
      <w:r w:rsidRPr="008E725B">
        <w:t>kansalaisvapauksien sekä oikeus- ja sisäasioiden valiokunnan puolesta</w:t>
      </w:r>
      <w:r w:rsidRPr="008E725B">
        <w:rPr>
          <w:rStyle w:val="HideTWBExt"/>
        </w:rPr>
        <w:t>&lt;/AuNomDe&gt;</w:t>
      </w:r>
    </w:p>
    <w:p w:rsidR="005E49C0" w:rsidRPr="008E725B" w:rsidRDefault="005E49C0" w:rsidP="005E49C0">
      <w:pPr>
        <w:pStyle w:val="NormalBold"/>
      </w:pPr>
      <w:r w:rsidRPr="008E725B">
        <w:rPr>
          <w:rStyle w:val="HideTWBExt"/>
          <w:b w:val="0"/>
        </w:rPr>
        <w:t>&lt;Members&gt;</w:t>
      </w:r>
      <w:r w:rsidRPr="008E725B">
        <w:t>Sophie Wilmès</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9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9 a.</w:t>
            </w:r>
            <w:r w:rsidRPr="008E725B">
              <w:tab/>
            </w:r>
            <w:r w:rsidRPr="008E725B">
              <w:rPr>
                <w:b/>
                <w:i/>
              </w:rPr>
              <w:t>on huolissaan toimittajien turvallisuuden, myös digiturvallisuuden, vaarantumisesta ja työskentelyoloista joissakin jäsenvaltioissa;</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305</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Veronika Cifrová Ostrihoňová</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9 b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9 b.</w:t>
            </w:r>
            <w:r w:rsidRPr="008E725B">
              <w:tab/>
            </w:r>
            <w:r w:rsidRPr="008E725B">
              <w:rPr>
                <w:b/>
                <w:i/>
              </w:rPr>
              <w:t>tuomitsee toimittajia vastaan suunnattujen vihakampanjoiden leviämisen sosiaalisessa mediassa, mukaan lukien maksettujen mainosten avulla tehdyt hyökkäykset; kehottaa digitaalisia alustoja varmistamaan viipymättä yhteisön omien normien ja EU:n lainsäädännön, muun muassa digipalvelusäädöksen, noudattamisen;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306</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Alessandro Zan, Cecilia Strada, Sandro Ruotolo, Pina Picierno, Marco Tarquinio</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10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10.</w:t>
            </w:r>
            <w:r w:rsidRPr="008E725B">
              <w:tab/>
              <w:t>kehottaa jäsenvaltioita suojelemaan tiedotusvälineiden vapautta ja moniarvoisuutta, ehkäisemään tiedotusvälineiden omistajuuden keskittymistä ja torjumaan disinformaatiota, erityisesti tehokkaiden lakien ja riippumattomien sääntelyviranomaisten avulla; korostaa riippumattoman ja luotettavan julkisen yleisradiotoiminnan merkitystä demokratian kannalta ja tarvetta varmistaa rahoitus julkisen palvelun medioille;</w:t>
            </w:r>
          </w:p>
        </w:tc>
        <w:tc>
          <w:tcPr>
            <w:tcW w:w="4876" w:type="dxa"/>
            <w:tcBorders>
              <w:top w:val="nil"/>
              <w:left w:val="nil"/>
              <w:bottom w:val="nil"/>
              <w:right w:val="nil"/>
            </w:tcBorders>
          </w:tcPr>
          <w:p w:rsidR="005E49C0" w:rsidRPr="008E725B" w:rsidRDefault="005E49C0" w:rsidP="00B5562F">
            <w:pPr>
              <w:pStyle w:val="Normal6a"/>
            </w:pPr>
            <w:r w:rsidRPr="008E725B">
              <w:t>10.</w:t>
            </w:r>
            <w:r w:rsidRPr="008E725B">
              <w:tab/>
              <w:t xml:space="preserve">kehottaa jäsenvaltioita suojelemaan tiedotusvälineiden vapautta ja moniarvoisuutta, ehkäisemään tiedotusvälineiden omistajuuden keskittymistä ja torjumaan disinformaatiota, erityisesti tehokkaiden lakien ja riippumattomien sääntelyviranomaisten avulla; korostaa riippumattoman ja luotettavan julkisen yleisradiotoiminnan merkitystä demokratian kannalta ja tarvetta varmistaa rahoitus julkisen palvelun medioille; </w:t>
            </w:r>
            <w:r w:rsidRPr="008E725B">
              <w:rPr>
                <w:b/>
                <w:i/>
              </w:rPr>
              <w:t xml:space="preserve">on huolissaan Italian julkisen palvelun median RAIn toimintaan kohdistuvasta jatkuvasta hallituksen harjoittamasta ja </w:t>
            </w:r>
            <w:r w:rsidRPr="008E725B">
              <w:rPr>
                <w:b/>
                <w:i/>
              </w:rPr>
              <w:lastRenderedPageBreak/>
              <w:t>poliittisesta puuttumisesta sekä sen kielteisistä vaikutuksista tiedotusvälineiden riippumattomuuteen, kuten komissio on jo tuonut esiin; tuomitsee tiedotusvälineiden vapauden vähenemisen Italiassa; tuomitsee toimittajiin kohdistuvan painostuksen ja väitetyn sensuurin sekä uudet ”par condicio” -säännöt, joiden ansiosta nykyiset hallituspuolueet saavat muita enemmän medianäkyvyyttä;</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307</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Nicolas Bay</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10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10.</w:t>
            </w:r>
            <w:r w:rsidRPr="008E725B">
              <w:tab/>
              <w:t>kehottaa jäsenvaltioita suojelemaan tiedotusvälineiden vapautta ja moniarvoisuutta</w:t>
            </w:r>
            <w:r w:rsidRPr="008E725B">
              <w:rPr>
                <w:b/>
                <w:i/>
              </w:rPr>
              <w:t>, ehkäisemään tiedotusvälineiden omistajuuden keskittymistä ja torjumaan disinformaatiota, erityisesti tehokkaiden lakien ja riippumattomien sääntelyviranomaisten avulla</w:t>
            </w:r>
            <w:r w:rsidRPr="008E725B">
              <w:t>;</w:t>
            </w:r>
            <w:r w:rsidRPr="008E725B">
              <w:rPr>
                <w:b/>
                <w:i/>
              </w:rPr>
              <w:t xml:space="preserve"> korostaa riippumattoman ja luotettavan julkisen yleisradiotoiminnan merkitystä demokratian kannalta ja tarvetta varmistaa rahoitus julkisen palvelun medioille;</w:t>
            </w:r>
          </w:p>
        </w:tc>
        <w:tc>
          <w:tcPr>
            <w:tcW w:w="4876" w:type="dxa"/>
            <w:tcBorders>
              <w:top w:val="nil"/>
              <w:left w:val="nil"/>
              <w:bottom w:val="nil"/>
              <w:right w:val="nil"/>
            </w:tcBorders>
          </w:tcPr>
          <w:p w:rsidR="005E49C0" w:rsidRPr="008E725B" w:rsidRDefault="005E49C0" w:rsidP="00B5562F">
            <w:pPr>
              <w:pStyle w:val="Normal6a"/>
            </w:pPr>
            <w:r w:rsidRPr="008E725B">
              <w:t>10.</w:t>
            </w:r>
            <w:r w:rsidRPr="008E725B">
              <w:tab/>
              <w:t>kehottaa jäsenvaltioita suojelemaan tiedotusvälineiden vapautta ja moniarvoisuutta;</w:t>
            </w:r>
            <w:r w:rsidRPr="008E725B">
              <w:rPr>
                <w:b/>
                <w:i/>
              </w:rPr>
              <w:t> </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{FR}</w:t>
      </w:r>
      <w:r w:rsidRPr="008E725B">
        <w:t>fr</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308</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Emmanuel Fragkos, Geadis Geadi, Galato Alexandraki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10 kohta</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lastRenderedPageBreak/>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10.</w:t>
            </w:r>
            <w:r w:rsidRPr="008E725B">
              <w:tab/>
              <w:t>kehottaa jäsenvaltioita suojelemaan tiedotusvälineiden vapautta ja moniarvoisuutta, ehkäisemään tiedotusvälineiden omistajuuden keskittymistä ja torjumaan disinformaatiota, erityisesti tehokkaiden lakien ja riippumattomien sääntelyviranomaisten avulla; korostaa riippumattoman ja luotettavan julkisen yleisradiotoiminnan merkitystä demokratian kannalta ja tarvetta varmistaa rahoitus julkisen palvelun medioille;</w:t>
            </w:r>
          </w:p>
        </w:tc>
        <w:tc>
          <w:tcPr>
            <w:tcW w:w="4876" w:type="dxa"/>
            <w:tcBorders>
              <w:top w:val="nil"/>
              <w:left w:val="nil"/>
              <w:bottom w:val="nil"/>
              <w:right w:val="nil"/>
            </w:tcBorders>
          </w:tcPr>
          <w:p w:rsidR="005E49C0" w:rsidRPr="008E725B" w:rsidRDefault="005E49C0" w:rsidP="00B5562F">
            <w:pPr>
              <w:pStyle w:val="Normal6a"/>
            </w:pPr>
            <w:r w:rsidRPr="008E725B">
              <w:t>10.</w:t>
            </w:r>
            <w:r w:rsidRPr="008E725B">
              <w:tab/>
              <w:t xml:space="preserve">kehottaa jäsenvaltioita suojelemaan tiedotusvälineiden vapautta ja moniarvoisuutta, ehkäisemään tiedotusvälineiden omistajuuden keskittymistä ja torjumaan disinformaatiota, erityisesti tehokkaiden lakien ja riippumattomien sääntelyviranomaisten avulla; </w:t>
            </w:r>
            <w:r w:rsidRPr="008E725B">
              <w:rPr>
                <w:b/>
                <w:i/>
              </w:rPr>
              <w:t>panee merkille, että nykyinen riippumattomien viranomaisten johtajien nimittämisjärjestelmä ei toimi vaan se tekee kyseisistä johtajista hallituksen politiikan täytäntöönpanovälineen;</w:t>
            </w:r>
            <w:r w:rsidRPr="008E725B">
              <w:t xml:space="preserve"> korostaa riippumattoman ja luotettavan julkisen yleisradiotoiminnan merkitystä demokratian kannalta ja tarvetta varmistaa rahoitus julkisen palvelun medioille;</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{EL}</w:t>
      </w:r>
      <w:r w:rsidRPr="008E725B">
        <w:t>el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309</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Jorge Buxadé Villalba, Malika Sorel, Fabrice Leggeri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10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10.</w:t>
            </w:r>
            <w:r w:rsidRPr="008E725B">
              <w:tab/>
              <w:t xml:space="preserve">kehottaa jäsenvaltioita suojelemaan tiedotusvälineiden vapautta ja moniarvoisuutta, ehkäisemään tiedotusvälineiden omistajuuden keskittymistä </w:t>
            </w:r>
            <w:r w:rsidRPr="008E725B">
              <w:rPr>
                <w:b/>
                <w:i/>
              </w:rPr>
              <w:t>ja torjumaan disinformaatiota, erityisesti</w:t>
            </w:r>
            <w:r w:rsidRPr="008E725B">
              <w:t xml:space="preserve"> tehokkaiden lakien ja riippumattomien sääntelyviranomaisten avulla; korostaa </w:t>
            </w:r>
            <w:r w:rsidRPr="008E725B">
              <w:rPr>
                <w:b/>
                <w:i/>
              </w:rPr>
              <w:t>riippumattoman ja luotettavan julkisen yleisradiotoiminnan merkitystä</w:t>
            </w:r>
            <w:r w:rsidRPr="008E725B">
              <w:t xml:space="preserve"> demokratian kannalta </w:t>
            </w:r>
            <w:r w:rsidRPr="008E725B">
              <w:rPr>
                <w:b/>
                <w:i/>
              </w:rPr>
              <w:t>ja tarvetta varmistaa rahoitus julkisen palvelun medioille</w:t>
            </w:r>
            <w:r w:rsidRPr="008E725B">
              <w:t>;</w:t>
            </w:r>
          </w:p>
        </w:tc>
        <w:tc>
          <w:tcPr>
            <w:tcW w:w="4876" w:type="dxa"/>
            <w:tcBorders>
              <w:top w:val="nil"/>
              <w:left w:val="nil"/>
              <w:bottom w:val="nil"/>
              <w:right w:val="nil"/>
            </w:tcBorders>
          </w:tcPr>
          <w:p w:rsidR="005E49C0" w:rsidRPr="008E725B" w:rsidRDefault="005E49C0" w:rsidP="00B5562F">
            <w:pPr>
              <w:pStyle w:val="Normal6a"/>
            </w:pPr>
            <w:r w:rsidRPr="008E725B">
              <w:t>10.</w:t>
            </w:r>
            <w:r w:rsidRPr="008E725B">
              <w:tab/>
              <w:t>kehottaa jäsenvaltioita suojelemaan tiedotusvälineiden vapautta ja moniarvoisuutta, ehkäisemään tiedotusvälineiden omistajuuden keskittymistä</w:t>
            </w:r>
            <w:r w:rsidRPr="008E725B">
              <w:rPr>
                <w:b/>
                <w:i/>
              </w:rPr>
              <w:t>, edistämään toimituksellista riippumattomuutta ja tiedotusvälineiden omistuksen läpinäkyvyyttä</w:t>
            </w:r>
            <w:r w:rsidRPr="008E725B">
              <w:t xml:space="preserve"> tehokkaiden lakien ja riippumattomien sääntelyviranomaisten avulla; korostaa</w:t>
            </w:r>
            <w:r w:rsidRPr="008E725B">
              <w:rPr>
                <w:b/>
                <w:i/>
              </w:rPr>
              <w:t>, että riippumattomat tiedotusvälineet ja valmius torjua sekä valtion että valtiosta riippumattomien ulkomaisten toimijoiden propagandatoimia ovat tärkeitä</w:t>
            </w:r>
            <w:r w:rsidRPr="008E725B">
              <w:t xml:space="preserve"> demokratian kannalta;</w:t>
            </w:r>
            <w:r w:rsidRPr="008E725B">
              <w:rPr>
                <w:b/>
                <w:i/>
              </w:rPr>
              <w:t xml:space="preserve"> kehottaa EU:n toimielimiä ja jäsenvaltioita lopettamaan mediapalvelujen tarjoajien rahoittamisen </w:t>
            </w:r>
            <w:r w:rsidRPr="008E725B">
              <w:rPr>
                <w:b/>
                <w:i/>
              </w:rPr>
              <w:lastRenderedPageBreak/>
              <w:t>ja tukemisen;</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310</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Daniel Freund, Diana Riba i Giner</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10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10.</w:t>
            </w:r>
            <w:r w:rsidRPr="008E725B">
              <w:tab/>
              <w:t xml:space="preserve">kehottaa jäsenvaltioita suojelemaan tiedotusvälineiden vapautta ja moniarvoisuutta, ehkäisemään tiedotusvälineiden omistajuuden keskittymistä ja torjumaan disinformaatiota, erityisesti tehokkaiden lakien ja riippumattomien sääntelyviranomaisten avulla; korostaa riippumattoman ja luotettavan julkisen yleisradiotoiminnan merkitystä demokratian kannalta </w:t>
            </w:r>
            <w:r w:rsidRPr="008E725B">
              <w:rPr>
                <w:b/>
                <w:i/>
              </w:rPr>
              <w:t>ja tarvetta varmistaa rahoitus</w:t>
            </w:r>
            <w:r w:rsidRPr="008E725B">
              <w:t xml:space="preserve"> julkisen palvelun </w:t>
            </w:r>
            <w:r w:rsidRPr="008E725B">
              <w:rPr>
                <w:b/>
                <w:i/>
              </w:rPr>
              <w:t>medioille</w:t>
            </w:r>
            <w:r w:rsidRPr="008E725B">
              <w:t>;</w:t>
            </w:r>
          </w:p>
        </w:tc>
        <w:tc>
          <w:tcPr>
            <w:tcW w:w="4876" w:type="dxa"/>
            <w:tcBorders>
              <w:top w:val="nil"/>
              <w:left w:val="nil"/>
              <w:bottom w:val="nil"/>
              <w:right w:val="nil"/>
            </w:tcBorders>
          </w:tcPr>
          <w:p w:rsidR="005E49C0" w:rsidRPr="008E725B" w:rsidRDefault="005E49C0" w:rsidP="00B5562F">
            <w:pPr>
              <w:pStyle w:val="Normal6a"/>
            </w:pPr>
            <w:r w:rsidRPr="008E725B">
              <w:t>10.</w:t>
            </w:r>
            <w:r w:rsidRPr="008E725B">
              <w:tab/>
              <w:t xml:space="preserve">kehottaa jäsenvaltioita suojelemaan </w:t>
            </w:r>
            <w:r w:rsidRPr="008E725B">
              <w:rPr>
                <w:b/>
                <w:i/>
              </w:rPr>
              <w:t xml:space="preserve">ja edistämään </w:t>
            </w:r>
            <w:r w:rsidRPr="008E725B">
              <w:t xml:space="preserve">tiedotusvälineiden vapautta ja moniarvoisuutta, ehkäisemään tiedotusvälineiden omistajuuden keskittymistä ja torjumaan disinformaatiota, erityisesti tehokkaiden lakien ja riippumattomien sääntelyviranomaisten avulla; korostaa riippumattoman ja luotettavan julkisen yleisradiotoiminnan </w:t>
            </w:r>
            <w:r w:rsidRPr="008E725B">
              <w:rPr>
                <w:b/>
                <w:i/>
              </w:rPr>
              <w:t>ja sääntelyviranomaisten</w:t>
            </w:r>
            <w:r w:rsidRPr="008E725B">
              <w:t xml:space="preserve"> merkitystä demokratian kannalta</w:t>
            </w:r>
            <w:r w:rsidRPr="008E725B">
              <w:rPr>
                <w:b/>
                <w:i/>
              </w:rPr>
              <w:t xml:space="preserve">; kehottaa lisäksi jäsenvaltioita varmistamaan läpinäkyviin ja objektiivisiin kriteereihin perustuvan riittävän, kestävän ja ennakoitavan rahoituksen </w:t>
            </w:r>
            <w:r w:rsidRPr="008E725B">
              <w:t xml:space="preserve">julkisen palvelun </w:t>
            </w:r>
            <w:r w:rsidRPr="008E725B">
              <w:rPr>
                <w:b/>
                <w:i/>
              </w:rPr>
              <w:t>medialle</w:t>
            </w:r>
            <w:r w:rsidRPr="008E725B">
              <w:t>;</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311</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Mary Khan, Christine Anderson, Milan Uhrík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10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10.</w:t>
            </w:r>
            <w:r w:rsidRPr="008E725B">
              <w:tab/>
              <w:t>kehottaa jäsenvaltioita suojelemaan tiedotusvälineiden vapautta ja moniarvoisuutta</w:t>
            </w:r>
            <w:r w:rsidRPr="008E725B">
              <w:rPr>
                <w:b/>
                <w:i/>
              </w:rPr>
              <w:t xml:space="preserve">, ehkäisemään tiedotusvälineiden omistajuuden keskittymistä ja torjumaan </w:t>
            </w:r>
            <w:r w:rsidRPr="008E725B">
              <w:rPr>
                <w:b/>
                <w:i/>
              </w:rPr>
              <w:lastRenderedPageBreak/>
              <w:t>disinformaatiota, erityisesti tehokkaiden lakien ja riippumattomien sääntelyviranomaisten avulla</w:t>
            </w:r>
            <w:r w:rsidRPr="008E725B">
              <w:t>;</w:t>
            </w:r>
            <w:r w:rsidRPr="008E725B">
              <w:rPr>
                <w:b/>
                <w:i/>
              </w:rPr>
              <w:t xml:space="preserve"> korostaa riippumattoman ja luotettavan julkisen yleisradiotoiminnan merkitystä demokratian kannalta ja tarvetta varmistaa rahoitus julkisen palvelun medioille;</w:t>
            </w:r>
          </w:p>
        </w:tc>
        <w:tc>
          <w:tcPr>
            <w:tcW w:w="4876" w:type="dxa"/>
            <w:tcBorders>
              <w:top w:val="nil"/>
              <w:left w:val="nil"/>
              <w:bottom w:val="nil"/>
              <w:right w:val="nil"/>
            </w:tcBorders>
          </w:tcPr>
          <w:p w:rsidR="005E49C0" w:rsidRPr="008E725B" w:rsidRDefault="005E49C0" w:rsidP="00B5562F">
            <w:pPr>
              <w:pStyle w:val="Normal6a"/>
            </w:pPr>
            <w:r w:rsidRPr="008E725B">
              <w:lastRenderedPageBreak/>
              <w:t>10.</w:t>
            </w:r>
            <w:r w:rsidRPr="008E725B">
              <w:tab/>
              <w:t>kehottaa jäsenvaltioita suojelemaan tiedotusvälineiden vapautta ja moniarvoisuutta;</w:t>
            </w:r>
            <w:r w:rsidRPr="008E725B">
              <w:rPr>
                <w:b/>
                <w:i/>
              </w:rPr>
              <w:t xml:space="preserve"> ilmaisee huolensa siitä, että eräät julkisesti rahoitetut yleisradioyhtiöt, kuten ARD Saksassa, </w:t>
            </w:r>
            <w:r w:rsidRPr="008E725B">
              <w:rPr>
                <w:b/>
                <w:i/>
              </w:rPr>
              <w:lastRenderedPageBreak/>
              <w:t>ovat selvästi poliittisesti puolueellisia;</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312</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Javier Zarzalejos</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10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10.</w:t>
            </w:r>
            <w:r w:rsidRPr="008E725B">
              <w:tab/>
              <w:t xml:space="preserve">kehottaa jäsenvaltioita suojelemaan tiedotusvälineiden vapautta ja moniarvoisuutta, ehkäisemään tiedotusvälineiden omistajuuden keskittymistä ja </w:t>
            </w:r>
            <w:r w:rsidRPr="008E725B">
              <w:rPr>
                <w:b/>
                <w:i/>
              </w:rPr>
              <w:t>torjumaan disinformaatiota, erityisesti tehokkaiden lakien ja riippumattomien sääntelyviranomaisten avulla</w:t>
            </w:r>
            <w:r w:rsidRPr="008E725B">
              <w:t>;</w:t>
            </w:r>
            <w:r w:rsidRPr="008E725B">
              <w:rPr>
                <w:b/>
                <w:i/>
              </w:rPr>
              <w:t xml:space="preserve"> korostaa riippumattoman ja luotettavan julkisen yleisradiotoiminnan merkitystä demokratian kannalta ja tarvetta varmistaa rahoitus julkisen palvelun medioille;</w:t>
            </w:r>
          </w:p>
        </w:tc>
        <w:tc>
          <w:tcPr>
            <w:tcW w:w="4876" w:type="dxa"/>
            <w:tcBorders>
              <w:top w:val="nil"/>
              <w:left w:val="nil"/>
              <w:bottom w:val="nil"/>
              <w:right w:val="nil"/>
            </w:tcBorders>
          </w:tcPr>
          <w:p w:rsidR="005E49C0" w:rsidRPr="008E725B" w:rsidRDefault="005E49C0" w:rsidP="00B5562F">
            <w:pPr>
              <w:pStyle w:val="Normal6a"/>
            </w:pPr>
            <w:r w:rsidRPr="008E725B">
              <w:t>10.</w:t>
            </w:r>
            <w:r w:rsidRPr="008E725B">
              <w:tab/>
              <w:t xml:space="preserve">kehottaa jäsenvaltioita suojelemaan tiedotusvälineiden vapautta ja moniarvoisuutta, ehkäisemään tiedotusvälineiden omistajuuden keskittymistä ja </w:t>
            </w:r>
            <w:r w:rsidRPr="008E725B">
              <w:rPr>
                <w:b/>
                <w:i/>
              </w:rPr>
              <w:t>varmistamaan julkisten yleisradiopalvelujen riippumattomuuden estämällä poliittisen puuttumisen niiden toimintaan</w:t>
            </w:r>
            <w:r w:rsidRPr="008E725B">
              <w:t>;</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313</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Emmanuel Fragkos, Geadis Geadi, Galato Alexandraki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10 kohta</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10.</w:t>
            </w:r>
            <w:r w:rsidRPr="008E725B">
              <w:tab/>
              <w:t xml:space="preserve">kehottaa jäsenvaltioita suojelemaan </w:t>
            </w:r>
            <w:r w:rsidRPr="008E725B">
              <w:lastRenderedPageBreak/>
              <w:t>tiedotusvälineiden vapautta ja moniarvoisuutta, ehkäisemään tiedotusvälineiden omistajuuden keskittymistä ja torjumaan disinformaatiota, erityisesti tehokkaiden lakien ja riippumattomien sääntelyviranomaisten avulla; korostaa riippumattoman ja luotettavan julkisen yleisradiotoiminnan merkitystä demokratian kannalta ja tarvetta varmistaa rahoitus julkisen palvelun medioille;</w:t>
            </w:r>
          </w:p>
        </w:tc>
        <w:tc>
          <w:tcPr>
            <w:tcW w:w="4876" w:type="dxa"/>
            <w:tcBorders>
              <w:top w:val="nil"/>
              <w:left w:val="nil"/>
              <w:bottom w:val="nil"/>
              <w:right w:val="nil"/>
            </w:tcBorders>
          </w:tcPr>
          <w:p w:rsidR="005E49C0" w:rsidRPr="008E725B" w:rsidRDefault="005E49C0" w:rsidP="00B5562F">
            <w:pPr>
              <w:pStyle w:val="Normal6a"/>
            </w:pPr>
            <w:r w:rsidRPr="008E725B">
              <w:lastRenderedPageBreak/>
              <w:t>10.</w:t>
            </w:r>
            <w:r w:rsidRPr="008E725B">
              <w:tab/>
              <w:t xml:space="preserve">kehottaa jäsenvaltioita suojelemaan </w:t>
            </w:r>
            <w:r w:rsidRPr="008E725B">
              <w:lastRenderedPageBreak/>
              <w:t xml:space="preserve">tiedotusvälineiden vapautta ja moniarvoisuutta, ehkäisemään tiedotusvälineiden omistajuuden keskittymistä ja torjumaan disinformaatiota, erityisesti tehokkaiden lakien ja riippumattomien sääntelyviranomaisten avulla; </w:t>
            </w:r>
            <w:r w:rsidRPr="008E725B">
              <w:rPr>
                <w:b/>
                <w:i/>
              </w:rPr>
              <w:t>kehottaa valvomaan erityisesti kolmansien maiden omistamia välineellistettyjä televisioverkkoja;</w:t>
            </w:r>
            <w:r w:rsidRPr="008E725B">
              <w:t xml:space="preserve"> korostaa riippumattoman ja luotettavan julkisen yleisradiotoiminnan merkitystä demokratian kannalta ja tarvetta varmistaa rahoitus julkisen palvelun medioille;</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{EL}</w:t>
      </w:r>
      <w:r w:rsidRPr="008E725B">
        <w:t>el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314</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Tomáš Zdechovský</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10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10.</w:t>
            </w:r>
            <w:r w:rsidRPr="008E725B">
              <w:tab/>
              <w:t>kehottaa jäsenvaltioita suojelemaan tiedotusvälineiden vapautta ja moniarvoisuutta, ehkäisemään tiedotusvälineiden omistajuuden keskittymistä ja torjumaan disinformaatiota, erityisesti tehokkaiden lakien ja riippumattomien sääntelyviranomaisten avulla; korostaa riippumattoman ja luotettavan julkisen yleisradiotoiminnan merkitystä demokratian kannalta ja tarvetta varmistaa rahoitus julkisen palvelun medioille;</w:t>
            </w:r>
          </w:p>
        </w:tc>
        <w:tc>
          <w:tcPr>
            <w:tcW w:w="4876" w:type="dxa"/>
            <w:tcBorders>
              <w:top w:val="nil"/>
              <w:left w:val="nil"/>
              <w:bottom w:val="nil"/>
              <w:right w:val="nil"/>
            </w:tcBorders>
          </w:tcPr>
          <w:p w:rsidR="005E49C0" w:rsidRPr="008E725B" w:rsidRDefault="005E49C0" w:rsidP="00B5562F">
            <w:pPr>
              <w:pStyle w:val="Normal6a"/>
            </w:pPr>
            <w:r w:rsidRPr="008E725B">
              <w:t>10.</w:t>
            </w:r>
            <w:r w:rsidRPr="008E725B">
              <w:tab/>
              <w:t xml:space="preserve">kehottaa jäsenvaltioita suojelemaan tiedotusvälineiden vapautta ja moniarvoisuutta, ehkäisemään tiedotusvälineiden omistajuuden keskittymistä ja torjumaan disinformaatiota, erityisesti tehokkaiden lakien ja riippumattomien sääntelyviranomaisten avulla; </w:t>
            </w:r>
            <w:r w:rsidRPr="008E725B">
              <w:rPr>
                <w:b/>
                <w:i/>
              </w:rPr>
              <w:t>kannustaa huolehtimaan tiedotusvälineiden omistuksen täydestä läpinäkyvyydestä;</w:t>
            </w:r>
            <w:r w:rsidRPr="008E725B">
              <w:t xml:space="preserve"> korostaa riippumattoman ja luotettavan julkisen yleisradiotoiminnan merkitystä demokratian kannalta ja tarvetta varmistaa rahoitus julkisen palvelun medioille;</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315</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 xml:space="preserve">Moritz Körner, Hilde Vautmans, Nikola Minchev, Veronika Cifrová Ostrihoňová, Chloé </w:t>
      </w:r>
      <w:r w:rsidRPr="008E725B">
        <w:lastRenderedPageBreak/>
        <w:t>Ridel, Abir Al-Sahlani, Alessandro Zan, Fabienne Keller, Lucia Yar, Irena Joveva, Isabel Wiseler-Lima</w:t>
      </w:r>
      <w:r w:rsidRPr="008E725B">
        <w:rPr>
          <w:rStyle w:val="HideTWBExt"/>
          <w:b w:val="0"/>
        </w:rPr>
        <w:t>&lt;/Members&gt;</w:t>
      </w:r>
    </w:p>
    <w:p w:rsidR="005E49C0" w:rsidRPr="008E725B" w:rsidRDefault="005E49C0" w:rsidP="005E49C0">
      <w:r w:rsidRPr="008E725B">
        <w:rPr>
          <w:rStyle w:val="HideTWBExt"/>
        </w:rPr>
        <w:t>&lt;AuNomDe&gt;</w:t>
      </w:r>
      <w:r w:rsidRPr="008E725B">
        <w:rPr>
          <w:rStyle w:val="HideTWBInt"/>
        </w:rPr>
        <w:t>{LIBE}</w:t>
      </w:r>
      <w:r w:rsidRPr="008E725B">
        <w:t>kansalaisvapauksien sekä oikeus- ja sisäasioiden valiokunnan puolesta</w:t>
      </w:r>
      <w:r w:rsidRPr="008E725B">
        <w:rPr>
          <w:rStyle w:val="HideTWBExt"/>
        </w:rPr>
        <w:t>&lt;/AuNomDe&gt;</w:t>
      </w:r>
    </w:p>
    <w:p w:rsidR="005E49C0" w:rsidRPr="008E725B" w:rsidRDefault="005E49C0" w:rsidP="005E49C0">
      <w:pPr>
        <w:pStyle w:val="NormalBold"/>
      </w:pPr>
      <w:r w:rsidRPr="008E725B">
        <w:rPr>
          <w:rStyle w:val="HideTWBExt"/>
          <w:b w:val="0"/>
        </w:rPr>
        <w:t>&lt;Members&gt;</w:t>
      </w:r>
      <w:r w:rsidRPr="008E725B">
        <w:t>Sophie Wilmès</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10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10.</w:t>
            </w:r>
            <w:r w:rsidRPr="008E725B">
              <w:tab/>
              <w:t>kehottaa jäsenvaltioita suojelemaan tiedotusvälineiden vapautta ja moniarvoisuutta, ehkäisemään tiedotusvälineiden omistajuuden keskittymistä ja torjumaan disinformaatiota, erityisesti tehokkaiden lakien ja riippumattomien sääntelyviranomaisten avulla; korostaa riippumattoman ja luotettavan julkisen yleisradiotoiminnan merkitystä demokratian kannalta ja tarvetta varmistaa rahoitus julkisen palvelun medioille;</w:t>
            </w:r>
          </w:p>
        </w:tc>
        <w:tc>
          <w:tcPr>
            <w:tcW w:w="4876" w:type="dxa"/>
            <w:tcBorders>
              <w:top w:val="nil"/>
              <w:left w:val="nil"/>
              <w:bottom w:val="nil"/>
              <w:right w:val="nil"/>
            </w:tcBorders>
          </w:tcPr>
          <w:p w:rsidR="005E49C0" w:rsidRPr="008E725B" w:rsidRDefault="005E49C0" w:rsidP="00B5562F">
            <w:pPr>
              <w:pStyle w:val="Normal6a"/>
            </w:pPr>
            <w:r w:rsidRPr="008E725B">
              <w:t>10.</w:t>
            </w:r>
            <w:r w:rsidRPr="008E725B">
              <w:tab/>
              <w:t>kehottaa jäsenvaltioita suojelemaan tiedotusvälineiden vapautta ja moniarvoisuutta, ehkäisemään tiedotusvälineiden omistajuuden keskittymistä</w:t>
            </w:r>
            <w:r w:rsidRPr="008E725B">
              <w:rPr>
                <w:b/>
                <w:i/>
              </w:rPr>
              <w:t>, suojelemaan toimituksellista riippumattomuutta</w:t>
            </w:r>
            <w:r w:rsidRPr="008E725B">
              <w:t xml:space="preserve"> ja torjumaan disinformaatiota, erityisesti tehokkaiden lakien ja riippumattomien sääntelyviranomaisten avulla; korostaa riippumattoman ja luotettavan julkisen yleisradiotoiminnan merkitystä demokratian kannalta ja tarvetta varmistaa rahoitus julkisen palvelun medioille;</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316</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Raquel García Hermida-Van Der Walle, Fabienne Keller, Sophie Wilmès, Moritz Körner, Abir Al-Sahlani, Sigrid Friis, Lucia Yar</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10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10.</w:t>
            </w:r>
            <w:r w:rsidRPr="008E725B">
              <w:tab/>
              <w:t xml:space="preserve">kehottaa jäsenvaltioita suojelemaan tiedotusvälineiden vapautta ja moniarvoisuutta, ehkäisemään tiedotusvälineiden omistajuuden keskittymistä ja torjumaan disinformaatiota, erityisesti tehokkaiden lakien ja riippumattomien sääntelyviranomaisten avulla; korostaa riippumattoman ja luotettavan julkisen yleisradiotoiminnan merkitystä demokratian kannalta ja tarvetta varmistaa </w:t>
            </w:r>
            <w:r w:rsidRPr="008E725B">
              <w:rPr>
                <w:b/>
                <w:i/>
              </w:rPr>
              <w:lastRenderedPageBreak/>
              <w:t>rahoitus</w:t>
            </w:r>
            <w:r w:rsidRPr="008E725B">
              <w:t xml:space="preserve"> julkisen palvelun </w:t>
            </w:r>
            <w:r w:rsidRPr="008E725B">
              <w:rPr>
                <w:b/>
                <w:i/>
              </w:rPr>
              <w:t>medioille</w:t>
            </w:r>
            <w:r w:rsidRPr="008E725B">
              <w:t>;</w:t>
            </w:r>
          </w:p>
        </w:tc>
        <w:tc>
          <w:tcPr>
            <w:tcW w:w="4876" w:type="dxa"/>
            <w:tcBorders>
              <w:top w:val="nil"/>
              <w:left w:val="nil"/>
              <w:bottom w:val="nil"/>
              <w:right w:val="nil"/>
            </w:tcBorders>
          </w:tcPr>
          <w:p w:rsidR="005E49C0" w:rsidRPr="008E725B" w:rsidRDefault="005E49C0" w:rsidP="00B5562F">
            <w:pPr>
              <w:pStyle w:val="Normal6a"/>
            </w:pPr>
            <w:r w:rsidRPr="008E725B">
              <w:lastRenderedPageBreak/>
              <w:t>10.</w:t>
            </w:r>
            <w:r w:rsidRPr="008E725B">
              <w:tab/>
              <w:t xml:space="preserve">kehottaa jäsenvaltioita suojelemaan tiedotusvälineiden vapautta ja moniarvoisuutta, ehkäisemään tiedotusvälineiden omistajuuden keskittymistä ja torjumaan disinformaatiota, erityisesti tehokkaiden lakien ja riippumattomien sääntelyviranomaisten avulla; korostaa riippumattoman ja luotettavan julkisen yleisradiotoiminnan merkitystä demokratian kannalta ja tarvetta varmistaa </w:t>
            </w:r>
            <w:r w:rsidRPr="008E725B">
              <w:lastRenderedPageBreak/>
              <w:t xml:space="preserve">julkisen palvelun </w:t>
            </w:r>
            <w:r w:rsidRPr="008E725B">
              <w:rPr>
                <w:b/>
                <w:i/>
              </w:rPr>
              <w:t>median rahoitus ja talousarvion vakaus</w:t>
            </w:r>
            <w:r w:rsidRPr="008E725B">
              <w:t>;</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317</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Sebastian Tynkkynen</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10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10.</w:t>
            </w:r>
            <w:r w:rsidRPr="008E725B">
              <w:tab/>
              <w:t xml:space="preserve">kehottaa jäsenvaltioita suojelemaan tiedotusvälineiden vapautta ja moniarvoisuutta, ehkäisemään tiedotusvälineiden omistajuuden keskittymistä ja torjumaan disinformaatiota, erityisesti tehokkaiden lakien ja riippumattomien sääntelyviranomaisten avulla; </w:t>
            </w:r>
            <w:r w:rsidRPr="008E725B">
              <w:rPr>
                <w:b/>
                <w:i/>
              </w:rPr>
              <w:t>korostaa riippumattoman ja luotettavan julkisen yleisradiotoiminnan merkitystä demokratian kannalta ja tarvetta varmistaa rahoitus julkisen palvelun medioille</w:t>
            </w:r>
            <w:r w:rsidRPr="008E725B">
              <w:t>;</w:t>
            </w:r>
          </w:p>
        </w:tc>
        <w:tc>
          <w:tcPr>
            <w:tcW w:w="4876" w:type="dxa"/>
            <w:tcBorders>
              <w:top w:val="nil"/>
              <w:left w:val="nil"/>
              <w:bottom w:val="nil"/>
              <w:right w:val="nil"/>
            </w:tcBorders>
          </w:tcPr>
          <w:p w:rsidR="005E49C0" w:rsidRPr="008E725B" w:rsidRDefault="005E49C0" w:rsidP="00B5562F">
            <w:pPr>
              <w:pStyle w:val="Normal6a"/>
            </w:pPr>
            <w:r w:rsidRPr="008E725B">
              <w:t>10.</w:t>
            </w:r>
            <w:r w:rsidRPr="008E725B">
              <w:tab/>
              <w:t xml:space="preserve">kehottaa jäsenvaltioita suojelemaan tiedotusvälineiden vapautta ja moniarvoisuutta, ehkäisemään tiedotusvälineiden omistajuuden keskittymistä ja torjumaan disinformaatiota, erityisesti tehokkaiden lakien ja riippumattomien sääntelyviranomaisten avulla; </w:t>
            </w:r>
            <w:r w:rsidRPr="008E725B">
              <w:rPr>
                <w:b/>
                <w:i/>
              </w:rPr>
              <w:t>painottaa, että disinformaation torjunta ei saisi johtaa sensuuriin tai mahdollisuuksiin ilmaista erilaisia poliittisia näkemyksiä</w:t>
            </w:r>
            <w:r w:rsidRPr="008E725B">
              <w:t>;</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{FI}</w:t>
      </w:r>
      <w:r w:rsidRPr="008E725B">
        <w:t>fi</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318</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10 kohta</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10.</w:t>
            </w:r>
            <w:r w:rsidRPr="008E725B">
              <w:tab/>
              <w:t>kehottaa jäsenvaltioita suojelemaan tiedotusvälineiden vapautta ja moniarvoisuutta, ehkäisemään tiedotusvälineiden omistajuuden keskittymistä ja torjumaan</w:t>
            </w:r>
            <w:r w:rsidRPr="008E725B">
              <w:rPr>
                <w:b/>
                <w:i/>
              </w:rPr>
              <w:t xml:space="preserve"> disinformaatiota, erityisesti tehokkaiden lakien ja riippumattomien </w:t>
            </w:r>
            <w:r w:rsidRPr="008E725B">
              <w:rPr>
                <w:b/>
                <w:i/>
              </w:rPr>
              <w:lastRenderedPageBreak/>
              <w:t>sääntelyviranomaisten avulla</w:t>
            </w:r>
            <w:r w:rsidRPr="008E725B">
              <w:t>; korostaa riippumattoman ja luotettavan julkisen yleisradiotoiminnan merkitystä demokratian kannalta ja tarvetta varmistaa rahoitus julkisen palvelun medioille;</w:t>
            </w:r>
          </w:p>
        </w:tc>
        <w:tc>
          <w:tcPr>
            <w:tcW w:w="4876" w:type="dxa"/>
            <w:tcBorders>
              <w:top w:val="nil"/>
              <w:left w:val="nil"/>
              <w:bottom w:val="nil"/>
              <w:right w:val="nil"/>
            </w:tcBorders>
          </w:tcPr>
          <w:p w:rsidR="005E49C0" w:rsidRPr="008E725B" w:rsidRDefault="005E49C0" w:rsidP="00B5562F">
            <w:pPr>
              <w:pStyle w:val="Normal6a"/>
            </w:pPr>
            <w:r w:rsidRPr="008E725B">
              <w:lastRenderedPageBreak/>
              <w:t>10.</w:t>
            </w:r>
            <w:r w:rsidRPr="008E725B">
              <w:tab/>
              <w:t>kehottaa jäsenvaltioita suojelemaan tiedotusvälineiden vapautta ja moniarvoisuutta, ehkäisemään tiedotusvälineiden omistajuuden keskittymistä ja torjumaan</w:t>
            </w:r>
            <w:r w:rsidRPr="008E725B">
              <w:rPr>
                <w:b/>
                <w:i/>
              </w:rPr>
              <w:t xml:space="preserve"> sensuuria ja perusteetonta puuttumista sananvapauteen</w:t>
            </w:r>
            <w:r w:rsidRPr="008E725B">
              <w:t xml:space="preserve">; korostaa riippumattoman </w:t>
            </w:r>
            <w:r w:rsidRPr="008E725B">
              <w:lastRenderedPageBreak/>
              <w:t>ja luotettavan julkisen yleisradiotoiminnan merkitystä demokratian kannalta ja tarvetta varmistaa rahoitus julkisen palvelun medioille;</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319</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Romana Tomc</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10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10.</w:t>
            </w:r>
            <w:r w:rsidRPr="008E725B">
              <w:tab/>
              <w:t xml:space="preserve">kehottaa jäsenvaltioita suojelemaan tiedotusvälineiden vapautta ja moniarvoisuutta, ehkäisemään tiedotusvälineiden omistajuuden keskittymistä ja torjumaan disinformaatiota, erityisesti tehokkaiden lakien </w:t>
            </w:r>
            <w:r w:rsidRPr="008E725B">
              <w:rPr>
                <w:b/>
                <w:i/>
              </w:rPr>
              <w:t>ja riippumattomien sääntelyviranomaisten</w:t>
            </w:r>
            <w:r w:rsidRPr="008E725B">
              <w:t xml:space="preserve"> avulla; korostaa riippumattoman ja luotettavan julkisen yleisradiotoiminnan merkitystä demokratian kannalta ja tarvetta varmistaa rahoitus julkisen palvelun medioille;</w:t>
            </w:r>
          </w:p>
        </w:tc>
        <w:tc>
          <w:tcPr>
            <w:tcW w:w="4876" w:type="dxa"/>
            <w:tcBorders>
              <w:top w:val="nil"/>
              <w:left w:val="nil"/>
              <w:bottom w:val="nil"/>
              <w:right w:val="nil"/>
            </w:tcBorders>
          </w:tcPr>
          <w:p w:rsidR="005E49C0" w:rsidRPr="008E725B" w:rsidRDefault="005E49C0" w:rsidP="00B5562F">
            <w:pPr>
              <w:pStyle w:val="Normal6a"/>
            </w:pPr>
            <w:r w:rsidRPr="008E725B">
              <w:t>10.</w:t>
            </w:r>
            <w:r w:rsidRPr="008E725B">
              <w:tab/>
              <w:t>kehottaa jäsenvaltioita suojelemaan tiedotusvälineiden vapautta ja moniarvoisuutta, ehkäisemään tiedotusvälineiden omistajuuden keskittymistä ja torjumaan disinformaatiota, erityisesti tehokkaiden lakien avulla; korostaa riippumattoman ja luotettavan julkisen yleisradiotoiminnan merkitystä demokratian kannalta ja tarvetta varmistaa rahoitus julkisen palvelun medioille;</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320</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Alessandro Zan, Cecilia Strada, Sandro Ruotolo, Pina Picierno, Marco Tarquinio</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10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10 a.</w:t>
            </w:r>
            <w:r w:rsidRPr="008E725B">
              <w:tab/>
            </w:r>
            <w:r w:rsidRPr="008E725B">
              <w:rPr>
                <w:b/>
                <w:i/>
              </w:rPr>
              <w:t xml:space="preserve">panee merkille, että toimittajien tilanne pahenee Italiassa muun muassa SLAPP-kanteiden lisääntymisen ja poliittisten henkilöiden harjoittaman oikeudellisilla toimilla pelottelun vuoksi; </w:t>
            </w:r>
            <w:r w:rsidRPr="008E725B">
              <w:rPr>
                <w:b/>
                <w:i/>
              </w:rPr>
              <w:lastRenderedPageBreak/>
              <w:t>pitää valitettavana, että toimittajien on yhä vaikeampi hankkia tietoa ja saada käyttöönsä asiakirjoja Italiassa; panee merkille, että kunnianloukkauslainsäädännön uudistaminen ei ole edistynyt ja että oikeudellisten välineiden ja muiden turvaamismenettelyjen väärinkäyttö toimittajia vastaan on yleistymässä, mikä vaikuttaa haitallisesti lehdistönvapauteen;</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321</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Emma Rafowicz, Chloé Ridel, Krzysztof Śmiszek, Hannes Heide</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10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10 a.</w:t>
            </w:r>
            <w:r w:rsidRPr="008E725B">
              <w:tab/>
            </w:r>
            <w:r w:rsidRPr="008E725B">
              <w:rPr>
                <w:b/>
                <w:i/>
              </w:rPr>
              <w:t>panee huolestuneena merkille, että tiedotusvälineiden moniarvoisuus ja vapaus ovat uhattuna Ranskassa; panee erityisesti merkille julkisen audiovisuaalialan uudistamista koskevan Ranskan hallituksen lakiluonnoksen, jonka tavoitteena on yhdistää kaikki julkiset audiovisuaalialan elimet; korostaa, että tiedotusvälineiden keskittyminen sekä julkisten että yksityisten toimijoiden johdolla vaarantaa mahdollisuuden saada luotettavaa, objektiivista tietoa, johon ei kohdistu poliittista ja ideologista painostusta;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322</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Chloé Ridel, Emma Rafowicz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10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lastRenderedPageBreak/>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10 a.</w:t>
            </w:r>
            <w:r w:rsidRPr="008E725B">
              <w:tab/>
            </w:r>
            <w:r w:rsidRPr="008E725B">
              <w:rPr>
                <w:b/>
                <w:i/>
              </w:rPr>
              <w:t>panee merkille, että tiedotusvälineiden omistuksen läpinäkyvyydessä on edelleen haasteita Bulgariassa, Tšekissä, Ranskassa, Alankomaissa ja Kyproksessa; kehottaa kaikkia jäsenvaltioita panemaan täytäntöön tiedotusvälineiden omistuksen läpinäkyvyyttä koskevat EU:n säännökset kaikilta osin, muun muassa perustamalla kattavat ja julkisesti saatavilla olevat omistusrekisterit;</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323</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Marco Tarquinio, Alessandro Zan, Damien Carême, Mélissa Camara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10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10 a.</w:t>
            </w:r>
            <w:r w:rsidRPr="008E725B">
              <w:tab/>
            </w:r>
            <w:r w:rsidRPr="008E725B">
              <w:rPr>
                <w:b/>
                <w:i/>
              </w:rPr>
              <w:t>tuomitsee rasistisen ja muukalaisvihamielisen vihapuheen leviämisen muun muassa valtamediassa ja sosiaalisessa mediassa, sillä se on vakava uhka demokratialle ja oikeusvaltioperiaatteelle; vaatii vahvistamaan tiedotusvälineitä koskevien säädösten täytäntöönpanon valvontaa rasististen narratiivien torjumiseksi ja monimuotoisen ja osallistavan mediaympäristön turvaamiseksi;</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324</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Sandro Ruotolo</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10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lastRenderedPageBreak/>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10 a.</w:t>
            </w:r>
            <w:r w:rsidRPr="008E725B">
              <w:tab/>
            </w:r>
            <w:r w:rsidRPr="008E725B">
              <w:rPr>
                <w:b/>
                <w:i/>
              </w:rPr>
              <w:t>panee merkille, että komissio toteaa sääntelyviranomaisten riippumattomuuden tai puolueettomuuden aiheuttavan edelleen huolta Unkarissa, Sloveniassa, Kroatiassa, Bulgariassa, Puolassa ja Kreikassa;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325</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Moritz Körner, Malik Azmani, Dainius Žalimas, Lucia Yar, Fabienne Keller, Raquel García Hermida-Van Der Walle, Abir Al-Sahlani, Veronika Cifrová Ostrihoňová</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10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10 a.</w:t>
            </w:r>
            <w:r w:rsidRPr="008E725B">
              <w:tab/>
            </w:r>
            <w:r w:rsidRPr="008E725B">
              <w:rPr>
                <w:b/>
                <w:i/>
              </w:rPr>
              <w:t>suosittaa, että EU perustaisi tiedotusvälineiden vapauteen keskittyvän rahaston, josta tuettaisiin riippumatonta journalismia ja paikallisia tiedotusvälineitä;</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326</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Alessandro Zan, Cecilia Strada, Sandro Ruotolo, Pina Picierno, Marco Tarquinio</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10 b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10 b.</w:t>
            </w:r>
            <w:r w:rsidRPr="008E725B">
              <w:tab/>
            </w:r>
            <w:r w:rsidRPr="008E725B">
              <w:rPr>
                <w:b/>
                <w:i/>
              </w:rPr>
              <w:t xml:space="preserve">on syvästi huolissaan viimeaikaisesta vakoiluohjelmien käytöstä toimittajia ja aktivisteja vastaan Italiassa ja muita kansalaisia vastaan Euroopassa; toteaa, että lehdistönvapaus on yksi keskeisistä pilareista oikeusvaltioperiaatteen vaalimisessa </w:t>
            </w:r>
            <w:r w:rsidRPr="008E725B">
              <w:rPr>
                <w:b/>
                <w:i/>
              </w:rPr>
              <w:lastRenderedPageBreak/>
              <w:t>EU:n jäsenvaltioissa; tuomitsee jyrkästi kaikki toimet, kuten hallitusten laittoman vakoiluohjelmien käytön, joiden tarkoituksena on valvoa, tarkkailla ja rajoittaa lehdistönvapautta, yksilön oikeuksia ja perusvapauksia;</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327</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Romana Tomc</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11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11.</w:t>
            </w:r>
            <w:r w:rsidRPr="008E725B">
              <w:tab/>
              <w:t>tuomitsee jyrkästi valtion määräysvallan ja poliittisen puuttumisen tiedotusvälineiden toimintaan ja kehottaa tehostamaan toimia toimittajien turvallisuuden varmistamiseksi ja suojelemiseksi;</w:t>
            </w:r>
          </w:p>
        </w:tc>
        <w:tc>
          <w:tcPr>
            <w:tcW w:w="4876" w:type="dxa"/>
            <w:tcBorders>
              <w:top w:val="nil"/>
              <w:left w:val="nil"/>
              <w:bottom w:val="nil"/>
              <w:right w:val="nil"/>
            </w:tcBorders>
          </w:tcPr>
          <w:p w:rsidR="005E49C0" w:rsidRPr="008E725B" w:rsidRDefault="005E49C0" w:rsidP="00B5562F">
            <w:pPr>
              <w:pStyle w:val="Normal6a"/>
            </w:pPr>
            <w:r w:rsidRPr="008E725B">
              <w:t>11.</w:t>
            </w:r>
            <w:r w:rsidRPr="008E725B">
              <w:tab/>
              <w:t xml:space="preserve">tuomitsee jyrkästi valtion määräysvallan ja poliittisen puuttumisen tiedotusvälineiden toimintaan ja kehottaa tehostamaan toimia toimittajien turvallisuuden varmistamiseksi ja suojelemiseksi; </w:t>
            </w:r>
            <w:r w:rsidRPr="008E725B">
              <w:rPr>
                <w:b/>
                <w:i/>
              </w:rPr>
              <w:t>korostaa, että nimekkäiden julkisuuden henkilöiden ja poliitikkojen, hallituksen jäsenet mukaan lukien, on näytettävä esimerkkiä ja varmistettava kunnioittava keskustelu, jossa ei sorruta pelotteluun, hyökkäyksiin, herjauksiin ja häirintään; tuomitsee tässä yhteydessä Slovenian pääministerin lausunnot suunnitelmasta puhdistaa yleisradioyhtiö ja poliisi tietyn puolueen jäsenistä;</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328</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11 kohta</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lastRenderedPageBreak/>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11.</w:t>
            </w:r>
            <w:r w:rsidRPr="008E725B">
              <w:tab/>
              <w:t>tuomitsee jyrkästi valtion määräysvallan ja poliittisen puuttumisen tiedotusvälineiden toimintaan ja kehottaa tehostamaan toimia toimittajien turvallisuuden varmistamiseksi ja suojelemiseksi;</w:t>
            </w:r>
          </w:p>
        </w:tc>
        <w:tc>
          <w:tcPr>
            <w:tcW w:w="4876" w:type="dxa"/>
            <w:tcBorders>
              <w:top w:val="nil"/>
              <w:left w:val="nil"/>
              <w:bottom w:val="nil"/>
              <w:right w:val="nil"/>
            </w:tcBorders>
          </w:tcPr>
          <w:p w:rsidR="005E49C0" w:rsidRPr="008E725B" w:rsidRDefault="005E49C0" w:rsidP="00B5562F">
            <w:pPr>
              <w:pStyle w:val="Normal6a"/>
            </w:pPr>
            <w:r w:rsidRPr="008E725B">
              <w:t>11.</w:t>
            </w:r>
            <w:r w:rsidRPr="008E725B">
              <w:tab/>
              <w:t xml:space="preserve">tuomitsee jyrkästi valtion määräysvallan ja poliittisen puuttumisen tiedotusvälineiden toimintaan ja kehottaa tehostamaan toimia toimittajien turvallisuuden varmistamiseksi ja suojelemiseksi; </w:t>
            </w:r>
            <w:r w:rsidRPr="008E725B">
              <w:rPr>
                <w:b/>
                <w:i/>
              </w:rPr>
              <w:t>pitää erityisesti eurooppalaisten standardien vastaisena julkisten tiedotusvälineiden laitonta ja pakkokeinoin tapahtuvaa haltuunottoa Puolassa, jossa käytetään salaisen palvelun menetelmiä ja jossa Donald Tuskin hallitus rikkoo kaikkia lakeja ja normeja, ja kehottaa kumoamaan nämä päätökset, määräämään asiaankuuluvat oikeudelliset seuraamukset ja korvaamaan aiheutuneet vahingot;</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329</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11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11.</w:t>
            </w:r>
            <w:r w:rsidRPr="008E725B">
              <w:tab/>
              <w:t>tuomitsee jyrkästi valtion määräysvallan ja poliittisen puuttumisen tiedotusvälineiden toimintaan ja kehottaa tehostamaan toimia toimittajien turvallisuuden varmistamiseksi ja suojelemiseksi;</w:t>
            </w:r>
          </w:p>
        </w:tc>
        <w:tc>
          <w:tcPr>
            <w:tcW w:w="4876" w:type="dxa"/>
            <w:tcBorders>
              <w:top w:val="nil"/>
              <w:left w:val="nil"/>
              <w:bottom w:val="nil"/>
              <w:right w:val="nil"/>
            </w:tcBorders>
          </w:tcPr>
          <w:p w:rsidR="005E49C0" w:rsidRPr="008E725B" w:rsidRDefault="005E49C0" w:rsidP="00B5562F">
            <w:pPr>
              <w:pStyle w:val="Normal6a"/>
            </w:pPr>
            <w:r w:rsidRPr="008E725B">
              <w:t>11.</w:t>
            </w:r>
            <w:r w:rsidRPr="008E725B">
              <w:tab/>
              <w:t xml:space="preserve">tuomitsee jyrkästi valtion määräysvallan ja poliittisen puuttumisen tiedotusvälineiden toimintaan ja kehottaa tehostamaan toimia toimittajien turvallisuuden varmistamiseksi ja suojelemiseksi </w:t>
            </w:r>
            <w:r w:rsidRPr="008E725B">
              <w:rPr>
                <w:b/>
                <w:i/>
              </w:rPr>
              <w:t>sekä lehdistönvapauden turvaamiseksi</w:t>
            </w:r>
            <w:r w:rsidRPr="008E725B">
              <w:t xml:space="preserve">; </w:t>
            </w:r>
            <w:r w:rsidRPr="008E725B">
              <w:rPr>
                <w:b/>
                <w:i/>
              </w:rPr>
              <w:t>vaatii sisällyttämään rikoslainsäädäntöön toimittajia vastaan tehtyjen rikosten koventamisperusteeksi sen, että teon vaikuttimena on toimittajan ammatillinen toiminta tai se liittyy hänen ammatilliseen toimintaansa;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lastRenderedPageBreak/>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330</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Marieke Ehlers, Jorge Buxadé Villalba, Tom Vandendriessche, Fabrice Leggeri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11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11.</w:t>
            </w:r>
            <w:r w:rsidRPr="008E725B">
              <w:tab/>
              <w:t>tuomitsee jyrkästi valtion määräysvallan ja poliittisen puuttumisen tiedotusvälineiden toimintaan ja kehottaa tehostamaan toimia toimittajien turvallisuuden varmistamiseksi ja suojelemiseksi;</w:t>
            </w:r>
          </w:p>
        </w:tc>
        <w:tc>
          <w:tcPr>
            <w:tcW w:w="4876" w:type="dxa"/>
            <w:tcBorders>
              <w:top w:val="nil"/>
              <w:left w:val="nil"/>
              <w:bottom w:val="nil"/>
              <w:right w:val="nil"/>
            </w:tcBorders>
          </w:tcPr>
          <w:p w:rsidR="005E49C0" w:rsidRPr="008E725B" w:rsidRDefault="005E49C0" w:rsidP="00B5562F">
            <w:pPr>
              <w:pStyle w:val="Normal6a"/>
            </w:pPr>
            <w:r w:rsidRPr="008E725B">
              <w:t>11.</w:t>
            </w:r>
            <w:r w:rsidRPr="008E725B">
              <w:tab/>
              <w:t xml:space="preserve">tuomitsee jyrkästi valtion määräysvallan ja poliittisen puuttumisen tiedotusvälineiden toimintaan ja kehottaa tehostamaan toimia toimittajien turvallisuuden varmistamiseksi ja suojelemiseksi; </w:t>
            </w:r>
            <w:r w:rsidRPr="008E725B">
              <w:rPr>
                <w:b/>
                <w:i/>
              </w:rPr>
              <w:t>kehottaa sen vuoksi EU:ta lopettamaan kokonaan tiedotusvälineiden toiminnan rahoittamisen EU:n talousarviosta keinona suojella tiedotusvälineiden riippumattomuutta;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331</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Sebastian Tynkkynen</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11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11.</w:t>
            </w:r>
            <w:r w:rsidRPr="008E725B">
              <w:tab/>
              <w:t xml:space="preserve">tuomitsee jyrkästi valtion määräysvallan ja poliittisen puuttumisen tiedotusvälineiden toimintaan </w:t>
            </w:r>
            <w:r w:rsidRPr="008E725B">
              <w:rPr>
                <w:b/>
                <w:i/>
              </w:rPr>
              <w:t>ja</w:t>
            </w:r>
            <w:r w:rsidRPr="008E725B">
              <w:t xml:space="preserve"> kehottaa tehostamaan toimia toimittajien turvallisuuden varmistamiseksi ja suojelemiseksi;</w:t>
            </w:r>
          </w:p>
        </w:tc>
        <w:tc>
          <w:tcPr>
            <w:tcW w:w="4876" w:type="dxa"/>
            <w:tcBorders>
              <w:top w:val="nil"/>
              <w:left w:val="nil"/>
              <w:bottom w:val="nil"/>
              <w:right w:val="nil"/>
            </w:tcBorders>
          </w:tcPr>
          <w:p w:rsidR="005E49C0" w:rsidRPr="008E725B" w:rsidRDefault="005E49C0" w:rsidP="00B5562F">
            <w:pPr>
              <w:pStyle w:val="Normal6a"/>
            </w:pPr>
            <w:r w:rsidRPr="008E725B">
              <w:t>11.</w:t>
            </w:r>
            <w:r w:rsidRPr="008E725B">
              <w:tab/>
              <w:t>tuomitsee jyrkästi valtion määräysvallan ja poliittisen puuttumisen tiedotusvälineiden toimintaan</w:t>
            </w:r>
            <w:r w:rsidRPr="008E725B">
              <w:rPr>
                <w:b/>
                <w:i/>
              </w:rPr>
              <w:t>; painottaa, että julkisten yleisradioyhtiöiden tuottaman materiaalin tulisi olla aidosti puolueetonta eikä mihinkään poliittiseen suuntaan kallellaan;</w:t>
            </w:r>
            <w:r w:rsidRPr="008E725B">
              <w:t xml:space="preserve"> kehottaa tehostamaan toimia toimittajien turvallisuuden varmistamiseksi ja suojelemiseksi;</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{FI}</w:t>
      </w:r>
      <w:r w:rsidRPr="008E725B">
        <w:t>fi</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332</w:t>
      </w:r>
      <w:r w:rsidRPr="008E725B">
        <w:rPr>
          <w:rStyle w:val="HideTWBExt"/>
        </w:rPr>
        <w:t>&lt;/NumAm&gt;</w:t>
      </w:r>
    </w:p>
    <w:p w:rsidR="005E49C0" w:rsidRPr="008E725B" w:rsidRDefault="005E49C0" w:rsidP="005E49C0">
      <w:pPr>
        <w:pStyle w:val="NormalBold"/>
      </w:pPr>
      <w:r w:rsidRPr="008E725B">
        <w:rPr>
          <w:rStyle w:val="HideTWBExt"/>
          <w:b w:val="0"/>
        </w:rPr>
        <w:lastRenderedPageBreak/>
        <w:t>&lt;RepeatBlock-By&gt;&lt;Members&gt;</w:t>
      </w:r>
      <w:r w:rsidRPr="008E725B">
        <w:t>Daniel Freund, Diana Riba i Giner</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11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11.</w:t>
            </w:r>
            <w:r w:rsidRPr="008E725B">
              <w:tab/>
              <w:t xml:space="preserve">tuomitsee jyrkästi valtion määräysvallan ja poliittisen puuttumisen tiedotusvälineiden toimintaan ja kehottaa </w:t>
            </w:r>
            <w:r w:rsidRPr="008E725B">
              <w:rPr>
                <w:b/>
                <w:i/>
              </w:rPr>
              <w:t>tehostamaan toimia</w:t>
            </w:r>
            <w:r w:rsidRPr="008E725B">
              <w:t xml:space="preserve"> toimittajien turvallisuuden </w:t>
            </w:r>
            <w:r w:rsidRPr="008E725B">
              <w:rPr>
                <w:b/>
                <w:i/>
              </w:rPr>
              <w:t>varmistamiseksi ja suojelemiseksi</w:t>
            </w:r>
            <w:r w:rsidRPr="008E725B">
              <w:t>;</w:t>
            </w:r>
          </w:p>
        </w:tc>
        <w:tc>
          <w:tcPr>
            <w:tcW w:w="4876" w:type="dxa"/>
            <w:tcBorders>
              <w:top w:val="nil"/>
              <w:left w:val="nil"/>
              <w:bottom w:val="nil"/>
              <w:right w:val="nil"/>
            </w:tcBorders>
          </w:tcPr>
          <w:p w:rsidR="005E49C0" w:rsidRPr="008E725B" w:rsidRDefault="005E49C0" w:rsidP="00B5562F">
            <w:pPr>
              <w:pStyle w:val="Normal6a"/>
            </w:pPr>
            <w:r w:rsidRPr="008E725B">
              <w:t>11.</w:t>
            </w:r>
            <w:r w:rsidRPr="008E725B">
              <w:tab/>
              <w:t>tuomitsee jyrkästi valtion määräysvallan ja poliittisen puuttumisen tiedotusvälineiden toimintaan ja kehottaa</w:t>
            </w:r>
            <w:r w:rsidRPr="008E725B">
              <w:rPr>
                <w:b/>
                <w:i/>
              </w:rPr>
              <w:t xml:space="preserve"> komissiota ja jäsenvaltioita varmistamaan </w:t>
            </w:r>
            <w:r w:rsidRPr="008E725B">
              <w:t>toimittajien</w:t>
            </w:r>
            <w:r w:rsidRPr="008E725B">
              <w:rPr>
                <w:b/>
                <w:i/>
              </w:rPr>
              <w:t xml:space="preserve">, erityisesti tutkivien toimittajien, </w:t>
            </w:r>
            <w:r w:rsidRPr="008E725B">
              <w:t xml:space="preserve">turvallisuuden </w:t>
            </w:r>
            <w:r w:rsidRPr="008E725B">
              <w:rPr>
                <w:b/>
                <w:i/>
              </w:rPr>
              <w:t>ja suojelemaan sitä</w:t>
            </w:r>
            <w:r w:rsidRPr="008E725B">
              <w:t>;</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333</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Isabel Wiseler-Lima, Sophie Wilmès</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11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11.</w:t>
            </w:r>
            <w:r w:rsidRPr="008E725B">
              <w:tab/>
              <w:t>tuomitsee jyrkästi valtion määräysvallan ja poliittisen puuttumisen tiedotusvälineiden toimintaan ja kehottaa tehostamaan toimia toimittajien turvallisuuden varmistamiseksi ja suojelemiseksi;</w:t>
            </w:r>
          </w:p>
        </w:tc>
        <w:tc>
          <w:tcPr>
            <w:tcW w:w="4876" w:type="dxa"/>
            <w:tcBorders>
              <w:top w:val="nil"/>
              <w:left w:val="nil"/>
              <w:bottom w:val="nil"/>
              <w:right w:val="nil"/>
            </w:tcBorders>
          </w:tcPr>
          <w:p w:rsidR="005E49C0" w:rsidRPr="008E725B" w:rsidRDefault="005E49C0" w:rsidP="00B5562F">
            <w:pPr>
              <w:pStyle w:val="Normal6a"/>
            </w:pPr>
            <w:r w:rsidRPr="008E725B">
              <w:t>11.</w:t>
            </w:r>
            <w:r w:rsidRPr="008E725B">
              <w:tab/>
              <w:t xml:space="preserve">tuomitsee jyrkästi valtion määräysvallan ja poliittisen puuttumisen tiedotusvälineiden toimintaan ja kehottaa tehostamaan toimia </w:t>
            </w:r>
            <w:r w:rsidRPr="008E725B">
              <w:rPr>
                <w:b/>
                <w:i/>
              </w:rPr>
              <w:t>erityisen suojattomassa asemassa olevien</w:t>
            </w:r>
            <w:r w:rsidRPr="008E725B">
              <w:t xml:space="preserve"> toimittajien </w:t>
            </w:r>
            <w:r w:rsidRPr="008E725B">
              <w:rPr>
                <w:b/>
                <w:i/>
              </w:rPr>
              <w:t>ja faktantarkistajien</w:t>
            </w:r>
            <w:r w:rsidRPr="008E725B">
              <w:t xml:space="preserve"> turvallisuuden varmistamiseksi ja suojelemiseksi;</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334</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Jorge Buxadé Villalba, Marieke Ehlers, Malika Sorel, Fabrice Leggeri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11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lastRenderedPageBreak/>
              <w:t>11.</w:t>
            </w:r>
            <w:r w:rsidRPr="008E725B">
              <w:tab/>
              <w:t>tuomitsee jyrkästi valtion määräysvallan ja poliittisen puuttumisen tiedotusvälineiden toimintaan ja kehottaa tehostamaan toimia toimittajien turvallisuuden varmistamiseksi ja suojelemiseksi;</w:t>
            </w:r>
          </w:p>
        </w:tc>
        <w:tc>
          <w:tcPr>
            <w:tcW w:w="4876" w:type="dxa"/>
            <w:tcBorders>
              <w:top w:val="nil"/>
              <w:left w:val="nil"/>
              <w:bottom w:val="nil"/>
              <w:right w:val="nil"/>
            </w:tcBorders>
          </w:tcPr>
          <w:p w:rsidR="005E49C0" w:rsidRPr="008E725B" w:rsidRDefault="005E49C0" w:rsidP="00B5562F">
            <w:pPr>
              <w:pStyle w:val="Normal6a"/>
            </w:pPr>
            <w:r w:rsidRPr="008E725B">
              <w:t>11.</w:t>
            </w:r>
            <w:r w:rsidRPr="008E725B">
              <w:tab/>
              <w:t xml:space="preserve">tuomitsee jyrkästi </w:t>
            </w:r>
            <w:r w:rsidRPr="008E725B">
              <w:rPr>
                <w:b/>
                <w:i/>
              </w:rPr>
              <w:t>sensuurin sekä</w:t>
            </w:r>
            <w:r w:rsidRPr="008E725B">
              <w:t xml:space="preserve"> valtion määräysvallan ja poliittisen puuttumisen tiedotusvälineiden toimintaan ja kehottaa tehostamaan toimia toimittajien turvallisuuden varmistamiseksi ja suojelemiseksi;</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335</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11 kohta</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11.</w:t>
            </w:r>
            <w:r w:rsidRPr="008E725B">
              <w:tab/>
              <w:t xml:space="preserve">tuomitsee jyrkästi </w:t>
            </w:r>
            <w:r w:rsidRPr="008E725B">
              <w:rPr>
                <w:b/>
                <w:i/>
              </w:rPr>
              <w:t>valtion määräysvallan ja</w:t>
            </w:r>
            <w:r w:rsidRPr="008E725B">
              <w:t xml:space="preserve"> poliittisen puuttumisen tiedotusvälineiden toimintaan ja kehottaa tehostamaan toimia toimittajien turvallisuuden varmistamiseksi ja suojelemiseksi;</w:t>
            </w:r>
          </w:p>
        </w:tc>
        <w:tc>
          <w:tcPr>
            <w:tcW w:w="4876" w:type="dxa"/>
            <w:tcBorders>
              <w:top w:val="nil"/>
              <w:left w:val="nil"/>
              <w:bottom w:val="nil"/>
              <w:right w:val="nil"/>
            </w:tcBorders>
          </w:tcPr>
          <w:p w:rsidR="005E49C0" w:rsidRPr="008E725B" w:rsidRDefault="005E49C0" w:rsidP="00B5562F">
            <w:pPr>
              <w:pStyle w:val="Normal6a"/>
            </w:pPr>
            <w:r w:rsidRPr="008E725B">
              <w:t>11.</w:t>
            </w:r>
            <w:r w:rsidRPr="008E725B">
              <w:tab/>
              <w:t xml:space="preserve">tuomitsee jyrkästi poliittisen puuttumisen </w:t>
            </w:r>
            <w:r w:rsidRPr="008E725B">
              <w:rPr>
                <w:b/>
                <w:i/>
              </w:rPr>
              <w:t>journalististien eettisiä sääntöjä noudattavien</w:t>
            </w:r>
            <w:r w:rsidRPr="008E725B">
              <w:t xml:space="preserve"> tiedotusvälineiden toimintaan ja kehottaa tehostamaan toimia toimittajien turvallisuuden varmistamiseksi ja suojelemiseksi;</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336</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11 a kohta (uusi)</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11 a.</w:t>
            </w:r>
            <w:r w:rsidRPr="008E725B">
              <w:tab/>
            </w:r>
            <w:r w:rsidRPr="008E725B">
              <w:rPr>
                <w:b/>
                <w:i/>
              </w:rPr>
              <w:t xml:space="preserve">ilmaisee huolensa siitä, että Tuskin hallitus on sulkenut opposition tiedotusvälineet ja erityisesti Telewizja Republika -televisioaseman pois lehdistötilaisuuksista kansainvälisten normien vastaisesti, sekä tähän liittyvistä rajoituksista, jotka koskevat tiedonsaantia ja hallituksen vastuuvelvollisuutta; tuomitsee erityisesti sen, että television </w:t>
            </w:r>
            <w:r w:rsidRPr="008E725B">
              <w:rPr>
                <w:b/>
                <w:i/>
              </w:rPr>
              <w:lastRenderedPageBreak/>
              <w:t>suurimman uutiskanavan (Telewizja Republika) ei annettu osallistua Puolan viimeaikaisten tulvien yhteydessä järjestettyihin hätätiedotustilaisuuksiin, koska kyse ei ollut pelkästään tiedonsaantioikeuden rikkomisesta vaan sillä oli myös haitallinen vaikutus tiettyjen yhteiskunnan osien turvallisuuteen; tuomitsee Tuskin hallituksen toimet, joiden tarkoituksena on painostaa julkisia ja yksityisiä yrityksiä vetäytymään opposition tiedotusvälineiden kanssa tehdyistä mainossopimuksista;</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337</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Michał Wawrykiewicz, Ana Catarina Mendes, Moritz Körner, Sophie Wilmès</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11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11 a.</w:t>
            </w:r>
            <w:r w:rsidRPr="008E725B">
              <w:tab/>
            </w:r>
            <w:r w:rsidRPr="008E725B">
              <w:rPr>
                <w:b/>
                <w:i/>
              </w:rPr>
              <w:t>on syvästi huolissaan valvontateknologioiden, muun muassa vakoiluohjelmien, väärinkäytöstä useissa jäsenvaltioissa, erityisesti niiden käytöstä toimittajia, opposition edustajia, kansalaisyhteiskunnan toimijoita ja ihmisoikeuksien puolustajia vastaan; korostaa, että tällaisten teknologioiden mielivaltainen tai laiton käyttö on vakava uhka perusoikeuksille, demokraattiselle hallinnolle ja oikeuslaitoksen riippumattomuudelle; kehottaa komissiota panemaan täytäntöön Euroopan parlamentin PEGA-tutkintavaliokunnan suositukset, jotka koskevat erityisesti poliittisin perustein tapahtuvan valvonnan kieltämistä;</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lastRenderedPageBreak/>
        <w:t>&lt;Amend&gt;</w:t>
      </w:r>
      <w:r w:rsidRPr="008E725B">
        <w:t>Tarkistus</w:t>
      </w:r>
      <w:r w:rsidRPr="008E725B">
        <w:tab/>
      </w:r>
      <w:r w:rsidRPr="008E725B">
        <w:tab/>
      </w:r>
      <w:r w:rsidRPr="008E725B">
        <w:rPr>
          <w:rStyle w:val="HideTWBExt"/>
        </w:rPr>
        <w:t>&lt;NumAm&gt;</w:t>
      </w:r>
      <w:r w:rsidRPr="008E725B">
        <w:t>338</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Veronika Cifrová Ostrihoňová</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11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11 a.</w:t>
            </w:r>
            <w:r w:rsidRPr="008E725B">
              <w:tab/>
            </w:r>
            <w:r w:rsidRPr="008E725B">
              <w:rPr>
                <w:b/>
                <w:i/>
              </w:rPr>
              <w:t>kehottaa komissiota analysoimaan sosiaalisen median alustojen vaikutusta media-alan taloudelliseen elinkelpoisuuteen ja demokraattiseen kestävyyteen; on huolissaan siitä, että algoritmeihin perustuva viestien vahvistaminen, mainostulojen vaihtelu ja alustalähtöinen sisällön jakaminen voivat heikentää riippumatonta journalismia ja tiedotusvälineiden moniarvoisuutta; kehottaa komissiota arvioimaan, missä määrin digitaaliset alustat edistävät markkinoiden epätasapainoa, tiedotusvälineiden taloudellista epävarmuutta ja disinformaation levittämistä;</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339</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Daniel Freund, Cecilia Strada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11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11 a.</w:t>
            </w:r>
            <w:r w:rsidRPr="008E725B">
              <w:tab/>
            </w:r>
            <w:r w:rsidRPr="008E725B">
              <w:rPr>
                <w:b/>
                <w:i/>
              </w:rPr>
              <w:t xml:space="preserve">kehottaa jäsenvaltioita varmistamaan, että saatettaessa syyttömyysolettamaa koskeva direktiivi (EU) 2016/343 osaksi kansallista lainsäädäntöä ei rajoiteta oikeutta raportoida ja tiedottaa yleisölle yleistä etua koskevista asioista, myös oikeudellisista tutkinnoista, joista ei </w:t>
            </w:r>
            <w:r w:rsidRPr="008E725B">
              <w:rPr>
                <w:b/>
                <w:i/>
              </w:rPr>
              <w:lastRenderedPageBreak/>
              <w:t>säädetä direktiivissä; kehottaa jäsenvaltioita tarkastelemaan ja tarvittaessa muuttamaan nykyisiä kansallisia säännöksiä, jotka voivat rajoittaa journalistisia vapauksia;</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340</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Jorge Buxadé Villalba, Marieke Ehlers, Malika Sorel, Fabrice Leggeri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11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11 a.</w:t>
            </w:r>
            <w:r w:rsidRPr="008E725B">
              <w:tab/>
            </w:r>
            <w:r w:rsidRPr="008E725B">
              <w:rPr>
                <w:b/>
                <w:i/>
              </w:rPr>
              <w:t>tuomitsee jyrkästi yritykset sensuroida oikeudellista sisältöä tai valvoa poliittista keskustelua sosiaalisessa mediassa; kehottaa komissiota esittämään viipymättä ehdotuksen nykyisen digipalvelusäädöksen kumoamisesta ja korvaamisesta uudella sananvapautta ja tiedonsaantioikeutta edistävällä asetuksella sisällön moderoinnin edistämisen ja muiden kuin riippumattomien faktantarkistajien käytön lopettamiseksi;</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341</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Isabel Serra Sánchez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11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11 a.</w:t>
            </w:r>
            <w:r w:rsidRPr="008E725B">
              <w:tab/>
            </w:r>
            <w:r w:rsidRPr="008E725B">
              <w:rPr>
                <w:b/>
                <w:i/>
              </w:rPr>
              <w:t xml:space="preserve">korostaa, että on tarpeen puuttua kiireesti oikeistolaisten tiedotusvälineiden käyttämiseen poliittisten vastustajien ja kenen tahansa vallanpitäjien toimintaa kyseenalaistavan henkilön vaientamiseen, </w:t>
            </w:r>
            <w:r w:rsidRPr="008E725B">
              <w:rPr>
                <w:b/>
                <w:i/>
              </w:rPr>
              <w:lastRenderedPageBreak/>
              <w:t>maahanmuuttajavastaiseen ja rasistiseen retoriikkaan sekä tarkoitukselliseen väärän tai harhaanjohtavan tiedon sepittämiseen poliittisen hyödyn saamiseksi;</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342</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Daniel Freund, Diana Riba i Giner</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11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11 a.</w:t>
            </w:r>
            <w:r w:rsidRPr="008E725B">
              <w:tab/>
            </w:r>
            <w:r w:rsidRPr="008E725B">
              <w:rPr>
                <w:b/>
                <w:i/>
              </w:rPr>
              <w:t>korostaa, että tiedonvälityksen vapaus ja yleistä etua koskevan tiedon saanti ovat paitsi perusoikeus myös yksi olennaisista valtion avoimuuden takeista;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343</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Moritz Körner, Malik Azmani, Dainius Žalimas, Lucia Yar, Fabienne Keller, Sophie Wilmès, Raquel García Hermida-Van Der Walle, Abir Al-Sahlani, Veronika Cifrová Ostrihoňová, Michał Wawrykiewicz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11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11 a.</w:t>
            </w:r>
            <w:r w:rsidRPr="008E725B">
              <w:tab/>
            </w:r>
            <w:r w:rsidRPr="008E725B">
              <w:rPr>
                <w:b/>
                <w:i/>
              </w:rPr>
              <w:t>korostaa, että tiedotusvälineiden sääntelyviranomaisten riippumattomuus, riittävät määrärahat ja vapaus poliittisesta painostuksesta on varmistettava riittävin oikeudellisin suojatoimin;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344</w:t>
      </w:r>
      <w:r w:rsidRPr="008E725B">
        <w:rPr>
          <w:rStyle w:val="HideTWBExt"/>
        </w:rPr>
        <w:t>&lt;/NumAm&gt;</w:t>
      </w:r>
    </w:p>
    <w:p w:rsidR="005E49C0" w:rsidRPr="008E725B" w:rsidRDefault="005E49C0" w:rsidP="005E49C0">
      <w:pPr>
        <w:pStyle w:val="NormalBold"/>
      </w:pPr>
      <w:r w:rsidRPr="008E725B">
        <w:rPr>
          <w:rStyle w:val="HideTWBExt"/>
          <w:b w:val="0"/>
        </w:rPr>
        <w:lastRenderedPageBreak/>
        <w:t>&lt;RepeatBlock-By&gt;&lt;Members&gt;</w:t>
      </w:r>
      <w:r w:rsidRPr="008E725B">
        <w:t>Romana Tomc</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11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11 a.</w:t>
            </w:r>
            <w:r w:rsidRPr="008E725B">
              <w:tab/>
            </w:r>
            <w:r w:rsidRPr="008E725B">
              <w:rPr>
                <w:b/>
                <w:i/>
              </w:rPr>
              <w:t>tuomitsee Slovenian hallituksen, jonka hyväksymän uuden tiedotusvälineitä koskevan lain tarkoituksena on siirtää tuomiovaltaa tarkastajille ja jakaa valtion rahoitusta poliittisesti;</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345</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Emmanuel Fragkos, Geadis Geadi, Galato Alexandraki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3 alaotsikko</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Kansalaisjärjestöt</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{EL}</w:t>
      </w:r>
      <w:r w:rsidRPr="008E725B">
        <w:t>el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346</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Moritz Körner, Hilde Vautmans, Nikola Minchev, Veronika Cifrová Ostrihoňová, Chloé Ridel, Abir Al-Sahlani, Alessandro Zan, Fabienne Keller, Lucia Yar, Isabel Wiseler-Lima, Daniel Freund</w:t>
      </w:r>
      <w:r w:rsidRPr="008E725B">
        <w:rPr>
          <w:rStyle w:val="HideTWBExt"/>
          <w:b w:val="0"/>
        </w:rPr>
        <w:t>&lt;/Members&gt;</w:t>
      </w:r>
    </w:p>
    <w:p w:rsidR="005E49C0" w:rsidRPr="008E725B" w:rsidRDefault="005E49C0" w:rsidP="005E49C0">
      <w:r w:rsidRPr="008E725B">
        <w:rPr>
          <w:rStyle w:val="HideTWBExt"/>
        </w:rPr>
        <w:t>&lt;AuNomDe&gt;</w:t>
      </w:r>
      <w:r w:rsidRPr="008E725B">
        <w:rPr>
          <w:rStyle w:val="HideTWBInt"/>
        </w:rPr>
        <w:t>{LIBE}</w:t>
      </w:r>
      <w:r w:rsidRPr="008E725B">
        <w:t>kansalaisvapauksien sekä oikeus- ja sisäasioiden valiokunnan puolesta</w:t>
      </w:r>
      <w:r w:rsidRPr="008E725B">
        <w:rPr>
          <w:rStyle w:val="HideTWBExt"/>
        </w:rPr>
        <w:t>&lt;/AuNomDe&gt;</w:t>
      </w:r>
    </w:p>
    <w:p w:rsidR="005E49C0" w:rsidRPr="008E725B" w:rsidRDefault="005E49C0" w:rsidP="005E49C0">
      <w:pPr>
        <w:pStyle w:val="NormalBold"/>
      </w:pPr>
      <w:r w:rsidRPr="008E725B">
        <w:rPr>
          <w:rStyle w:val="HideTWBExt"/>
          <w:b w:val="0"/>
        </w:rPr>
        <w:t>&lt;Members&gt;</w:t>
      </w:r>
      <w:r w:rsidRPr="008E725B">
        <w:t>Sophie Wilmès</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11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11 a.</w:t>
            </w:r>
            <w:r w:rsidRPr="008E725B">
              <w:tab/>
            </w:r>
            <w:r w:rsidRPr="008E725B">
              <w:rPr>
                <w:b/>
                <w:i/>
              </w:rPr>
              <w:t xml:space="preserve">kehottaa jäsenvaltioita luomaan puitteet, joilla taataan kansalaisten vapaus etsiä, vastaanottaa ja luovuttaa tietoa ja varmistetaan, että </w:t>
            </w:r>
            <w:r w:rsidRPr="008E725B">
              <w:rPr>
                <w:b/>
                <w:i/>
              </w:rPr>
              <w:lastRenderedPageBreak/>
              <w:t>digipalvelusäädöksessä säädetyt kansalliset koordinaattorit pystyvät hoitamaan tehokkaasti työnsä tiedonvaihdon ja yhteistyön helpottamiseksi EU:ssa;</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347</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Emmanuel Fragkos, Geadis Geadi, Galato Alexandraki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12 kohta</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12.</w:t>
            </w:r>
            <w:r w:rsidRPr="008E725B">
              <w:tab/>
            </w:r>
            <w:r w:rsidRPr="008E725B">
              <w:rPr>
                <w:b/>
                <w:i/>
              </w:rPr>
              <w:t>yhtyy komission arvioon siitä, että kansalaisyhteiskunnan järjestöt ja ihmisoikeuksien puolustajat ovat erittäin tärkeitä valtatasapainon kannalta;</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{EL}</w:t>
      </w:r>
      <w:r w:rsidRPr="008E725B">
        <w:t>el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348</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Nicolas Bay</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12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12.</w:t>
            </w:r>
            <w:r w:rsidRPr="008E725B">
              <w:tab/>
            </w:r>
            <w:r w:rsidRPr="008E725B">
              <w:rPr>
                <w:b/>
                <w:i/>
              </w:rPr>
              <w:t>yhtyy komission arvioon siitä, että kansalaisyhteiskunnan järjestöt ja ihmisoikeuksien puolustajat ovat erittäin tärkeitä valtatasapainon kannalta;</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{FR}</w:t>
      </w:r>
      <w:r w:rsidRPr="008E725B">
        <w:t>fr</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349</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 xml:space="preserve">Ana Catarina Mendes, Chloé Ridel, Sandro Ruotolo, Francisco Assis, Hannes Heide, Pina Picierno, Matjaž Nemec, Emma Rafowicz, Krzysztof Śmiszek, Katarina Barley, Evin Incir, Juan Fernando López Aguilar, Nacho Sánchez Amor, Marco Tarquinio, </w:t>
      </w:r>
      <w:r w:rsidRPr="008E725B">
        <w:lastRenderedPageBreak/>
        <w:t>Javier Moreno Sánchez, Alessandro Zan, Moritz Körner, Daniel Freund, Michał Wawrykiewicz, Cecilia Strada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12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12.</w:t>
            </w:r>
            <w:r w:rsidRPr="008E725B">
              <w:tab/>
              <w:t>yhtyy komission arvioon siitä, että kansalaisyhteiskunnan järjestöt ja ihmisoikeuksien puolustajat ovat erittäin tärkeitä valtatasapainon kannalta;</w:t>
            </w:r>
          </w:p>
        </w:tc>
        <w:tc>
          <w:tcPr>
            <w:tcW w:w="4876" w:type="dxa"/>
            <w:tcBorders>
              <w:top w:val="nil"/>
              <w:left w:val="nil"/>
              <w:bottom w:val="nil"/>
              <w:right w:val="nil"/>
            </w:tcBorders>
          </w:tcPr>
          <w:p w:rsidR="005E49C0" w:rsidRPr="008E725B" w:rsidRDefault="005E49C0" w:rsidP="00B5562F">
            <w:pPr>
              <w:pStyle w:val="Normal6a"/>
            </w:pPr>
            <w:r w:rsidRPr="008E725B">
              <w:t>12.</w:t>
            </w:r>
            <w:r w:rsidRPr="008E725B">
              <w:tab/>
              <w:t>yhtyy komission arvioon siitä, että kansalaisyhteiskunnan järjestöt ja ihmisoikeuksien puolustajat ovat erittäin tärkeitä valtatasapainon kannalta</w:t>
            </w:r>
            <w:r w:rsidRPr="008E725B">
              <w:rPr>
                <w:b/>
                <w:i/>
              </w:rPr>
              <w:t>, sillä ne toimivat oikeusvaltioperiaatteen rikkomista valvovina vahtikoirina ja osallistuvat aktiivisesti unionin perusarvojen edistämiseen ja suojeluun</w:t>
            </w:r>
            <w:r w:rsidRPr="008E725B">
              <w:t xml:space="preserve">; </w:t>
            </w:r>
            <w:r w:rsidRPr="008E725B">
              <w:rPr>
                <w:b/>
                <w:i/>
              </w:rPr>
              <w:t>muistuttaa tässä yhteydessä, että komissio on kehottanut jäsenvaltioita luomaan näiden järjestöjen ja ihmisoikeuksien puolustajien työlle suotuisan ympäristön; kehottaa komissiota ryhtymään toimiin kansalaisyhteiskunnan järjestöjen suojan vahvistamiseksi ja aktivistien turvaamiseksi ja jatkamaan työtä ihmisoikeustoiminnan edistämiseen tarvittavien olosuhteiden takaamiseksi;</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350</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András László</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12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12.</w:t>
            </w:r>
            <w:r w:rsidRPr="008E725B">
              <w:tab/>
            </w:r>
            <w:r w:rsidRPr="008E725B">
              <w:rPr>
                <w:b/>
                <w:i/>
              </w:rPr>
              <w:t>yhtyy</w:t>
            </w:r>
            <w:r w:rsidRPr="008E725B">
              <w:t xml:space="preserve"> komission </w:t>
            </w:r>
            <w:r w:rsidRPr="008E725B">
              <w:rPr>
                <w:b/>
                <w:i/>
              </w:rPr>
              <w:t>arvioon siitä, että</w:t>
            </w:r>
            <w:r w:rsidRPr="008E725B">
              <w:t xml:space="preserve"> kansalaisyhteiskunnan järjestöt ja ihmisoikeuksien puolustajat ovat erittäin tärkeitä valtatasapainon kannalta;</w:t>
            </w:r>
          </w:p>
        </w:tc>
        <w:tc>
          <w:tcPr>
            <w:tcW w:w="4876" w:type="dxa"/>
            <w:tcBorders>
              <w:top w:val="nil"/>
              <w:left w:val="nil"/>
              <w:bottom w:val="nil"/>
              <w:right w:val="nil"/>
            </w:tcBorders>
          </w:tcPr>
          <w:p w:rsidR="005E49C0" w:rsidRPr="008E725B" w:rsidRDefault="005E49C0" w:rsidP="00B5562F">
            <w:pPr>
              <w:pStyle w:val="Normal6a"/>
            </w:pPr>
            <w:r w:rsidRPr="008E725B">
              <w:t>12.</w:t>
            </w:r>
            <w:r w:rsidRPr="008E725B">
              <w:tab/>
            </w:r>
            <w:r w:rsidRPr="008E725B">
              <w:rPr>
                <w:b/>
                <w:i/>
              </w:rPr>
              <w:t>on erittäin huolissaan</w:t>
            </w:r>
            <w:r w:rsidRPr="008E725B">
              <w:t xml:space="preserve"> komission </w:t>
            </w:r>
            <w:r w:rsidRPr="008E725B">
              <w:rPr>
                <w:b/>
                <w:i/>
              </w:rPr>
              <w:t>arviosta, jonka mukaan George Sorosin Open Society Foundations -järjestön tukemat</w:t>
            </w:r>
            <w:r w:rsidRPr="008E725B">
              <w:t xml:space="preserve"> kansalaisyhteiskunnan järjestöt ja ihmisoikeuksien puolustajat ovat erittäin tärkeitä valtatasapainon kannalta; </w:t>
            </w:r>
            <w:r w:rsidRPr="008E725B">
              <w:rPr>
                <w:b/>
                <w:i/>
              </w:rPr>
              <w:t>kehottaa komissiota vaatimaan täydellistä avoimuutta kansalaisjärjestöiltä, joiden kanssa se tekee yhteistyötä;</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351</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Moritz Körner, Hilde Vautmans, Nikola Minchev, Veronika Cifrová Ostrihoňová, Chloé Ridel, Abir Al-Sahlani, Fabienne Keller, Lucia Yar, Irena Joveva, Isabel Wiseler-Lima, Daniel Freund</w:t>
      </w:r>
      <w:r w:rsidRPr="008E725B">
        <w:rPr>
          <w:rStyle w:val="HideTWBExt"/>
          <w:b w:val="0"/>
        </w:rPr>
        <w:t>&lt;/Members&gt;</w:t>
      </w:r>
    </w:p>
    <w:p w:rsidR="005E49C0" w:rsidRPr="008E725B" w:rsidRDefault="005E49C0" w:rsidP="005E49C0">
      <w:r w:rsidRPr="008E725B">
        <w:rPr>
          <w:rStyle w:val="HideTWBExt"/>
        </w:rPr>
        <w:t>&lt;AuNomDe&gt;</w:t>
      </w:r>
      <w:r w:rsidRPr="008E725B">
        <w:rPr>
          <w:rStyle w:val="HideTWBInt"/>
        </w:rPr>
        <w:t>{LIBE}</w:t>
      </w:r>
      <w:r w:rsidRPr="008E725B">
        <w:t>kansalaisvapauksien sekä oikeus- ja sisäasioiden valiokunnan puolesta</w:t>
      </w:r>
      <w:r w:rsidRPr="008E725B">
        <w:rPr>
          <w:rStyle w:val="HideTWBExt"/>
        </w:rPr>
        <w:t>&lt;/AuNomDe&gt;</w:t>
      </w:r>
    </w:p>
    <w:p w:rsidR="005E49C0" w:rsidRPr="008E725B" w:rsidRDefault="005E49C0" w:rsidP="005E49C0">
      <w:pPr>
        <w:pStyle w:val="NormalBold"/>
      </w:pPr>
      <w:r w:rsidRPr="008E725B">
        <w:rPr>
          <w:rStyle w:val="HideTWBExt"/>
          <w:b w:val="0"/>
        </w:rPr>
        <w:t>&lt;Members&gt;</w:t>
      </w:r>
      <w:r w:rsidRPr="008E725B">
        <w:t>Sophie Wilmès</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12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12.</w:t>
            </w:r>
            <w:r w:rsidRPr="008E725B">
              <w:tab/>
              <w:t>yhtyy komission arvioon siitä, että kansalaisyhteiskunnan järjestöt ja ihmisoikeuksien puolustajat ovat erittäin tärkeitä valtatasapainon kannalta;</w:t>
            </w:r>
          </w:p>
        </w:tc>
        <w:tc>
          <w:tcPr>
            <w:tcW w:w="4876" w:type="dxa"/>
            <w:tcBorders>
              <w:top w:val="nil"/>
              <w:left w:val="nil"/>
              <w:bottom w:val="nil"/>
              <w:right w:val="nil"/>
            </w:tcBorders>
          </w:tcPr>
          <w:p w:rsidR="005E49C0" w:rsidRPr="008E725B" w:rsidRDefault="005E49C0" w:rsidP="00B5562F">
            <w:pPr>
              <w:pStyle w:val="Normal6a"/>
            </w:pPr>
            <w:r w:rsidRPr="008E725B">
              <w:t>12.</w:t>
            </w:r>
            <w:r w:rsidRPr="008E725B">
              <w:tab/>
              <w:t>yhtyy komission arvioon siitä, että kansalaisyhteiskunnan järjestöt</w:t>
            </w:r>
            <w:r w:rsidRPr="008E725B">
              <w:rPr>
                <w:b/>
                <w:i/>
              </w:rPr>
              <w:t>, riippumattomat viranomaiset, oikeusasiamiehet</w:t>
            </w:r>
            <w:r w:rsidRPr="008E725B">
              <w:t xml:space="preserve"> ja ihmisoikeuksien puolustajat ovat erittäin tärkeitä valtatasapainon kannalta; </w:t>
            </w:r>
            <w:r w:rsidRPr="008E725B">
              <w:rPr>
                <w:b/>
                <w:i/>
              </w:rPr>
              <w:t>muistuttaa, että turvallinen, tukea antava ja suotuisa toimintaympäristö on niille välttämätön;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352</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Jorge Buxadé Villalba, Marieke Ehlers, Malika Sorel, Fabrice Leggeri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12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12.</w:t>
            </w:r>
            <w:r w:rsidRPr="008E725B">
              <w:tab/>
            </w:r>
            <w:r w:rsidRPr="008E725B">
              <w:rPr>
                <w:b/>
                <w:i/>
              </w:rPr>
              <w:t>yhtyy komission arvioon siitä</w:t>
            </w:r>
            <w:r w:rsidRPr="008E725B">
              <w:t>, että kansalaisyhteiskunnan järjestöt ja ihmisoikeuksien puolustajat ovat erittäin tärkeitä valtatasapainon kannalta;</w:t>
            </w:r>
          </w:p>
        </w:tc>
        <w:tc>
          <w:tcPr>
            <w:tcW w:w="4876" w:type="dxa"/>
            <w:tcBorders>
              <w:top w:val="nil"/>
              <w:left w:val="nil"/>
              <w:bottom w:val="nil"/>
              <w:right w:val="nil"/>
            </w:tcBorders>
          </w:tcPr>
          <w:p w:rsidR="005E49C0" w:rsidRPr="008E725B" w:rsidRDefault="005E49C0" w:rsidP="00B5562F">
            <w:pPr>
              <w:pStyle w:val="Normal6a"/>
            </w:pPr>
            <w:r w:rsidRPr="008E725B">
              <w:t>12.</w:t>
            </w:r>
            <w:r w:rsidRPr="008E725B">
              <w:tab/>
            </w:r>
            <w:r w:rsidRPr="008E725B">
              <w:rPr>
                <w:b/>
                <w:i/>
              </w:rPr>
              <w:t>katsoo</w:t>
            </w:r>
            <w:r w:rsidRPr="008E725B">
              <w:t>, että kansalaisyhteiskunnan järjestöt ja ihmisoikeuksien puolustajat ovat erittäin tärkeitä valtatasapainon kannalta</w:t>
            </w:r>
            <w:r w:rsidRPr="008E725B">
              <w:rPr>
                <w:b/>
                <w:i/>
              </w:rPr>
              <w:t>, kun ne ovat aidosti riippumattomia ja edustavat jäsenvaltioiden kansalaisten etua</w:t>
            </w:r>
            <w:r w:rsidRPr="008E725B">
              <w:t xml:space="preserve">; </w:t>
            </w:r>
            <w:r w:rsidRPr="008E725B">
              <w:rPr>
                <w:b/>
                <w:i/>
              </w:rPr>
              <w:t>korostaa tässä yhteydessä, että niiden rahoituksen on oltava läpinäkyvää ja ne on luokiteltava asianmukaisesti ulkomaisiksi organisaatioiksi;</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353</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12 kohta</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12.</w:t>
            </w:r>
            <w:r w:rsidRPr="008E725B">
              <w:tab/>
            </w:r>
            <w:r w:rsidRPr="008E725B">
              <w:rPr>
                <w:b/>
                <w:i/>
              </w:rPr>
              <w:t>yhtyy komission arvioon siitä</w:t>
            </w:r>
            <w:r w:rsidRPr="008E725B">
              <w:t xml:space="preserve">, että kansalaisyhteiskunnan järjestöt ja ihmisoikeuksien puolustajat ovat erittäin tärkeitä </w:t>
            </w:r>
            <w:r w:rsidRPr="008E725B">
              <w:rPr>
                <w:b/>
                <w:i/>
              </w:rPr>
              <w:t xml:space="preserve">valtatasapainon </w:t>
            </w:r>
            <w:r w:rsidRPr="008E725B">
              <w:t>kannalta;</w:t>
            </w:r>
          </w:p>
        </w:tc>
        <w:tc>
          <w:tcPr>
            <w:tcW w:w="4876" w:type="dxa"/>
            <w:tcBorders>
              <w:top w:val="nil"/>
              <w:left w:val="nil"/>
              <w:bottom w:val="nil"/>
              <w:right w:val="nil"/>
            </w:tcBorders>
          </w:tcPr>
          <w:p w:rsidR="005E49C0" w:rsidRPr="008E725B" w:rsidRDefault="005E49C0" w:rsidP="00B5562F">
            <w:pPr>
              <w:pStyle w:val="Normal6a"/>
            </w:pPr>
            <w:r w:rsidRPr="008E725B">
              <w:t>12.</w:t>
            </w:r>
            <w:r w:rsidRPr="008E725B">
              <w:tab/>
            </w:r>
            <w:r w:rsidRPr="008E725B">
              <w:rPr>
                <w:b/>
                <w:i/>
              </w:rPr>
              <w:t>korostaa</w:t>
            </w:r>
            <w:r w:rsidRPr="008E725B">
              <w:t xml:space="preserve">, että kansalaisyhteiskunnan järjestöt ja ihmisoikeuksien puolustajat ovat erittäin tärkeitä </w:t>
            </w:r>
            <w:r w:rsidRPr="008E725B">
              <w:rPr>
                <w:b/>
                <w:i/>
              </w:rPr>
              <w:t>demokratian asianmukaisen toiminnan</w:t>
            </w:r>
            <w:r w:rsidRPr="008E725B">
              <w:t xml:space="preserve"> kannalta; </w:t>
            </w:r>
            <w:r w:rsidRPr="008E725B">
              <w:rPr>
                <w:b/>
                <w:i/>
              </w:rPr>
              <w:t>pitää valitettavana, että EU:n toimielimet ajavat liberaalien ja vasemmistolaisten järjestöjen tukemista ja ylittävät siten toimivaltuutensa ja valitsevat puolensa aatteellisissa kiistoissa;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354</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Michał Wawrykiewicz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12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12.</w:t>
            </w:r>
            <w:r w:rsidRPr="008E725B">
              <w:tab/>
              <w:t>yhtyy komission arvioon siitä, että kansalaisyhteiskunnan järjestöt ja ihmisoikeuksien puolustajat ovat erittäin tärkeitä valtatasapainon kannalta;</w:t>
            </w:r>
          </w:p>
        </w:tc>
        <w:tc>
          <w:tcPr>
            <w:tcW w:w="4876" w:type="dxa"/>
            <w:tcBorders>
              <w:top w:val="nil"/>
              <w:left w:val="nil"/>
              <w:bottom w:val="nil"/>
              <w:right w:val="nil"/>
            </w:tcBorders>
          </w:tcPr>
          <w:p w:rsidR="005E49C0" w:rsidRPr="008E725B" w:rsidRDefault="005E49C0" w:rsidP="00B5562F">
            <w:pPr>
              <w:pStyle w:val="Normal6a"/>
            </w:pPr>
            <w:r w:rsidRPr="008E725B">
              <w:t>12.</w:t>
            </w:r>
            <w:r w:rsidRPr="008E725B">
              <w:tab/>
              <w:t xml:space="preserve">yhtyy komission arvioon siitä, että kansalaisyhteiskunnan järjestöt ja ihmisoikeuksien puolustajat ovat erittäin tärkeitä valtatasapainon </w:t>
            </w:r>
            <w:r w:rsidRPr="008E725B">
              <w:rPr>
                <w:b/>
                <w:i/>
              </w:rPr>
              <w:t>ja EU:n kulmakivenä olevien perusarvojen suojelun</w:t>
            </w:r>
            <w:r w:rsidRPr="008E725B">
              <w:t xml:space="preserve"> kannalta;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355</w:t>
      </w:r>
      <w:r w:rsidRPr="008E725B">
        <w:rPr>
          <w:rStyle w:val="HideTWBExt"/>
        </w:rPr>
        <w:t>&lt;/NumAm&gt;</w:t>
      </w:r>
    </w:p>
    <w:p w:rsidR="005E49C0" w:rsidRPr="008E725B" w:rsidRDefault="005E49C0" w:rsidP="005E49C0">
      <w:pPr>
        <w:pStyle w:val="NormalBold"/>
      </w:pPr>
      <w:r w:rsidRPr="008E725B">
        <w:rPr>
          <w:rStyle w:val="HideTWBExt"/>
          <w:b w:val="0"/>
        </w:rPr>
        <w:lastRenderedPageBreak/>
        <w:t>&lt;RepeatBlock-By&gt;&lt;Members&gt;</w:t>
      </w:r>
      <w:r w:rsidRPr="008E725B">
        <w:t>Romana Tomc</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12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12.</w:t>
            </w:r>
            <w:r w:rsidRPr="008E725B">
              <w:tab/>
              <w:t xml:space="preserve">yhtyy komission arvioon siitä, että kansalaisyhteiskunnan järjestöt ja ihmisoikeuksien puolustajat ovat </w:t>
            </w:r>
            <w:r w:rsidRPr="008E725B">
              <w:rPr>
                <w:b/>
                <w:i/>
              </w:rPr>
              <w:t>erittäin</w:t>
            </w:r>
            <w:r w:rsidRPr="008E725B">
              <w:t xml:space="preserve"> tärkeitä valtatasapainon kannalta;</w:t>
            </w:r>
          </w:p>
        </w:tc>
        <w:tc>
          <w:tcPr>
            <w:tcW w:w="4876" w:type="dxa"/>
            <w:tcBorders>
              <w:top w:val="nil"/>
              <w:left w:val="nil"/>
              <w:bottom w:val="nil"/>
              <w:right w:val="nil"/>
            </w:tcBorders>
          </w:tcPr>
          <w:p w:rsidR="005E49C0" w:rsidRPr="008E725B" w:rsidRDefault="005E49C0" w:rsidP="00B5562F">
            <w:pPr>
              <w:pStyle w:val="Normal6a"/>
            </w:pPr>
            <w:r w:rsidRPr="008E725B">
              <w:t>12.</w:t>
            </w:r>
            <w:r w:rsidRPr="008E725B">
              <w:tab/>
              <w:t>yhtyy komission arvioon siitä, että kansalaisyhteiskunnan järjestöt ja ihmisoikeuksien puolustajat ovat tärkeitä valtatasapainon kannalta;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356</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12 kohta</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12.</w:t>
            </w:r>
            <w:r w:rsidRPr="008E725B">
              <w:tab/>
            </w:r>
            <w:r w:rsidRPr="008E725B">
              <w:rPr>
                <w:b/>
                <w:i/>
              </w:rPr>
              <w:t xml:space="preserve">yhtyy </w:t>
            </w:r>
            <w:r w:rsidRPr="008E725B">
              <w:t xml:space="preserve">komission </w:t>
            </w:r>
            <w:r w:rsidRPr="008E725B">
              <w:rPr>
                <w:b/>
                <w:i/>
              </w:rPr>
              <w:t xml:space="preserve">arvioon </w:t>
            </w:r>
            <w:r w:rsidRPr="008E725B">
              <w:t xml:space="preserve">siitä, että kansalaisyhteiskunnan järjestöt ja ihmisoikeuksien puolustajat </w:t>
            </w:r>
            <w:r w:rsidRPr="008E725B">
              <w:rPr>
                <w:b/>
                <w:i/>
              </w:rPr>
              <w:t>ovat erittäin tärkeitä valtatasapainon kannalta</w:t>
            </w:r>
            <w:r w:rsidRPr="008E725B">
              <w:t>;</w:t>
            </w:r>
          </w:p>
        </w:tc>
        <w:tc>
          <w:tcPr>
            <w:tcW w:w="4876" w:type="dxa"/>
            <w:tcBorders>
              <w:top w:val="nil"/>
              <w:left w:val="nil"/>
              <w:bottom w:val="nil"/>
              <w:right w:val="nil"/>
            </w:tcBorders>
          </w:tcPr>
          <w:p w:rsidR="005E49C0" w:rsidRPr="008E725B" w:rsidRDefault="005E49C0" w:rsidP="00B5562F">
            <w:pPr>
              <w:pStyle w:val="Normal6a"/>
            </w:pPr>
            <w:r w:rsidRPr="008E725B">
              <w:t>12.</w:t>
            </w:r>
            <w:r w:rsidRPr="008E725B">
              <w:tab/>
            </w:r>
            <w:r w:rsidRPr="008E725B">
              <w:rPr>
                <w:b/>
                <w:i/>
              </w:rPr>
              <w:t xml:space="preserve">antaa tunnustusta </w:t>
            </w:r>
            <w:r w:rsidRPr="008E725B">
              <w:t xml:space="preserve">komission </w:t>
            </w:r>
            <w:r w:rsidRPr="008E725B">
              <w:rPr>
                <w:b/>
                <w:i/>
              </w:rPr>
              <w:t xml:space="preserve">arviolle </w:t>
            </w:r>
            <w:r w:rsidRPr="008E725B">
              <w:t xml:space="preserve">siitä, että kansalaisyhteiskunnan järjestöt ja ihmisoikeuksien puolustajat </w:t>
            </w:r>
            <w:r w:rsidRPr="008E725B">
              <w:rPr>
                <w:b/>
                <w:i/>
              </w:rPr>
              <w:t>vaikuttavat valtatasapainoon</w:t>
            </w:r>
            <w:r w:rsidRPr="008E725B">
              <w:t>;</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357</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Alessandro Zan, Cecilia Strada, Sandro Ruotolo, Pina Picierno, Marco Tarquinio</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12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12 a.</w:t>
            </w:r>
            <w:r w:rsidRPr="008E725B">
              <w:tab/>
            </w:r>
            <w:r w:rsidRPr="008E725B">
              <w:rPr>
                <w:b/>
                <w:i/>
              </w:rPr>
              <w:t xml:space="preserve">on syvästi huolissaan kansalaisyhteiskunnan haasteista Italiassa; toteaa, että Euroopan neuvosto, OECD ja YK ovat arvostelleet Italian yleistä turvallisuutta koskevaa lakiluonnosta ja siitä johtuvaa oikeussuojan ja ihmisoikeuksien </w:t>
            </w:r>
            <w:r w:rsidRPr="008E725B">
              <w:rPr>
                <w:b/>
                <w:i/>
              </w:rPr>
              <w:lastRenderedPageBreak/>
              <w:t>häviämistä; ilmaisee vakavan huolensa siitä, että tämä lakiluonnos rajoittaa oikeutta vapauteen ja turvallisuuteen, mielivaltaisen vangitsemisen kieltoa, liikkumisvapautta, oikeutta oikeudenmukaiseen oikeudenkäyntiin, oikeutta yksityisyyteen, mielipiteen- ja sananvapautta, kokoontumis- ja yhdistymisvapautta ja perusoikeuksia;</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358</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Mariusz Kamiński, Joachim Stanisław Brudziński, Jadwiga Wiśniewska, Maciej Wąsik, Jacek Ozdoba</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12 a kohta (uusi)</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12 a.</w:t>
            </w:r>
            <w:r w:rsidRPr="008E725B">
              <w:tab/>
            </w:r>
            <w:r w:rsidRPr="008E725B">
              <w:rPr>
                <w:b/>
                <w:i/>
              </w:rPr>
              <w:t>vastustaa jyrkästi komission ja sen virastojen rahoituksen antamista organisaatioille, joiden tehtävänä on vaikuttaa muiden EU:n toimielinten, myös Euroopan parlamentin, kantoihin; katsoo, että tätä ei voida hyväksyä, kehottaa komissiota julkaisemaan yksityiskohtaisen kertomuksen tästä aiheesta ja ehdottaa, että Euroopan tilintarkastustuomioistuin tekee tarkastuksia tällä alalla; katsoo, että komissio ja muut EU:n toimielimet eivät voi varata rahoitusta tai muuta tukea minkäänlaisille aatteellisille toimenpiteille, muun muassa toimenpiteille, joiden tarkoituksena on vaikuttaa EU:n toimielimiin ja jäsenvaltioihin;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{PL}</w:t>
      </w:r>
      <w:r w:rsidRPr="008E725B">
        <w:t>pl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359</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Isabel Serra Sánchez, Ana Catarina Mendes</w:t>
      </w:r>
      <w:r w:rsidRPr="008E725B">
        <w:rPr>
          <w:rStyle w:val="HideTWBExt"/>
          <w:b w:val="0"/>
        </w:rPr>
        <w:t>&lt;/Members&gt;</w:t>
      </w:r>
    </w:p>
    <w:p w:rsidR="005E49C0" w:rsidRPr="008E725B" w:rsidRDefault="005E49C0" w:rsidP="005E49C0">
      <w:pPr>
        <w:pStyle w:val="NormalBold"/>
      </w:pPr>
      <w:r w:rsidRPr="008E725B">
        <w:rPr>
          <w:rStyle w:val="HideTWBExt"/>
          <w:b w:val="0"/>
        </w:rPr>
        <w:lastRenderedPageBreak/>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12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12 a.</w:t>
            </w:r>
            <w:r w:rsidRPr="008E725B">
              <w:tab/>
            </w:r>
            <w:r w:rsidRPr="008E725B">
              <w:rPr>
                <w:b/>
                <w:i/>
              </w:rPr>
              <w:t>on syvästi huolissaan ilmastoaktivismin lisääntyvästä vainosta ja kriminalisoinnista useissa EU:n jäsenvaltioissa; tuomitsee ilmastoaktivistien luokittelun ”rikollisjärjestöjen” jäseniksi sekä terrorismin ja järjestäytyneen rikollisuuden vastaisten lakien käytön rauhallisten protestiliikkeiden alistamiseen; korostaa, että tällaiset toimenpiteet loukkaavat rauhanomaista kokoontumista ja sananvapautta koskevaa perusoikeutta ja lisäksi niillä on lamaannuttava vaikutus kansalaistoimintaan ja demokraattiseen osallistumiseen; kehottaa jäsenvaltioita pidättymästä suhteettomista oikeudellisista toimista ilmastoaktivisteja vastaan;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360</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Mary Khan, Christine Anderson, Milan Uhrík, Ewa Zajączkowska-Hernik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12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12 a.</w:t>
            </w:r>
            <w:r w:rsidRPr="008E725B">
              <w:tab/>
            </w:r>
            <w:r w:rsidRPr="008E725B">
              <w:rPr>
                <w:b/>
                <w:i/>
              </w:rPr>
              <w:t>on huolissaan siitä, että kansalaisjärjestöt saavat yhä enemmän rahoitusta unionin talousarviosta; korostaa, että käsite valtion rahoittama valtiosta riippumaton järjestö on paradoksaalinen; vaatii käymään perusteellisesti läpi kaikki maksut unionin talousarviosta kansalaisjärjestöille, erityisesti ottaen huomioon entisen komission jäsenen Timmermanin Lobby-</w:t>
            </w:r>
            <w:r w:rsidRPr="008E725B">
              <w:rPr>
                <w:b/>
                <w:i/>
              </w:rPr>
              <w:lastRenderedPageBreak/>
              <w:t>Loop-järjestelyn, jossa komissio on rahoittanut Euroopan parlamentin jäseniä lobanneita kansalaisjärjestöjä saadakseen tukea komission ehdotuksille;</w:t>
            </w:r>
          </w:p>
        </w:tc>
      </w:tr>
    </w:tbl>
    <w:p w:rsidR="005E49C0" w:rsidRPr="008E725B" w:rsidRDefault="005E49C0" w:rsidP="005E49C0">
      <w:pPr>
        <w:pStyle w:val="AmOrLang"/>
      </w:pPr>
      <w:r w:rsidRPr="008E725B">
        <w:lastRenderedPageBreak/>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361</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Jorge Buxadé Villalba, Marieke Ehlers, Malika Sorel, Fabrice Leggeri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12 a kohta (uusi)</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p>
        </w:tc>
        <w:tc>
          <w:tcPr>
            <w:tcW w:w="4876" w:type="dxa"/>
            <w:tcBorders>
              <w:top w:val="nil"/>
              <w:left w:val="nil"/>
              <w:bottom w:val="nil"/>
              <w:right w:val="nil"/>
            </w:tcBorders>
          </w:tcPr>
          <w:p w:rsidR="005E49C0" w:rsidRPr="008E725B" w:rsidRDefault="005E49C0" w:rsidP="00B5562F">
            <w:pPr>
              <w:pStyle w:val="Normal6a"/>
            </w:pPr>
            <w:r w:rsidRPr="008E725B">
              <w:rPr>
                <w:b/>
                <w:i/>
              </w:rPr>
              <w:t>12 a.</w:t>
            </w:r>
            <w:r w:rsidRPr="008E725B">
              <w:tab/>
            </w:r>
            <w:r w:rsidRPr="008E725B">
              <w:rPr>
                <w:b/>
                <w:i/>
              </w:rPr>
              <w:t>tuomitsee kansalaisyhteiskunnan järjestöjen ja ihmisoikeuksien puolustajien käytön kolmansien maiden valtiollisten ja valtiosta riippumattomien toimijoiden ulkomaisten toimintasuunnitelmien toteuttamiseen; korostaa, että komission ei pidä turvautua ulkomailta rahoitusta saaviin järjestöihin suunnitellessaan uusia toimintapolitiikkoja, sillä niiden tavoitteet eivät välttämättä ole yhdenmukaisia EU:n tavoitteiden kanssa;</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362</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Nicolas Bay</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13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13.</w:t>
            </w:r>
            <w:r w:rsidRPr="008E725B">
              <w:tab/>
            </w:r>
            <w:r w:rsidRPr="008E725B">
              <w:rPr>
                <w:b/>
                <w:i/>
              </w:rPr>
              <w:t xml:space="preserve">on huolissaan siitä, että yhä useammin kansalaisyhteiskunnan järjestöt ja ihmisoikeuksien puolustajat joutuvat uusien oikeudellisten rajoitusten ja hyökkäysten kohteeksi sekä kärsimään rahoituksen puutteesta; kehottaa luomaan </w:t>
            </w:r>
            <w:r w:rsidRPr="008E725B">
              <w:rPr>
                <w:b/>
                <w:i/>
              </w:rPr>
              <w:lastRenderedPageBreak/>
              <w:t>mahdollistavat ja kannustavat puitteet kansalaisyhteiskunnalle ja korostaa jälleen, että on tärkeää hyväksyä SLAPP-kannedirektiivi ja komission suositus (EU) 2022/758 kansalaisyhteiskunnan järjestöjen suojelemiseksi; katsoo, että komission ja jäsenvaltioiden olisi lisättävä kansalaisyhteiskunnan järjestöjen rahoittamista;</w:t>
            </w:r>
          </w:p>
        </w:tc>
        <w:tc>
          <w:tcPr>
            <w:tcW w:w="4876" w:type="dxa"/>
            <w:tcBorders>
              <w:top w:val="nil"/>
              <w:left w:val="nil"/>
              <w:bottom w:val="nil"/>
              <w:right w:val="nil"/>
            </w:tcBorders>
          </w:tcPr>
          <w:p w:rsidR="005E49C0" w:rsidRPr="008E725B" w:rsidRDefault="005E49C0" w:rsidP="00B5562F">
            <w:pPr>
              <w:pStyle w:val="Normal6a"/>
            </w:pPr>
            <w:r w:rsidRPr="008E725B">
              <w:rPr>
                <w:b/>
                <w:i/>
              </w:rPr>
              <w:lastRenderedPageBreak/>
              <w:t>Poistetaan.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{FR}</w:t>
      </w:r>
      <w:r w:rsidRPr="008E725B">
        <w:t>fr</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363</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Emmanuel Fragkos, Geadis Geadi, Galato Alexandraki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13 kohta</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13.</w:t>
            </w:r>
            <w:r w:rsidRPr="008E725B">
              <w:tab/>
            </w:r>
            <w:r w:rsidRPr="008E725B">
              <w:rPr>
                <w:b/>
                <w:i/>
              </w:rPr>
              <w:t>on huolissaan siitä, että yhä useammin kansalaisyhteiskunnan järjestöt ja ihmisoikeuksien puolustajat joutuvat uusien oikeudellisten rajoitusten ja hyökkäysten kohteeksi sekä kärsimään rahoituksen puutteesta; kehottaa luomaan mahdollistavat ja kannustavat puitteet kansalaisyhteiskunnalle ja korostaa jälleen, että on tärkeää hyväksyä SLAPP-kannedirektiivi ja komission suositus (EU) 2022/758 kansalaisyhteiskunnan järjestöjen suojelemiseksi; katsoo, että komission ja jäsenvaltioiden olisi lisättävä kansalaisyhteiskunnan järjestöjen rahoittamista;</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{EL}</w:t>
      </w:r>
      <w:r w:rsidRPr="008E725B">
        <w:t>el</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364</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Jorge Buxadé Villalba, Marieke Ehlers, Malika Sorel, Fabrice Leggeri</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13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lastRenderedPageBreak/>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rPr>
                <w:b/>
                <w:i/>
              </w:rPr>
              <w:t>13.</w:t>
            </w:r>
            <w:r w:rsidRPr="008E725B">
              <w:tab/>
            </w:r>
            <w:r w:rsidRPr="008E725B">
              <w:rPr>
                <w:b/>
                <w:i/>
              </w:rPr>
              <w:t>on huolissaan siitä, että yhä useammin kansalaisyhteiskunnan järjestöt ja ihmisoikeuksien puolustajat joutuvat uusien oikeudellisten rajoitusten ja hyökkäysten kohteeksi sekä kärsimään rahoituksen puutteesta; kehottaa luomaan mahdollistavat ja kannustavat puitteet kansalaisyhteiskunnalle ja korostaa jälleen, että on tärkeää hyväksyä SLAPP-kannedirektiivi ja komission suositus (EU) 2022/758 kansalaisyhteiskunnan järjestöjen suojelemiseksi; katsoo, että komission ja jäsenvaltioiden olisi lisättävä kansalaisyhteiskunnan järjestöjen rahoittamista;</w:t>
            </w:r>
          </w:p>
        </w:tc>
        <w:tc>
          <w:tcPr>
            <w:tcW w:w="4876" w:type="dxa"/>
            <w:tcBorders>
              <w:top w:val="nil"/>
              <w:left w:val="nil"/>
              <w:bottom w:val="nil"/>
              <w:right w:val="nil"/>
            </w:tcBorders>
          </w:tcPr>
          <w:p w:rsidR="005E49C0" w:rsidRPr="008E725B" w:rsidRDefault="005E49C0" w:rsidP="00B5562F">
            <w:pPr>
              <w:pStyle w:val="Normal6a"/>
            </w:pPr>
            <w:r w:rsidRPr="008E725B">
              <w:rPr>
                <w:b/>
                <w:i/>
              </w:rPr>
              <w:t>Poistetaan.</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w:t>
      </w:r>
    </w:p>
    <w:p w:rsidR="005E49C0" w:rsidRPr="008E725B" w:rsidRDefault="005E49C0" w:rsidP="005E49C0">
      <w:pPr>
        <w:pStyle w:val="AmNumberTabs"/>
      </w:pPr>
      <w:r w:rsidRPr="008E725B">
        <w:rPr>
          <w:rStyle w:val="HideTWBExt"/>
          <w:b w:val="0"/>
        </w:rPr>
        <w:t>&lt;Amend&gt;</w:t>
      </w:r>
      <w:r w:rsidRPr="008E725B">
        <w:t>Tarkistus</w:t>
      </w:r>
      <w:r w:rsidRPr="008E725B">
        <w:tab/>
      </w:r>
      <w:r w:rsidRPr="008E725B">
        <w:tab/>
      </w:r>
      <w:r w:rsidRPr="008E725B">
        <w:rPr>
          <w:rStyle w:val="HideTWBExt"/>
          <w:b w:val="0"/>
        </w:rPr>
        <w:t>&lt;NumAm&gt;</w:t>
      </w:r>
      <w:r w:rsidRPr="008E725B">
        <w:t>365</w:t>
      </w:r>
      <w:r w:rsidRPr="008E725B">
        <w:rPr>
          <w:rStyle w:val="HideTWBExt"/>
          <w:b w:val="0"/>
        </w:rPr>
        <w:t>&lt;/NumAm&gt;</w:t>
      </w:r>
    </w:p>
    <w:p w:rsidR="005E49C0" w:rsidRPr="008E725B" w:rsidRDefault="005E49C0" w:rsidP="005E49C0">
      <w:pPr>
        <w:pStyle w:val="NormalBold"/>
      </w:pPr>
      <w:r w:rsidRPr="008E725B">
        <w:rPr>
          <w:rStyle w:val="HideTWBExt"/>
          <w:b w:val="0"/>
        </w:rPr>
        <w:t>&lt;RepeatBlock-By&gt;&lt;Members&gt;</w:t>
      </w:r>
      <w:r w:rsidRPr="008E725B">
        <w:t>Erik Kaliňák</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b w:val="0"/>
        </w:rPr>
        <w:t>&lt;DocAmend&gt;</w:t>
      </w:r>
      <w:r w:rsidRPr="008E725B">
        <w:t>Päätöslauselmaesitys</w:t>
      </w:r>
      <w:r w:rsidRPr="008E725B">
        <w:rPr>
          <w:rStyle w:val="HideTWBExt"/>
          <w:b w:val="0"/>
        </w:rPr>
        <w:t>&lt;/DocAmend&gt;</w:t>
      </w:r>
    </w:p>
    <w:p w:rsidR="005E49C0" w:rsidRPr="008E725B" w:rsidRDefault="005E49C0" w:rsidP="005E49C0">
      <w:pPr>
        <w:pStyle w:val="NormalBold"/>
      </w:pPr>
      <w:r w:rsidRPr="008E725B">
        <w:rPr>
          <w:rStyle w:val="HideTWBExt"/>
          <w:b w:val="0"/>
        </w:rPr>
        <w:t>&lt;Article&gt;</w:t>
      </w:r>
      <w:r w:rsidRPr="008E725B">
        <w:t>13 kohta</w:t>
      </w:r>
      <w:r w:rsidRPr="008E725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13.</w:t>
            </w:r>
            <w:r w:rsidRPr="008E725B">
              <w:tab/>
              <w:t xml:space="preserve">on huolissaan siitä, että yhä useammin kansalaisyhteiskunnan </w:t>
            </w:r>
            <w:r w:rsidRPr="008E725B">
              <w:rPr>
                <w:b/>
                <w:i/>
              </w:rPr>
              <w:t>järjestöt</w:t>
            </w:r>
            <w:r w:rsidRPr="008E725B">
              <w:t xml:space="preserve"> ja ihmisoikeuksien </w:t>
            </w:r>
            <w:r w:rsidRPr="008E725B">
              <w:rPr>
                <w:b/>
                <w:i/>
              </w:rPr>
              <w:t>puolustajat</w:t>
            </w:r>
            <w:r w:rsidRPr="008E725B">
              <w:t xml:space="preserve"> </w:t>
            </w:r>
            <w:r w:rsidRPr="008E725B">
              <w:rPr>
                <w:b/>
                <w:i/>
              </w:rPr>
              <w:t>joutuvat uusien oikeudellisten rajoitusten ja hyökkäysten kohteeksi sekä kärsimään rahoituksen puutteesta</w:t>
            </w:r>
            <w:r w:rsidRPr="008E725B">
              <w:t>;</w:t>
            </w:r>
            <w:r w:rsidRPr="008E725B">
              <w:rPr>
                <w:b/>
                <w:i/>
              </w:rPr>
              <w:t xml:space="preserve"> kehottaa luomaan mahdollistavat ja kannustavat puitteet kansalaisyhteiskunnalle ja korostaa jälleen, että on tärkeää hyväksyä SLAPP-kannedirektiivi ja komission suositus (EU) 2022/758 kansalaisyhteiskunnan järjestöjen suojelemiseksi; katsoo, että komission ja jäsenvaltioiden olisi lisättävä kansalaisyhteiskunnan järjestöjen rahoittamista;</w:t>
            </w:r>
          </w:p>
        </w:tc>
        <w:tc>
          <w:tcPr>
            <w:tcW w:w="4876" w:type="dxa"/>
            <w:tcBorders>
              <w:top w:val="nil"/>
              <w:left w:val="nil"/>
              <w:bottom w:val="nil"/>
              <w:right w:val="nil"/>
            </w:tcBorders>
          </w:tcPr>
          <w:p w:rsidR="005E49C0" w:rsidRPr="008E725B" w:rsidRDefault="005E49C0" w:rsidP="00B5562F">
            <w:pPr>
              <w:pStyle w:val="Normal6a"/>
            </w:pPr>
            <w:r w:rsidRPr="008E725B">
              <w:t>13.</w:t>
            </w:r>
            <w:r w:rsidRPr="008E725B">
              <w:tab/>
              <w:t xml:space="preserve">on huolissaan siitä, että yhä useammin kansalaisyhteiskunnan </w:t>
            </w:r>
            <w:r w:rsidRPr="008E725B">
              <w:rPr>
                <w:b/>
                <w:i/>
              </w:rPr>
              <w:t>järjestöjä</w:t>
            </w:r>
            <w:r w:rsidRPr="008E725B">
              <w:t xml:space="preserve"> ja ihmisoikeuksien </w:t>
            </w:r>
            <w:r w:rsidRPr="008E725B">
              <w:rPr>
                <w:b/>
                <w:i/>
              </w:rPr>
              <w:t>puolustajia käytetään väärin keinona vastustaa laillisesti valittuja hallituksia</w:t>
            </w:r>
            <w:r w:rsidRPr="008E725B">
              <w:t>;</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{SK}</w:t>
      </w:r>
      <w:r w:rsidRPr="008E725B">
        <w:t>sk</w:t>
      </w:r>
      <w:r w:rsidRPr="008E725B">
        <w:rPr>
          <w:rStyle w:val="HideTWBExt"/>
        </w:rPr>
        <w:t>&lt;/Original&gt;</w:t>
      </w:r>
    </w:p>
    <w:p w:rsidR="005E49C0" w:rsidRPr="008E725B" w:rsidRDefault="005E49C0" w:rsidP="005E49C0">
      <w:r w:rsidRPr="008E725B">
        <w:rPr>
          <w:rStyle w:val="HideTWBExt"/>
        </w:rPr>
        <w:lastRenderedPageBreak/>
        <w:t>&lt;/Amend&gt;</w:t>
      </w:r>
    </w:p>
    <w:p w:rsidR="005E49C0" w:rsidRPr="008E725B" w:rsidRDefault="005E49C0" w:rsidP="005E49C0">
      <w:pPr>
        <w:pStyle w:val="AmNumberTabs"/>
      </w:pPr>
      <w:r w:rsidRPr="008E725B">
        <w:rPr>
          <w:rStyle w:val="HideTWBExt"/>
        </w:rPr>
        <w:t>&lt;Amend&gt;</w:t>
      </w:r>
      <w:r w:rsidRPr="008E725B">
        <w:t>Tarkistus</w:t>
      </w:r>
      <w:r w:rsidRPr="008E725B">
        <w:tab/>
      </w:r>
      <w:r w:rsidRPr="008E725B">
        <w:tab/>
      </w:r>
      <w:r w:rsidRPr="008E725B">
        <w:rPr>
          <w:rStyle w:val="HideTWBExt"/>
        </w:rPr>
        <w:t>&lt;NumAm&gt;</w:t>
      </w:r>
      <w:r w:rsidRPr="008E725B">
        <w:t>366</w:t>
      </w:r>
      <w:r w:rsidRPr="008E725B">
        <w:rPr>
          <w:rStyle w:val="HideTWBExt"/>
        </w:rPr>
        <w:t>&lt;/NumAm&gt;</w:t>
      </w:r>
    </w:p>
    <w:p w:rsidR="005E49C0" w:rsidRPr="008E725B" w:rsidRDefault="005E49C0" w:rsidP="005E49C0">
      <w:pPr>
        <w:pStyle w:val="NormalBold"/>
      </w:pPr>
      <w:r w:rsidRPr="008E725B">
        <w:rPr>
          <w:rStyle w:val="HideTWBExt"/>
          <w:b w:val="0"/>
        </w:rPr>
        <w:t>&lt;RepeatBlock-By&gt;&lt;Members&gt;</w:t>
      </w:r>
      <w:r w:rsidRPr="008E725B">
        <w:t>Michał Wawrykiewicz</w:t>
      </w:r>
      <w:r w:rsidRPr="008E725B">
        <w:rPr>
          <w:rStyle w:val="HideTWBExt"/>
          <w:b w:val="0"/>
        </w:rPr>
        <w:t>&lt;/Members&gt;</w:t>
      </w:r>
    </w:p>
    <w:p w:rsidR="005E49C0" w:rsidRPr="008E725B" w:rsidRDefault="005E49C0" w:rsidP="005E49C0">
      <w:pPr>
        <w:pStyle w:val="NormalBold"/>
      </w:pPr>
      <w:r w:rsidRPr="008E725B">
        <w:rPr>
          <w:rStyle w:val="HideTWBExt"/>
          <w:b w:val="0"/>
        </w:rPr>
        <w:t>&lt;/RepeatBlock-By&gt;</w:t>
      </w:r>
    </w:p>
    <w:p w:rsidR="005E49C0" w:rsidRPr="008E725B" w:rsidRDefault="005E49C0" w:rsidP="005E49C0">
      <w:pPr>
        <w:pStyle w:val="NormalBold"/>
      </w:pPr>
      <w:r w:rsidRPr="008E725B">
        <w:rPr>
          <w:rStyle w:val="HideTWBExt"/>
        </w:rPr>
        <w:t>&lt;DocAmend&gt;</w:t>
      </w:r>
      <w:r w:rsidRPr="008E725B">
        <w:t>Päätöslauselmaesitys</w:t>
      </w:r>
      <w:r w:rsidRPr="008E725B">
        <w:rPr>
          <w:rStyle w:val="HideTWBExt"/>
        </w:rPr>
        <w:t>&lt;/DocAmend&gt;</w:t>
      </w:r>
    </w:p>
    <w:p w:rsidR="005E49C0" w:rsidRPr="008E725B" w:rsidRDefault="005E49C0" w:rsidP="005E49C0">
      <w:pPr>
        <w:pStyle w:val="NormalBold"/>
      </w:pPr>
      <w:r w:rsidRPr="008E725B">
        <w:rPr>
          <w:rStyle w:val="HideTWBExt"/>
        </w:rPr>
        <w:t>&lt;Article&gt;</w:t>
      </w:r>
      <w:r w:rsidRPr="008E725B">
        <w:t>13 kohta</w:t>
      </w:r>
      <w:r w:rsidRPr="008E725B">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49C0" w:rsidRPr="008E725B" w:rsidTr="00B5562F">
        <w:trPr>
          <w:trHeight w:hRule="exact" w:val="240"/>
          <w:jc w:val="center"/>
        </w:trPr>
        <w:tc>
          <w:tcPr>
            <w:tcW w:w="9752" w:type="dxa"/>
            <w:gridSpan w:val="2"/>
            <w:tcBorders>
              <w:top w:val="nil"/>
              <w:left w:val="nil"/>
              <w:bottom w:val="nil"/>
              <w:right w:val="nil"/>
            </w:tcBorders>
          </w:tcPr>
          <w:p w:rsidR="005E49C0" w:rsidRPr="008E725B" w:rsidRDefault="005E49C0" w:rsidP="00B5562F"/>
        </w:tc>
      </w:tr>
      <w:tr w:rsidR="005E49C0" w:rsidRPr="008E725B" w:rsidTr="00B5562F">
        <w:trPr>
          <w:trHeight w:val="240"/>
          <w:jc w:val="center"/>
        </w:trPr>
        <w:tc>
          <w:tcPr>
            <w:tcW w:w="4876" w:type="dxa"/>
            <w:tcBorders>
              <w:top w:val="nil"/>
              <w:left w:val="nil"/>
              <w:bottom w:val="nil"/>
              <w:right w:val="nil"/>
            </w:tcBorders>
          </w:tcPr>
          <w:p w:rsidR="005E49C0" w:rsidRPr="008E725B" w:rsidRDefault="005E49C0" w:rsidP="00B5562F">
            <w:pPr>
              <w:pStyle w:val="AmColumnHeading"/>
            </w:pPr>
            <w:r w:rsidRPr="008E725B">
              <w:t>Päätöslauselmaesitys</w:t>
            </w:r>
          </w:p>
        </w:tc>
        <w:tc>
          <w:tcPr>
            <w:tcW w:w="4876" w:type="dxa"/>
            <w:tcBorders>
              <w:top w:val="nil"/>
              <w:left w:val="nil"/>
              <w:bottom w:val="nil"/>
              <w:right w:val="nil"/>
            </w:tcBorders>
          </w:tcPr>
          <w:p w:rsidR="005E49C0" w:rsidRPr="008E725B" w:rsidRDefault="005E49C0" w:rsidP="00B5562F">
            <w:pPr>
              <w:pStyle w:val="AmColumnHeading"/>
            </w:pPr>
            <w:r w:rsidRPr="008E725B">
              <w:t>Tarkistus</w:t>
            </w:r>
          </w:p>
        </w:tc>
      </w:tr>
      <w:tr w:rsidR="005E49C0" w:rsidRPr="008E725B" w:rsidTr="00B5562F">
        <w:trPr>
          <w:jc w:val="center"/>
        </w:trPr>
        <w:tc>
          <w:tcPr>
            <w:tcW w:w="4876" w:type="dxa"/>
            <w:tcBorders>
              <w:top w:val="nil"/>
              <w:left w:val="nil"/>
              <w:bottom w:val="nil"/>
              <w:right w:val="nil"/>
            </w:tcBorders>
          </w:tcPr>
          <w:p w:rsidR="005E49C0" w:rsidRPr="008E725B" w:rsidRDefault="005E49C0" w:rsidP="00B5562F">
            <w:pPr>
              <w:pStyle w:val="Normal6a"/>
            </w:pPr>
            <w:r w:rsidRPr="008E725B">
              <w:t>13.</w:t>
            </w:r>
            <w:r w:rsidRPr="008E725B">
              <w:tab/>
              <w:t>on huolissaan siitä, että yhä useammin kansalaisyhteiskunnan järjestöt ja ihmisoikeuksien puolustajat joutuvat uusien oikeudellisten rajoitusten ja hyökkäysten kohteeksi sekä kärsimään rahoituksen puutteesta; kehottaa luomaan mahdollistavat ja kannustavat puitteet kansalaisyhteiskunnalle ja korostaa jälleen, että on tärkeää hyväksyä SLAPP-kannedirektiivi ja komission suositus (EU) 2022/758 kansalaisyhteiskunnan järjestöjen suojelemiseksi; katsoo, että komission ja jäsenvaltioiden olisi lisättävä kansalaisyhteiskunnan järjestöjen rahoittamista;</w:t>
            </w:r>
          </w:p>
        </w:tc>
        <w:tc>
          <w:tcPr>
            <w:tcW w:w="4876" w:type="dxa"/>
            <w:tcBorders>
              <w:top w:val="nil"/>
              <w:left w:val="nil"/>
              <w:bottom w:val="nil"/>
              <w:right w:val="nil"/>
            </w:tcBorders>
          </w:tcPr>
          <w:p w:rsidR="005E49C0" w:rsidRPr="008E725B" w:rsidRDefault="005E49C0" w:rsidP="00B5562F">
            <w:pPr>
              <w:pStyle w:val="Normal6a"/>
            </w:pPr>
            <w:r w:rsidRPr="008E725B">
              <w:t>13.</w:t>
            </w:r>
            <w:r w:rsidRPr="008E725B">
              <w:tab/>
              <w:t xml:space="preserve">on huolissaan siitä, että yhä useammin kansalaisyhteiskunnan järjestöt ja ihmisoikeuksien puolustajat joutuvat uusien oikeudellisten rajoitusten ja hyökkäysten kohteeksi sekä kärsimään rahoituksen puutteesta; kehottaa luomaan mahdollistavat ja kannustavat puitteet kansalaisyhteiskunnalle ja korostaa jälleen, että on tärkeää hyväksyä SLAPP-kannedirektiivi ja komission suositus (EU) 2022/758 kansalaisyhteiskunnan järjestöjen suojelemiseksi; katsoo, että komission ja jäsenvaltioiden olisi lisättävä kansalaisyhteiskunnan järjestöjen rahoittamista </w:t>
            </w:r>
            <w:r w:rsidRPr="008E725B">
              <w:rPr>
                <w:b/>
                <w:i/>
              </w:rPr>
              <w:t>varmistaakseen, että ne kykenevät toimimaan vapaasti ja riippumattomasti demokraattisten arvojen ja oikeusvaltioperiaatteen keskeisinä puolustajina</w:t>
            </w:r>
            <w:r w:rsidRPr="008E725B">
              <w:t>;</w:t>
            </w:r>
          </w:p>
        </w:tc>
      </w:tr>
    </w:tbl>
    <w:p w:rsidR="005E49C0" w:rsidRPr="008E725B" w:rsidRDefault="005E49C0" w:rsidP="005E49C0">
      <w:pPr>
        <w:pStyle w:val="AmOrLang"/>
      </w:pPr>
      <w:r w:rsidRPr="008E725B">
        <w:t xml:space="preserve">Or. </w:t>
      </w:r>
      <w:r w:rsidRPr="008E725B">
        <w:rPr>
          <w:rStyle w:val="HideTWBExt"/>
        </w:rPr>
        <w:t>&lt;Original&gt;</w:t>
      </w:r>
      <w:r w:rsidRPr="008E725B">
        <w:rPr>
          <w:rStyle w:val="HideTWBInt"/>
        </w:rPr>
        <w:t>{EN}</w:t>
      </w:r>
      <w:r w:rsidRPr="008E725B">
        <w:t>en</w:t>
      </w:r>
      <w:r w:rsidRPr="008E725B">
        <w:rPr>
          <w:rStyle w:val="HideTWBExt"/>
        </w:rPr>
        <w:t>&lt;/Original&gt;</w:t>
      </w:r>
    </w:p>
    <w:p w:rsidR="005E49C0" w:rsidRPr="008E725B" w:rsidRDefault="005E49C0" w:rsidP="005E49C0">
      <w:r w:rsidRPr="008E725B">
        <w:rPr>
          <w:rStyle w:val="HideTWBExt"/>
        </w:rPr>
        <w:t>&lt;/Amend&gt;&lt;/RepeatBlock-Amend&gt;</w:t>
      </w:r>
    </w:p>
    <w:p w:rsidR="0004723C" w:rsidRPr="008E725B" w:rsidRDefault="0004723C" w:rsidP="005E49C0">
      <w:bookmarkStart w:id="0" w:name="_GoBack"/>
      <w:bookmarkEnd w:id="0"/>
    </w:p>
    <w:sectPr w:rsidR="0004723C" w:rsidRPr="008E725B" w:rsidSect="00B519F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562F" w:rsidRPr="00815A97" w:rsidRDefault="00B5562F">
      <w:r w:rsidRPr="00815A97">
        <w:separator/>
      </w:r>
    </w:p>
  </w:endnote>
  <w:endnote w:type="continuationSeparator" w:id="0">
    <w:p w:rsidR="00B5562F" w:rsidRPr="00815A97" w:rsidRDefault="00B5562F">
      <w:r w:rsidRPr="00815A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62F" w:rsidRPr="00815A97" w:rsidRDefault="00B5562F" w:rsidP="00B519F2">
    <w:pPr>
      <w:pStyle w:val="EPFooter"/>
    </w:pPr>
    <w:r w:rsidRPr="00815A97">
      <w:t>PE</w:t>
    </w:r>
    <w:r w:rsidRPr="00815A97">
      <w:rPr>
        <w:rStyle w:val="HideTWBExt"/>
      </w:rPr>
      <w:t>&lt;NoPE&gt;</w:t>
    </w:r>
    <w:r w:rsidRPr="00815A97">
      <w:t>768.144</w:t>
    </w:r>
    <w:r w:rsidRPr="00815A97">
      <w:rPr>
        <w:rStyle w:val="HideTWBExt"/>
      </w:rPr>
      <w:t>&lt;/NoPE&gt;&lt;Version&gt;</w:t>
    </w:r>
    <w:r w:rsidRPr="00815A97">
      <w:t>v01-00</w:t>
    </w:r>
    <w:r w:rsidRPr="00815A97">
      <w:rPr>
        <w:rStyle w:val="HideTWBExt"/>
      </w:rPr>
      <w:t>&lt;/Version&gt;</w:t>
    </w:r>
    <w:r w:rsidRPr="00815A97">
      <w:tab/>
    </w:r>
    <w:r w:rsidRPr="00815A97">
      <w:fldChar w:fldCharType="begin"/>
    </w:r>
    <w:r w:rsidRPr="00815A97">
      <w:instrText xml:space="preserve"> PAGE  \* MERGEFORMAT </w:instrText>
    </w:r>
    <w:r w:rsidRPr="00815A97">
      <w:fldChar w:fldCharType="separate"/>
    </w:r>
    <w:r w:rsidR="00DF0360">
      <w:rPr>
        <w:noProof/>
      </w:rPr>
      <w:t>192</w:t>
    </w:r>
    <w:r w:rsidRPr="00815A97">
      <w:fldChar w:fldCharType="end"/>
    </w:r>
    <w:r w:rsidRPr="00815A97">
      <w:t>/</w:t>
    </w:r>
    <w:fldSimple w:instr=" NUMPAGES  \* MERGEFORMAT ">
      <w:r w:rsidR="00DF0360">
        <w:rPr>
          <w:noProof/>
        </w:rPr>
        <w:t>193</w:t>
      </w:r>
    </w:fldSimple>
    <w:r w:rsidRPr="00815A97">
      <w:tab/>
    </w:r>
    <w:r w:rsidRPr="00815A97">
      <w:rPr>
        <w:rStyle w:val="HideTWBExt"/>
      </w:rPr>
      <w:t>&lt;PathFdR&gt;</w:t>
    </w:r>
    <w:r w:rsidRPr="00815A97">
      <w:t>AM\1314503FI.docx</w:t>
    </w:r>
    <w:r w:rsidRPr="00815A97">
      <w:rPr>
        <w:rStyle w:val="HideTWBExt"/>
      </w:rPr>
      <w:t>&lt;/PathFdR&gt;</w:t>
    </w:r>
  </w:p>
  <w:p w:rsidR="00B5562F" w:rsidRPr="00815A97" w:rsidRDefault="00B5562F" w:rsidP="00B519F2">
    <w:pPr>
      <w:pStyle w:val="EPFooter2"/>
    </w:pPr>
    <w:r w:rsidRPr="00815A97">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62F" w:rsidRPr="00815A97" w:rsidRDefault="00B5562F" w:rsidP="00B519F2">
    <w:pPr>
      <w:pStyle w:val="EPFooter"/>
    </w:pPr>
    <w:r w:rsidRPr="00815A97">
      <w:rPr>
        <w:rStyle w:val="HideTWBExt"/>
      </w:rPr>
      <w:t>&lt;PathFdR&gt;</w:t>
    </w:r>
    <w:r w:rsidRPr="00815A97">
      <w:t>AM\1314503FI.docx</w:t>
    </w:r>
    <w:r w:rsidRPr="00815A97">
      <w:rPr>
        <w:rStyle w:val="HideTWBExt"/>
      </w:rPr>
      <w:t>&lt;/PathFdR&gt;</w:t>
    </w:r>
    <w:r w:rsidRPr="00815A97">
      <w:tab/>
    </w:r>
    <w:r w:rsidRPr="00815A97">
      <w:fldChar w:fldCharType="begin"/>
    </w:r>
    <w:r w:rsidRPr="00815A97">
      <w:instrText xml:space="preserve"> PAGE  \* MERGEFORMAT </w:instrText>
    </w:r>
    <w:r w:rsidRPr="00815A97">
      <w:fldChar w:fldCharType="separate"/>
    </w:r>
    <w:r w:rsidR="00DF0360">
      <w:rPr>
        <w:noProof/>
      </w:rPr>
      <w:t>193</w:t>
    </w:r>
    <w:r w:rsidRPr="00815A97">
      <w:fldChar w:fldCharType="end"/>
    </w:r>
    <w:r w:rsidRPr="00815A97">
      <w:t>/</w:t>
    </w:r>
    <w:fldSimple w:instr=" NUMPAGES  \* MERGEFORMAT ">
      <w:r w:rsidR="00DF0360">
        <w:rPr>
          <w:noProof/>
        </w:rPr>
        <w:t>193</w:t>
      </w:r>
    </w:fldSimple>
    <w:r w:rsidRPr="00815A97">
      <w:tab/>
      <w:t>PE</w:t>
    </w:r>
    <w:r w:rsidRPr="00815A97">
      <w:rPr>
        <w:rStyle w:val="HideTWBExt"/>
      </w:rPr>
      <w:t>&lt;NoPE&gt;</w:t>
    </w:r>
    <w:r w:rsidRPr="00815A97">
      <w:t>768.144</w:t>
    </w:r>
    <w:r w:rsidRPr="00815A97">
      <w:rPr>
        <w:rStyle w:val="HideTWBExt"/>
      </w:rPr>
      <w:t>&lt;/NoPE&gt;&lt;Version&gt;</w:t>
    </w:r>
    <w:r w:rsidRPr="00815A97">
      <w:t>v01-00</w:t>
    </w:r>
    <w:r w:rsidRPr="00815A97">
      <w:rPr>
        <w:rStyle w:val="HideTWBExt"/>
      </w:rPr>
      <w:t>&lt;/Version&gt;</w:t>
    </w:r>
  </w:p>
  <w:p w:rsidR="00B5562F" w:rsidRPr="00815A97" w:rsidRDefault="00B5562F" w:rsidP="00B519F2">
    <w:pPr>
      <w:pStyle w:val="EPFooter2"/>
    </w:pPr>
    <w:r w:rsidRPr="00815A97">
      <w:tab/>
    </w:r>
    <w:r w:rsidRPr="00815A97">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62F" w:rsidRPr="00815A97" w:rsidRDefault="00B5562F" w:rsidP="00B519F2">
    <w:pPr>
      <w:pStyle w:val="EPFooter"/>
    </w:pPr>
    <w:r w:rsidRPr="00815A97">
      <w:rPr>
        <w:rStyle w:val="HideTWBExt"/>
      </w:rPr>
      <w:t>&lt;PathFdR&gt;</w:t>
    </w:r>
    <w:r w:rsidRPr="00815A97">
      <w:t>AM\1314503FI.docx</w:t>
    </w:r>
    <w:r w:rsidRPr="00815A97">
      <w:rPr>
        <w:rStyle w:val="HideTWBExt"/>
      </w:rPr>
      <w:t>&lt;/PathFdR&gt;</w:t>
    </w:r>
    <w:r w:rsidRPr="00815A97">
      <w:tab/>
    </w:r>
    <w:r w:rsidRPr="00815A97">
      <w:tab/>
      <w:t>PE</w:t>
    </w:r>
    <w:r w:rsidRPr="00815A97">
      <w:rPr>
        <w:rStyle w:val="HideTWBExt"/>
      </w:rPr>
      <w:t>&lt;NoPE&gt;</w:t>
    </w:r>
    <w:r w:rsidRPr="00815A97">
      <w:t>768.144</w:t>
    </w:r>
    <w:r w:rsidRPr="00815A97">
      <w:rPr>
        <w:rStyle w:val="HideTWBExt"/>
      </w:rPr>
      <w:t>&lt;/NoPE&gt;&lt;Version&gt;</w:t>
    </w:r>
    <w:r w:rsidRPr="00815A97">
      <w:t>v01-00</w:t>
    </w:r>
    <w:r w:rsidRPr="00815A97">
      <w:rPr>
        <w:rStyle w:val="HideTWBExt"/>
      </w:rPr>
      <w:t>&lt;/Version&gt;</w:t>
    </w:r>
  </w:p>
  <w:p w:rsidR="00B5562F" w:rsidRPr="00815A97" w:rsidRDefault="00B5562F" w:rsidP="00B519F2">
    <w:pPr>
      <w:pStyle w:val="EPFooter2"/>
    </w:pPr>
    <w:r w:rsidRPr="00815A97">
      <w:t>FI</w:t>
    </w:r>
    <w:r w:rsidRPr="00815A97">
      <w:tab/>
    </w:r>
    <w:r w:rsidRPr="00815A97">
      <w:rPr>
        <w:b w:val="0"/>
        <w:i/>
        <w:color w:val="C0C0C0"/>
        <w:sz w:val="22"/>
      </w:rPr>
      <w:t>Moninaisuudessaan yhtenäinen</w:t>
    </w:r>
    <w:r w:rsidRPr="00815A97">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562F" w:rsidRPr="00815A97" w:rsidRDefault="00B5562F">
      <w:r w:rsidRPr="00815A97">
        <w:separator/>
      </w:r>
    </w:p>
  </w:footnote>
  <w:footnote w:type="continuationSeparator" w:id="0">
    <w:p w:rsidR="00B5562F" w:rsidRPr="00815A97" w:rsidRDefault="00B5562F">
      <w:r w:rsidRPr="00815A9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62F" w:rsidRDefault="00B556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62F" w:rsidRDefault="00B556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62F" w:rsidRDefault="00B556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6145"/>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4"/>
    <w:docVar w:name="TXTLANGUE" w:val="FI"/>
    <w:docVar w:name="TXTLANGUEMIN" w:val="fi"/>
    <w:docVar w:name="TXTNRPE" w:val="768.144"/>
    <w:docVar w:name="TXTPEorAP" w:val="PE"/>
    <w:docVar w:name="TXTROUTE" w:val="AM\1314503FI.docx"/>
    <w:docVar w:name="TXTVERSION" w:val="01-00"/>
  </w:docVars>
  <w:rsids>
    <w:rsidRoot w:val="00A77B3E"/>
    <w:rsid w:val="0004723C"/>
    <w:rsid w:val="000C3BBA"/>
    <w:rsid w:val="00380E75"/>
    <w:rsid w:val="004E15AF"/>
    <w:rsid w:val="005E49C0"/>
    <w:rsid w:val="00815A97"/>
    <w:rsid w:val="0085633E"/>
    <w:rsid w:val="008E725B"/>
    <w:rsid w:val="00A77B3E"/>
    <w:rsid w:val="00B519F2"/>
    <w:rsid w:val="00B5562F"/>
    <w:rsid w:val="00CA2A55"/>
    <w:rsid w:val="00CF4BAC"/>
    <w:rsid w:val="00DF036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DDD9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4E15AF"/>
    <w:pPr>
      <w:tabs>
        <w:tab w:val="center" w:pos="4513"/>
        <w:tab w:val="right" w:pos="9026"/>
      </w:tabs>
    </w:pPr>
  </w:style>
  <w:style w:type="character" w:customStyle="1" w:styleId="HeaderChar">
    <w:name w:val="Header Char"/>
    <w:basedOn w:val="DefaultParagraphFont"/>
    <w:link w:val="Header"/>
    <w:rsid w:val="004E15AF"/>
    <w:rPr>
      <w:sz w:val="24"/>
      <w:szCs w:val="24"/>
    </w:rPr>
  </w:style>
  <w:style w:type="paragraph" w:styleId="Footer">
    <w:name w:val="footer"/>
    <w:basedOn w:val="Normal"/>
    <w:link w:val="FooterChar"/>
    <w:semiHidden/>
    <w:unhideWhenUsed/>
    <w:rsid w:val="005E49C0"/>
    <w:pPr>
      <w:tabs>
        <w:tab w:val="center" w:pos="4513"/>
        <w:tab w:val="right" w:pos="9026"/>
      </w:tabs>
    </w:pPr>
  </w:style>
  <w:style w:type="character" w:customStyle="1" w:styleId="FooterChar">
    <w:name w:val="Footer Char"/>
    <w:basedOn w:val="DefaultParagraphFont"/>
    <w:link w:val="Footer"/>
    <w:semiHidden/>
    <w:rsid w:val="005E49C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193</Pages>
  <Words>25658</Words>
  <Characters>219552</Characters>
  <Application>Microsoft Office Word</Application>
  <DocSecurity>0</DocSecurity>
  <Lines>9672</Lines>
  <Paragraphs>3525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2025-03-20T15:14:00Z</dcterms:created>
  <dcterms:modified xsi:type="dcterms:W3CDTF">2025-03-20T15:14:00Z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AM_Com_NonLegReport</vt:lpwstr>
  </property>
  <property fmtid="{D5CDD505-2E9C-101B-9397-08002B2CF9AE}" pid="3" name="&lt;Type&gt;">
    <vt:lpwstr>AM</vt:lpwstr>
  </property>
  <property fmtid="{D5CDD505-2E9C-101B-9397-08002B2CF9AE}" pid="4" name="&lt;Extension&gt;">
    <vt:lpwstr>FI</vt:lpwstr>
  </property>
  <property fmtid="{D5CDD505-2E9C-101B-9397-08002B2CF9AE}" pid="5" name="PE number">
    <vt:lpwstr>768.144</vt:lpwstr>
  </property>
  <property fmtid="{D5CDD505-2E9C-101B-9397-08002B2CF9AE}" pid="6" name="LastEdited with">
    <vt:lpwstr>10.0.1 Build [20250114]</vt:lpwstr>
  </property>
  <property fmtid="{D5CDD505-2E9C-101B-9397-08002B2CF9AE}" pid="7" name="&lt;FdR&gt;">
    <vt:lpwstr>1314503</vt:lpwstr>
  </property>
  <property fmtid="{D5CDD505-2E9C-101B-9397-08002B2CF9AE}" pid="8" name="FooterPath">
    <vt:lpwstr>AM\1314503FI.docx</vt:lpwstr>
  </property>
  <property fmtid="{D5CDD505-2E9C-101B-9397-08002B2CF9AE}" pid="9" name="Bookout">
    <vt:lpwstr>OK - 2025/03/20 16:14</vt:lpwstr>
  </property>
</Properties>
</file>