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0223F" w:rsidRPr="008A2298" w:rsidTr="00CF051B">
        <w:trPr>
          <w:trHeight w:hRule="exact" w:val="1417"/>
          <w:jc w:val="center"/>
        </w:trPr>
        <w:tc>
          <w:tcPr>
            <w:tcW w:w="6804" w:type="dxa"/>
            <w:tcBorders>
              <w:top w:val="nil"/>
              <w:left w:val="nil"/>
              <w:bottom w:val="nil"/>
              <w:right w:val="nil"/>
            </w:tcBorders>
            <w:vAlign w:val="center"/>
          </w:tcPr>
          <w:p w:rsidR="006F06C2" w:rsidRPr="008A2298" w:rsidRDefault="00B81B67" w:rsidP="00CF051B">
            <w:pPr>
              <w:pStyle w:val="EPName"/>
            </w:pPr>
            <w:r w:rsidRPr="008A2298">
              <w:t>Európai Parlament</w:t>
            </w:r>
          </w:p>
          <w:p w:rsidR="006F06C2" w:rsidRPr="008A2298" w:rsidRDefault="00B81B67" w:rsidP="00CF051B">
            <w:pPr>
              <w:pStyle w:val="EPTerm"/>
            </w:pPr>
            <w:r w:rsidRPr="008A2298">
              <w:t>2024-2029</w:t>
            </w:r>
          </w:p>
        </w:tc>
        <w:tc>
          <w:tcPr>
            <w:tcW w:w="2268" w:type="dxa"/>
            <w:tcBorders>
              <w:top w:val="nil"/>
              <w:left w:val="nil"/>
              <w:bottom w:val="nil"/>
              <w:right w:val="nil"/>
            </w:tcBorders>
          </w:tcPr>
          <w:p w:rsidR="006F06C2" w:rsidRPr="008A2298" w:rsidRDefault="00B81B67" w:rsidP="00CF051B">
            <w:pPr>
              <w:pStyle w:val="EPLogo"/>
            </w:pPr>
            <w:r w:rsidRPr="008A2298">
              <w:rPr>
                <w:noProof/>
                <w:lang w:eastAsia="en-GB"/>
              </w:rPr>
              <w:drawing>
                <wp:inline distT="0" distB="0" distL="0" distR="0">
                  <wp:extent cx="116205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6F06C2" w:rsidRPr="008A2298" w:rsidRDefault="00B81B67" w:rsidP="006F06C2">
      <w:pPr>
        <w:pStyle w:val="LineTop"/>
      </w:pPr>
      <w:r w:rsidRPr="008A2298">
        <w:t xml:space="preserve"> </w:t>
      </w:r>
    </w:p>
    <w:p w:rsidR="006F06C2" w:rsidRPr="008A2298" w:rsidRDefault="00B81B67" w:rsidP="006F06C2">
      <w:pPr>
        <w:pStyle w:val="EPBody"/>
      </w:pPr>
      <w:r w:rsidRPr="008A2298">
        <w:rPr>
          <w:rStyle w:val="HideTWBExt"/>
          <w:i w:val="0"/>
        </w:rPr>
        <w:t>&lt;Commission&gt;</w:t>
      </w:r>
      <w:r w:rsidRPr="008A2298">
        <w:rPr>
          <w:rStyle w:val="HideTWBInt"/>
          <w:i w:val="0"/>
          <w:color w:val="auto"/>
        </w:rPr>
        <w:t>{LIBE}</w:t>
      </w:r>
      <w:r w:rsidRPr="008A2298">
        <w:t>Állampolgári Jogi, Bel- és Igazságügyi Bizottság</w:t>
      </w:r>
      <w:r w:rsidRPr="008A2298">
        <w:rPr>
          <w:rStyle w:val="HideTWBExt"/>
          <w:i w:val="0"/>
        </w:rPr>
        <w:t>&lt;/Commission&gt;</w:t>
      </w:r>
    </w:p>
    <w:p w:rsidR="006F06C2" w:rsidRPr="008A2298" w:rsidRDefault="00B81B67" w:rsidP="006F06C2">
      <w:pPr>
        <w:pStyle w:val="LineBottom"/>
      </w:pPr>
      <w:r w:rsidRPr="008A2298">
        <w:t xml:space="preserve"> </w:t>
      </w:r>
    </w:p>
    <w:p w:rsidR="006F06C2" w:rsidRPr="008A2298" w:rsidRDefault="00B81B67" w:rsidP="006F06C2">
      <w:pPr>
        <w:pStyle w:val="CoverReference"/>
      </w:pPr>
      <w:r w:rsidRPr="008A2298">
        <w:rPr>
          <w:rStyle w:val="HideTWBExt"/>
          <w:b w:val="0"/>
        </w:rPr>
        <w:t>&lt;RefProc&gt;</w:t>
      </w:r>
      <w:r w:rsidRPr="008A2298">
        <w:t>2024/2078</w:t>
      </w:r>
      <w:r w:rsidRPr="008A2298">
        <w:rPr>
          <w:rStyle w:val="HideTWBExt"/>
          <w:b w:val="0"/>
        </w:rPr>
        <w:t>&lt;/RefProc&gt;&lt;RefTypeProc&gt;</w:t>
      </w:r>
      <w:r w:rsidRPr="008A2298">
        <w:t>(INI)</w:t>
      </w:r>
      <w:r w:rsidRPr="008A2298">
        <w:rPr>
          <w:rStyle w:val="HideTWBExt"/>
          <w:b w:val="0"/>
        </w:rPr>
        <w:t>&lt;/RefTypeProc&gt;</w:t>
      </w:r>
    </w:p>
    <w:p w:rsidR="006F06C2" w:rsidRPr="008A2298" w:rsidRDefault="00B81B67" w:rsidP="006F06C2">
      <w:pPr>
        <w:pStyle w:val="CoverDate"/>
      </w:pPr>
      <w:r w:rsidRPr="008A2298">
        <w:rPr>
          <w:rStyle w:val="HideTWBExt"/>
        </w:rPr>
        <w:t>&lt;Date&gt;</w:t>
      </w:r>
      <w:r w:rsidRPr="008A2298">
        <w:rPr>
          <w:rStyle w:val="HideTWBInt"/>
          <w:color w:val="auto"/>
        </w:rPr>
        <w:t>{19/02/2025}</w:t>
      </w:r>
      <w:r w:rsidRPr="008A2298">
        <w:t>19.2.2025</w:t>
      </w:r>
      <w:r w:rsidRPr="008A2298">
        <w:rPr>
          <w:rStyle w:val="HideTWBExt"/>
        </w:rPr>
        <w:t>&lt;/Date&gt;</w:t>
      </w:r>
    </w:p>
    <w:p w:rsidR="006F06C2" w:rsidRPr="008A2298" w:rsidRDefault="00B81B67" w:rsidP="006F06C2">
      <w:pPr>
        <w:pStyle w:val="CoverDocType"/>
      </w:pPr>
      <w:r w:rsidRPr="008A2298">
        <w:rPr>
          <w:rStyle w:val="HideTWBExt"/>
          <w:b w:val="0"/>
        </w:rPr>
        <w:t>&lt;TypeAM&gt;</w:t>
      </w:r>
      <w:r w:rsidRPr="008A2298">
        <w:t>MÓDOSÍTÁS:</w:t>
      </w:r>
      <w:r w:rsidRPr="008A2298">
        <w:rPr>
          <w:rStyle w:val="HideTWBExt"/>
          <w:b w:val="0"/>
        </w:rPr>
        <w:t>&lt;/TypeAM&gt;</w:t>
      </w:r>
    </w:p>
    <w:p w:rsidR="006F06C2" w:rsidRPr="008A2298" w:rsidRDefault="00B81B67" w:rsidP="006F06C2">
      <w:pPr>
        <w:pStyle w:val="CoverDocType24a"/>
      </w:pPr>
      <w:r w:rsidRPr="008A2298">
        <w:rPr>
          <w:rStyle w:val="HideTWBExt"/>
          <w:b w:val="0"/>
        </w:rPr>
        <w:t>&lt;RangeAM&gt;</w:t>
      </w:r>
      <w:r w:rsidRPr="008A2298">
        <w:t>1 - 366</w:t>
      </w:r>
      <w:r w:rsidRPr="008A2298">
        <w:rPr>
          <w:rStyle w:val="HideTWBExt"/>
          <w:b w:val="0"/>
        </w:rPr>
        <w:t>&lt;/RangeAM&gt;</w:t>
      </w:r>
    </w:p>
    <w:p w:rsidR="006F06C2" w:rsidRPr="008A2298" w:rsidRDefault="00B81B67" w:rsidP="006F06C2">
      <w:pPr>
        <w:pStyle w:val="CoverBold"/>
      </w:pPr>
      <w:r w:rsidRPr="008A2298">
        <w:rPr>
          <w:rStyle w:val="HideTWBExt"/>
          <w:b w:val="0"/>
        </w:rPr>
        <w:t>&lt;TitreType&gt;</w:t>
      </w:r>
      <w:r w:rsidRPr="008A2298">
        <w:t>Jelentéstervezet</w:t>
      </w:r>
      <w:r w:rsidRPr="008A2298">
        <w:rPr>
          <w:rStyle w:val="HideTWBExt"/>
          <w:b w:val="0"/>
        </w:rPr>
        <w:t>&lt;/TitreType&gt;</w:t>
      </w:r>
    </w:p>
    <w:p w:rsidR="006F06C2" w:rsidRPr="008A2298" w:rsidRDefault="00B81B67" w:rsidP="006F06C2">
      <w:pPr>
        <w:pStyle w:val="CoverBold"/>
      </w:pPr>
      <w:r w:rsidRPr="008A2298">
        <w:rPr>
          <w:rStyle w:val="HideTWBExt"/>
          <w:b w:val="0"/>
        </w:rPr>
        <w:t>&lt;Rapporteur&gt;</w:t>
      </w:r>
      <w:r w:rsidRPr="008A2298">
        <w:t>Ana Catarina Mendes</w:t>
      </w:r>
      <w:r w:rsidRPr="008A2298">
        <w:rPr>
          <w:rStyle w:val="HideTWBExt"/>
          <w:b w:val="0"/>
        </w:rPr>
        <w:t>&lt;/Rapporteur&gt;</w:t>
      </w:r>
    </w:p>
    <w:p w:rsidR="006F06C2" w:rsidRPr="008A2298" w:rsidRDefault="00B81B67" w:rsidP="006F06C2">
      <w:pPr>
        <w:pStyle w:val="CoverNormal24a"/>
      </w:pPr>
      <w:r w:rsidRPr="008A2298">
        <w:rPr>
          <w:rStyle w:val="HideTWBExt"/>
        </w:rPr>
        <w:t>&lt;DocRefPE&gt;</w:t>
      </w:r>
      <w:r w:rsidRPr="008A2298">
        <w:t>(PE767.867v01-00)</w:t>
      </w:r>
      <w:r w:rsidRPr="008A2298">
        <w:rPr>
          <w:rStyle w:val="HideTWBExt"/>
        </w:rPr>
        <w:t>&lt;/DocRefPE&gt;</w:t>
      </w:r>
    </w:p>
    <w:p w:rsidR="006F06C2" w:rsidRPr="008A2298" w:rsidRDefault="00B81B67" w:rsidP="006F06C2">
      <w:pPr>
        <w:pStyle w:val="CoverNormal"/>
      </w:pPr>
      <w:r w:rsidRPr="008A2298">
        <w:rPr>
          <w:rStyle w:val="HideTWBExt"/>
        </w:rPr>
        <w:t>&lt;Titre&gt;</w:t>
      </w:r>
      <w:r w:rsidRPr="008A2298">
        <w:t>A Bizottság 2024. évi jogállamisági jelentése</w:t>
      </w:r>
      <w:r w:rsidRPr="008A2298">
        <w:rPr>
          <w:rStyle w:val="HideTWBExt"/>
        </w:rPr>
        <w:t>&lt;/Titre&gt;</w:t>
      </w:r>
    </w:p>
    <w:p w:rsidR="006F06C2" w:rsidRPr="008A2298" w:rsidRDefault="00B81B67" w:rsidP="006F06C2">
      <w:pPr>
        <w:pStyle w:val="CoverNormal24a"/>
      </w:pPr>
      <w:r w:rsidRPr="008A2298">
        <w:rPr>
          <w:rStyle w:val="HideTWBExt"/>
        </w:rPr>
        <w:t>&lt;DocRef&gt;</w:t>
      </w:r>
      <w:r w:rsidRPr="008A2298">
        <w:t>(2024/2078(INI))</w:t>
      </w:r>
      <w:r w:rsidRPr="008A2298">
        <w:rPr>
          <w:rStyle w:val="HideTWBExt"/>
        </w:rPr>
        <w:t>&lt;/DocRef&gt;</w:t>
      </w:r>
    </w:p>
    <w:p w:rsidR="008A2298" w:rsidRPr="008A2298" w:rsidRDefault="00B81B67" w:rsidP="008A2298">
      <w:r w:rsidRPr="008A2298">
        <w:br w:type="page"/>
      </w:r>
      <w:r w:rsidR="008A2298" w:rsidRPr="008A2298">
        <w:lastRenderedPageBreak/>
        <w:t>AM_Com_NonLegReport</w:t>
      </w:r>
    </w:p>
    <w:p w:rsidR="00DD1D01" w:rsidRPr="008A2298" w:rsidRDefault="008A2298" w:rsidP="008A2298">
      <w:pPr>
        <w:pStyle w:val="AmNumberTabs"/>
      </w:pPr>
      <w:r w:rsidRPr="008A2298">
        <w:rPr>
          <w:color w:val="0000F0"/>
        </w:rPr>
        <w:br w:type="page"/>
      </w:r>
      <w:r w:rsidR="00B81B67" w:rsidRPr="008A2298">
        <w:rPr>
          <w:rStyle w:val="HideTWBExt"/>
          <w:b w:val="0"/>
        </w:rPr>
        <w:lastRenderedPageBreak/>
        <w:t>&lt;RepeatBlock-Amend&gt;&lt;Amend&gt;</w:t>
      </w:r>
      <w:r w:rsidR="00B81B67" w:rsidRPr="008A2298">
        <w:t>Módosítás</w:t>
      </w:r>
      <w:r w:rsidR="00B81B67" w:rsidRPr="008A2298">
        <w:tab/>
      </w:r>
      <w:r w:rsidR="00B81B67" w:rsidRPr="008A2298">
        <w:tab/>
      </w:r>
      <w:r w:rsidR="00B81B67" w:rsidRPr="008A2298">
        <w:rPr>
          <w:rStyle w:val="HideTWBExt"/>
          <w:b w:val="0"/>
        </w:rPr>
        <w:t>&lt;NumAm&gt;</w:t>
      </w:r>
      <w:r w:rsidR="00B81B67" w:rsidRPr="008A2298">
        <w:t>1</w:t>
      </w:r>
      <w:r w:rsidR="00B81B67"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w:t>
      </w:r>
      <w:r w:rsidRPr="008A2298">
        <w:rPr>
          <w:rStyle w:val="HideTWBExt"/>
          <w:b w:val="0"/>
        </w:rPr>
        <w:t>&gt;</w:t>
      </w:r>
    </w:p>
    <w:p w:rsidR="00DD1D01" w:rsidRPr="008A2298" w:rsidRDefault="00B81B67" w:rsidP="00DD1D01">
      <w:pPr>
        <w:pStyle w:val="NormalBold"/>
      </w:pPr>
      <w:r w:rsidRPr="008A2298">
        <w:rPr>
          <w:rStyle w:val="HideTWBExt"/>
          <w:b w:val="0"/>
        </w:rPr>
        <w:t>&lt;Article&gt;</w:t>
      </w:r>
      <w:r w:rsidRPr="008A2298">
        <w:t>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w:t>
            </w:r>
            <w:r w:rsidRPr="008A2298">
              <w:tab/>
              <w:t xml:space="preserve">tekintettel az Európai Unióról szóló szerződésre (EUSZ) és különösen annak </w:t>
            </w:r>
            <w:r w:rsidRPr="008A2298">
              <w:rPr>
                <w:b/>
                <w:i/>
              </w:rPr>
              <w:t xml:space="preserve">2. cikkére, 3. cikke (1) bekezdésére, 3. cikke (3) bekezdésének második albekezdésére, 4. cikkének (3) bekezdésére, valamint 5., 6., </w:t>
            </w:r>
            <w:r w:rsidRPr="008A2298">
              <w:t>7</w:t>
            </w:r>
            <w:r w:rsidRPr="008A2298">
              <w:rPr>
                <w:b/>
                <w:i/>
              </w:rPr>
              <w:t>., 11., 19. és 49</w:t>
            </w:r>
            <w:r w:rsidRPr="008A2298">
              <w:t>. cikkére,</w:t>
            </w:r>
          </w:p>
        </w:tc>
        <w:tc>
          <w:tcPr>
            <w:tcW w:w="4876" w:type="dxa"/>
            <w:tcBorders>
              <w:top w:val="nil"/>
              <w:left w:val="nil"/>
              <w:bottom w:val="nil"/>
              <w:right w:val="nil"/>
            </w:tcBorders>
          </w:tcPr>
          <w:p w:rsidR="00DD1D01" w:rsidRPr="008A2298" w:rsidRDefault="00B81B67" w:rsidP="00CF051B">
            <w:pPr>
              <w:pStyle w:val="Normal6a"/>
            </w:pPr>
            <w:r w:rsidRPr="008A2298">
              <w:t>–</w:t>
            </w:r>
            <w:r w:rsidRPr="008A2298">
              <w:tab/>
              <w:t>tekintettel az Európai Unióról szóló szerződésre (EUSZ)</w:t>
            </w:r>
            <w:r w:rsidRPr="008A2298">
              <w:rPr>
                <w:b/>
                <w:i/>
              </w:rPr>
              <w:t>,</w:t>
            </w:r>
            <w:r w:rsidRPr="008A2298">
              <w:t xml:space="preserve"> és különösen annak 7. cikkére,</w:t>
            </w:r>
          </w:p>
        </w:tc>
      </w:tr>
    </w:tbl>
    <w:p w:rsidR="00DD1D01" w:rsidRPr="008A2298" w:rsidRDefault="00B81B67" w:rsidP="00DD1D01">
      <w:pPr>
        <w:pStyle w:val="AmOrLang"/>
      </w:pPr>
      <w:r w:rsidRPr="008A2298">
        <w:t>Or.</w:t>
      </w:r>
      <w:r w:rsidRPr="008A2298">
        <w:t xml:space="preserve">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 xml:space="preserve">Állásfoglalásra irányuló </w:t>
      </w:r>
      <w:r w:rsidRPr="008A2298">
        <w:t>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tagállamok alkotmányaira, valamint a nemzeti politikai és kormányzati rendszerek sokféleségére;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Unió működéséről szóló szerződésre (EUMSZ) és különösen annak a demokrácia, a </w:t>
            </w:r>
            <w:r w:rsidRPr="008A2298">
              <w:rPr>
                <w:b/>
                <w:i/>
              </w:rPr>
              <w:lastRenderedPageBreak/>
              <w:t xml:space="preserve">jogállamiság és az alapvető jogok Unión belüli </w:t>
            </w:r>
            <w:r w:rsidRPr="008A2298">
              <w:rPr>
                <w:b/>
                <w:i/>
              </w:rPr>
              <w:t>tiszteletben tartásával, védelmével és előmozdításával kapcsolatos cikkeire, többek között a 70., 258., 259., 260., 263., 265. és 267. cikkre,</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w:t>
            </w:r>
            <w:r w:rsidRPr="008A2298">
              <w:tab/>
              <w:t xml:space="preserve">tekintettel az Európai Unió </w:t>
            </w:r>
            <w:r w:rsidRPr="008A2298">
              <w:t>működéséről szóló szerződésre (EUMSZ) és különösen annak a demokrácia, a jogállamiság és az alapvető jogok Unión belüli tiszteletben tartásával, védelmével és előmozdításával kapcsolatos cikkeire, többek között a 70., 258., 259., 260., 263., 265. és 267. c</w:t>
            </w:r>
            <w:r w:rsidRPr="008A2298">
              <w:t>ikkre,</w:t>
            </w:r>
          </w:p>
        </w:tc>
        <w:tc>
          <w:tcPr>
            <w:tcW w:w="4876" w:type="dxa"/>
            <w:tcBorders>
              <w:top w:val="nil"/>
              <w:left w:val="nil"/>
              <w:bottom w:val="nil"/>
              <w:right w:val="nil"/>
            </w:tcBorders>
          </w:tcPr>
          <w:p w:rsidR="00DD1D01" w:rsidRPr="008A2298" w:rsidRDefault="00B81B67" w:rsidP="00CF051B">
            <w:pPr>
              <w:pStyle w:val="Normal6a"/>
            </w:pPr>
            <w:r w:rsidRPr="008A2298">
              <w:t>–</w:t>
            </w:r>
            <w:r w:rsidRPr="008A2298">
              <w:tab/>
              <w:t xml:space="preserve">tekintettel az Európai Unió működéséről szóló szerződésre (EUMSZ) és különösen annak a demokrácia, a jogállamiság és az alapvető jogok Unión belüli tiszteletben tartásával, védelmével és előmozdításával kapcsolatos cikkeire, többek között a 70., </w:t>
            </w:r>
            <w:r w:rsidRPr="008A2298">
              <w:rPr>
                <w:b/>
                <w:i/>
              </w:rPr>
              <w:t>1</w:t>
            </w:r>
            <w:r w:rsidRPr="008A2298">
              <w:rPr>
                <w:b/>
                <w:i/>
              </w:rPr>
              <w:t xml:space="preserve">74., </w:t>
            </w:r>
            <w:r w:rsidRPr="008A2298">
              <w:t>258., 259., 260., 263., 265. és 267. cikkre,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Unió Alapjogi Chartájára (a továbbiakban: a Charta),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Brudziński, Jadwiga Wiśniewska, Maciej Wąsik, </w:t>
      </w:r>
      <w:r w:rsidRPr="008A2298">
        <w:lastRenderedPageBreak/>
        <w:t>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w:t>
      </w:r>
      <w:r w:rsidRPr="008A2298">
        <w:t>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Unió Bíróságának (EUB) ítélkezési gyakorlatára,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5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w:t>
            </w:r>
            <w:r w:rsidRPr="008A2298">
              <w:rPr>
                <w:b/>
                <w:i/>
              </w:rPr>
              <w:t>Unió általános költségvetésére alkalmazandó pénzügyi szabályokról szóló, 2024. szeptember 23-i (EU, Euratom) 2024/2509 európai parlamenti és tanácsi rendeletre (átdolgozás) (a továbbiakban: költségvetési rendelet) és különösen annak 6. cikkének (3) bekezdé</w:t>
            </w:r>
            <w:r w:rsidRPr="008A2298">
              <w:rPr>
                <w:b/>
                <w:i/>
              </w:rPr>
              <w:t>sére,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w:t>
      </w:r>
      <w:r w:rsidRPr="008A2298">
        <w:t xml:space="preserve">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w:t>
            </w:r>
            <w:r w:rsidRPr="008A2298">
              <w:tab/>
              <w:t>tekintettel az uniós költségvetés védelmét szolgáló általános feltételrendszerről szóló, 2020. december 16-i (EU, Euratom)</w:t>
            </w:r>
            <w:r w:rsidRPr="008A2298">
              <w:rPr>
                <w:b/>
                <w:i/>
              </w:rPr>
              <w:t xml:space="preserve"> </w:t>
            </w:r>
            <w:r w:rsidRPr="008A2298">
              <w:t xml:space="preserve">2020/2092 </w:t>
            </w:r>
            <w:r w:rsidRPr="008A2298">
              <w:t>európai parlamenti és tanácsi rendeletre</w:t>
            </w:r>
            <w:r w:rsidRPr="008A2298">
              <w:rPr>
                <w:b/>
                <w:i/>
              </w:rPr>
              <w:t xml:space="preserve"> (a </w:t>
            </w:r>
            <w:r w:rsidRPr="008A2298">
              <w:rPr>
                <w:b/>
                <w:i/>
              </w:rPr>
              <w:lastRenderedPageBreak/>
              <w:t>jogállamiságra vonatkozó feltételrendszerről szóló rendelet)</w:t>
            </w:r>
            <w:r w:rsidRPr="008A2298">
              <w:t>,</w:t>
            </w:r>
          </w:p>
        </w:tc>
        <w:tc>
          <w:tcPr>
            <w:tcW w:w="4876" w:type="dxa"/>
            <w:tcBorders>
              <w:top w:val="nil"/>
              <w:left w:val="nil"/>
              <w:bottom w:val="nil"/>
              <w:right w:val="nil"/>
            </w:tcBorders>
          </w:tcPr>
          <w:p w:rsidR="00DD1D01" w:rsidRPr="008A2298" w:rsidRDefault="00B81B67" w:rsidP="00CF051B">
            <w:pPr>
              <w:pStyle w:val="Normal6a"/>
            </w:pPr>
            <w:r w:rsidRPr="008A2298">
              <w:lastRenderedPageBreak/>
              <w:t>–</w:t>
            </w:r>
            <w:r w:rsidRPr="008A2298">
              <w:tab/>
              <w:t>tekintettel az uniós költségvetés védelmét szolgáló általános feltételrendszerről szóló, 2020. december 16-i (EU, Euratom)</w:t>
            </w:r>
            <w:r w:rsidRPr="008A2298">
              <w:rPr>
                <w:b/>
                <w:i/>
              </w:rPr>
              <w:t> </w:t>
            </w:r>
            <w:r w:rsidRPr="008A2298">
              <w:t>2020/2092 európai parlame</w:t>
            </w:r>
            <w:r w:rsidRPr="008A2298">
              <w:t>nti és tanácsi rendeletre,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vertAlign w:val="superscript"/>
              </w:rPr>
              <w:t>1</w:t>
            </w:r>
            <w:r w:rsidRPr="008A2298">
              <w:t xml:space="preserve"> HL L 433., 2020.12.22., 1. o., ELI: http://data.europa.eu/eli/reg/2020/2092/oj.</w:t>
            </w:r>
          </w:p>
        </w:tc>
        <w:tc>
          <w:tcPr>
            <w:tcW w:w="4876" w:type="dxa"/>
            <w:tcBorders>
              <w:top w:val="nil"/>
              <w:left w:val="nil"/>
              <w:bottom w:val="nil"/>
              <w:right w:val="nil"/>
            </w:tcBorders>
          </w:tcPr>
          <w:p w:rsidR="00DD1D01" w:rsidRPr="008A2298" w:rsidRDefault="00B81B67" w:rsidP="00CF051B">
            <w:pPr>
              <w:pStyle w:val="Normal6a"/>
            </w:pPr>
            <w:r w:rsidRPr="008A2298">
              <w:rPr>
                <w:vertAlign w:val="superscript"/>
              </w:rPr>
              <w:t>1</w:t>
            </w:r>
            <w:r w:rsidRPr="008A2298">
              <w:t xml:space="preserve"> HL L 433., 2020.12.22., 1. o., ELI: http://data.europa.eu/eli/reg/2020/2092/oj.</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w:t>
      </w:r>
      <w:r w:rsidRPr="008A2298">
        <w:rPr>
          <w:rStyle w:val="HideTWBExt"/>
          <w:b w:val="0"/>
        </w:rPr>
        <w:t>nd&gt;</w:t>
      </w:r>
    </w:p>
    <w:p w:rsidR="00DD1D01" w:rsidRPr="008A2298" w:rsidRDefault="00B81B67" w:rsidP="00DD1D01">
      <w:pPr>
        <w:pStyle w:val="NormalBold"/>
      </w:pPr>
      <w:r w:rsidRPr="008A2298">
        <w:rPr>
          <w:rStyle w:val="HideTWBExt"/>
          <w:b w:val="0"/>
        </w:rPr>
        <w:t>&lt;Article&gt;</w:t>
      </w:r>
      <w:r w:rsidRPr="008A2298">
        <w:t>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Regionális Fejlesztési Alapra, az Európai Szociális Alap Pluszra, a Kohéziós Alapra, az Igazságos Átmenet Alapra és az Európai Tengerügyi,</w:t>
            </w:r>
            <w:r w:rsidRPr="008A2298">
              <w:rPr>
                <w:b/>
                <w:i/>
              </w:rPr>
              <w:t xml:space="preserve">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w:t>
            </w:r>
            <w:r w:rsidRPr="008A2298">
              <w:rPr>
                <w:b/>
                <w:i/>
              </w:rPr>
              <w:t>nzügyi szabályok megállapításáról szóló, 2021. június 24-i (EU) 2021/1060 európai parlamenti és tanácsi rendeletre</w:t>
            </w:r>
            <w:r w:rsidRPr="008A2298">
              <w:rPr>
                <w:b/>
                <w:i/>
                <w:vertAlign w:val="superscript"/>
              </w:rPr>
              <w:t>2</w:t>
            </w:r>
            <w:r w:rsidRPr="008A2298">
              <w:rPr>
                <w:b/>
                <w:i/>
              </w:rPr>
              <w:t xml:space="preserve"> (a továbbiakban: a közös rendelkezésekről szóló rendelet),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w:t>
            </w:r>
            <w:r w:rsidRPr="008A2298">
              <w:rPr>
                <w:b/>
                <w:i/>
              </w:rPr>
              <w:t xml:space="preserve"> HL L 231., 2021.6.30., 159. o., ELI: </w:t>
            </w:r>
            <w:r w:rsidRPr="008A2298">
              <w:rPr>
                <w:b/>
                <w:i/>
              </w:rPr>
              <w:t>http://data.europa.eu/eli/reg/2021/1060/oj.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7 </w:t>
      </w:r>
      <w:r w:rsidRPr="008A2298">
        <w:t>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Regionális Fejlesztési Alapra, az Európai Szociális Alap Pluszra, a Kohéziós Alapra, az Igazságos Átmenet Alapra és az Európai Tengerügyi, Halászati és </w:t>
            </w:r>
            <w:r w:rsidRPr="008A2298">
              <w:rPr>
                <w:b/>
                <w:i/>
              </w:rPr>
              <w:t>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w:t>
            </w:r>
            <w:r w:rsidRPr="008A2298">
              <w:rPr>
                <w:b/>
                <w:i/>
              </w:rPr>
              <w:t>ok megállapításáról szóló, 2021. június 24-i (EU) 2021/1060 európai parlamenti és tanácsi rendeletre</w:t>
            </w:r>
            <w:r w:rsidRPr="008A2298">
              <w:rPr>
                <w:b/>
                <w:i/>
                <w:vertAlign w:val="superscript"/>
              </w:rPr>
              <w:t>2</w:t>
            </w:r>
            <w:r w:rsidRPr="008A2298">
              <w:rPr>
                <w:b/>
                <w:i/>
              </w:rPr>
              <w:t xml:space="preserve"> (a továbbiakban: a közös rendelkezésekről szóló rendelet),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w:t>
            </w:r>
            <w:r w:rsidRPr="008A2298">
              <w:rPr>
                <w:b/>
                <w:i/>
              </w:rPr>
              <w:t xml:space="preserve"> HL L 231., 2021.6.30., 159. o., ELI: </w:t>
            </w:r>
            <w:r w:rsidRPr="008A2298">
              <w:rPr>
                <w:b/>
                <w:i/>
              </w:rPr>
              <w:t>http://data.europa.eu/eli/reg/2021/1060/oj.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w:t>
      </w:r>
      <w:r w:rsidRPr="008A2298">
        <w:t>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w:t>
            </w:r>
            <w:r w:rsidRPr="008A2298">
              <w:tab/>
            </w:r>
            <w:r w:rsidRPr="008A2298">
              <w:t xml:space="preserve">tekintettel az Európai Regionális Fejlesztési Alapra, az Európai Szociális Alap Pluszra, a Kohéziós Alapra, az Igazságos Átmenet Alapra és az Európai Tengerügyi, Halászati és Akvakultúra-alapra vonatkozó közös rendelkezések, valamint az előbbiekre és a </w:t>
            </w:r>
            <w:r w:rsidRPr="008A2298">
              <w:rPr>
                <w:b/>
                <w:i/>
              </w:rPr>
              <w:t>Men</w:t>
            </w:r>
            <w:r w:rsidRPr="008A2298">
              <w:rPr>
                <w:b/>
                <w:i/>
              </w:rPr>
              <w:t xml:space="preserve">ekültügyi, Migrációs és Integrációs Alapra, a </w:t>
            </w:r>
            <w:r w:rsidRPr="008A2298">
              <w:t>Belső Biztonsági Alapra és a határigazgatás és a vízumpolitika pénzügyi támogatására szolgáló eszközre vonatkozó pénzügyi szabályok megállapításáról szóló, 2021. június 24-i (EU) 2021/1060 európai parlamenti és</w:t>
            </w:r>
            <w:r w:rsidRPr="008A2298">
              <w:t xml:space="preserve"> tanácsi rendeletre</w:t>
            </w:r>
            <w:r w:rsidRPr="008A2298">
              <w:rPr>
                <w:b/>
                <w:i/>
                <w:vertAlign w:val="superscript"/>
              </w:rPr>
              <w:t>2</w:t>
            </w:r>
            <w:r w:rsidRPr="008A2298">
              <w:t xml:space="preserve"> (a </w:t>
            </w:r>
            <w:r w:rsidRPr="008A2298">
              <w:lastRenderedPageBreak/>
              <w:t>továbbiakban: a közös rendelkezésekről szóló rendelet),</w:t>
            </w:r>
          </w:p>
        </w:tc>
        <w:tc>
          <w:tcPr>
            <w:tcW w:w="4876" w:type="dxa"/>
            <w:tcBorders>
              <w:top w:val="nil"/>
              <w:left w:val="nil"/>
              <w:bottom w:val="nil"/>
              <w:right w:val="nil"/>
            </w:tcBorders>
          </w:tcPr>
          <w:p w:rsidR="00DD1D01" w:rsidRPr="008A2298" w:rsidRDefault="00B81B67" w:rsidP="00CF051B">
            <w:pPr>
              <w:pStyle w:val="Normal6a"/>
            </w:pPr>
            <w:r w:rsidRPr="008A2298">
              <w:lastRenderedPageBreak/>
              <w:t>–</w:t>
            </w:r>
            <w:r w:rsidRPr="008A2298">
              <w:tab/>
              <w:t>tekintettel az Európai Regionális Fejlesztési Alapra, az Európai Szociális Alap Pluszra, a Kohéziós Alapra, az Igazságos Átmenet Alapra és az Európai Tengerügyi, Halászati és</w:t>
            </w:r>
            <w:r w:rsidRPr="008A2298">
              <w:t xml:space="preserve"> Akvakultúra-alapra vonatkozó közös rendelkezések, valamint az előbbiekre és a Belső Biztonsági Alapra és a határigazgatás és a vízumpolitika pénzügyi támogatására szolgáló eszközre vonatkozó pénzügyi szabályok megállapításáról szóló, 2021. június 24-i (EU</w:t>
            </w:r>
            <w:r w:rsidRPr="008A2298">
              <w:t xml:space="preserve">) 2021/1060 európai parlamenti és tanácsi rendeletre (a továbbiakban: a közös rendelkezésekről </w:t>
            </w:r>
            <w:r w:rsidRPr="008A2298">
              <w:lastRenderedPageBreak/>
              <w:t>szóló rendelet),</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_________________</w:t>
            </w:r>
          </w:p>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vertAlign w:val="superscript"/>
              </w:rPr>
              <w:t>2</w:t>
            </w:r>
            <w:r w:rsidRPr="008A2298">
              <w:t xml:space="preserve"> HL L 231., 2021.6.30., 159. o., ELI: http://data.europa.eu/eli/reg/2021/1060/oj.</w:t>
            </w:r>
          </w:p>
        </w:tc>
        <w:tc>
          <w:tcPr>
            <w:tcW w:w="4876" w:type="dxa"/>
            <w:tcBorders>
              <w:top w:val="nil"/>
              <w:left w:val="nil"/>
              <w:bottom w:val="nil"/>
              <w:right w:val="nil"/>
            </w:tcBorders>
          </w:tcPr>
          <w:p w:rsidR="00DD1D01" w:rsidRPr="008A2298" w:rsidRDefault="00B81B67" w:rsidP="00CF051B">
            <w:pPr>
              <w:pStyle w:val="Normal6a"/>
            </w:pPr>
            <w:r w:rsidRPr="008A2298">
              <w:rPr>
                <w:vertAlign w:val="superscript"/>
              </w:rPr>
              <w:t>2</w:t>
            </w:r>
            <w:r w:rsidRPr="008A2298">
              <w:t xml:space="preserve"> HL L 231., 2021.6.30., 159. o., ELI: http://data.europa.eu/eli/reg/2021/1060/oj.</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w:t>
      </w:r>
      <w:r w:rsidRPr="008A2298">
        <w:t>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Polgárok, egyenlőség, jogok és értékek </w:t>
            </w:r>
            <w:r w:rsidRPr="008A2298">
              <w:rPr>
                <w:b/>
                <w:i/>
              </w:rPr>
              <w:t>program létrehozásáról, valamint az 1381/2013/EU európai parlamenti és tanácsi rendelet és a 390/2014/EU tanácsi rendelet hatályon kívül helyezéséről szóló, 2021. április 28-i (EU) 2021/692 európai parlamenti és tanácsi rendeletre,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w:t>
            </w:r>
            <w:r w:rsidRPr="008A2298">
              <w:rPr>
                <w:b/>
                <w:i/>
              </w:rPr>
              <w:t xml:space="preserve"> HL L 156., 2021.5.5., 1. o., ELI: http://data.europa.eu/eli/reg/2021/692/oj.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Polgárok, egyenlőség, jogok és értékek program létrehozásáról, valamint az 1381/2013/EU európai </w:t>
            </w:r>
            <w:r w:rsidRPr="008A2298">
              <w:rPr>
                <w:b/>
                <w:i/>
              </w:rPr>
              <w:t xml:space="preserve">parlamenti és tanácsi rendelet és a 390/2014/EU tanácsi rendelet hatályon </w:t>
            </w:r>
            <w:r w:rsidRPr="008A2298">
              <w:rPr>
                <w:b/>
                <w:i/>
              </w:rPr>
              <w:lastRenderedPageBreak/>
              <w:t>kívül helyezéséről szóló, 2021. április 28-i (EU) 2021/692 európai parlamenti és tanácsi rendeletre</w:t>
            </w:r>
            <w:r w:rsidRPr="008A2298">
              <w:rPr>
                <w:b/>
                <w:i/>
                <w:vertAlign w:val="superscript"/>
              </w:rPr>
              <w:t>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w:t>
            </w:r>
            <w:r w:rsidRPr="008A2298">
              <w:rPr>
                <w:b/>
                <w:i/>
              </w:rPr>
              <w:t xml:space="preserve"> HL L 156., 2021.5.5., 1. o., ELI: </w:t>
            </w:r>
            <w:r w:rsidRPr="008A2298">
              <w:rPr>
                <w:b/>
                <w:i/>
              </w:rPr>
              <w:t>http://data.europa.eu/eli/reg/2021/692/oj.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w:t>
      </w:r>
      <w:r w:rsidRPr="008A2298">
        <w:rPr>
          <w:rStyle w:val="HideTWBExt"/>
          <w:b w:val="0"/>
        </w:rPr>
        <w:t>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8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Egyesült Nemzetek Közgyűlésének 1984. december 10-i, a kínzás és más </w:t>
            </w:r>
            <w:r w:rsidRPr="008A2298">
              <w:rPr>
                <w:b/>
                <w:i/>
              </w:rPr>
              <w:t>kegyetlen, embertelen és megalázó büntetések vagy bánásmódok elleni egyezményére és annak későbbi jegyzőkönyveire,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Emberi Jogok Egyetemes Nyilatkozatára,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lastRenderedPageBreak/>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w:t>
      </w:r>
      <w:r w:rsidRPr="008A2298">
        <w:rPr>
          <w:rStyle w:val="HideTWBExt"/>
          <w:b w:val="0"/>
        </w:rPr>
        <w:t>end&gt;</w:t>
      </w:r>
    </w:p>
    <w:p w:rsidR="00DD1D01" w:rsidRPr="008A2298" w:rsidRDefault="00B81B67" w:rsidP="00DD1D01">
      <w:pPr>
        <w:pStyle w:val="NormalBold"/>
      </w:pPr>
      <w:r w:rsidRPr="008A2298">
        <w:rPr>
          <w:rStyle w:val="HideTWBExt"/>
          <w:b w:val="0"/>
        </w:rPr>
        <w:t>&lt;Article&gt;</w:t>
      </w:r>
      <w:r w:rsidRPr="008A2298">
        <w:t>10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emberi jogok és az alapvető szabadságok védelmét szolgáló ENSZ-egyezményekre, az ENSZ egyetemes időszakos felülvizsgálatának ajánlásaira és </w:t>
            </w:r>
            <w:r w:rsidRPr="008A2298">
              <w:rPr>
                <w:b/>
                <w:i/>
              </w:rPr>
              <w:t>jelentéseire, valamint az ENSZ-egyezmények végrehajtását felügyelő testületek ítélkezési gyakorlatára és az Emberi Jogi Tanács különleges eljárásaira,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emberi jogok és az alapvető</w:t>
            </w:r>
            <w:r w:rsidRPr="008A2298">
              <w:rPr>
                <w:b/>
                <w:i/>
              </w:rPr>
              <w:t xml:space="preserve"> szabadságok védelmét szolgáló ENSZ-egyezményekre, az ENSZ egyetemes időszakos felülvizsgálatának ajánlásaira és jelentéseire, valamint az ENSZ-egyezmények végrehajtását felügyelő testületek ítélkezési gyakorlatára és az Emberi Jogi Tanács különleges eljár</w:t>
            </w:r>
            <w:r w:rsidRPr="008A2298">
              <w:rPr>
                <w:b/>
                <w:i/>
              </w:rPr>
              <w:t>ásaira,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Loránt Vincze</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lastRenderedPageBreak/>
              <w:t>–</w:t>
            </w:r>
            <w:r w:rsidRPr="008A2298">
              <w:tab/>
              <w:t xml:space="preserve">tekintettel az emberi jogok és az alapvető szabadságok védelmét szolgáló ENSZ-egyezményekre, az ENSZ egyetemes időszakos felülvizsgálatának ajánlásaira és jelentéseire, valamint az </w:t>
            </w:r>
            <w:r w:rsidRPr="008A2298">
              <w:t>ENSZ-egyezmények végrehajtását felügyelő testületek ítélkezési gyakorlatára és az Emberi Jogi Tanács különleges eljárásaira,</w:t>
            </w:r>
          </w:p>
        </w:tc>
        <w:tc>
          <w:tcPr>
            <w:tcW w:w="4876" w:type="dxa"/>
            <w:tcBorders>
              <w:top w:val="nil"/>
              <w:left w:val="nil"/>
              <w:bottom w:val="nil"/>
              <w:right w:val="nil"/>
            </w:tcBorders>
          </w:tcPr>
          <w:p w:rsidR="00DD1D01" w:rsidRPr="008A2298" w:rsidRDefault="00B81B67" w:rsidP="00CF051B">
            <w:pPr>
              <w:pStyle w:val="Normal6a"/>
            </w:pPr>
            <w:r w:rsidRPr="008A2298">
              <w:t>–</w:t>
            </w:r>
            <w:r w:rsidRPr="008A2298">
              <w:tab/>
              <w:t xml:space="preserve">tekintettel az emberi jogok és az alapvető szabadságok védelmét szolgáló ENSZ-egyezményekre, </w:t>
            </w:r>
            <w:r w:rsidRPr="008A2298">
              <w:rPr>
                <w:b/>
                <w:i/>
              </w:rPr>
              <w:t xml:space="preserve">különösen az Emberi Jogok Egyetemes </w:t>
            </w:r>
            <w:r w:rsidRPr="008A2298">
              <w:rPr>
                <w:b/>
                <w:i/>
              </w:rPr>
              <w:t xml:space="preserve">Nyilatkozatára, a Polgári és Politikai Jogok Nemzetközi Egyezségokmányára, a faji megkülönböztetés valamennyi formájának kiküszöböléséről szóló egyezményre, a nőkkel szemben alkalmazott hátrányos megkülönböztetések minden formájának kiküszöböléséről szóló </w:t>
            </w:r>
            <w:r w:rsidRPr="008A2298">
              <w:rPr>
                <w:b/>
                <w:i/>
              </w:rPr>
              <w:t>egyezményre és a fogyatékossággal élő személyek jogairól szóló egyezményre, a nemzeti, etnikai, vallási és nyelvi kisebbségekhez tartozó személyek jogairól szóló nyilatkozatára, valamint a kisebbségi ügyekkel foglalkozó ENSZ-fórum ajánlásaira,</w:t>
            </w:r>
            <w:r w:rsidRPr="008A2298">
              <w:t xml:space="preserve"> </w:t>
            </w:r>
            <w:r w:rsidRPr="008A2298">
              <w:rPr>
                <w:b/>
                <w:i/>
              </w:rPr>
              <w:t xml:space="preserve">és </w:t>
            </w:r>
            <w:r w:rsidRPr="008A2298">
              <w:t>az ENSZ e</w:t>
            </w:r>
            <w:r w:rsidRPr="008A2298">
              <w:t>gyetemes időszakos felülvizsgálatának ajánlásaira és jelentéseire, valamint az ENSZ-egyezmények végrehajtását felügyelő testületek ítélkezési gyakorlatára és az Emberi Jogi Tanács különleges eljárásaira,</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11 bevezető hi</w:t>
      </w:r>
      <w:r w:rsidRPr="008A2298">
        <w:t>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emberi jogok európai egyezményére, az Európai Szociális Chartára, az Emberi Jogok Európai Bíróságának és a Szociális Jogok Európai Bizottságának ítélkezési gyakorlatára, az</w:t>
            </w:r>
            <w:r w:rsidRPr="008A2298">
              <w:rPr>
                <w:b/>
                <w:i/>
              </w:rPr>
              <w:t xml:space="preserve"> Európa Tanács Parlamenti Közgyűlésének, Miniszteri Bizottságának, emberi jogi biztosának, Rasszizmus és Intolerancia Elleni Európai Bizottságának, megkülönböztetésmentességgel, sokféleséggel és befogadással foglalkozó irányító bizottságának, Velencei </w:t>
            </w:r>
            <w:r w:rsidRPr="008A2298">
              <w:rPr>
                <w:b/>
                <w:i/>
              </w:rPr>
              <w:lastRenderedPageBreak/>
              <w:t>Bizo</w:t>
            </w:r>
            <w:r w:rsidRPr="008A2298">
              <w:rPr>
                <w:b/>
                <w:i/>
              </w:rPr>
              <w:t>ttságának és más szerveinek egyezményeire, ajánlásaira, határozataira, véleményeire és jelentéseire,</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emberi jogok európai egyezményére, az Európai Szociális Chartára, az Emberi Jogok Európai </w:t>
            </w:r>
            <w:r w:rsidRPr="008A2298">
              <w:rPr>
                <w:b/>
                <w:i/>
              </w:rPr>
              <w:t>Bíróságának és a Szociális Jogok Európai Bizottságának ítélkezési gyakorlatára, az Európa Tanács Parlamenti Közgyűlésének, Miniszteri Bizottságának, emberi jogi biztosának, Rasszizmus és Intolerancia Elleni Európai Bizottságának, megkülönböztetésmentességg</w:t>
            </w:r>
            <w:r w:rsidRPr="008A2298">
              <w:rPr>
                <w:b/>
                <w:i/>
              </w:rPr>
              <w:t>el, sokféleséggel és befogadással foglalkozó irányító bizottságának, Velencei Bizottságának és más szerveinek egyezményeire, ajánlásaira, határozataira, véleményeire és jelentéseire,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w:t>
            </w:r>
            <w:r w:rsidRPr="008A2298">
              <w:tab/>
              <w:t xml:space="preserve">tekintettel az emberi </w:t>
            </w:r>
            <w:r w:rsidRPr="008A2298">
              <w:t xml:space="preserve">jogok európai egyezményére, az Európai Szociális Chartára, az Emberi Jogok Európai Bíróságának és a Szociális Jogok Európai Bizottságának ítélkezési gyakorlatára, az </w:t>
            </w:r>
            <w:r w:rsidRPr="008A2298">
              <w:lastRenderedPageBreak/>
              <w:t xml:space="preserve">Európa Tanács Parlamenti Közgyűlésének, Miniszteri Bizottságának, emberi jogi biztosának, </w:t>
            </w:r>
            <w:r w:rsidRPr="008A2298">
              <w:t>Rasszizmus és Intolerancia Elleni Európai Bizottságának, megkülönböztetésmentességgel, sokféleséggel és befogadással foglalkozó irányító bizottságának, Velencei Bizottságának és más szerveinek egyezményeire, ajánlásaira, határozataira, véleményeire és jele</w:t>
            </w:r>
            <w:r w:rsidRPr="008A2298">
              <w:t>ntéseire,</w:t>
            </w:r>
          </w:p>
        </w:tc>
        <w:tc>
          <w:tcPr>
            <w:tcW w:w="4876" w:type="dxa"/>
            <w:tcBorders>
              <w:top w:val="nil"/>
              <w:left w:val="nil"/>
              <w:bottom w:val="nil"/>
              <w:right w:val="nil"/>
            </w:tcBorders>
          </w:tcPr>
          <w:p w:rsidR="00DD1D01" w:rsidRPr="008A2298" w:rsidRDefault="00B81B67" w:rsidP="00CF051B">
            <w:pPr>
              <w:pStyle w:val="Normal6a"/>
            </w:pPr>
            <w:r w:rsidRPr="008A2298">
              <w:lastRenderedPageBreak/>
              <w:t>–</w:t>
            </w:r>
            <w:r w:rsidRPr="008A2298">
              <w:tab/>
              <w:t xml:space="preserve">tekintettel az emberi jogok európai egyezményére, az Európai Szociális Chartára, az Emberi Jogok Európai Bíróságának </w:t>
            </w:r>
            <w:r w:rsidRPr="008A2298">
              <w:rPr>
                <w:b/>
                <w:i/>
              </w:rPr>
              <w:t xml:space="preserve">(EJEB) </w:t>
            </w:r>
            <w:r w:rsidRPr="008A2298">
              <w:t xml:space="preserve">és a Szociális Jogok Európai Bizottságának ítélkezési </w:t>
            </w:r>
            <w:r w:rsidRPr="008A2298">
              <w:lastRenderedPageBreak/>
              <w:t>gyakorlatára, az Európa Tanács Parlamenti Közgyűlésének, Miniszter</w:t>
            </w:r>
            <w:r w:rsidRPr="008A2298">
              <w:t>i Bizottságának, emberi jogi biztosának, Rasszizmus és Intolerancia Elleni Európai Bizottságának, megkülönböztetésmentességgel, sokféleséggel és befogadással foglalkozó irányító bizottságának, Velencei Bizottságának és más szerveinek egyezményeire, ajánlás</w:t>
            </w:r>
            <w:r w:rsidRPr="008A2298">
              <w:t>aira, határozataira, véleményeire és jelentéseire,</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Paolo Inselvini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 Tanács nőkkel szembeni erőszak és a párkapcsolati erőszak elleni küzdelemről és azok megelőzéséről szóló egyezményére,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 Tanács nőkkel szembeni erőszak és a párkapcsolati erőszak elleni küzdelemről és azok megelőzéséről szóló egyezményére,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 Tanács nőkkel </w:t>
            </w:r>
            <w:r w:rsidRPr="008A2298">
              <w:rPr>
                <w:b/>
                <w:i/>
              </w:rPr>
              <w:t>szembeni erőszak és a párkapcsolati erőszak elleni küzdelemről és azok megelőzéséről szóló egyezményére,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w:t>
      </w:r>
      <w:r w:rsidRPr="008A2298">
        <w:t>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w:t>
            </w:r>
            <w:r w:rsidRPr="008A2298">
              <w:rPr>
                <w:b/>
                <w:i/>
              </w:rPr>
              <w:t xml:space="preserve"> Tanács nőkkel szembeni erőszak és a párkapcsolati erőszak elleni küzdelemről és azok megelőzéséről szóló egyezményére,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Loránt Vincze</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12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Regionális vagy Kisebbségi Nyelvek Európai Kartájára és az Európa </w:t>
            </w:r>
            <w:r w:rsidRPr="008A2298">
              <w:rPr>
                <w:b/>
                <w:i/>
              </w:rPr>
              <w:t>Tanács nemzeti kisebbségek védelméről szóló keretegyezményére,</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 Tanács és az Európai Unió közötti 2007. május 23-i egyetértési megállapodásra és az EU-nak az Európa Tanáccsal folytatott </w:t>
            </w:r>
            <w:r w:rsidRPr="008A2298">
              <w:rPr>
                <w:b/>
                <w:i/>
              </w:rPr>
              <w:t>együttműködésre vonatkozó prioritásairól (2023–2024) szóló 2023. január 30-i tanácsi következtetésekre,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w:t>
      </w:r>
      <w:r w:rsidRPr="008A2298">
        <w:t>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w:t>
            </w:r>
            <w:r w:rsidRPr="008A2298">
              <w:rPr>
                <w:b/>
                <w:i/>
              </w:rPr>
              <w:t xml:space="preserve"> Tanács és az Európai Unió közötti 2007. május 23-i egyetértési megállapodásra és az EU-nak az Európa Tanáccsal folytatott együttműködésre vonatkozó prioritásairól (2023–2024) szóló 2023. január 30-i tanácsi következtetésekre,</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lastRenderedPageBreak/>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w:t>
            </w:r>
            <w:r w:rsidRPr="008A2298">
              <w:tab/>
              <w:t>tekintettel az Európa Tanács és az Európai Unió közötti 2007. május 23-i egyetértési megállapodásra és az EU-nak az Európa Tanáccsal folytatott együttműködésre vonatkozó prioritásairól (</w:t>
            </w:r>
            <w:r w:rsidRPr="008A2298">
              <w:rPr>
                <w:b/>
                <w:i/>
              </w:rPr>
              <w:t>2023</w:t>
            </w:r>
            <w:r w:rsidRPr="008A2298">
              <w:t>–</w:t>
            </w:r>
            <w:r w:rsidRPr="008A2298">
              <w:rPr>
                <w:b/>
                <w:i/>
              </w:rPr>
              <w:t>2024</w:t>
            </w:r>
            <w:r w:rsidRPr="008A2298">
              <w:t xml:space="preserve">) szóló </w:t>
            </w:r>
            <w:r w:rsidRPr="008A2298">
              <w:rPr>
                <w:b/>
                <w:i/>
              </w:rPr>
              <w:t>2023</w:t>
            </w:r>
            <w:r w:rsidRPr="008A2298">
              <w:t xml:space="preserve">. </w:t>
            </w:r>
            <w:r w:rsidRPr="008A2298">
              <w:rPr>
                <w:b/>
                <w:i/>
              </w:rPr>
              <w:t>január 30</w:t>
            </w:r>
            <w:r w:rsidRPr="008A2298">
              <w:t>-i tanácsi köve</w:t>
            </w:r>
            <w:r w:rsidRPr="008A2298">
              <w:t>tkeztetésekre,</w:t>
            </w:r>
          </w:p>
        </w:tc>
        <w:tc>
          <w:tcPr>
            <w:tcW w:w="4876" w:type="dxa"/>
            <w:tcBorders>
              <w:top w:val="nil"/>
              <w:left w:val="nil"/>
              <w:bottom w:val="nil"/>
              <w:right w:val="nil"/>
            </w:tcBorders>
          </w:tcPr>
          <w:p w:rsidR="00DD1D01" w:rsidRPr="008A2298" w:rsidRDefault="00B81B67" w:rsidP="00CF051B">
            <w:pPr>
              <w:pStyle w:val="Normal6a"/>
            </w:pPr>
            <w:r w:rsidRPr="008A2298">
              <w:t>–</w:t>
            </w:r>
            <w:r w:rsidRPr="008A2298">
              <w:tab/>
              <w:t>tekintettel az Európa Tanács és az Európai Unió közötti 2007. május 23-i egyetértési megállapodásra és az EU-nak az Európa Tanáccsal folytatott együttműködésre vonatkozó prioritásairól (</w:t>
            </w:r>
            <w:r w:rsidRPr="008A2298">
              <w:rPr>
                <w:b/>
                <w:i/>
              </w:rPr>
              <w:t>2025</w:t>
            </w:r>
            <w:r w:rsidRPr="008A2298">
              <w:t>–</w:t>
            </w:r>
            <w:r w:rsidRPr="008A2298">
              <w:rPr>
                <w:b/>
                <w:i/>
              </w:rPr>
              <w:t>2026</w:t>
            </w:r>
            <w:r w:rsidRPr="008A2298">
              <w:t xml:space="preserve">) szóló </w:t>
            </w:r>
            <w:r w:rsidRPr="008A2298">
              <w:rPr>
                <w:b/>
                <w:i/>
              </w:rPr>
              <w:t>2024</w:t>
            </w:r>
            <w:r w:rsidRPr="008A2298">
              <w:t xml:space="preserve">. </w:t>
            </w:r>
            <w:r w:rsidRPr="008A2298">
              <w:rPr>
                <w:b/>
                <w:i/>
              </w:rPr>
              <w:t>december 17</w:t>
            </w:r>
            <w:r w:rsidRPr="008A2298">
              <w:t xml:space="preserve">-i tanácsi </w:t>
            </w:r>
            <w:r w:rsidRPr="008A2298">
              <w:t>következtetésekre,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Bizottságnak az EUSZ 7. cikke (1) bekezdésének megfelelően kiadott, a jogállamiság Lengyel Köztársaság </w:t>
            </w:r>
            <w:r w:rsidRPr="008A2298">
              <w:rPr>
                <w:b/>
                <w:i/>
              </w:rPr>
              <w:t>általi súlyos megsértése egyértelmű veszélyének megállapításáról szóló tanácsi határozatra irányuló, 2017. december 20-i, indokolással ellátott javaslatára (COM(2017)0835),</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Bizottságnak az </w:t>
            </w:r>
            <w:r w:rsidRPr="008A2298">
              <w:rPr>
                <w:b/>
                <w:i/>
              </w:rPr>
              <w:t xml:space="preserve">EUSZ 7. cikke (1) bekezdésének megfelelően kiadott, a jogállamiság Lengyel Köztársaság általi súlyos megsértése egyértelmű veszélyének megállapításáról szóló tanácsi határozatra irányuló, 2017. </w:t>
            </w:r>
            <w:r w:rsidRPr="008A2298">
              <w:rPr>
                <w:b/>
                <w:i/>
              </w:rPr>
              <w:lastRenderedPageBreak/>
              <w:t>december 20-i, indokolással ellátott javaslatára (COM(2017)083</w:t>
            </w:r>
            <w:r w:rsidRPr="008A2298">
              <w:rPr>
                <w:b/>
                <w:i/>
              </w:rPr>
              <w:t>5),</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Bizottságnak az EUSZ 7. cikke (1) bekezdésének megfelelően kiadott, a jogállamiság Lengyel Köztársaság általi súlyos megsértése egyértelmű veszélyének megállapításáról szóló tanácsi határozatra</w:t>
            </w:r>
            <w:r w:rsidRPr="008A2298">
              <w:rPr>
                <w:b/>
                <w:i/>
              </w:rPr>
              <w:t xml:space="preserve"> irányuló, 2017. december 20-i, indokolással ellátott javaslatára (COM(2017)0835),</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Michał Wawrykiewicz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Bizottságnak az EUSZ 7. cikke (1) bekezdésének megfelelően kiadott, a jogállamiság Lengyel Köztársaság </w:t>
            </w:r>
            <w:r w:rsidRPr="008A2298">
              <w:rPr>
                <w:b/>
                <w:i/>
              </w:rPr>
              <w:t>általi súlyos megsértése egyértelmű veszélyének megállapításáról szóló tanácsi határozatra irányuló, 2017. december 20-i, indokolással ellátott javaslatára (COM(2017)0835),</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demokráciával, a jogállamisággal és az alapvető jogokkal foglalkozó uniós mechanizmus létrehozásáról szóló, a Bizottságnak szóló ajánlásokat tartalmazó 2016. október 25-i állásfoglalására</w:t>
            </w:r>
            <w:r w:rsidRPr="008A2298">
              <w:rPr>
                <w:b/>
                <w:i/>
                <w:vertAlign w:val="superscript"/>
              </w:rPr>
              <w:t>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w:t>
            </w:r>
            <w:r w:rsidRPr="008A2298">
              <w:rPr>
                <w:b/>
                <w:i/>
              </w:rPr>
              <w:t>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4</w:t>
            </w:r>
            <w:r w:rsidRPr="008A2298">
              <w:rPr>
                <w:b/>
                <w:i/>
              </w:rPr>
              <w:t xml:space="preserve"> HL C 215., 2018.6.19., 162.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demokráciával, a jogállamisággal és az alapvető jogokkal foglalkozó uniós mechanizmus létrehozásáról szóló, a Bizottságnak szóló </w:t>
            </w:r>
            <w:r w:rsidRPr="008A2298">
              <w:rPr>
                <w:b/>
                <w:i/>
              </w:rPr>
              <w:t>ajánlásokat tartalmazó 2016. október 25-i állásfoglalására</w:t>
            </w:r>
            <w:r w:rsidRPr="008A2298">
              <w:rPr>
                <w:b/>
                <w:i/>
                <w:vertAlign w:val="superscript"/>
              </w:rPr>
              <w:t>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4</w:t>
            </w:r>
            <w:r w:rsidRPr="008A2298">
              <w:rPr>
                <w:b/>
                <w:i/>
              </w:rPr>
              <w:t xml:space="preserve"> HL C 215., 2018.6.19., 162.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lastRenderedPageBreak/>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Lengyelországban fennálló helyzetre vonatkozóan az EUSZ 7. cikke </w:t>
            </w:r>
            <w:r w:rsidRPr="008A2298">
              <w:rPr>
                <w:b/>
                <w:i/>
              </w:rPr>
              <w:t>(1) bekezdésének alkalmazásáról szóló bizottsági határozatról szóló, 2018. március 1-i állásfoglalására</w:t>
            </w:r>
            <w:r w:rsidRPr="008A2298">
              <w:rPr>
                <w:b/>
                <w:i/>
                <w:vertAlign w:val="superscript"/>
              </w:rPr>
              <w:t>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5</w:t>
            </w:r>
            <w:r w:rsidRPr="008A2298">
              <w:rPr>
                <w:b/>
                <w:i/>
              </w:rPr>
              <w:t xml:space="preserve"> HL C 129., 2019.4.5., 13.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Lengyelországban fennálló </w:t>
            </w:r>
            <w:r w:rsidRPr="008A2298">
              <w:rPr>
                <w:b/>
                <w:i/>
              </w:rPr>
              <w:t>helyzetre vonatkozóan az EUSZ 7. cikke (1) bekezdésének alkalmazásáról szóló bizottsági határozatról szóló, 2018. március 1-i állásfoglalására</w:t>
            </w:r>
            <w:r w:rsidRPr="008A2298">
              <w:rPr>
                <w:b/>
                <w:i/>
                <w:vertAlign w:val="superscript"/>
              </w:rPr>
              <w:t>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5</w:t>
            </w:r>
            <w:r w:rsidRPr="008A2298">
              <w:rPr>
                <w:b/>
                <w:i/>
              </w:rPr>
              <w:t xml:space="preserve"> HL C 129., 2019.4.5., 13.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Michał Wawrykiewicz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Lengyelországban fennálló helyzetre vonatkozóan az EUSZ 7. cikke (1) bekezdésének alkalmazásáról szóló bizottsági határozatról szóló, 2018. március 1-i állásfoglalására</w:t>
            </w:r>
            <w:r w:rsidRPr="008A2298">
              <w:rPr>
                <w:b/>
                <w:i/>
                <w:vertAlign w:val="superscript"/>
              </w:rPr>
              <w:t>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lastRenderedPageBreak/>
              <w:t>5</w:t>
            </w:r>
            <w:r w:rsidRPr="008A2298">
              <w:rPr>
                <w:b/>
                <w:i/>
              </w:rPr>
              <w:t xml:space="preserve"> HL C 129., 2019.4.5., 13.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Mary Khan, Milan Uhrík, Ewa Zajączkowska-Hernik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16 bevezető </w:t>
      </w:r>
      <w:r w:rsidRPr="008A2298">
        <w:t>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Lengyelországban fennálló helyzetre vonatkozóan az EUSZ 7. cikke (1) bekezdésének alkalmazásáról szóló bizottsági határozatról szóló, 2018. március 1-i állásfoglalására</w:t>
            </w:r>
            <w:r w:rsidRPr="008A2298">
              <w:rPr>
                <w:b/>
                <w:i/>
                <w:vertAlign w:val="superscript"/>
              </w:rPr>
              <w:t>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5</w:t>
            </w:r>
            <w:r w:rsidRPr="008A2298">
              <w:rPr>
                <w:b/>
                <w:i/>
              </w:rPr>
              <w:t xml:space="preserve"> HL C 129., 2019.4.5., 13.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Brudziński, Jadwiga Wiśniewska, Maciej Wąsik, Jacek </w:t>
      </w:r>
      <w:r w:rsidRPr="008A2298">
        <w:t>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Lengyelországban fennálló helyzetre vonatkozóan az EUSZ </w:t>
            </w:r>
            <w:r w:rsidRPr="008A2298">
              <w:rPr>
                <w:b/>
                <w:i/>
              </w:rPr>
              <w:t>7. cikke (1) bekezdésének alkalmazásáról szóló bizottsági határozatról szóló, 2018. március 1-i állásfoglalására</w:t>
            </w:r>
            <w:r w:rsidRPr="008A2298">
              <w:rPr>
                <w:b/>
                <w:i/>
                <w:vertAlign w:val="superscript"/>
              </w:rPr>
              <w:t>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5</w:t>
            </w:r>
            <w:r w:rsidRPr="008A2298">
              <w:rPr>
                <w:b/>
                <w:i/>
              </w:rPr>
              <w:t xml:space="preserve"> HL C 129., 2019.4.5., 13.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41</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Michał Wawrykiewicz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16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w:t>
            </w:r>
            <w:r w:rsidRPr="008A2298">
              <w:rPr>
                <w:b/>
                <w:i/>
              </w:rPr>
              <w:t>Lengyelországgal szemben a 7. cikk szerint indított eljárás lezárására – amelyet az Európai Bizottság 2024. május 29-én jelentett be –, miután Lengyelország lépéseket tett az uniós jogállamisági normáknak való megfelelés helyreállítása érdekében,</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Loránt Vincze</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16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uniós tagállamokban élő kisebbségek védelméről és megkülönböztetésmentességéről szóló, 2018. február 7-i állásfoglalására, </w:t>
            </w:r>
            <w:r w:rsidRPr="008A2298">
              <w:rPr>
                <w:b/>
                <w:i/>
                <w:vertAlign w:val="superscript"/>
              </w:rPr>
              <w:t>5a</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5a</w:t>
            </w:r>
            <w:r w:rsidRPr="008A2298">
              <w:rPr>
                <w:b/>
                <w:i/>
              </w:rPr>
              <w:t xml:space="preserve"> HL C 463., 2018.12.21., 21. o.</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 xml:space="preserve">Állásfoglalásra irányuló </w:t>
      </w:r>
      <w:r w:rsidRPr="008A2298">
        <w:t>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Értékek Eszköze létrehozásának szükségességéről az olyan civil társadalmi szervezetek </w:t>
            </w:r>
            <w:r w:rsidRPr="008A2298">
              <w:rPr>
                <w:b/>
                <w:i/>
              </w:rPr>
              <w:lastRenderedPageBreak/>
              <w:t xml:space="preserve">támogatására, amelyek az Európai </w:t>
            </w:r>
            <w:r w:rsidRPr="008A2298">
              <w:rPr>
                <w:b/>
                <w:i/>
              </w:rPr>
              <w:t>Unióban helyi és nemzeti szinten előmozdítják az alapvető értékeket” című, 2018. április 19-i állásfoglalására</w:t>
            </w:r>
            <w:r w:rsidRPr="008A2298">
              <w:rPr>
                <w:b/>
                <w:i/>
                <w:vertAlign w:val="superscript"/>
              </w:rPr>
              <w:t>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6</w:t>
            </w:r>
            <w:r w:rsidRPr="008A2298">
              <w:rPr>
                <w:b/>
                <w:i/>
              </w:rPr>
              <w:t xml:space="preserve"> HL C 390., 2019.11.18., 117.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Értékek Eszköze </w:t>
            </w:r>
            <w:r w:rsidRPr="008A2298">
              <w:rPr>
                <w:b/>
                <w:i/>
              </w:rPr>
              <w:t>létrehozásának szükségességéről az olyan civil társadalmi szervezetek támogatására, amelyek az Európai Unióban helyi és nemzeti szinten előmozdítják az alapvető értékeket” című, 2018. április 19-i állásfoglalására</w:t>
            </w:r>
            <w:r w:rsidRPr="008A2298">
              <w:rPr>
                <w:b/>
                <w:i/>
                <w:vertAlign w:val="superscript"/>
              </w:rPr>
              <w:t>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6</w:t>
            </w:r>
            <w:r w:rsidRPr="008A2298">
              <w:rPr>
                <w:b/>
                <w:i/>
              </w:rPr>
              <w:t xml:space="preserve"> HL C 390., 2019.11.18., 117.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17 bevezető </w:t>
      </w:r>
      <w:r w:rsidRPr="008A2298">
        <w:t>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Értékek Eszköze létrehozásának szükségességéről az olyan civil társadalmi szervezetek támogatására, amelyek az Európai Unióban helyi és nemzeti szinten </w:t>
            </w:r>
            <w:r w:rsidRPr="008A2298">
              <w:rPr>
                <w:b/>
                <w:i/>
              </w:rPr>
              <w:t>előmozdítják az alapvető értékeket” című, 2018. április 19-i állásfoglalására</w:t>
            </w:r>
            <w:r w:rsidRPr="008A2298">
              <w:rPr>
                <w:b/>
                <w:i/>
                <w:vertAlign w:val="superscript"/>
              </w:rPr>
              <w:t>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6</w:t>
            </w:r>
            <w:r w:rsidRPr="008A2298">
              <w:rPr>
                <w:b/>
                <w:i/>
              </w:rPr>
              <w:t xml:space="preserve"> HL C 390., 2019.11.18., 117.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Mary </w:t>
      </w:r>
      <w:r w:rsidRPr="008A2298">
        <w:t>Khan, Milan Uhrík, Ewa Zajączkowska-Hernik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Értékek </w:t>
            </w:r>
            <w:r w:rsidRPr="008A2298">
              <w:rPr>
                <w:b/>
                <w:i/>
              </w:rPr>
              <w:t>Eszköze létrehozásának szükségességéről az olyan civil társadalmi szervezetek támogatására, amelyek az Európai Unióban helyi és nemzeti szinten előmozdítják az alapvető értékeket” című, 2018. április 19-i állásfoglalására</w:t>
            </w:r>
            <w:r w:rsidRPr="008A2298">
              <w:rPr>
                <w:b/>
                <w:i/>
                <w:vertAlign w:val="superscript"/>
              </w:rPr>
              <w:t>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6</w:t>
            </w:r>
            <w:r w:rsidRPr="008A2298">
              <w:rPr>
                <w:b/>
                <w:i/>
              </w:rPr>
              <w:t xml:space="preserve"> HL C 390., 2019.11.18., 117.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Unióról szóló szerződés 7. cikke (1) bekezdésének megfelelően az </w:t>
            </w:r>
            <w:r w:rsidRPr="008A2298">
              <w:rPr>
                <w:b/>
                <w:i/>
              </w:rPr>
              <w:t>Unió alapértékeinek Magyarország általi súlyos megsértése egyértelmű veszélyének megállapítására a Tanácsot felszólító javaslatról szóló, 2018. szeptember 12-i állásfoglalására</w:t>
            </w:r>
            <w:r w:rsidRPr="008A2298">
              <w:rPr>
                <w:b/>
                <w:i/>
                <w:vertAlign w:val="superscript"/>
              </w:rPr>
              <w:t>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7</w:t>
            </w:r>
            <w:r w:rsidRPr="008A2298">
              <w:rPr>
                <w:b/>
                <w:i/>
              </w:rPr>
              <w:t xml:space="preserve"> HL C 433., 2019.12.23., 66.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w:t>
            </w:r>
            <w:r w:rsidRPr="008A2298">
              <w:t>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Unióról szóló szerződés 7. cikke (1) bekezdésének megfelelően az Unió alapértékeinek Magyarország általi súlyos megsértése egyértelmű veszélyének megállapítására a Tanácsot felszólító javaslatról szóló</w:t>
            </w:r>
            <w:r w:rsidRPr="008A2298">
              <w:rPr>
                <w:b/>
                <w:i/>
              </w:rPr>
              <w:t>, 2018. szeptember 12-i állásfoglalására</w:t>
            </w:r>
            <w:r w:rsidRPr="008A2298">
              <w:rPr>
                <w:b/>
                <w:i/>
                <w:vertAlign w:val="superscript"/>
              </w:rPr>
              <w:t>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7</w:t>
            </w:r>
            <w:r w:rsidRPr="008A2298">
              <w:rPr>
                <w:b/>
                <w:i/>
              </w:rPr>
              <w:t xml:space="preserve"> HL C 433., 2019.12.23., 66.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49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Mary Khan, Milan Uhrík, Ewa Zajączkowska-Hernik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Európai Unióról szóló szerződés 7. cikke (1) bekezdésének </w:t>
            </w:r>
            <w:r w:rsidRPr="008A2298">
              <w:rPr>
                <w:b/>
                <w:i/>
              </w:rPr>
              <w:t>megfelelően az Unió alapértékeinek Magyarország általi súlyos megsértése egyértelmű veszélyének megállapítására a Tanácsot felszólító javaslatról szóló, 2018. szeptember 12-i állásfoglalására</w:t>
            </w:r>
            <w:r w:rsidRPr="008A2298">
              <w:rPr>
                <w:b/>
                <w:i/>
                <w:vertAlign w:val="superscript"/>
              </w:rPr>
              <w:t>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7</w:t>
            </w:r>
            <w:r w:rsidRPr="008A2298">
              <w:rPr>
                <w:b/>
                <w:i/>
              </w:rPr>
              <w:t xml:space="preserve"> HL C 433., 2019.12.23., 66.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50</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Unióról szóló szerződés 7. cikke (1) bekezdésének megfelelően az Unió alapértékeinek Magyarország általi súlyos megsértése egyértelmű veszélyének megállapítására a Tanácsot felszólító j</w:t>
            </w:r>
            <w:r w:rsidRPr="008A2298">
              <w:rPr>
                <w:b/>
                <w:i/>
              </w:rPr>
              <w:t>avaslatról szóló, 2018. szeptember 12-i állásfoglalására</w:t>
            </w:r>
            <w:r w:rsidRPr="008A2298">
              <w:rPr>
                <w:b/>
                <w:i/>
                <w:vertAlign w:val="superscript"/>
              </w:rPr>
              <w:t>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7</w:t>
            </w:r>
            <w:r w:rsidRPr="008A2298">
              <w:rPr>
                <w:b/>
                <w:i/>
              </w:rPr>
              <w:t xml:space="preserve"> HL C 433., 2019.12.23., 66.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EU-ban élő kisebbségekre vonatkozó minimumszabályokról szóló, </w:t>
            </w:r>
            <w:r w:rsidRPr="008A2298">
              <w:rPr>
                <w:b/>
                <w:i/>
              </w:rPr>
              <w:t>2018. november 13-i állásfoglalására</w:t>
            </w:r>
            <w:r w:rsidRPr="008A2298">
              <w:rPr>
                <w:b/>
                <w:i/>
                <w:vertAlign w:val="superscript"/>
              </w:rPr>
              <w:t>8</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8</w:t>
            </w:r>
            <w:r w:rsidRPr="008A2298">
              <w:rPr>
                <w:b/>
                <w:i/>
              </w:rPr>
              <w:t xml:space="preserve"> HL C 363., 2020.10.28., 13.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Brudziński, </w:t>
      </w:r>
      <w:r w:rsidRPr="008A2298">
        <w:t>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w:t>
            </w:r>
            <w:r w:rsidRPr="008A2298">
              <w:tab/>
            </w:r>
            <w:r w:rsidRPr="008A2298">
              <w:rPr>
                <w:b/>
                <w:i/>
              </w:rPr>
              <w:t xml:space="preserve">tekintettel a demokrácia, a </w:t>
            </w:r>
            <w:r w:rsidRPr="008A2298">
              <w:rPr>
                <w:b/>
                <w:i/>
              </w:rPr>
              <w:t>jogállamiság és az alapvető jogok védelmét szolgáló átfogó uniós mechanizmus szükségességéről szóló, 2018. november 14-i állásfoglalására</w:t>
            </w:r>
            <w:r w:rsidRPr="008A2298">
              <w:rPr>
                <w:b/>
                <w:i/>
                <w:vertAlign w:val="superscript"/>
              </w:rPr>
              <w:t>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9</w:t>
            </w:r>
            <w:r w:rsidRPr="008A2298">
              <w:rPr>
                <w:b/>
                <w:i/>
              </w:rPr>
              <w:t xml:space="preserve"> HL C 363., 2020.10.28., 45.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w:t>
            </w:r>
            <w:r w:rsidRPr="008A2298">
              <w:rPr>
                <w:b/>
                <w:i/>
              </w:rPr>
              <w:t>a demokrácia, a jogállamiság és az alapvető jogok védelmét szolgáló átfogó uniós mechanizmus szükségességéről szóló, 2018. november 14-i állásfoglalására</w:t>
            </w:r>
            <w:r w:rsidRPr="008A2298">
              <w:rPr>
                <w:b/>
                <w:i/>
                <w:vertAlign w:val="superscript"/>
              </w:rPr>
              <w:t>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9</w:t>
            </w:r>
            <w:r w:rsidRPr="008A2298">
              <w:rPr>
                <w:b/>
                <w:i/>
              </w:rPr>
              <w:t xml:space="preserve"> HL C 363., 2020.10.28., 45.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demokrácia, a jogállamiság és az alapvető jogok védelmét szolgáló átfogó uniós mechanizmus szükségességéről szóló, 2018. november 14-i állásfoglalására</w:t>
            </w:r>
            <w:r w:rsidRPr="008A2298">
              <w:rPr>
                <w:b/>
                <w:i/>
                <w:vertAlign w:val="superscript"/>
              </w:rPr>
              <w:t>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9</w:t>
            </w:r>
            <w:r w:rsidRPr="008A2298">
              <w:rPr>
                <w:b/>
                <w:i/>
              </w:rPr>
              <w:t xml:space="preserve"> HL C 363., 2020.10.28., 45.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w:t>
      </w:r>
      <w:r w:rsidRPr="008A2298">
        <w:t>uan Fernando López Aguilar, Nacho Sánchez Amor, Marco Tarquinio, Javier Moreno Sánchez, Alessandro Zan</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20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w:t>
            </w:r>
            <w:r w:rsidRPr="008A2298">
              <w:t>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 „Nincs helye a gyűlöletnek: európai összefogás a gyűlölet ellen” című, 2023. december 6-i közleményére (COM(2023)0051),</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demokráciával, a jogállamisággal és az alapvető jogokkal foglalkozó uniós mechanizmus létrehozásáról szóló, 2020. október 7-i állásfoglalására</w:t>
            </w:r>
            <w:r w:rsidRPr="008A2298">
              <w:rPr>
                <w:b/>
                <w:i/>
                <w:vertAlign w:val="superscript"/>
              </w:rPr>
              <w:t>10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10</w:t>
            </w:r>
            <w:r w:rsidRPr="008A2298">
              <w:rPr>
                <w:b/>
                <w:i/>
              </w:rPr>
              <w:t xml:space="preserve"> HL C 395., 2021.9.29.,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21 bevezető </w:t>
      </w:r>
      <w:r w:rsidRPr="008A2298">
        <w:t>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demokráciával, a jogállamisággal és az alapvető jogokkal foglalkozó uniós mechanizmus létrehozásáról szóló, 2020. október 7-i állásfoglalására</w:t>
            </w:r>
            <w:r w:rsidRPr="008A2298">
              <w:rPr>
                <w:b/>
                <w:i/>
                <w:vertAlign w:val="superscript"/>
              </w:rPr>
              <w:t>10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10</w:t>
            </w:r>
            <w:r w:rsidRPr="008A2298">
              <w:rPr>
                <w:b/>
                <w:i/>
              </w:rPr>
              <w:t xml:space="preserve"> HL C 395., 2021.9.29.,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w:t>
      </w:r>
      <w:r w:rsidRPr="008A2298">
        <w:rPr>
          <w:rStyle w:val="HideTWBExt"/>
          <w:b w:val="0"/>
        </w:rPr>
        <w:t>ticle&gt;</w:t>
      </w:r>
      <w:r w:rsidRPr="008A2298">
        <w:t>21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demokráciával, a jogállamisággal és az alapvető jogokkal foglalkozó uniós mechanizmus létrehozásáról szóló, 2020. október 7-i állásfoglalására</w:t>
            </w:r>
            <w:r w:rsidRPr="008A2298">
              <w:rPr>
                <w:b/>
                <w:i/>
                <w:vertAlign w:val="superscript"/>
              </w:rPr>
              <w:t>10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10</w:t>
            </w:r>
            <w:r w:rsidRPr="008A2298">
              <w:rPr>
                <w:b/>
                <w:i/>
              </w:rPr>
              <w:t xml:space="preserve"> HL C 395., 2021.9.29.,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59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Covid19 kapcsán bevezetett intézkedések demokráciára, jogállamiságra és alapvető jogokra gyakorolt hatásáról szóló, 2020. november 13-i </w:t>
            </w:r>
            <w:r w:rsidRPr="008A2298">
              <w:rPr>
                <w:b/>
                <w:i/>
              </w:rPr>
              <w:t>állásfoglalására</w:t>
            </w:r>
            <w:r w:rsidRPr="008A2298">
              <w:rPr>
                <w:b/>
                <w:i/>
                <w:vertAlign w:val="superscript"/>
              </w:rPr>
              <w:t>11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11</w:t>
            </w:r>
            <w:r w:rsidRPr="008A2298">
              <w:rPr>
                <w:b/>
                <w:i/>
              </w:rPr>
              <w:t xml:space="preserve"> HL C 415., 2021.10.13., 36.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 xml:space="preserve">Állásfoglalásra </w:t>
      </w:r>
      <w:r w:rsidRPr="008A2298">
        <w:t>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Covid19 kapcsán bevezetett intézkedések demokráciára, jogállamiságra és alapvető jogokra gyakorolt hatásáról szóló, </w:t>
            </w:r>
            <w:r w:rsidRPr="008A2298">
              <w:rPr>
                <w:b/>
                <w:i/>
              </w:rPr>
              <w:t>2020. november 13-i állásfoglalására</w:t>
            </w:r>
            <w:r w:rsidRPr="008A2298">
              <w:rPr>
                <w:b/>
                <w:i/>
                <w:vertAlign w:val="superscript"/>
              </w:rPr>
              <w:t>11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11</w:t>
            </w:r>
            <w:r w:rsidRPr="008A2298">
              <w:rPr>
                <w:b/>
                <w:i/>
              </w:rPr>
              <w:t xml:space="preserve"> HL C 415., 2021.10.13., 36.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Brudziński, </w:t>
      </w:r>
      <w:r w:rsidRPr="008A2298">
        <w:t>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„Minority SafePack </w:t>
            </w:r>
            <w:r w:rsidRPr="008A2298">
              <w:rPr>
                <w:b/>
                <w:i/>
              </w:rPr>
              <w:t>– egymillió aláírás a sokszínű Európáért” elnevezésű polgári kezdeményezésről szóló, 2020. december 17-i állásfoglalására</w:t>
            </w:r>
            <w:r w:rsidRPr="008A2298">
              <w:rPr>
                <w:b/>
                <w:i/>
                <w:vertAlign w:val="superscript"/>
              </w:rPr>
              <w:t>12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12</w:t>
            </w:r>
            <w:r w:rsidRPr="008A2298">
              <w:rPr>
                <w:b/>
                <w:i/>
              </w:rPr>
              <w:t xml:space="preserve"> HL C 445., 2021.10.29., 70.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62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„Minority </w:t>
            </w:r>
            <w:r w:rsidRPr="008A2298">
              <w:rPr>
                <w:b/>
                <w:i/>
              </w:rPr>
              <w:t>SafePack – egymillió aláírás a sokszínű Európáért” elnevezésű polgári kezdeményezésről szóló, 2020. december 17-i állásfoglalására</w:t>
            </w:r>
            <w:r w:rsidRPr="008A2298">
              <w:rPr>
                <w:b/>
                <w:i/>
                <w:vertAlign w:val="superscript"/>
              </w:rPr>
              <w:t>12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12</w:t>
            </w:r>
            <w:r w:rsidRPr="008A2298">
              <w:rPr>
                <w:b/>
                <w:i/>
              </w:rPr>
              <w:t xml:space="preserve"> HL C 445., 2021.10.29., 70.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24 bevezető hivatkozás</w:t>
      </w:r>
      <w:r w:rsidRPr="008A2298">
        <w:rPr>
          <w:rStyle w:val="HideTWBExt"/>
          <w:b w:val="0"/>
        </w:rPr>
        <w:t>&lt;</w:t>
      </w:r>
      <w:r w:rsidRPr="008A2298">
        <w:rPr>
          <w:rStyle w:val="HideTWBExt"/>
          <w:b w:val="0"/>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 európai unióbeli helyzetéről és a feltételrendszerről szóló (EU, Euratom) 2020/2092 rendelet alkalmazásáról szóló, 2021. június 10-i állásfoglalására</w:t>
            </w:r>
            <w:r w:rsidRPr="008A2298">
              <w:rPr>
                <w:b/>
                <w:i/>
                <w:vertAlign w:val="superscript"/>
              </w:rPr>
              <w:t>13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13</w:t>
            </w:r>
            <w:r w:rsidRPr="008A2298">
              <w:rPr>
                <w:b/>
                <w:i/>
              </w:rPr>
              <w:t xml:space="preserve"> HL C 67., 2022.2.8., 86.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w:t>
      </w:r>
      <w:r w:rsidRPr="008A2298">
        <w:rPr>
          <w:rStyle w:val="HideTWBExt"/>
          <w:b w:val="0"/>
        </w:rPr>
        <w:t>ticle&gt;</w:t>
      </w:r>
      <w:r w:rsidRPr="008A2298">
        <w:t>24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w:t>
            </w:r>
            <w:r w:rsidRPr="008A2298">
              <w:tab/>
            </w:r>
            <w:r w:rsidRPr="008A2298">
              <w:rPr>
                <w:b/>
                <w:i/>
              </w:rPr>
              <w:t xml:space="preserve">tekintettel a jogállamiság európai unióbeli helyzetéről és a feltételrendszerről szóló (EU, Euratom) 2020/2092 rendelet alkalmazásáról szóló, 2021. június 10-i </w:t>
            </w:r>
            <w:r w:rsidRPr="008A2298">
              <w:rPr>
                <w:b/>
                <w:i/>
              </w:rPr>
              <w:t>állásfoglalására</w:t>
            </w:r>
            <w:r w:rsidRPr="008A2298">
              <w:rPr>
                <w:b/>
                <w:i/>
                <w:vertAlign w:val="superscript"/>
              </w:rPr>
              <w:t>13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13</w:t>
            </w:r>
            <w:r w:rsidRPr="008A2298">
              <w:rPr>
                <w:b/>
                <w:i/>
              </w:rPr>
              <w:t xml:space="preserve"> HL C 67., 2022.2.8., 86.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 xml:space="preserve">Állásfoglalásra </w:t>
      </w:r>
      <w:r w:rsidRPr="008A2298">
        <w:t>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 európai unióbeli helyzetéről és a feltételrendszerről szóló (EU, Euratom) 2020/2092 rendelet alkalmazásáról</w:t>
            </w:r>
            <w:r w:rsidRPr="008A2298">
              <w:rPr>
                <w:b/>
                <w:i/>
              </w:rPr>
              <w:t xml:space="preserve"> szóló, 2021. június 10-i állásfoglalására</w:t>
            </w:r>
            <w:r w:rsidRPr="008A2298">
              <w:rPr>
                <w:b/>
                <w:i/>
                <w:vertAlign w:val="superscript"/>
              </w:rPr>
              <w:t>13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13</w:t>
            </w:r>
            <w:r w:rsidRPr="008A2298">
              <w:rPr>
                <w:b/>
                <w:i/>
              </w:rPr>
              <w:t xml:space="preserve"> HL C 67., 2022.2.8., 86.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w:t>
      </w:r>
      <w:r w:rsidRPr="008A2298">
        <w:t>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w:t>
            </w:r>
            <w:r w:rsidRPr="008A2298">
              <w:rPr>
                <w:b/>
                <w:i/>
              </w:rPr>
              <w:t>Bizottság 2020. évi jogállamisági jelentéséről szóló, 2021. június 24-i állásfoglalására</w:t>
            </w:r>
            <w:r w:rsidRPr="008A2298">
              <w:rPr>
                <w:b/>
                <w:i/>
                <w:vertAlign w:val="superscript"/>
              </w:rPr>
              <w:t>14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14</w:t>
            </w:r>
            <w:r w:rsidRPr="008A2298">
              <w:rPr>
                <w:b/>
                <w:i/>
              </w:rPr>
              <w:t xml:space="preserve"> HL C 81., 2022.2.18., 27.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Bizottság 2020. évi </w:t>
            </w:r>
            <w:r w:rsidRPr="008A2298">
              <w:rPr>
                <w:b/>
                <w:i/>
              </w:rPr>
              <w:t>jogállamisági jelentéséről szóló, 2021. június 24-i állásfoglalására</w:t>
            </w:r>
            <w:r w:rsidRPr="008A2298">
              <w:rPr>
                <w:b/>
                <w:i/>
                <w:vertAlign w:val="superscript"/>
              </w:rPr>
              <w:t>14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14</w:t>
            </w:r>
            <w:r w:rsidRPr="008A2298">
              <w:rPr>
                <w:b/>
                <w:i/>
              </w:rPr>
              <w:t xml:space="preserve"> HL C 81., 2022.2.18., 27.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Bizottság 2020. évi jogállamisági jelentéséről szóló, </w:t>
            </w:r>
            <w:r w:rsidRPr="008A2298">
              <w:rPr>
                <w:b/>
                <w:i/>
              </w:rPr>
              <w:t>2021. június 24-i állásfoglalására</w:t>
            </w:r>
            <w:r w:rsidRPr="008A2298">
              <w:rPr>
                <w:b/>
                <w:i/>
                <w:vertAlign w:val="superscript"/>
              </w:rPr>
              <w:t>14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14</w:t>
            </w:r>
            <w:r w:rsidRPr="008A2298">
              <w:rPr>
                <w:b/>
                <w:i/>
              </w:rPr>
              <w:t xml:space="preserve"> HL C 81., 2022.2.18., 27.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69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Brudziński, </w:t>
      </w:r>
      <w:r w:rsidRPr="008A2298">
        <w:t>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w:t>
            </w:r>
            <w:r w:rsidRPr="008A2298">
              <w:tab/>
            </w:r>
            <w:r w:rsidRPr="008A2298">
              <w:rPr>
                <w:b/>
                <w:i/>
              </w:rPr>
              <w:t>tekintettel az uniós költségvetés</w:t>
            </w:r>
            <w:r w:rsidRPr="008A2298">
              <w:rPr>
                <w:b/>
                <w:i/>
              </w:rPr>
              <w:t xml:space="preserve"> védelmét szolgáló általános feltételrendszer alkalmazására vonatkozó iránymutatások létrehozásáról szóló, 2021. július 8-i állásfoglalására</w:t>
            </w:r>
            <w:r w:rsidRPr="008A2298">
              <w:rPr>
                <w:b/>
                <w:i/>
                <w:vertAlign w:val="superscript"/>
              </w:rPr>
              <w:t>15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15</w:t>
            </w:r>
            <w:r w:rsidRPr="008A2298">
              <w:rPr>
                <w:b/>
                <w:i/>
              </w:rPr>
              <w:t xml:space="preserve"> HL C 99., 2022.3.1., 146.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w:t>
            </w:r>
            <w:r w:rsidRPr="008A2298">
              <w:rPr>
                <w:b/>
                <w:i/>
              </w:rPr>
              <w:t>az uniós költségvetés védelmét szolgáló általános feltételrendszer alkalmazására vonatkozó iránymutatások létrehozásáról szóló, 2021. július 8-i állásfoglalására</w:t>
            </w:r>
            <w:r w:rsidRPr="008A2298">
              <w:rPr>
                <w:b/>
                <w:i/>
                <w:vertAlign w:val="superscript"/>
              </w:rPr>
              <w:t>15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15</w:t>
            </w:r>
            <w:r w:rsidRPr="008A2298">
              <w:rPr>
                <w:b/>
                <w:i/>
              </w:rPr>
              <w:t xml:space="preserve"> HL C 99., 2022.3.1., 146.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uniós költségvetés védelmét szolgáló általános feltételrendszer alkalmazására vonatkozó iránymutatások létrehozásáról szóló, 2021. július 8-i állásfoglalására</w:t>
            </w:r>
            <w:r w:rsidRPr="008A2298">
              <w:rPr>
                <w:b/>
                <w:i/>
                <w:vertAlign w:val="superscript"/>
              </w:rPr>
              <w:t>15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15</w:t>
            </w:r>
            <w:r w:rsidRPr="008A2298">
              <w:rPr>
                <w:b/>
                <w:i/>
              </w:rPr>
              <w:t xml:space="preserve"> HL C 99., 2022.3.1., 146.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nemi alapú erőszaknak az EUMSZ 83. cikke (1) bekezdésében felsorolt bűncselekmények új </w:t>
            </w:r>
            <w:r w:rsidRPr="008A2298">
              <w:rPr>
                <w:b/>
                <w:i/>
              </w:rPr>
              <w:t>területeként való megállapításáról szóló, a Bizottságnak szóló ajánlásokat tartalmazó, 2021. szeptember 16-i állásfoglalására</w:t>
            </w:r>
            <w:r w:rsidRPr="008A2298">
              <w:rPr>
                <w:b/>
                <w:i/>
                <w:vertAlign w:val="superscript"/>
              </w:rPr>
              <w:t>16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16</w:t>
            </w:r>
            <w:r w:rsidRPr="008A2298">
              <w:rPr>
                <w:b/>
                <w:i/>
              </w:rPr>
              <w:t xml:space="preserve"> HL C 117., 2022.3.11., 88.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nemi </w:t>
            </w:r>
            <w:r w:rsidRPr="008A2298">
              <w:rPr>
                <w:b/>
                <w:i/>
              </w:rPr>
              <w:t>alapú erőszaknak az EUMSZ 83. cikke (1) bekezdésében felsorolt bűncselekmények új területeként való megállapításáról szóló, a Bizottságnak szóló ajánlásokat tartalmazó, 2021. szeptember 16-i állásfoglalására</w:t>
            </w:r>
            <w:r w:rsidRPr="008A2298">
              <w:rPr>
                <w:b/>
                <w:i/>
                <w:vertAlign w:val="superscript"/>
              </w:rPr>
              <w:t>16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16</w:t>
            </w:r>
            <w:r w:rsidRPr="008A2298">
              <w:rPr>
                <w:b/>
                <w:i/>
              </w:rPr>
              <w:t xml:space="preserve"> HL C 117., 2022.3.11., 88.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74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27 bevezető hiv</w:t>
      </w:r>
      <w:r w:rsidRPr="008A2298">
        <w:t>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nemi alapú erőszaknak az EUMSZ 83. cikke (1) bekezdésében felsorolt bűncselekmények új területeként való megállapításáról szóló, a Bizottságnak szóló ajánlásokat tartalmazó, </w:t>
            </w:r>
            <w:r w:rsidRPr="008A2298">
              <w:rPr>
                <w:b/>
                <w:i/>
              </w:rPr>
              <w:t>2021. szeptember 16-i állásfoglalására</w:t>
            </w:r>
            <w:r w:rsidRPr="008A2298">
              <w:rPr>
                <w:b/>
                <w:i/>
                <w:vertAlign w:val="superscript"/>
              </w:rPr>
              <w:t>16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16</w:t>
            </w:r>
            <w:r w:rsidRPr="008A2298">
              <w:rPr>
                <w:b/>
                <w:i/>
              </w:rPr>
              <w:t xml:space="preserve"> HL C 117., 2022.3.11., 88.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demokráciának, valamint a tömegtájékoztatás szabadságának és sokszínűségének az Unióban való </w:t>
            </w:r>
            <w:r w:rsidRPr="008A2298">
              <w:rPr>
                <w:b/>
                <w:i/>
              </w:rPr>
              <w:t>megerősítéséről: polgári és büntetőjogi eljárások indokolatlan alkalmazása újságírók, nem kormányzati szervezetek és a civil társadalom elhallgattatására” című, 2021. november 11-i állásfoglalására</w:t>
            </w:r>
            <w:r w:rsidRPr="008A2298">
              <w:rPr>
                <w:b/>
                <w:i/>
                <w:vertAlign w:val="superscript"/>
              </w:rPr>
              <w:t>17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17</w:t>
            </w:r>
            <w:r w:rsidRPr="008A2298">
              <w:rPr>
                <w:b/>
                <w:i/>
              </w:rPr>
              <w:t xml:space="preserve"> HL C 205., 2022.5.20.,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lastRenderedPageBreak/>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28 bevezető </w:t>
      </w:r>
      <w:r w:rsidRPr="008A2298">
        <w:t>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demokráciának, valamint a tömegtájékoztatás szabadságának és sokszínűségének az Unióban való megerősítéséről: polgári és büntetőjogi eljárások indokolatlan alkalmazása </w:t>
            </w:r>
            <w:r w:rsidRPr="008A2298">
              <w:rPr>
                <w:b/>
                <w:i/>
              </w:rPr>
              <w:t>újságírók, nem kormányzati szervezetek és a civil társadalom elhallgattatására” című, 2021. november 11-i állásfoglalására</w:t>
            </w:r>
            <w:r w:rsidRPr="008A2298">
              <w:rPr>
                <w:b/>
                <w:i/>
                <w:vertAlign w:val="superscript"/>
              </w:rPr>
              <w:t>17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17</w:t>
            </w:r>
            <w:r w:rsidRPr="008A2298">
              <w:rPr>
                <w:b/>
                <w:i/>
              </w:rPr>
              <w:t xml:space="preserve"> HL C 205., 2022.5.20.,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sürgősségi alapok</w:t>
            </w:r>
            <w:r w:rsidRPr="008A2298">
              <w:rPr>
                <w:b/>
                <w:i/>
              </w:rPr>
              <w:t xml:space="preserve"> és a válsággal kapcsolatos kiadási területek esetében a korrupció, a szabálytalan kiadások, valamint az uniós és nemzeti forrásokkal való visszaélés elkerülését célzó megelőző intézkedések értékeléséről szóló, 2021. december 15-i állásfoglalására</w:t>
            </w:r>
            <w:r w:rsidRPr="008A2298">
              <w:rPr>
                <w:b/>
                <w:i/>
                <w:vertAlign w:val="superscript"/>
              </w:rPr>
              <w:t>18</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w:t>
            </w:r>
            <w:r w:rsidRPr="008A2298">
              <w:rPr>
                <w:b/>
                <w:i/>
              </w:rPr>
              <w:t>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18</w:t>
            </w:r>
            <w:r w:rsidRPr="008A2298">
              <w:rPr>
                <w:b/>
                <w:i/>
              </w:rPr>
              <w:t xml:space="preserve"> HL C 251., 2022.6.30., 48.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lastRenderedPageBreak/>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civil társadalom mozgásterének Európában tapasztalható szűküléséről szóló, 2022. március 8-i állásfoglalására</w:t>
            </w:r>
            <w:r w:rsidRPr="008A2298">
              <w:rPr>
                <w:b/>
                <w:i/>
                <w:vertAlign w:val="superscript"/>
              </w:rPr>
              <w:t>19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19</w:t>
            </w:r>
            <w:r w:rsidRPr="008A2298">
              <w:rPr>
                <w:b/>
                <w:i/>
              </w:rPr>
              <w:t xml:space="preserve"> HL C 347., 2022.9.9.,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79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civil társadalom mozgásterének Európában tapasztalható szűküléséről szóló, 2022. március 8-i állásfoglalására</w:t>
            </w:r>
            <w:r w:rsidRPr="008A2298">
              <w:rPr>
                <w:b/>
                <w:i/>
                <w:vertAlign w:val="superscript"/>
              </w:rPr>
              <w:t>19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19</w:t>
            </w:r>
            <w:r w:rsidRPr="008A2298">
              <w:rPr>
                <w:b/>
                <w:i/>
              </w:rPr>
              <w:t xml:space="preserve"> HL C 347., 2022.9.9.,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31 bevezető hivat</w:t>
      </w:r>
      <w:r w:rsidRPr="008A2298">
        <w: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jogállamiságról és az Európai Bíróság ítéletének következményeiről szóló, 2022. március 10-i állásfoglalására</w:t>
            </w:r>
            <w:r w:rsidRPr="008A2298">
              <w:rPr>
                <w:b/>
                <w:i/>
                <w:vertAlign w:val="superscript"/>
              </w:rPr>
              <w:t>20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lastRenderedPageBreak/>
              <w:t>20</w:t>
            </w:r>
            <w:r w:rsidRPr="008A2298">
              <w:rPr>
                <w:b/>
                <w:i/>
              </w:rPr>
              <w:t xml:space="preserve"> HL C 347., 2022.9.9., 168.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w:t>
      </w:r>
      <w:r w:rsidRPr="008A2298">
        <w:t>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jogállamiságról és az Európai Bíróság ítéletének következményeiről szóló, 2022. március 10-i állásfoglalására</w:t>
            </w:r>
            <w:r w:rsidRPr="008A2298">
              <w:rPr>
                <w:b/>
                <w:i/>
                <w:vertAlign w:val="superscript"/>
              </w:rPr>
              <w:t>20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20</w:t>
            </w:r>
            <w:r w:rsidRPr="008A2298">
              <w:rPr>
                <w:b/>
                <w:i/>
              </w:rPr>
              <w:t xml:space="preserve"> HL C 347., 2022.9.9., 168.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jogállamiságról és az Európai Bíróság ítéletének következményeiről szóló, 2022. március 10-i állásfoglalására</w:t>
            </w:r>
            <w:r w:rsidRPr="008A2298">
              <w:rPr>
                <w:b/>
                <w:i/>
                <w:vertAlign w:val="superscript"/>
              </w:rPr>
              <w:t>20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20</w:t>
            </w:r>
            <w:r w:rsidRPr="008A2298">
              <w:rPr>
                <w:b/>
                <w:i/>
              </w:rPr>
              <w:t xml:space="preserve"> HL C 347., 2022.9.9., 168.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lastRenderedPageBreak/>
        <w:t>&lt;/RepeatBlock-By</w:t>
      </w:r>
      <w:r w:rsidRPr="008A2298">
        <w:rPr>
          <w:rStyle w:val="HideTWBExt"/>
          <w:b w:val="0"/>
        </w:rPr>
        <w:t>&gt;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 2021. évi jogállamisági jelentéséről szóló, 2021. május 19-i állásfoglalására</w:t>
            </w:r>
            <w:r w:rsidRPr="008A2298">
              <w:rPr>
                <w:b/>
                <w:i/>
                <w:vertAlign w:val="superscript"/>
              </w:rPr>
              <w:t>21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21</w:t>
            </w:r>
            <w:r w:rsidRPr="008A2298">
              <w:rPr>
                <w:b/>
                <w:i/>
              </w:rPr>
              <w:t xml:space="preserve"> HL C 479., 2022.12.16., 18.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 2021. évi jogállamisági jelentéséről szóló, 2021. május 19-i állásfoglalására</w:t>
            </w:r>
            <w:r w:rsidRPr="008A2298">
              <w:rPr>
                <w:b/>
                <w:i/>
                <w:vertAlign w:val="superscript"/>
              </w:rPr>
              <w:t>21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21</w:t>
            </w:r>
            <w:r w:rsidRPr="008A2298">
              <w:rPr>
                <w:b/>
                <w:i/>
              </w:rPr>
              <w:t xml:space="preserve"> HL C 479., 2022.12.16., 18.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32 bevezető h</w:t>
      </w:r>
      <w:r w:rsidRPr="008A2298">
        <w:t>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 2021. évi jogállamisági jelentéséről szóló, 2021. május 19-i állásfoglalására</w:t>
            </w:r>
            <w:r w:rsidRPr="008A2298">
              <w:rPr>
                <w:b/>
                <w:i/>
                <w:vertAlign w:val="superscript"/>
              </w:rPr>
              <w:t>21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21</w:t>
            </w:r>
            <w:r w:rsidRPr="008A2298">
              <w:rPr>
                <w:b/>
                <w:i/>
              </w:rPr>
              <w:t xml:space="preserve"> HL C 479., 2022.12.16., 18.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jogállamiságról és a lengyel nemzeti helyreállítási terv lehetséges jóváhagyásáról (Helyreállítási és Rezilienciaépítési Eszköz) szóló, </w:t>
            </w:r>
            <w:r w:rsidRPr="008A2298">
              <w:rPr>
                <w:b/>
                <w:i/>
              </w:rPr>
              <w:t>2022. június 9-i állásfoglalására</w:t>
            </w:r>
            <w:r w:rsidRPr="008A2298">
              <w:rPr>
                <w:b/>
                <w:i/>
                <w:vertAlign w:val="superscript"/>
              </w:rPr>
              <w:t>22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22</w:t>
            </w:r>
            <w:r w:rsidRPr="008A2298">
              <w:rPr>
                <w:b/>
                <w:i/>
              </w:rPr>
              <w:t xml:space="preserve"> HL C 493., 2022.12.27., 108.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jogállamiságról és a lengyel nemzeti helyreállítási terv lehetséges jóváhagyásáról </w:t>
            </w:r>
            <w:r w:rsidRPr="008A2298">
              <w:rPr>
                <w:b/>
                <w:i/>
              </w:rPr>
              <w:t>(Helyreállítási és Rezilienciaépítési Eszköz) szóló, 2022. június 9-i állásfoglalására</w:t>
            </w:r>
            <w:r w:rsidRPr="008A2298">
              <w:rPr>
                <w:b/>
                <w:i/>
                <w:vertAlign w:val="superscript"/>
              </w:rPr>
              <w:t>22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22</w:t>
            </w:r>
            <w:r w:rsidRPr="008A2298">
              <w:rPr>
                <w:b/>
                <w:i/>
              </w:rPr>
              <w:t xml:space="preserve"> HL C 493., 2022.12.27., 108.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lastRenderedPageBreak/>
        <w:t>&lt;Article&gt;</w:t>
      </w:r>
      <w:r w:rsidRPr="008A2298">
        <w:t>33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jogállamiságról és a lengyel</w:t>
            </w:r>
            <w:r w:rsidRPr="008A2298">
              <w:rPr>
                <w:b/>
                <w:i/>
              </w:rPr>
              <w:t xml:space="preserve"> nemzeti helyreállítási terv lehetséges jóváhagyásáról (Helyreállítási és Rezilienciaépítési Eszköz) szóló, 2022. június 9-i állásfoglalására</w:t>
            </w:r>
            <w:r w:rsidRPr="008A2298">
              <w:rPr>
                <w:b/>
                <w:i/>
                <w:vertAlign w:val="superscript"/>
              </w:rPr>
              <w:t>22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22</w:t>
            </w:r>
            <w:r w:rsidRPr="008A2298">
              <w:rPr>
                <w:b/>
                <w:i/>
              </w:rPr>
              <w:t xml:space="preserve"> HL C 493., 2022.12.27., 108.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89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alapvető jogok helyzete az Európai Unióban (2020−2021)” című, 2022. szeptember 15-i állásfoglalására</w:t>
            </w:r>
            <w:r w:rsidRPr="008A2298">
              <w:rPr>
                <w:b/>
                <w:i/>
                <w:vertAlign w:val="superscript"/>
              </w:rPr>
              <w:t>23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23</w:t>
            </w:r>
            <w:r w:rsidRPr="008A2298">
              <w:rPr>
                <w:b/>
                <w:i/>
              </w:rPr>
              <w:t xml:space="preserve"> HL C 125., 2023.4.5., 80.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alapvető jogok helyzete az Európai Unióban (2020−2021)” című, 2022. szeptember 15-i állásfoglalására</w:t>
            </w:r>
            <w:r w:rsidRPr="008A2298">
              <w:rPr>
                <w:b/>
                <w:i/>
                <w:vertAlign w:val="superscript"/>
              </w:rPr>
              <w:t>23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23</w:t>
            </w:r>
            <w:r w:rsidRPr="008A2298">
              <w:rPr>
                <w:b/>
                <w:i/>
              </w:rPr>
              <w:t xml:space="preserve"> HL C 125., 2023.4.5., 80.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alapvető jogok helyzete az Európai Unióban (2020−2021)” című, 2022. szeptember 15-i állásfoglalására</w:t>
            </w:r>
            <w:r w:rsidRPr="008A2298">
              <w:rPr>
                <w:b/>
                <w:i/>
                <w:vertAlign w:val="superscript"/>
              </w:rPr>
              <w:t>23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23</w:t>
            </w:r>
            <w:r w:rsidRPr="008A2298">
              <w:rPr>
                <w:b/>
                <w:i/>
              </w:rPr>
              <w:t xml:space="preserve"> HL C 125., 2023.4.5., 80.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34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Unióról szóló szerződés 7. cikke (1) bekezdésének megfelelően az Unió alapértékeinek Magyarország általi súlyos megsértése egyértelmű kockázatának megállapításáról szóló tanácsi határozatra irányuló javaslatról szóló, 2022. szeptembe</w:t>
            </w:r>
            <w:r w:rsidRPr="008A2298">
              <w:rPr>
                <w:b/>
                <w:i/>
              </w:rPr>
              <w:t>r 15-i állásfoglalására,</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lastRenderedPageBreak/>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öt évvel Daphne Caruana Galizia meggyilkolása után Máltán tapasztalható jogállamisági helyzetről szóló, 2022. október 20-i állásfoglalására</w:t>
            </w:r>
            <w:r w:rsidRPr="008A2298">
              <w:rPr>
                <w:b/>
                <w:i/>
                <w:vertAlign w:val="superscript"/>
              </w:rPr>
              <w:t>24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24</w:t>
            </w:r>
            <w:r w:rsidRPr="008A2298">
              <w:rPr>
                <w:b/>
                <w:i/>
              </w:rPr>
              <w:t xml:space="preserve"> HL C 149., 2023.4.28., 15.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w:t>
      </w:r>
      <w:r w:rsidRPr="008A2298">
        <w:t>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Szlovákiában homofób indíttatásból elkövetett közelmúltbeli gyilkosság fényében az LMBTIQ+-személyek elleni, Európa-szerte növekvő számú</w:t>
            </w:r>
            <w:r w:rsidRPr="008A2298">
              <w:rPr>
                <w:b/>
                <w:i/>
              </w:rPr>
              <w:t xml:space="preserve"> gyűlölet-bűncselekményekről szóló, 2022. október 20-i állásfoglalására</w:t>
            </w:r>
            <w:r w:rsidRPr="008A2298">
              <w:rPr>
                <w:b/>
                <w:i/>
                <w:vertAlign w:val="superscript"/>
              </w:rPr>
              <w:t>25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25</w:t>
            </w:r>
            <w:r w:rsidRPr="008A2298">
              <w:rPr>
                <w:b/>
                <w:i/>
              </w:rPr>
              <w:t xml:space="preserve"> HL C 149., 2023.4.28., 22.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Szlovákiában homofób indíttatásból elkövetett közelmúltbeli </w:t>
            </w:r>
            <w:r w:rsidRPr="008A2298">
              <w:rPr>
                <w:b/>
                <w:i/>
              </w:rPr>
              <w:lastRenderedPageBreak/>
              <w:t>gyilkosság fényében az LMBTIQ+-személyek elleni, Európa-szerte növekvő számú gyűlölet-bűncselekményekről szóló, 2022. október 20-i állásfoglalására</w:t>
            </w:r>
            <w:r w:rsidRPr="008A2298">
              <w:rPr>
                <w:b/>
                <w:i/>
                <w:vertAlign w:val="superscript"/>
              </w:rPr>
              <w:t>25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25</w:t>
            </w:r>
            <w:r w:rsidRPr="008A2298">
              <w:rPr>
                <w:b/>
                <w:i/>
              </w:rPr>
              <w:t xml:space="preserve"> HL C 149., 2023.4.28., 22.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Paolo Inselvini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Szlovákiában homofób indíttatásból elkövetett közelmúltbeli gyilkosság fényében az LMBTIQ+-személyek elleni, Európa-szerte növekvő számú gyűlölet-bűncselekményekről szóló, 2022. október 20-i állásfoglalására</w:t>
            </w:r>
            <w:r w:rsidRPr="008A2298">
              <w:rPr>
                <w:b/>
                <w:i/>
                <w:vertAlign w:val="superscript"/>
              </w:rPr>
              <w:t>25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25</w:t>
            </w:r>
            <w:r w:rsidRPr="008A2298">
              <w:rPr>
                <w:b/>
                <w:i/>
              </w:rPr>
              <w:t xml:space="preserve"> HL C 149., 2023.4.28., 22.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36 bevezető hi</w:t>
      </w:r>
      <w:r w:rsidRPr="008A2298">
        <w:t>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Szlovákiában homofób indíttatásból elkövetett közelmúltbeli gyilkosság fényében az LMBTIQ+-személyek elleni, Európa-szerte növekvő számú gyűlölet-bűncselekményekről szóló, </w:t>
            </w:r>
            <w:r w:rsidRPr="008A2298">
              <w:rPr>
                <w:b/>
                <w:i/>
              </w:rPr>
              <w:t>2022. október 20-i állásfoglalására</w:t>
            </w:r>
            <w:r w:rsidRPr="008A2298">
              <w:rPr>
                <w:b/>
                <w:i/>
                <w:vertAlign w:val="superscript"/>
              </w:rPr>
              <w:t>25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lastRenderedPageBreak/>
              <w:t>25</w:t>
            </w:r>
            <w:r w:rsidRPr="008A2298">
              <w:rPr>
                <w:b/>
                <w:i/>
              </w:rPr>
              <w:t xml:space="preserve"> HL C 149., 2023.4.28., 22.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faji igazságosság, a megkülönböztetésmentesség és a rasszizmus elleni küzdelem EU-n belüli helyzetéről </w:t>
            </w:r>
            <w:r w:rsidRPr="008A2298">
              <w:rPr>
                <w:b/>
                <w:i/>
              </w:rPr>
              <w:t>szóló, 2022. november 10-i állásfoglalására</w:t>
            </w:r>
            <w:r w:rsidRPr="008A2298">
              <w:rPr>
                <w:b/>
                <w:i/>
                <w:vertAlign w:val="superscript"/>
              </w:rPr>
              <w:t>26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26</w:t>
            </w:r>
            <w:r w:rsidRPr="008A2298">
              <w:rPr>
                <w:b/>
                <w:i/>
              </w:rPr>
              <w:t xml:space="preserve"> HL C 161., 2023.5.5., 10.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99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faji igazságosság, a megkülönböztetésmentesség és a rasszizmus elleni küzdelem EU-n belüli </w:t>
            </w:r>
            <w:r w:rsidRPr="008A2298">
              <w:rPr>
                <w:b/>
                <w:i/>
              </w:rPr>
              <w:t>helyzetéről szóló, 2022. november 10-i állásfoglalására</w:t>
            </w:r>
            <w:r w:rsidRPr="008A2298">
              <w:rPr>
                <w:b/>
                <w:i/>
                <w:vertAlign w:val="superscript"/>
              </w:rPr>
              <w:t>26</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26</w:t>
            </w:r>
            <w:r w:rsidRPr="008A2298">
              <w:rPr>
                <w:b/>
                <w:i/>
              </w:rPr>
              <w:t xml:space="preserve"> HL C 161., 2023.5.5., 10.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w:t>
      </w:r>
      <w:r w:rsidRPr="008A2298">
        <w:t xml:space="preserve">Stanisław Brudziński, Jadwiga Wiśniewska, Maciej Wąsik, </w:t>
      </w:r>
      <w:r w:rsidRPr="008A2298">
        <w:lastRenderedPageBreak/>
        <w:t>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w:t>
            </w:r>
            <w:r w:rsidRPr="008A2298">
              <w:rPr>
                <w:b/>
                <w:i/>
              </w:rPr>
              <w:t xml:space="preserve"> a feltételrendszerről szóló rendelet szerinti jogállamisági feltételek Magyarország általi teljesítésének értékeléséről és a magyar helyreállítási és rezilienciaépítési terv jelenlegi állásáról szóló, 2022. november 24-i állásfoglalására</w:t>
            </w:r>
            <w:r w:rsidRPr="008A2298">
              <w:rPr>
                <w:b/>
                <w:i/>
                <w:vertAlign w:val="superscript"/>
              </w:rPr>
              <w:t>27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27</w:t>
            </w:r>
            <w:r w:rsidRPr="008A2298">
              <w:rPr>
                <w:b/>
                <w:i/>
              </w:rPr>
              <w:t xml:space="preserve"> HL C 167., 2023.5.11., 74.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feltételrendszerről szóló rendelet szerinti jogállamisági feltételek Magyarország általi teljesítésének értékeléséről és a magyar helyreállítási és </w:t>
            </w:r>
            <w:r w:rsidRPr="008A2298">
              <w:rPr>
                <w:b/>
                <w:i/>
              </w:rPr>
              <w:t>rezilienciaépítési terv jelenlegi állásáról szóló, 2022. november 24-i állásfoglalására</w:t>
            </w:r>
            <w:r w:rsidRPr="008A2298">
              <w:rPr>
                <w:b/>
                <w:i/>
                <w:vertAlign w:val="superscript"/>
              </w:rPr>
              <w:t>27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27</w:t>
            </w:r>
            <w:r w:rsidRPr="008A2298">
              <w:rPr>
                <w:b/>
                <w:i/>
              </w:rPr>
              <w:t xml:space="preserve"> HL C 167., 2023.5.11., 74.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lastRenderedPageBreak/>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feltételrendszerről szóló </w:t>
            </w:r>
            <w:r w:rsidRPr="008A2298">
              <w:rPr>
                <w:b/>
                <w:i/>
              </w:rPr>
              <w:t>rendelet szerinti jogállamisági feltételek Magyarország általi teljesítésének értékeléséről és a magyar helyreállítási és rezilienciaépítési terv jelenlegi állásáról szóló, 2022. november 24-i állásfoglalására</w:t>
            </w:r>
            <w:r w:rsidRPr="008A2298">
              <w:rPr>
                <w:b/>
                <w:i/>
                <w:vertAlign w:val="superscript"/>
              </w:rPr>
              <w:t>27</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27</w:t>
            </w:r>
            <w:r w:rsidRPr="008A2298">
              <w:rPr>
                <w:b/>
                <w:i/>
              </w:rPr>
              <w:t xml:space="preserve"> HL C 167., 2023.5.11., 74.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w:t>
      </w:r>
      <w:r w:rsidRPr="008A2298">
        <w:rPr>
          <w:rStyle w:val="HideTWBExt"/>
          <w:b w:val="0"/>
        </w:rPr>
        <w:t>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„2023. évi jogállamisági jelentés – A jogállamiság helyzete az Európai Unióban” című </w:t>
            </w:r>
            <w:r w:rsidRPr="008A2298">
              <w:rPr>
                <w:b/>
                <w:i/>
              </w:rPr>
              <w:t>jelentésről szóló, 2023. március 30-i állásfoglalására</w:t>
            </w:r>
            <w:r w:rsidRPr="008A2298">
              <w:rPr>
                <w:b/>
                <w:i/>
                <w:vertAlign w:val="superscript"/>
              </w:rPr>
              <w:t>28</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28</w:t>
            </w:r>
            <w:r w:rsidRPr="008A2298">
              <w:rPr>
                <w:b/>
                <w:i/>
              </w:rPr>
              <w:t xml:space="preserve"> HL C 341., 2023.9.27.,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„2023. évi jogállamisági jelentés – A jogállamiság helyzete az Európai </w:t>
            </w:r>
            <w:r w:rsidRPr="008A2298">
              <w:rPr>
                <w:b/>
                <w:i/>
              </w:rPr>
              <w:t xml:space="preserve">Unióban” című jelentésről szóló, 2023. március 30-i </w:t>
            </w:r>
            <w:r w:rsidRPr="008A2298">
              <w:rPr>
                <w:b/>
                <w:i/>
              </w:rPr>
              <w:lastRenderedPageBreak/>
              <w:t>állásfoglalására</w:t>
            </w:r>
            <w:r w:rsidRPr="008A2298">
              <w:rPr>
                <w:b/>
                <w:i/>
                <w:vertAlign w:val="superscript"/>
              </w:rPr>
              <w:t>28</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28</w:t>
            </w:r>
            <w:r w:rsidRPr="008A2298">
              <w:rPr>
                <w:b/>
                <w:i/>
              </w:rPr>
              <w:t xml:space="preserve"> HL C 341., 2023.9.27.,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„2023. évi jogállamisági jelentés – A jogállamiság helyzete az </w:t>
            </w:r>
            <w:r w:rsidRPr="008A2298">
              <w:rPr>
                <w:b/>
                <w:i/>
              </w:rPr>
              <w:t>Európai Unióban” című jelentésről szóló, 2023. március 30-i állásfoglalására</w:t>
            </w:r>
            <w:r w:rsidRPr="008A2298">
              <w:rPr>
                <w:b/>
                <w:i/>
                <w:vertAlign w:val="superscript"/>
              </w:rPr>
              <w:t>28</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28</w:t>
            </w:r>
            <w:r w:rsidRPr="008A2298">
              <w:rPr>
                <w:b/>
                <w:i/>
              </w:rPr>
              <w:t xml:space="preserve"> HL C 341., 2023.9.27., 2. o.</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Loránt </w:t>
      </w:r>
      <w:r w:rsidRPr="008A2298">
        <w:t>Vincze</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39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 és az Európa Tanács közötti intézményi </w:t>
            </w:r>
            <w:r w:rsidRPr="008A2298">
              <w:rPr>
                <w:b/>
                <w:i/>
              </w:rPr>
              <w:t>kapcsolatról szóló 2023. április 18-i állásfoglalására</w:t>
            </w:r>
            <w:r w:rsidRPr="008A2298">
              <w:rPr>
                <w:b/>
                <w:i/>
                <w:vertAlign w:val="superscript"/>
              </w:rPr>
              <w:t>28a</w:t>
            </w:r>
            <w:r w:rsidRPr="008A2298">
              <w:rPr>
                <w:b/>
                <w:i/>
              </w:rPr>
              <w:t>,</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28a</w:t>
            </w:r>
            <w:r w:rsidRPr="008A2298">
              <w:rPr>
                <w:b/>
                <w:i/>
              </w:rPr>
              <w:t xml:space="preserve"> HL C, C/2023/442, 2023.12.1.</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107</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 xml:space="preserve">Mariusz Kamiński, Joachim Stanisław </w:t>
      </w:r>
      <w:r w:rsidRPr="008A2298">
        <w:t>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w:t>
            </w:r>
            <w:r w:rsidRPr="008A2298">
              <w:rPr>
                <w:b/>
                <w:i/>
              </w:rPr>
              <w:t>Bizottság 2023. évi jogállamisági jelentéséről szóló jelentésről szóló, 2024. február 28-i állásfoglalására</w:t>
            </w:r>
            <w:r w:rsidRPr="008A2298">
              <w:rPr>
                <w:b/>
                <w:i/>
                <w:vertAlign w:val="superscript"/>
              </w:rPr>
              <w:t>29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29</w:t>
            </w:r>
            <w:r w:rsidRPr="008A2298">
              <w:rPr>
                <w:b/>
                <w:i/>
              </w:rPr>
              <w:t xml:space="preserve"> HL C, C/2024/6743, 2024.11.26., ELI: http://data.europa.eu/eli/C/2024/6743/oj.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 2023. évi jogállamisági jelentéséről szóló jelentésről szóló, 2024. február 28-i állásfoglalására</w:t>
            </w:r>
            <w:r w:rsidRPr="008A2298">
              <w:rPr>
                <w:b/>
                <w:i/>
                <w:vertAlign w:val="superscript"/>
              </w:rPr>
              <w:t>29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29</w:t>
            </w:r>
            <w:r w:rsidRPr="008A2298">
              <w:rPr>
                <w:b/>
                <w:i/>
              </w:rPr>
              <w:t xml:space="preserve"> HL C, C/2024/6743, 2024.11.26., ELI: http://data.europa.eu/eli/C/2024/6743/oj.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109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40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w:t>
            </w:r>
            <w:r w:rsidRPr="008A2298">
              <w:tab/>
            </w:r>
            <w:r w:rsidRPr="008A2298">
              <w:rPr>
                <w:b/>
                <w:i/>
              </w:rPr>
              <w:t>tekintettel a Bizottság 2023. évi jogállamisági jelentéséről szóló jelentésről szóló, 2024. február 28-i állásfoglalására</w:t>
            </w:r>
            <w:r w:rsidRPr="008A2298">
              <w:rPr>
                <w:b/>
                <w:i/>
                <w:vertAlign w:val="superscript"/>
              </w:rPr>
              <w:t>29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29</w:t>
            </w:r>
            <w:r w:rsidRPr="008A2298">
              <w:rPr>
                <w:b/>
                <w:i/>
              </w:rPr>
              <w:t xml:space="preserve"> HL C, C/2024/6743, 2024.11.26., ELI: </w:t>
            </w:r>
            <w:r w:rsidRPr="008A2298">
              <w:rPr>
                <w:b/>
                <w:i/>
              </w:rPr>
              <w:t>http://data.europa.eu/eli/C/2024/6743/oj.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40</w:t>
      </w:r>
      <w:r w:rsidRPr="008A2298">
        <w:t xml:space="preserve">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Bizottság 2023. évi jogállamisági jelentéséről szóló jelentésről szóló, 2024. február 28-i állásfoglalására</w:t>
            </w:r>
            <w:r w:rsidRPr="008A2298">
              <w:rPr>
                <w:b/>
                <w:i/>
                <w:vertAlign w:val="superscript"/>
              </w:rPr>
              <w:t>29</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29</w:t>
            </w:r>
            <w:r w:rsidRPr="008A2298">
              <w:rPr>
                <w:b/>
                <w:i/>
              </w:rPr>
              <w:t xml:space="preserve"> HL C, C/2024/6743, 2024.11.26., ELI: http://data.europa.eu/eli/C/2024/6743/oj.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Stanisław Brudziński, Jadwiga Wiśniewska, </w:t>
      </w:r>
      <w:r w:rsidRPr="008A2298">
        <w:t>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jogállamiság és az alapvető jogok </w:t>
            </w:r>
            <w:r w:rsidRPr="008A2298">
              <w:rPr>
                <w:b/>
                <w:i/>
              </w:rPr>
              <w:t>magyarországi megsértéséről és a befagyasztott uniós pénzeszközökről szóló, 2023. június 1-jei állásfoglalására</w:t>
            </w:r>
            <w:r w:rsidRPr="008A2298">
              <w:rPr>
                <w:b/>
                <w:i/>
                <w:vertAlign w:val="superscript"/>
              </w:rPr>
              <w:t>30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30</w:t>
            </w:r>
            <w:r w:rsidRPr="008A2298">
              <w:rPr>
                <w:b/>
                <w:i/>
              </w:rPr>
              <w:t xml:space="preserve"> HL C, C/2023/1223, 2023.12.21., ELI: </w:t>
            </w:r>
            <w:r w:rsidRPr="008A2298">
              <w:rPr>
                <w:b/>
                <w:i/>
              </w:rPr>
              <w:lastRenderedPageBreak/>
              <w:t>http://data.europa.eu/eli/C/2023/1223/oj.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41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 és az alapvető jogok magyarországi megsértéséről és a befagyasztott uniós pénzeszközökről szóló, 2023. június 1-jei állásfoglalására</w:t>
            </w:r>
            <w:r w:rsidRPr="008A2298">
              <w:rPr>
                <w:b/>
                <w:i/>
                <w:vertAlign w:val="superscript"/>
              </w:rPr>
              <w:t>30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30</w:t>
            </w:r>
            <w:r w:rsidRPr="008A2298">
              <w:rPr>
                <w:b/>
                <w:i/>
              </w:rPr>
              <w:t xml:space="preserve"> HL C, C/2023/1223, 2023.12.21., ELI: </w:t>
            </w:r>
            <w:r w:rsidRPr="008A2298">
              <w:rPr>
                <w:b/>
                <w:i/>
              </w:rPr>
              <w:t>http://data.europa.eu/eli/C/2023/1223/oj.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41</w:t>
      </w:r>
      <w:r w:rsidRPr="008A2298">
        <w:t xml:space="preserve">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jogállamiság és az alapvető jogok magyarországi megsértéséről és a befagyasztott uniós pénzeszközökről szóló, 2023. június 1-jei állásfoglalására</w:t>
            </w:r>
            <w:r w:rsidRPr="008A2298">
              <w:rPr>
                <w:b/>
                <w:i/>
                <w:vertAlign w:val="superscript"/>
              </w:rPr>
              <w:t>30</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30</w:t>
            </w:r>
            <w:r w:rsidRPr="008A2298">
              <w:rPr>
                <w:b/>
                <w:i/>
              </w:rPr>
              <w:t xml:space="preserve"> HL C, C/2023/1223, 2023.12.21., ELI: http://data.europa.eu/eli/C/2023/1223/oj.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114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Pegasus és azzal egyenértékű kémszoftverek használata tekintetében az uniós jog állítólagos </w:t>
            </w:r>
            <w:r w:rsidRPr="008A2298">
              <w:rPr>
                <w:b/>
                <w:i/>
              </w:rPr>
              <w:t>megsértésének és az annak alkalmazása során állítólagosan elkövetett hivatali visszásságoknak a kivizsgálását követően a Tanácshoz és a Bizottsághoz intézett, 2023. június 15-i ajánlására</w:t>
            </w:r>
            <w:r w:rsidRPr="008A2298">
              <w:rPr>
                <w:b/>
                <w:i/>
                <w:vertAlign w:val="superscript"/>
              </w:rPr>
              <w:t>31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31</w:t>
            </w:r>
            <w:r w:rsidRPr="008A2298">
              <w:rPr>
                <w:b/>
                <w:i/>
              </w:rPr>
              <w:t xml:space="preserve"> HL C, C/2024/494, 2024.1.23., ELI: http://data.europa.eu/eli/C/2024/494/oj.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w:t>
      </w:r>
      <w:r w:rsidRPr="008A2298">
        <w:t xml:space="preserve">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Pegasus és azzal egyenértékű kémszoftverek </w:t>
            </w:r>
            <w:r w:rsidRPr="008A2298">
              <w:rPr>
                <w:b/>
                <w:i/>
              </w:rPr>
              <w:t>használata tekintetében az uniós jog állítólagos megsértésének és az annak alkalmazása során állítólagosan elkövetett hivatali visszásságoknak a kivizsgálását követően a Tanácshoz és a Bizottsághoz intézett, 2023. június 15-i ajánlására</w:t>
            </w:r>
            <w:r w:rsidRPr="008A2298">
              <w:rPr>
                <w:b/>
                <w:i/>
                <w:vertAlign w:val="superscript"/>
              </w:rPr>
              <w:t>31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31</w:t>
            </w:r>
            <w:r w:rsidRPr="008A2298">
              <w:rPr>
                <w:b/>
                <w:i/>
              </w:rPr>
              <w:t xml:space="preserve"> HL C, C/2024/494, 2024.1.23., ELI: http://data.europa.eu/eli/C/2024/494/oj.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116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42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Pegasus és azzal egyenértékű kémszoftverek használata tekintetében az uniós jog állítólagos </w:t>
            </w:r>
            <w:r w:rsidRPr="008A2298">
              <w:rPr>
                <w:b/>
                <w:i/>
              </w:rPr>
              <w:t>megsértésének és az annak alkalmazása során állítólagosan elkövetett hivatali visszásságoknak a kivizsgálását követően a Tanácshoz és a Bizottsághoz intézett, 2023. június 15-i ajánlására</w:t>
            </w:r>
            <w:r w:rsidRPr="008A2298">
              <w:rPr>
                <w:b/>
                <w:i/>
                <w:vertAlign w:val="superscript"/>
              </w:rPr>
              <w:t>31</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31</w:t>
            </w:r>
            <w:r w:rsidRPr="008A2298">
              <w:rPr>
                <w:b/>
                <w:i/>
              </w:rPr>
              <w:t xml:space="preserve"> HL C, C/2024/494, 2024.1.23., ELI: http://data.europa.eu/eli/C/2024/494/oj.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w:t>
      </w:r>
      <w:r w:rsidRPr="008A2298">
        <w:t>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lengyelországi választási törvényről, vizsgálóbizottságról és jogállamiságról szóló, 2023. július 11-i állásfoglalására</w:t>
            </w:r>
            <w:r w:rsidRPr="008A2298">
              <w:rPr>
                <w:b/>
                <w:i/>
                <w:vertAlign w:val="superscript"/>
              </w:rPr>
              <w:t>32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32</w:t>
            </w:r>
            <w:r w:rsidRPr="008A2298">
              <w:rPr>
                <w:b/>
                <w:i/>
              </w:rPr>
              <w:t xml:space="preserve"> HL C, C/2024/3995, 2024.7.17., ELI: http://data.europa.eu/eli/C/2024/3995/oj.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lastRenderedPageBreak/>
        <w:t>&lt;Article&gt;</w:t>
      </w:r>
      <w:r w:rsidRPr="008A2298">
        <w:t>43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lengyelországi választási törvényről, vizsgálóbizottságról és jogállamiságról szóló, 2023. </w:t>
            </w:r>
            <w:r w:rsidRPr="008A2298">
              <w:rPr>
                <w:b/>
                <w:i/>
              </w:rPr>
              <w:t>július 11-i állásfoglalására</w:t>
            </w:r>
            <w:r w:rsidRPr="008A2298">
              <w:rPr>
                <w:b/>
                <w:i/>
                <w:vertAlign w:val="superscript"/>
              </w:rPr>
              <w:t>32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32</w:t>
            </w:r>
            <w:r w:rsidRPr="008A2298">
              <w:rPr>
                <w:b/>
                <w:i/>
              </w:rPr>
              <w:t xml:space="preserve"> HL C, C/2024/3995, 2024.7.17., ELI: http://data.europa.eu/eli/C/2024/3995/oj.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119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w:t>
      </w:r>
      <w:r w:rsidRPr="008A2298">
        <w:t>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43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lengyelországi választási törvényről, vizsgálóbizottságról és jogállamiságról szóló, 2023. július 11-i állásfoglalására</w:t>
            </w:r>
            <w:r w:rsidRPr="008A2298">
              <w:rPr>
                <w:b/>
                <w:i/>
                <w:vertAlign w:val="superscript"/>
              </w:rPr>
              <w:t>32</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32</w:t>
            </w:r>
            <w:r w:rsidRPr="008A2298">
              <w:rPr>
                <w:b/>
                <w:i/>
              </w:rPr>
              <w:t xml:space="preserve"> HL C, C/2024/3995, 2024.7.17., ELI: </w:t>
            </w:r>
            <w:r w:rsidRPr="008A2298">
              <w:rPr>
                <w:b/>
                <w:i/>
              </w:rPr>
              <w:t>http://data.europa.eu/eli/C/2024/3995/oj.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Emma Rafowicz, Birgit Sippel, Chloé Ridel, Krzysztof Śmiszek, Hannes Heide</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w:t>
      </w:r>
      <w:r w:rsidRPr="008A2298">
        <w:rPr>
          <w:rStyle w:val="HideTWBExt"/>
          <w:b w:val="0"/>
        </w:rPr>
        <w:t>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43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Commission Nationale consultative des Droits de l’Homme (nemzeti emberi jogi konzultatív </w:t>
            </w:r>
            <w:r w:rsidRPr="008A2298">
              <w:rPr>
                <w:b/>
                <w:i/>
              </w:rPr>
              <w:t xml:space="preserve">bizottság) közterület-felügyeletről szóló 2024. június </w:t>
            </w:r>
            <w:r w:rsidRPr="008A2298">
              <w:rPr>
                <w:b/>
                <w:i/>
              </w:rPr>
              <w:lastRenderedPageBreak/>
              <w:t>20-i véleményére</w:t>
            </w:r>
            <w:r w:rsidRPr="008A2298">
              <w:rPr>
                <w:b/>
                <w:i/>
                <w:vertAlign w:val="superscript"/>
              </w:rPr>
              <w:t>1a</w:t>
            </w:r>
            <w:r w:rsidRPr="008A2298">
              <w:rPr>
                <w:b/>
                <w:i/>
              </w:rPr>
              <w:t xml:space="preserve">, </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1a</w:t>
            </w:r>
            <w:r w:rsidRPr="008A2298">
              <w:rPr>
                <w:b/>
                <w:i/>
              </w:rPr>
              <w:t xml:space="preserve"> Commission nationale consultation des droits de l’homme (nemzeti emberi jogi konzultatív bizottság), vélemény a közterületek felügyeletéről, 2024. 20. 06.</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44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hat évvel Daphne Caruana Galizia meggyilkolása után a máltai jogállamiság helyzetéről, valamint az újságírók védelmének szükségességéről szóló, 2023. október 19-i állásfoglalására</w:t>
            </w:r>
            <w:r w:rsidRPr="008A2298">
              <w:rPr>
                <w:b/>
                <w:i/>
                <w:vertAlign w:val="superscript"/>
              </w:rPr>
              <w:t>33</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33</w:t>
            </w:r>
            <w:r w:rsidRPr="008A2298">
              <w:rPr>
                <w:b/>
                <w:i/>
              </w:rPr>
              <w:t xml:space="preserve"> HL C, C/2024/2656, 2024.4.29., ELI: http://data.europa.eu/eli/C/2024/2656/oj.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Ana Catarina Mendes, Chloé Ridel, Sandro Ruotolo, </w:t>
      </w:r>
      <w:r w:rsidRPr="008A2298">
        <w:t>Francisco Assis, Hannes Heide, Pina Picierno, Matjaž Nemec, Emma Rafowicz, Krzysztof Śmiszek, Katarina Barley, Evin Incir, Juan Fernando López Aguilar, Nacho Sánchez Amor, Marco Tarquinio, Javier Moreno Sánchez, Alessandro Zan, Cecilia Strada</w:t>
      </w:r>
      <w:r w:rsidRPr="008A2298">
        <w:rPr>
          <w:rStyle w:val="HideTWBExt"/>
          <w:b w:val="0"/>
        </w:rPr>
        <w:t>&lt;/Members&gt;</w:t>
      </w:r>
    </w:p>
    <w:p w:rsidR="00DD1D01" w:rsidRPr="008A2298" w:rsidRDefault="00B81B67" w:rsidP="00DD1D01">
      <w:pPr>
        <w:pStyle w:val="NormalBold"/>
      </w:pPr>
      <w:r w:rsidRPr="008A2298">
        <w:rPr>
          <w:rStyle w:val="HideTWBExt"/>
          <w:b w:val="0"/>
        </w:rPr>
        <w:t>&lt;/R</w:t>
      </w:r>
      <w:r w:rsidRPr="008A2298">
        <w:rPr>
          <w:rStyle w:val="HideTWBExt"/>
          <w:b w:val="0"/>
        </w:rPr>
        <w:t>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44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Bizottság „Nincs helye a gyűlöletnek: európai összefogás a gyűlölet </w:t>
            </w:r>
            <w:r w:rsidRPr="008A2298">
              <w:rPr>
                <w:b/>
                <w:i/>
              </w:rPr>
              <w:t>ellen” című, 2023. december 6-i közleményére (COM(2023)0051),</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alapvető jogok helyzete az Európai Unióban – a 2022 és 2023 közötti időszakra vonatkozó éves jelentés” című, 2024. január 18-i </w:t>
            </w:r>
            <w:r w:rsidRPr="008A2298">
              <w:rPr>
                <w:b/>
                <w:i/>
              </w:rPr>
              <w:t>állásfoglalására</w:t>
            </w:r>
            <w:r w:rsidRPr="008A2298">
              <w:rPr>
                <w:b/>
                <w:i/>
                <w:vertAlign w:val="superscript"/>
              </w:rPr>
              <w:t>34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34</w:t>
            </w:r>
            <w:r w:rsidRPr="008A2298">
              <w:rPr>
                <w:b/>
                <w:i/>
              </w:rPr>
              <w:t xml:space="preserve"> HL C, C/2024/5739, 2024.10.17., ELI: http://data.europa.eu/eli/C/2024/5739/oj.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45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alapvető jogok helyzete az Európai Unióban – a 2022 és 2023 </w:t>
            </w:r>
            <w:r w:rsidRPr="008A2298">
              <w:rPr>
                <w:b/>
                <w:i/>
              </w:rPr>
              <w:t>közötti időszakra vonatkozó éves jelentés” című, 2024. január 18-i állásfoglalására</w:t>
            </w:r>
            <w:r w:rsidRPr="008A2298">
              <w:rPr>
                <w:b/>
                <w:i/>
                <w:vertAlign w:val="superscript"/>
              </w:rPr>
              <w:t>34</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34</w:t>
            </w:r>
            <w:r w:rsidRPr="008A2298">
              <w:rPr>
                <w:b/>
                <w:i/>
              </w:rPr>
              <w:t xml:space="preserve"> HL C, C/2024/5739, 2024.10.17., ELI: http://data.europa.eu/eli/C/2024/5739/oj.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lastRenderedPageBreak/>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45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EUSZ 7. cikkének (1) bekezdése alapján Magyarországgal kapcsolatban a jogállamiság megerősítése érdekében folyamatban lévő meghallgatásokról és azok költségvetési vonatkozásairól szóló, 2024. április 24-i állásfoglalására,</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Ana Catarina Mendes, Chloé Ridel, Sandro Ruotolo, Francisco Assis, Hannes Heide, Pina Picierno, Matjaž Nemec, Emma Rafowicz, Krzysztof Śmiszek, Katarina Barley, Evin </w:t>
      </w:r>
      <w:r w:rsidRPr="008A2298">
        <w:t>Incir, Juan Fernando López Aguilar, Nacho Sánchez Amor, Marco Tarquinio, Javier Moreno Sánchez, Alessandro Zan, Cecilia Strada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45 a bevezető hivatkozás (új)</w:t>
      </w:r>
      <w:r w:rsidRPr="008A2298">
        <w:rPr>
          <w:rStyle w:val="HideTWBExt"/>
          <w:b w:val="0"/>
        </w:rPr>
        <w:t>&lt;/Artic</w:t>
      </w:r>
      <w:r w:rsidRPr="008A2298">
        <w:rPr>
          <w:rStyle w:val="HideTWBExt"/>
          <w:b w:val="0"/>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uniós bűncselekmények listájának a gyűlöletbeszéddel és a gyűlölet-bűncselekményekkel való kibővítéséről</w:t>
            </w:r>
            <w:r w:rsidRPr="008A2298">
              <w:rPr>
                <w:b/>
                <w:i/>
                <w:vertAlign w:val="subscript"/>
              </w:rPr>
              <w:t xml:space="preserve"> </w:t>
            </w:r>
            <w:r w:rsidRPr="008A2298">
              <w:rPr>
                <w:b/>
                <w:i/>
              </w:rPr>
              <w:t>szóló 2024. január 18-i állásfoglalására</w:t>
            </w:r>
            <w:r w:rsidRPr="008A2298">
              <w:rPr>
                <w:b/>
                <w:i/>
                <w:vertAlign w:val="subscript"/>
              </w:rPr>
              <w: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46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az Európa Tanács Parlamenti Közgyűlésének a nemzeti kisebbségekhez tartozó személyek jogainak előmozdításáról szóló 2262. </w:t>
            </w:r>
            <w:r w:rsidRPr="008A2298">
              <w:rPr>
                <w:b/>
                <w:i/>
              </w:rPr>
              <w:lastRenderedPageBreak/>
              <w:t>számú, 2019. január 24-i határozatára,</w:t>
            </w:r>
          </w:p>
        </w:tc>
        <w:tc>
          <w:tcPr>
            <w:tcW w:w="4876" w:type="dxa"/>
            <w:tcBorders>
              <w:top w:val="nil"/>
              <w:left w:val="nil"/>
              <w:bottom w:val="nil"/>
              <w:right w:val="nil"/>
            </w:tcBorders>
          </w:tcPr>
          <w:p w:rsidR="00DD1D01" w:rsidRPr="008A2298" w:rsidRDefault="00B81B67" w:rsidP="00CF051B">
            <w:pPr>
              <w:pStyle w:val="Normal6a"/>
            </w:pPr>
            <w:r w:rsidRPr="008A2298">
              <w:rPr>
                <w:b/>
                <w:i/>
              </w:rPr>
              <w:lastRenderedPageBreak/>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47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Demokratikus </w:t>
            </w:r>
            <w:r w:rsidRPr="008A2298">
              <w:rPr>
                <w:b/>
                <w:i/>
              </w:rPr>
              <w:t>Intézmények és Emberi Jogok Hivatalának, a nemzeti kisebbségi főbiztosnak, a médiaszabadsággal foglalkozó képviselőnek és az Európai Biztonsági és Együttműködési Szervezet (EBESZ) egyéb szerveinek ajánlásaira és jelentéseire, valamint az Európai Unió és az</w:t>
            </w:r>
            <w:r w:rsidRPr="008A2298">
              <w:rPr>
                <w:b/>
                <w:i/>
              </w:rPr>
              <w:t xml:space="preserve"> EBESZ között a demokratizálódás, az intézményépítés és az emberi jogok terén folytatott együttműködésre, valamint az EBESZ gyűlölet-bűncselekményekről szóló éves jelentésére, amelyben a részt vevő államok kötelezettséget vállaltak arra, hogy olyan jogszab</w:t>
            </w:r>
            <w:r w:rsidRPr="008A2298">
              <w:rPr>
                <w:b/>
                <w:i/>
              </w:rPr>
              <w:t xml:space="preserve">ályokat fogadnak el, amelyek figyelembe veszik a gyűlölet-bűncselekmények súlyosságát, intézkedéseket hoznak az alacsony bejelentési arány kezelésére, valamint kapacitásépítési tevékenységeket vezetnek be vagy fejlesztenek tovább a bűnüldözési, vádemelési </w:t>
            </w:r>
            <w:r w:rsidRPr="008A2298">
              <w:rPr>
                <w:b/>
                <w:i/>
              </w:rPr>
              <w:t>és igazságügyi tisztviselők számára a gyűlölet-bűncselekmények megelőzése, kivizsgálása és büntetőeljárás alá vonása érdekében,</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129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lastRenderedPageBreak/>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PEGA vizsgálóbizottságának jelentésére, valamint a Pegasus és </w:t>
            </w:r>
            <w:r w:rsidRPr="008A2298">
              <w:rPr>
                <w:b/>
                <w:i/>
              </w:rPr>
              <w:t>azzal egyenértékű kémszoftverek használata tekintetében az uniós jog állítólagos megsértésének és az annak alkalmazása során állítólagosan elkövetett hivatali visszásságoknak a kivizsgálását követően a Tanácshoz és a Bizottsághoz intézett, 2023. június 15-</w:t>
            </w:r>
            <w:r w:rsidRPr="008A2298">
              <w:rPr>
                <w:b/>
                <w:i/>
              </w:rPr>
              <w:t>i ajánlására</w:t>
            </w:r>
            <w:r w:rsidRPr="008A2298">
              <w:rPr>
                <w:b/>
                <w:i/>
                <w:vertAlign w:val="superscript"/>
              </w:rPr>
              <w:t>35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35</w:t>
            </w:r>
            <w:r w:rsidRPr="008A2298">
              <w:rPr>
                <w:b/>
                <w:i/>
              </w:rPr>
              <w:t xml:space="preserve"> HL C, C/2024/494, 2024.1.23., ELI: http://data.europa.eu/eli/C/2024/494/oj.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Mariusz Kamiński, Joachim </w:t>
      </w:r>
      <w:r w:rsidRPr="008A2298">
        <w:t>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w:t>
            </w:r>
            <w:r w:rsidRPr="008A2298">
              <w:rPr>
                <w:b/>
                <w:i/>
              </w:rPr>
              <w:t xml:space="preserve"> a PEGA vizsgálóbizottságának jelentésére, valamint a Pegasus és azzal egyenértékű kémszoftverek használata tekintetében az uniós jog állítólagos megsértésének és az annak alkalmazása során állítólagosan elkövetett hivatali visszásságoknak a kivizsgálását </w:t>
            </w:r>
            <w:r w:rsidRPr="008A2298">
              <w:rPr>
                <w:b/>
                <w:i/>
              </w:rPr>
              <w:t>követően a Tanácshoz és a Bizottsághoz intézett, 2023. június 15-i ajánlására</w:t>
            </w:r>
            <w:r w:rsidRPr="008A2298">
              <w:rPr>
                <w:b/>
                <w:i/>
                <w:vertAlign w:val="superscript"/>
              </w:rPr>
              <w:t>35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35</w:t>
            </w:r>
            <w:r w:rsidRPr="008A2298">
              <w:rPr>
                <w:b/>
                <w:i/>
              </w:rPr>
              <w:t xml:space="preserve"> HL C, C/2024/494, 2024.1.23., ELI: http://data.europa.eu/eli/C/2024/494/oj.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131</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48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PEGA </w:t>
            </w:r>
            <w:r w:rsidRPr="008A2298">
              <w:rPr>
                <w:b/>
                <w:i/>
              </w:rPr>
              <w:t>vizsgálóbizottságának jelentésére, valamint a Pegasus és azzal egyenértékű kémszoftverek használata tekintetében az uniós jog állítólagos megsértésének és az annak alkalmazása során állítólagosan elkövetett hivatali visszásságoknak a kivizsgálását követően</w:t>
            </w:r>
            <w:r w:rsidRPr="008A2298">
              <w:rPr>
                <w:b/>
                <w:i/>
              </w:rPr>
              <w:t xml:space="preserve"> a Tanácshoz és a Bizottsághoz intézett, 2023. június 15-i ajánlására</w:t>
            </w:r>
            <w:r w:rsidRPr="008A2298">
              <w:rPr>
                <w:b/>
                <w:i/>
                <w:vertAlign w:val="superscript"/>
              </w:rPr>
              <w:t>35</w:t>
            </w:r>
            <w:r w:rsidRPr="008A2298">
              <w:rPr>
                <w:b/>
                <w:i/>
              </w:rPr>
              <w:t>,</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35</w:t>
            </w:r>
            <w:r w:rsidRPr="008A2298">
              <w:rPr>
                <w:b/>
                <w:i/>
              </w:rPr>
              <w:t xml:space="preserve"> HL C, C/2024/494, 2024.1.23., ELI: http://data.europa.eu/eli/C/2024/494/oj.</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Sebastian Tynkkynen</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48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w:t>
            </w:r>
            <w:r w:rsidRPr="008A2298">
              <w:rPr>
                <w:b/>
                <w:i/>
              </w:rPr>
              <w:t>zsidó emberek antiszemitizmussal kapcsolatos tapasztalataira és benyomásaira az Európai Unió Alapjogi Ügynöksége által végzett felmérésben</w:t>
            </w:r>
            <w:r w:rsidRPr="008A2298">
              <w:rPr>
                <w:b/>
                <w:i/>
                <w:vertAlign w:val="superscript"/>
              </w:rPr>
              <w:t>35a</w:t>
            </w:r>
            <w:r w:rsidRPr="008A2298">
              <w:rPr>
                <w:b/>
                <w:i/>
              </w:rPr>
              <w:t>,</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 xml:space="preserve">35a. Jewish People’s Experiences and Perceptions of Antisemitism – EU Survey of Jewish People (Zsidó emberek </w:t>
            </w:r>
            <w:r w:rsidRPr="008A2298">
              <w:rPr>
                <w:b/>
                <w:i/>
              </w:rPr>
              <w:t>antiszemitizmussal kapcsolatos tapasztalatai és benyomásai – az EU Alapjogi Ügynökségének felmérése), 2024.7.11. https://fra.europa.eu/en/publication/2024/ experiences-and-perceptions- antisemitism-third-survey</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{FI}</w:t>
      </w:r>
      <w:r w:rsidRPr="008A2298">
        <w:t>fi</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w:t>
      </w:r>
      <w:r w:rsidRPr="008A2298">
        <w:rPr>
          <w:rStyle w:val="HideTWBExt"/>
          <w:b w:val="0"/>
        </w:rPr>
        <w:t>end&gt;</w:t>
      </w:r>
      <w:r w:rsidRPr="008A2298">
        <w:t>Módosítás</w:t>
      </w:r>
      <w:r w:rsidRPr="008A2298">
        <w:tab/>
      </w:r>
      <w:r w:rsidRPr="008A2298">
        <w:tab/>
      </w:r>
      <w:r w:rsidRPr="008A2298">
        <w:rPr>
          <w:rStyle w:val="HideTWBExt"/>
          <w:b w:val="0"/>
        </w:rPr>
        <w:t>&lt;NumAm&gt;</w:t>
      </w:r>
      <w:r w:rsidRPr="008A2298">
        <w:t>133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49 beveze</w:t>
      </w:r>
      <w:r w:rsidRPr="008A2298">
        <w:t>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demokrácia, a jogállamiság és az alapvető jogok nyomon követésével foglalkozó csoport</w:t>
            </w:r>
            <w:r w:rsidRPr="008A2298">
              <w:rPr>
                <w:b/>
                <w:i/>
                <w:vertAlign w:val="superscript"/>
              </w:rPr>
              <w:t>36</w:t>
            </w:r>
            <w:r w:rsidRPr="008A2298">
              <w:rPr>
                <w:b/>
                <w:i/>
              </w:rPr>
              <w:t xml:space="preserve"> (DRFMG) visszajelzési jelentéseire, kiküldetési jelentéseire, írásbeli kérdéseire és válaszaira,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36</w:t>
            </w:r>
            <w:r w:rsidRPr="008A2298">
              <w:rPr>
                <w:b/>
                <w:i/>
              </w:rPr>
              <w:t xml:space="preserve"> A DRFMG összes monitoringtevékenységét lásd: </w:t>
            </w:r>
            <w:r w:rsidRPr="008A2298">
              <w:rPr>
                <w:b/>
                <w:i/>
              </w:rPr>
              <w:t>https://www.europarl.europa.eu/committees/en/libe-democracy-rule-of-law-and-fundament/product-details/20190103CDT02662.</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demokrácia, a jogállamiság és az alapvető jogok nyomon követésével </w:t>
            </w:r>
            <w:r w:rsidRPr="008A2298">
              <w:rPr>
                <w:b/>
                <w:i/>
              </w:rPr>
              <w:t>foglalkozó csoport</w:t>
            </w:r>
            <w:r w:rsidRPr="008A2298">
              <w:rPr>
                <w:b/>
                <w:i/>
                <w:vertAlign w:val="superscript"/>
              </w:rPr>
              <w:t>36</w:t>
            </w:r>
            <w:r w:rsidRPr="008A2298">
              <w:rPr>
                <w:b/>
                <w:i/>
              </w:rPr>
              <w:t xml:space="preserve"> (DRFMG) visszajelzési jelentéseire, kiküldetési jelentéseire, írásbeli kérdéseire és válaszaira,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36</w:t>
            </w:r>
            <w:r w:rsidRPr="008A2298">
              <w:rPr>
                <w:b/>
                <w:i/>
              </w:rPr>
              <w:t xml:space="preserve"> A DRFMG összes monitoringtevékenységét lásd: </w:t>
            </w:r>
            <w:r w:rsidRPr="008A2298">
              <w:rPr>
                <w:b/>
                <w:i/>
              </w:rPr>
              <w:t>https://www.europarl.europa.eu/committe</w:t>
            </w:r>
            <w:r w:rsidRPr="008A2298">
              <w:rPr>
                <w:b/>
                <w:i/>
              </w:rPr>
              <w:lastRenderedPageBreak/>
              <w:t>es/en/libe-democracy-rule-of-law-and-fundament/product-details/20190103CDT02662.</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w:t>
      </w:r>
      <w:r w:rsidRPr="008A2298">
        <w:rPr>
          <w:rStyle w:val="HideTWBExt"/>
          <w:b w:val="0"/>
        </w:rPr>
        <w:t>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49 bevezető hivatkozás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demokrácia, a jogállamiság és az alapvető jogok nyomon követésével foglalkozó </w:t>
            </w:r>
            <w:r w:rsidRPr="008A2298">
              <w:rPr>
                <w:b/>
                <w:i/>
              </w:rPr>
              <w:t>csoport</w:t>
            </w:r>
            <w:r w:rsidRPr="008A2298">
              <w:rPr>
                <w:b/>
                <w:i/>
                <w:vertAlign w:val="superscript"/>
              </w:rPr>
              <w:t>36</w:t>
            </w:r>
            <w:r w:rsidRPr="008A2298">
              <w:rPr>
                <w:b/>
                <w:i/>
              </w:rPr>
              <w:t xml:space="preserve"> (DRFMG) visszajelzési jelentéseire, kiküldetési jelentéseire, írásbeli kérdéseire és válaszaira,</w:t>
            </w:r>
          </w:p>
        </w:tc>
        <w:tc>
          <w:tcPr>
            <w:tcW w:w="4876" w:type="dxa"/>
            <w:tcBorders>
              <w:top w:val="nil"/>
              <w:left w:val="nil"/>
              <w:bottom w:val="nil"/>
              <w:right w:val="nil"/>
            </w:tcBorders>
          </w:tcPr>
          <w:p w:rsidR="00DD1D01" w:rsidRPr="008A2298" w:rsidRDefault="00B81B67" w:rsidP="00CF051B">
            <w:pPr>
              <w:pStyle w:val="Normal6a"/>
            </w:pPr>
            <w:r w:rsidRPr="008A2298">
              <w:rPr>
                <w:b/>
                <w:i/>
              </w:rPr>
              <w:t>törölve</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36</w:t>
            </w:r>
            <w:r w:rsidRPr="008A2298">
              <w:rPr>
                <w:b/>
                <w:i/>
              </w:rPr>
              <w:t xml:space="preserve"> A DRFMG összes monitoringtevékenységét lásd: </w:t>
            </w:r>
            <w:r w:rsidRPr="008A2298">
              <w:rPr>
                <w:b/>
                <w:i/>
              </w:rPr>
              <w:t>https://www.europarl.europa.eu/committees/en/libe-democracy-rule-of-law-and-fundament/product-details/20190103CDT02662.</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Tomas Tobé, Mika Aaltola, Pekka</w:t>
      </w:r>
      <w:r w:rsidRPr="008A2298">
        <w:t xml:space="preserve"> Toveri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49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Finnország és Svédország kormányának a jogállamisági</w:t>
            </w:r>
            <w:r w:rsidRPr="008A2298">
              <w:rPr>
                <w:b/>
                <w:i/>
              </w:rPr>
              <w:t xml:space="preserve"> politika és eszközök megerősítésének átfogó megközelítéséről szóló, 2024. szeptember 16-i stockholmi együttes ülésén megfogalmazott közös levélre,</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Moritz Körner, Hilde Vautmans, Nikola Minchev, Veronika Cifrová Ostrihoňová, Chloé Ridel, Abir Al-Sahlani, Fabienne Keller, Lucia Yar, Irena Joveva, Isabel Wiseler-Lima</w:t>
      </w:r>
      <w:r w:rsidRPr="008A2298">
        <w:rPr>
          <w:rStyle w:val="HideTWBExt"/>
          <w:b w:val="0"/>
        </w:rPr>
        <w:t>&lt;/Members&gt;</w:t>
      </w:r>
    </w:p>
    <w:p w:rsidR="00DD1D01" w:rsidRPr="008A2298" w:rsidRDefault="00B81B67" w:rsidP="00DD1D0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DD1D01" w:rsidRPr="008A2298" w:rsidRDefault="00B81B67" w:rsidP="00DD1D01">
      <w:pPr>
        <w:pStyle w:val="NormalBold"/>
      </w:pPr>
      <w:r w:rsidRPr="008A2298">
        <w:rPr>
          <w:rStyle w:val="HideTWBExt"/>
          <w:b w:val="0"/>
        </w:rPr>
        <w:t>&lt;Members&gt;</w:t>
      </w:r>
      <w:r w:rsidRPr="008A2298">
        <w:t>Sophie Wilmès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52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az Európai Számvevőszéknek</w:t>
            </w:r>
            <w:r w:rsidRPr="008A2298">
              <w:rPr>
                <w:b/>
                <w:i/>
              </w:rPr>
              <w:t xml:space="preserve"> az uniós jog érvényesítéséről (28/2024. sz. különjelentés), a Bizottság jogállamisági jelentéséről (2/2024. sz. felülvizsgálat) és az uniós jogállamiságról szóló (3/2024. sz. különjelentés) közelmúltbeli jelentéseire és ajánlásaira,</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Lukas Mandl</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52 a bevezető hivatkozás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tekintettel a következő Európai Bizottság számára készült, a 2024–2029 közötti időszakra vonatkozó politikai iránymutatásokra, amelyeket Ursula von der Leyen, a Bizottság elnökjelöltje 2019. július 16-án terjesztett elő,</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139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Moritz Körner, Hilde Vautmans, Nikola Minchev, Veronika Cifrová Ostrihoňová, Abir Al-Sahlani, Chloé Ridel, Fabienne Keller, Lucia Yar, Irena Joveva, Isabel </w:t>
      </w:r>
      <w:r w:rsidRPr="008A2298">
        <w:t>Wiseler-Lima</w:t>
      </w:r>
      <w:r w:rsidRPr="008A2298">
        <w:rPr>
          <w:rStyle w:val="HideTWBExt"/>
          <w:b w:val="0"/>
        </w:rPr>
        <w:t>&lt;/Members&gt;</w:t>
      </w:r>
    </w:p>
    <w:p w:rsidR="00DD1D01" w:rsidRPr="008A2298" w:rsidRDefault="00B81B67" w:rsidP="00DD1D01">
      <w:r w:rsidRPr="008A2298">
        <w:rPr>
          <w:rStyle w:val="HideTWBExt"/>
        </w:rPr>
        <w:lastRenderedPageBreak/>
        <w:t>&lt;AuNomDe&gt;</w:t>
      </w:r>
      <w:r w:rsidRPr="008A2298">
        <w:rPr>
          <w:rStyle w:val="HideTWBInt"/>
          <w:color w:val="auto"/>
        </w:rPr>
        <w:t>{LIBE}</w:t>
      </w:r>
      <w:r w:rsidRPr="008A2298">
        <w:t>az Állampolgári Jogi, Bel- és Igazságügyi Bizottság nevében</w:t>
      </w:r>
      <w:r w:rsidRPr="008A2298">
        <w:rPr>
          <w:rStyle w:val="HideTWBExt"/>
        </w:rPr>
        <w:t>&lt;/AuNomDe&gt;</w:t>
      </w:r>
    </w:p>
    <w:p w:rsidR="00DD1D01" w:rsidRPr="008A2298" w:rsidRDefault="00B81B67" w:rsidP="00DD1D01">
      <w:pPr>
        <w:pStyle w:val="NormalBold"/>
      </w:pPr>
      <w:r w:rsidRPr="008A2298">
        <w:rPr>
          <w:rStyle w:val="HideTWBExt"/>
          <w:b w:val="0"/>
        </w:rPr>
        <w:t>&lt;Members&gt;</w:t>
      </w:r>
      <w:r w:rsidRPr="008A2298">
        <w:t>Sophie Wilmès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52 b bevezető hivatkozás (új)</w:t>
      </w:r>
      <w:r w:rsidRPr="008A2298">
        <w:rPr>
          <w:rStyle w:val="HideTWBExt"/>
          <w:b w:val="0"/>
        </w:rPr>
        <w:t>&lt;/A</w:t>
      </w:r>
      <w:r w:rsidRPr="008A2298">
        <w:rPr>
          <w:rStyle w:val="HideTWBExt"/>
          <w:b w:val="0"/>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w:t>
            </w:r>
            <w:r w:rsidRPr="008A2298">
              <w:tab/>
            </w:r>
            <w:r w:rsidRPr="008A2298">
              <w:rPr>
                <w:b/>
                <w:i/>
              </w:rPr>
              <w:t xml:space="preserve">tekintettel a korrupcióról készített 2024. évi Eurobarométer felmérésekre, amelyek azt mutatják, hogy a korrupció továbbra is komoly aggodalomra ad okot a polgárok és vállalkozások számára az </w:t>
            </w:r>
            <w:r w:rsidRPr="008A2298">
              <w:rPr>
                <w:b/>
                <w:i/>
              </w:rPr>
              <w:t>EU-ban,</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Isabel Serra Sánchez, Ana Catarina Mendes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A </w:t>
      </w:r>
      <w:r w:rsidRPr="008A2298">
        <w:t>preambulumbekezdés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A.</w:t>
            </w:r>
            <w:r w:rsidRPr="008A2298">
              <w:tab/>
              <w:t xml:space="preserve">mivel az Unió az emberi méltóság tiszteletben tartása, a szabadság, a demokrácia, az egyenlőség, a jogállamiság, valamint az emberi jogok – ideértve a kisebbségekhez tartozó </w:t>
            </w:r>
            <w:r w:rsidRPr="008A2298">
              <w:t>személyek jogait – tiszteletben tartásának az EUSZ 2. cikkében foglalt közös értékein alapul, és mivel ezek a tagállamok közös értékei;</w:t>
            </w:r>
          </w:p>
        </w:tc>
        <w:tc>
          <w:tcPr>
            <w:tcW w:w="4876" w:type="dxa"/>
            <w:tcBorders>
              <w:top w:val="nil"/>
              <w:left w:val="nil"/>
              <w:bottom w:val="nil"/>
              <w:right w:val="nil"/>
            </w:tcBorders>
          </w:tcPr>
          <w:p w:rsidR="00DD1D01" w:rsidRPr="008A2298" w:rsidRDefault="00B81B67" w:rsidP="00CF051B">
            <w:pPr>
              <w:pStyle w:val="Normal6a"/>
            </w:pPr>
            <w:r w:rsidRPr="008A2298">
              <w:t>A.</w:t>
            </w:r>
            <w:r w:rsidRPr="008A2298">
              <w:tab/>
              <w:t>mivel az Unió az emberi méltóság tiszteletben tartása, a szabadság, a demokrácia, az egyenlőség, a jogállamiság, vala</w:t>
            </w:r>
            <w:r w:rsidRPr="008A2298">
              <w:t>mint az emberi jogok – ideértve a kisebbségekhez tartozó személyek jogait – tiszteletben tartásának az EUSZ 2. cikkében foglalt közös értékein alapul, és mivel ezek a tagállamok közös értékei</w:t>
            </w:r>
            <w:r w:rsidRPr="008A2298">
              <w:rPr>
                <w:b/>
                <w:i/>
              </w:rPr>
              <w:t>, és ahogyan azt a Charta rögzíti, valamint ahogyan azt a nemzetk</w:t>
            </w:r>
            <w:r w:rsidRPr="008A2298">
              <w:rPr>
                <w:b/>
                <w:i/>
              </w:rPr>
              <w:t>özi emberi jogi szerződések is tartalmazzák;</w:t>
            </w:r>
            <w:r w:rsidRPr="008A2298">
              <w:t xml:space="preserve"> </w:t>
            </w:r>
            <w:r w:rsidRPr="008A2298">
              <w:rPr>
                <w:b/>
                <w:i/>
              </w:rPr>
              <w:t>mivel a Charta az elsődleges uniós jog része; mivel a demokrácia, a jogállamiság és az alapvető jogok egymást kölcsönösen erősítő értékek, amelyek sérelme rendszerszintű fenyegetést jelent az Unióban élők jogair</w:t>
            </w:r>
            <w:r w:rsidRPr="008A2298">
              <w:rPr>
                <w:b/>
                <w:i/>
              </w:rPr>
              <w:t>a és szabadságára nézve;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141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preambulumbekezdés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A.</w:t>
            </w:r>
            <w:r w:rsidRPr="008A2298">
              <w:tab/>
              <w:t xml:space="preserve">mivel az Unió az emberi méltóság tiszteletben tartása, a szabadság, a demokrácia, az egyenlőség, a </w:t>
            </w:r>
            <w:r w:rsidRPr="008A2298">
              <w:t>jogállamiság, valamint az emberi jogok – ideértve a kisebbségekhez tartozó személyek jogait – tiszteletben tartásának az EUSZ 2. cikkében foglalt közös értékein alapul, és mivel ezek a tagállamok közös értékei;</w:t>
            </w:r>
          </w:p>
        </w:tc>
        <w:tc>
          <w:tcPr>
            <w:tcW w:w="4876" w:type="dxa"/>
            <w:tcBorders>
              <w:top w:val="nil"/>
              <w:left w:val="nil"/>
              <w:bottom w:val="nil"/>
              <w:right w:val="nil"/>
            </w:tcBorders>
          </w:tcPr>
          <w:p w:rsidR="00DD1D01" w:rsidRPr="008A2298" w:rsidRDefault="00B81B67" w:rsidP="00CF051B">
            <w:pPr>
              <w:pStyle w:val="Normal6a"/>
            </w:pPr>
            <w:r w:rsidRPr="008A2298">
              <w:t>A.</w:t>
            </w:r>
            <w:r w:rsidRPr="008A2298">
              <w:tab/>
              <w:t>mivel az Unió az emberi méltóság tisztelet</w:t>
            </w:r>
            <w:r w:rsidRPr="008A2298">
              <w:t>ben tartása, a szabadság, a demokrácia, az egyenlőség, a jogállamiság, valamint az emberi jogok – ideértve a kisebbségekhez tartozó személyek jogait – tiszteletben tartásának az EUSZ 2. cikkében foglalt közös értékein alapul, és mivel ezek a tagállamok köz</w:t>
            </w:r>
            <w:r w:rsidRPr="008A2298">
              <w:t>ös értékei</w:t>
            </w:r>
            <w:r w:rsidRPr="008A2298">
              <w:rPr>
                <w:b/>
                <w:i/>
              </w:rPr>
              <w:t>, egy olyan társadalomban, amelyet a pluralizmus, a megkülönböztetés tilalma, a tolerancia, az igazságosság, a szolidaritás, valamint a nők és a férfiak közötti egyenlőség jellemez</w:t>
            </w:r>
            <w:r w:rsidRPr="008A2298">
              <w: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preambulumbekezdés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A.</w:t>
            </w:r>
            <w:r w:rsidRPr="008A2298">
              <w:tab/>
              <w:t xml:space="preserve">mivel az Unió az emberi </w:t>
            </w:r>
            <w:r w:rsidRPr="008A2298">
              <w:t>méltóság tiszteletben tartása, a szabadság, a demokrácia, az egyenlőség, a jogállamiság, valamint az emberi jogok – ideértve a kisebbségekhez tartozó személyek jogait – tiszteletben tartásának az EUSZ 2. cikkében foglalt közös értékein alapul, és mivel eze</w:t>
            </w:r>
            <w:r w:rsidRPr="008A2298">
              <w:t>k a tagállamok közös értékei;</w:t>
            </w:r>
          </w:p>
        </w:tc>
        <w:tc>
          <w:tcPr>
            <w:tcW w:w="4876" w:type="dxa"/>
            <w:tcBorders>
              <w:top w:val="nil"/>
              <w:left w:val="nil"/>
              <w:bottom w:val="nil"/>
              <w:right w:val="nil"/>
            </w:tcBorders>
          </w:tcPr>
          <w:p w:rsidR="00DD1D01" w:rsidRPr="008A2298" w:rsidRDefault="00B81B67" w:rsidP="00CF051B">
            <w:pPr>
              <w:pStyle w:val="Normal6a"/>
            </w:pPr>
            <w:r w:rsidRPr="008A2298">
              <w:t>A.</w:t>
            </w:r>
            <w:r w:rsidRPr="008A2298">
              <w:tab/>
              <w:t>mivel az Unió az emberi méltóság tiszteletben tartása, a szabadság, a demokrácia, az egyenlőség, a jogállamiság, valamint az emberi jogok – ideértve a kisebbségekhez tartozó személyek jogait – tiszteletben tartásának az EUS</w:t>
            </w:r>
            <w:r w:rsidRPr="008A2298">
              <w:t>Z 2. cikkében foglalt közös értékein alapul, és mivel ezek a tagállamok közös értékei</w:t>
            </w:r>
            <w:r w:rsidRPr="008A2298">
              <w:rPr>
                <w:b/>
                <w:i/>
              </w:rPr>
              <w:t>, egy olyan társadalomban, amelyet a pluralizmus, a megkülönböztetés tilalma, a tolerancia, az igazságosság, a szolidaritás, valamint a nők és a férfiak közötti egyenlőség</w:t>
            </w:r>
            <w:r w:rsidRPr="008A2298">
              <w:rPr>
                <w:b/>
                <w:i/>
              </w:rPr>
              <w:t xml:space="preserve"> jellemez</w:t>
            </w:r>
            <w:r w:rsidRPr="008A2298">
              <w: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lastRenderedPageBreak/>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preambulumbekezdés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A.</w:t>
            </w:r>
            <w:r w:rsidRPr="008A2298">
              <w:tab/>
              <w:t>mivel az Unió az emberi méltóság tiszteletben tartása, a szabadság, a demokrácia, az egyenlőség, a jogállamiság, valamint az emberi jogok – ideértve a kisebbségekhez tartozó személyek jogait – tiszteletben t</w:t>
            </w:r>
            <w:r w:rsidRPr="008A2298">
              <w:t>artásának az EUSZ 2. cikkében foglalt közös értékein alapul, és mivel ezek a tagállamok közös értékei;</w:t>
            </w:r>
          </w:p>
        </w:tc>
        <w:tc>
          <w:tcPr>
            <w:tcW w:w="4876" w:type="dxa"/>
            <w:tcBorders>
              <w:top w:val="nil"/>
              <w:left w:val="nil"/>
              <w:bottom w:val="nil"/>
              <w:right w:val="nil"/>
            </w:tcBorders>
          </w:tcPr>
          <w:p w:rsidR="00DD1D01" w:rsidRPr="008A2298" w:rsidRDefault="00B81B67" w:rsidP="00CF051B">
            <w:pPr>
              <w:pStyle w:val="Normal6a"/>
            </w:pPr>
            <w:r w:rsidRPr="008A2298">
              <w:t>A.</w:t>
            </w:r>
            <w:r w:rsidRPr="008A2298">
              <w:tab/>
              <w:t>mivel az Unió az emberi méltóság tiszteletben tartása, a szabadság, a demokrácia, az egyenlőség, a jogállamiság, valamint az emberi jogok – ideértve a</w:t>
            </w:r>
            <w:r w:rsidRPr="008A2298">
              <w:t xml:space="preserve"> kisebbségekhez tartozó személyek jogait – tiszteletben tartásának az EUSZ 2. cikkében foglalt közös értékein alapul, és mivel ezek a tagállamok közös értékei; </w:t>
            </w:r>
            <w:r w:rsidRPr="008A2298">
              <w:rPr>
                <w:b/>
                <w:i/>
              </w:rPr>
              <w:t>mivel az uniós intézményeknek szintén be kell tartaniuk a jogállamiságot, amikor eljárnak;</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Klára Dobrev, Csaba Molnár, Birgit Sippel, Krzysztof Śmiszek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w:t>
      </w:r>
      <w:r w:rsidRPr="008A2298">
        <w:t xml:space="preserve">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 xml:space="preserve">mivel az EUSZ 49. cikkéből kitűnik – amely úgy rendelkezik, hogy bármely európai állam kérheti felvételét az Európai Unióba –, hogy az Unió olyan államokból áll, </w:t>
            </w:r>
            <w:r w:rsidRPr="008A2298">
              <w:rPr>
                <w:b/>
                <w:i/>
              </w:rPr>
              <w:t>amelyek szabadon és önkéntesen elkötelezték magukat az EUSZ 2. cikkében említett közös értékek mellett, tiszteletben tartják azokat, és elkötelezettek azok érvényesítése mellett; mivel az uniós jog tehát az alapvető előfeltevésen alapul, hogy minden tagáll</w:t>
            </w:r>
            <w:r w:rsidRPr="008A2298">
              <w:rPr>
                <w:b/>
                <w:i/>
              </w:rPr>
              <w:t xml:space="preserve">am osztozik az összes többi tagállammal az említett értékekben, és elismeri, hogy azok osztják ezen értékeket vele; mivel ez az előfeltevés maga után vonja és igazolja a tagállamok közötti </w:t>
            </w:r>
            <w:r w:rsidRPr="008A2298">
              <w:rPr>
                <w:b/>
                <w:i/>
              </w:rPr>
              <w:lastRenderedPageBreak/>
              <w:t>kölcsönös bizalom fennállását ezen értékek elismerése, és így az az</w:t>
            </w:r>
            <w:r w:rsidRPr="008A2298">
              <w:rPr>
                <w:b/>
                <w:i/>
              </w:rPr>
              <w:t>okat végrehajtó uniós jog tiszteletben tartása tekintetében</w:t>
            </w:r>
            <w:r w:rsidRPr="008A2298">
              <w:rPr>
                <w:b/>
                <w:i/>
                <w:vertAlign w:val="superscript"/>
              </w:rPr>
              <w:t>1a</w:t>
            </w:r>
            <w:r w:rsidRPr="008A2298">
              <w:rPr>
                <w:b/>
                <w:i/>
              </w:rPr>
              <w:t>;</w:t>
            </w:r>
            <w:r w:rsidRPr="008A2298">
              <w:rPr>
                <w:b/>
                <w:i/>
                <w:vertAlign w:val="superscript"/>
              </w:rPr>
              <w:t>2a</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1a</w:t>
            </w:r>
            <w:r w:rsidRPr="008A2298">
              <w:rPr>
                <w:b/>
                <w:i/>
              </w:rPr>
              <w:t xml:space="preserve"> EUB, 2/13. sz. vélemény, 2014. december 18., ECLI:EU:C:2014:2454, 168. pont.</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tc>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2a</w:t>
            </w:r>
            <w:r w:rsidRPr="008A2298">
              <w:rPr>
                <w:b/>
                <w:i/>
              </w:rPr>
              <w:t xml:space="preserve"> EUB, C-619/18. sz ítélet, 2019. június 24., Európai Bizottság kontra Lengyel Köztársaság, ECLI: EU:C:2018:531, 42. pont.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w:t>
      </w:r>
      <w:r w:rsidRPr="008A2298">
        <w:rPr>
          <w:rStyle w:val="HideTWBExt"/>
          <w:b w:val="0"/>
        </w:rPr>
        <w:t>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 xml:space="preserve">mivel az EUSZ 49. cikkéből – amelynek értelmében bármely európai állam kérheti </w:t>
            </w:r>
            <w:r w:rsidRPr="008A2298">
              <w:rPr>
                <w:b/>
                <w:i/>
              </w:rPr>
              <w:t>felvételét az Európai Unióba – kitűnik, hogy az Európai Unió olyan államokból áll, amelyek szabadon és önkéntesen elkötelezték magukat az EUSZ 2. cikkében említett közös értékek mellett, amelyek tiszteletben tartják ezeket az értékeket és vállalják azok ér</w:t>
            </w:r>
            <w:r w:rsidRPr="008A2298">
              <w:rPr>
                <w:b/>
                <w:i/>
              </w:rPr>
              <w:t xml:space="preserve">vényesítését, mivel az uniós jog azon az alapvető előfeltevésen alapul, hogy minden tagállam osztozik az összes többi tagállammal az említett értékekben, és elismeri, hogy azok osztják ezen értékeket vele; mivel a tagállamoknak biztosítaniuk kell, hogy az </w:t>
            </w:r>
            <w:r w:rsidRPr="008A2298">
              <w:rPr>
                <w:b/>
                <w:i/>
              </w:rPr>
              <w:t>EUSZ 2. cikkében foglalt értékek védelme terén megakadályozzák a visszaesést;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146</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Isabel Serra Sánchez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w:t>
      </w:r>
      <w:r w:rsidRPr="008A2298">
        <w:t xml:space="preserve">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 xml:space="preserve">mivel Európa múltjának az EUSZ 2. cikkében foglalt értékek alapján történő megközelítése döntő jelentőségű; mivel a </w:t>
            </w:r>
            <w:r w:rsidRPr="008A2298">
              <w:rPr>
                <w:b/>
                <w:i/>
              </w:rPr>
              <w:t>történelmet egyáltalán nem szabad politikai célból relativizálni, torzítani vagy meghamisítani; mivel azok az esetek, amikor a tagállamok visszaélnek az emlékezetre vonatkozó jogszabályokkal és megsértik azokat, hozzájárulnak a történelem és a totalitárius</w:t>
            </w:r>
            <w:r w:rsidRPr="008A2298">
              <w:rPr>
                <w:b/>
                <w:i/>
              </w:rPr>
              <w:t xml:space="preserve"> rendszerek által elkövetett bűncselekmények tagadásához, amelyek megismétlését el kell kerülni; mivel az elmúlt évben Spanyolország egyes településein a helyi hatóságok megsértették a spanyol történelmi emlékezetről szóló törvényt;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Michał Wawrykiewicz, Ana Catarina Mendes, Moritz Körner</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w:t>
      </w:r>
      <w:r w:rsidRPr="008A2298">
        <w:t>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 xml:space="preserve">mivel a civil társadalmi szervezetek, a jogi közösség, az egyesületek, a független média és az alulról szerveződő mozgalmak az átláthatóság, az elszámoltathatóság és a polgárok </w:t>
            </w:r>
            <w:r w:rsidRPr="008A2298">
              <w:rPr>
                <w:b/>
                <w:i/>
              </w:rPr>
              <w:t>demokratikus folyamatokban való részvételének előmozdítása révén továbbra is a jogállamiság sarokkövei maradnak; mivel ezek a szereplők – gyakran egyre nagyobb politikai és jogi korlátok között – alapvető szerepet játszottak az igazságszolgáltatás függetle</w:t>
            </w:r>
            <w:r w:rsidRPr="008A2298">
              <w:rPr>
                <w:b/>
                <w:i/>
              </w:rPr>
              <w:t xml:space="preserve">nsége, a véleménynyilvánítás szabadsága és más alkotmányos értékek </w:t>
            </w:r>
            <w:r w:rsidRPr="008A2298">
              <w:rPr>
                <w:b/>
                <w:i/>
              </w:rPr>
              <w:lastRenderedPageBreak/>
              <w:t>megőrzésében;</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Marieke Ehlers, Jorge Buxadé Villalba, Tom Vandendriessche, Fabrice </w:t>
      </w:r>
      <w:r w:rsidRPr="008A2298">
        <w:t>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 xml:space="preserve">mivel a Bizottság egyrészt arra törekszik, hogy a tagállamokat </w:t>
            </w:r>
            <w:r w:rsidRPr="008A2298">
              <w:rPr>
                <w:b/>
                <w:i/>
              </w:rPr>
              <w:t>az uniós joghoz kösse, az Uniót hierarchikusan a tagállamok fölé emelve, másrészt pedig arra törekszik, hogy a jogállamiság hagyományos tartalmát szubjektív értékek és elvek kialakítása révén váltsa fel;</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149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w:t>
      </w:r>
      <w:r w:rsidRPr="008A2298">
        <w:t>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Aa.</w:t>
            </w:r>
            <w:r w:rsidRPr="008A2298">
              <w:tab/>
            </w:r>
            <w:r w:rsidRPr="008A2298">
              <w:rPr>
                <w:b/>
                <w:i/>
              </w:rPr>
              <w:t xml:space="preserve">mivel a „jogállamiság” fogalmának nincs elfogadott meghatározása, és nincs olyan egységes rendszer a jogállamiságnak való megfelelés uniós szintű értékelésére, amely valamennyi </w:t>
            </w:r>
            <w:r w:rsidRPr="008A2298">
              <w:rPr>
                <w:b/>
                <w:i/>
              </w:rPr>
              <w:t>tagállamra egyformán vonatkozik, és figyelembe veszi az alkotmányos rendszerek és hagyományok sokféleségét;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150</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 xml:space="preserve">Jorge Buxadé Villalba, Marieke Ehlers, </w:t>
      </w:r>
      <w:r w:rsidRPr="008A2298">
        <w:t>Malika Sorel, Fabrice 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 xml:space="preserve">mivel a hatalmi ágak szétválasztása, a </w:t>
            </w:r>
            <w:r w:rsidRPr="008A2298">
              <w:rPr>
                <w:b/>
                <w:i/>
              </w:rPr>
              <w:t>törvény előtti egyenlőség, az átláthatóság és az elszámoltathatóság minden egészséges demokrácia alapelve; mivel az uniós intézményeknek a Szerződéseknek megfelelően elő kell mozdítaniuk ezeket az elveket;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mivel a jogállamisággal kapcsolatos éves jelentés a Bizottság által létrehozott olyan eszköz, amelynek semmilyen jogi alapja nincsen a Szerződésekben;</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Mary Khan, Christine Anderson, Milan Uhrík, Ewa Zajączkowska-Hernik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a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a.</w:t>
            </w:r>
            <w:r w:rsidRPr="008A2298">
              <w:tab/>
            </w:r>
            <w:r w:rsidRPr="008A2298">
              <w:rPr>
                <w:b/>
                <w:i/>
              </w:rPr>
              <w:t>mivel a digitális szolgáltatásokról szóló rendelet egyértelműen veszélyezteti a véleménynyilvánítás szabadságát és a szólásszabadságot;</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Isabel Serra </w:t>
      </w:r>
      <w:r w:rsidRPr="008A2298">
        <w:t>Sánchez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b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b.</w:t>
            </w:r>
            <w:r w:rsidRPr="008A2298">
              <w:tab/>
            </w:r>
            <w:r w:rsidRPr="008A2298">
              <w:rPr>
                <w:b/>
                <w:i/>
              </w:rPr>
              <w:t xml:space="preserve">mivel a Franco-diktatúra alatt és a demokrácia első éveiben </w:t>
            </w:r>
            <w:r w:rsidRPr="008A2298">
              <w:rPr>
                <w:b/>
                <w:i/>
              </w:rPr>
              <w:t xml:space="preserve">történt szisztematikus csecsemőrablás – amikor újszülöttek ezreit vették el erőszakkal az anyjuktól és fogadták örökbe illegálisan – olyan bűncselekmény, amely nagyrészt büntetlen marad, és igazságszolgáltatást, igazságot és jóvátételt követel; mivel az e </w:t>
            </w:r>
            <w:r w:rsidRPr="008A2298">
              <w:rPr>
                <w:b/>
                <w:i/>
              </w:rPr>
              <w:t>bűncselekményekkel kapcsolatos tartós büntetlenség és intézményi tétlenség a jogállamiság súlyos megsértésének minősül, ami aláássa az áldozatok igazsághoz, igazságszolgáltatáshoz és jóvátételhez való hozzáférését, és kiemeli az EUSZ 2. cikkében foglalt eu</w:t>
            </w:r>
            <w:r w:rsidRPr="008A2298">
              <w:rPr>
                <w:b/>
                <w:i/>
              </w:rPr>
              <w:t>rópai értékeknek és a nemzetközi emberi jogi kötelezettségeknek való teljes megfelelés szükségességét;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Daniel Freund</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b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b.</w:t>
            </w:r>
            <w:r w:rsidRPr="008A2298">
              <w:tab/>
            </w:r>
            <w:r w:rsidRPr="008A2298">
              <w:rPr>
                <w:b/>
                <w:i/>
              </w:rPr>
              <w:t xml:space="preserve">mivel az EUSZ 4. cikkének (3) bekezdésében foglalt lojális együttműködés elve arra kötelezi az </w:t>
            </w:r>
            <w:r w:rsidRPr="008A2298">
              <w:rPr>
                <w:b/>
                <w:i/>
              </w:rPr>
              <w:t xml:space="preserve">Uniót és a tagállamokat, hogy kölcsönösen tiszteletben tartsák és segítsék egymást a Szerződésekből eredő kötelezettségek végrehajtásában, valamint hogy a </w:t>
            </w:r>
            <w:r w:rsidRPr="008A2298">
              <w:rPr>
                <w:b/>
                <w:i/>
              </w:rPr>
              <w:lastRenderedPageBreak/>
              <w:t>tagállamok a Szerződésekből, illetve az Unió intézményeinek intézkedéseiből eredő kötelezettségek tel</w:t>
            </w:r>
            <w:r w:rsidRPr="008A2298">
              <w:rPr>
                <w:b/>
                <w:i/>
              </w:rPr>
              <w:t>jesítésének biztosítása érdekében tegyenek meg minden megfelelő általános vagy különös intézkedést; mivel a tagállamoknak tartózkodniuk kell minden olyan intézkedéstől, amely veszélyeztetheti az Unió célkitűzéseinek elérését;</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Jorge Buxadé Villalba, Malika Sorel, Fabrice 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b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b.</w:t>
            </w:r>
            <w:r w:rsidRPr="008A2298">
              <w:tab/>
            </w:r>
            <w:r w:rsidRPr="008A2298">
              <w:rPr>
                <w:b/>
                <w:i/>
              </w:rPr>
              <w:t xml:space="preserve">mivel a véleménynyilvánítás szabadsága és a tájékoztatáshoz való jog nem élvez megfelelő szintű védelmet az Unióban; mivel a médiakoncentráció, a média tulajdonviszonyai és az állami </w:t>
            </w:r>
            <w:r w:rsidRPr="008A2298">
              <w:rPr>
                <w:b/>
                <w:i/>
              </w:rPr>
              <w:t>finanszírozás átláthatóságának hiánya, a szerkesztőségek kereskedelmi és politikai befolyástól való függetlenségének hiánya, valamint az életképességgel kapcsolatos problémák kockázatot jelentenek a tájékoztatáshoz való jogra nézve; mivel a jogszerű tartal</w:t>
            </w:r>
            <w:r w:rsidRPr="008A2298">
              <w:rPr>
                <w:b/>
                <w:i/>
              </w:rPr>
              <w:t>ommoderálás és tényellenőrzés nem független egyesületek általi előmozdítása a véleménynyilvánítás szabadságának nyilvánvaló megsértését jelenti;</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Marieke</w:t>
      </w:r>
      <w:r w:rsidRPr="008A2298">
        <w:t xml:space="preserve"> Ehlers, Jorge Buxadé Villalba, Tom Vandendriessche, Fabrice 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b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lastRenderedPageBreak/>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b.</w:t>
            </w:r>
            <w:r w:rsidRPr="008A2298">
              <w:tab/>
            </w:r>
            <w:r w:rsidRPr="008A2298">
              <w:rPr>
                <w:b/>
                <w:i/>
              </w:rPr>
              <w:t>mivel a jogállamiságnak nincs közös európai fogalommeghatározása, mert az olyan fogalmak, mint a „rule of law”, a „Rechtsstaatlichkeit” és a „l'etat de droit” a különböző jogi hagyományoknak megfelelően eltérő dolgokat jelentenek; mivel a jogállamiság megh</w:t>
            </w:r>
            <w:r w:rsidRPr="008A2298">
              <w:rPr>
                <w:b/>
                <w:i/>
              </w:rPr>
              <w:t>atározására irányuló kísérletek az egész Európában régóta fennálló jogi hagyományok rovására történnek;</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Mary Khan, Christine Anderson, Milan Uhrík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b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b.</w:t>
            </w:r>
            <w:r w:rsidRPr="008A2298">
              <w:tab/>
            </w:r>
            <w:r w:rsidRPr="008A2298">
              <w:rPr>
                <w:b/>
                <w:i/>
              </w:rPr>
              <w:t xml:space="preserve">mivel számos külföldi milliárdos – például Bill Gates és Soros György </w:t>
            </w:r>
            <w:r w:rsidRPr="008A2298">
              <w:rPr>
                <w:b/>
                <w:i/>
              </w:rPr>
              <w:t>– milliókat fektet be a németországi médiaorgánumokba, hogy a közvéleményt irányítsák; mivel az EU hallgat az ilyen jellegű beavatkozásról, de nyíltan fellép, amikor az állítólagos beavatkozás olyan konzervatív forrásokból – például Elon Musktól – érkezik,</w:t>
            </w:r>
            <w:r w:rsidRPr="008A2298">
              <w:rPr>
                <w:b/>
                <w:i/>
              </w:rPr>
              <w:t xml:space="preserve"> amelyeket nem helyesel;</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 xml:space="preserve">A b </w:t>
      </w:r>
      <w:r w:rsidRPr="008A2298">
        <w:t>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b.</w:t>
            </w:r>
            <w:r w:rsidRPr="008A2298">
              <w:tab/>
            </w:r>
            <w:r w:rsidRPr="008A2298">
              <w:rPr>
                <w:b/>
                <w:i/>
              </w:rPr>
              <w:t xml:space="preserve">mivel objektív, tisztességes, pártatlan és tényeken alapuló </w:t>
            </w:r>
            <w:r w:rsidRPr="008A2298">
              <w:rPr>
                <w:b/>
                <w:i/>
              </w:rPr>
              <w:lastRenderedPageBreak/>
              <w:t xml:space="preserve">megközelítés nélkül a jogállamisági jelentés egy hitelét vesztett eszköz, amely nem vehető figyelembe </w:t>
            </w:r>
            <w:r w:rsidRPr="008A2298">
              <w:rPr>
                <w:b/>
                <w:i/>
              </w:rPr>
              <w:t>semmilyen más mechanizmus keretében;</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159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Isabel Serra Sánchez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w:t>
      </w:r>
      <w:r w:rsidRPr="008A2298">
        <w:t xml:space="preserve"> c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c.</w:t>
            </w:r>
            <w:r w:rsidRPr="008A2298">
              <w:tab/>
            </w:r>
            <w:r w:rsidRPr="008A2298">
              <w:rPr>
                <w:b/>
                <w:i/>
              </w:rPr>
              <w:t xml:space="preserve">mivel a magyar kormány nem hajtotta végre a magyar Alkotmánybíróság, az EUB és az EJEB több, az EUSZ 2. cikkében foglalt értékek Magyarország általi megsértésével </w:t>
            </w:r>
            <w:r w:rsidRPr="008A2298">
              <w:rPr>
                <w:b/>
                <w:i/>
              </w:rPr>
              <w:t>kapcsolatos ítéletét, és nem hasznosította sem a Bizottság 2023. és 2024. évi jogállamisági jelentésében foglalt ajánlások nagy többségét, sem más nemzetközi szervek, például a GRECO, a Velencei Bizottság és más szervek ajánlásait;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c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c.</w:t>
            </w:r>
            <w:r w:rsidRPr="008A2298">
              <w:tab/>
            </w:r>
            <w:r w:rsidRPr="008A2298">
              <w:rPr>
                <w:b/>
                <w:i/>
              </w:rPr>
              <w:t>mivel a Szerződések értelmében a Bizottság hatásköre nem terjed ki arra, hogy további mechanizmusokat hozzon létre a jogállamiság tagállamokon belüli nyomon követésére;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lastRenderedPageBreak/>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András László</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A d preambulumbekezdés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A d.</w:t>
            </w:r>
            <w:r w:rsidRPr="008A2298">
              <w:tab/>
            </w:r>
            <w:r w:rsidRPr="008A2298">
              <w:rPr>
                <w:b/>
                <w:i/>
              </w:rPr>
              <w:t xml:space="preserve">mivel éves </w:t>
            </w:r>
            <w:r w:rsidRPr="008A2298">
              <w:rPr>
                <w:b/>
                <w:i/>
              </w:rPr>
              <w:t>jogállamisági jelentésének elkészítésekor a Bizottság felhasználja a külföldi finanszírozású nem kormányzati szervezetek észrevételeit;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Moritz Körner, </w:t>
      </w:r>
      <w:r w:rsidRPr="008A2298">
        <w:t>Hilde Vautmans, Nikola Minchev, Veronika Cifrová Ostrihoňová, Chloé Ridel, Abir Al-Sahlani, Fabienne Keller, Lucia Yar, Irena Joveva, Isabel Wiseler-Lima</w:t>
      </w:r>
      <w:r w:rsidRPr="008A2298">
        <w:rPr>
          <w:rStyle w:val="HideTWBExt"/>
          <w:b w:val="0"/>
        </w:rPr>
        <w:t>&lt;/Members&gt;</w:t>
      </w:r>
    </w:p>
    <w:p w:rsidR="00DD1D01" w:rsidRPr="008A2298" w:rsidRDefault="00B81B67" w:rsidP="00DD1D0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DD1D01" w:rsidRPr="008A2298" w:rsidRDefault="00B81B67" w:rsidP="00DD1D01">
      <w:pPr>
        <w:pStyle w:val="NormalBold"/>
      </w:pPr>
      <w:r w:rsidRPr="008A2298">
        <w:rPr>
          <w:rStyle w:val="HideTWBExt"/>
          <w:b w:val="0"/>
        </w:rPr>
        <w:t>&lt;Member</w:t>
      </w:r>
      <w:r w:rsidRPr="008A2298">
        <w:rPr>
          <w:rStyle w:val="HideTWBExt"/>
          <w:b w:val="0"/>
        </w:rPr>
        <w:t>s&gt;</w:t>
      </w:r>
      <w:r w:rsidRPr="008A2298">
        <w:t>Sophie Wilmès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alcím</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Igazságszolgáltatás</w:t>
            </w:r>
            <w:r w:rsidRPr="008A2298">
              <w:t xml:space="preserve"> és </w:t>
            </w:r>
            <w:r w:rsidRPr="008A2298">
              <w:rPr>
                <w:b/>
                <w:i/>
              </w:rPr>
              <w:t>korrupció</w:t>
            </w:r>
          </w:p>
        </w:tc>
        <w:tc>
          <w:tcPr>
            <w:tcW w:w="4876" w:type="dxa"/>
            <w:tcBorders>
              <w:top w:val="nil"/>
              <w:left w:val="nil"/>
              <w:bottom w:val="nil"/>
              <w:right w:val="nil"/>
            </w:tcBorders>
          </w:tcPr>
          <w:p w:rsidR="00DD1D01" w:rsidRPr="008A2298" w:rsidRDefault="00B81B67" w:rsidP="00CF051B">
            <w:pPr>
              <w:pStyle w:val="Normal6a"/>
            </w:pPr>
            <w:r w:rsidRPr="008A2298">
              <w:rPr>
                <w:b/>
                <w:i/>
              </w:rPr>
              <w:t>Igazságügyi</w:t>
            </w:r>
            <w:r w:rsidRPr="008A2298">
              <w:t xml:space="preserve"> és </w:t>
            </w:r>
            <w:r w:rsidRPr="008A2298">
              <w:rPr>
                <w:b/>
                <w:i/>
              </w:rPr>
              <w:t>korrupcióellenes keret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w:t>
      </w:r>
      <w:r w:rsidRPr="008A2298">
        <w:t xml:space="preserve">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1.</w:t>
            </w:r>
            <w:r w:rsidRPr="008A2298">
              <w:tab/>
              <w:t xml:space="preserve">hangsúlyozza, hogy a tisztességes és hozzáférhető igazságszolgáltatás a jogállamiság egyik alapelve, amely független igazságszolgáltatást igényel; </w:t>
            </w:r>
            <w:r w:rsidRPr="008A2298">
              <w:t xml:space="preserve">megismétli, hogy az igazságszolgáltatáshoz való hozzáférés alapvető fontosságú a </w:t>
            </w:r>
            <w:r w:rsidRPr="008A2298">
              <w:lastRenderedPageBreak/>
              <w:t>polgárok számára jogaik gyakorlásához, a megkülönböztetés elleni küzdelemhez és a döntéshozók felelősségre vonásához;</w:t>
            </w:r>
          </w:p>
        </w:tc>
        <w:tc>
          <w:tcPr>
            <w:tcW w:w="4876" w:type="dxa"/>
            <w:tcBorders>
              <w:top w:val="nil"/>
              <w:left w:val="nil"/>
              <w:bottom w:val="nil"/>
              <w:right w:val="nil"/>
            </w:tcBorders>
          </w:tcPr>
          <w:p w:rsidR="00DD1D01" w:rsidRPr="008A2298" w:rsidRDefault="00B81B67" w:rsidP="00CF051B">
            <w:pPr>
              <w:pStyle w:val="Normal6a"/>
            </w:pPr>
            <w:r w:rsidRPr="008A2298">
              <w:lastRenderedPageBreak/>
              <w:t>1.</w:t>
            </w:r>
            <w:r w:rsidRPr="008A2298">
              <w:tab/>
              <w:t xml:space="preserve">hangsúlyozza, hogy a tisztességes és hozzáférhető </w:t>
            </w:r>
            <w:r w:rsidRPr="008A2298">
              <w:t xml:space="preserve">igazságszolgáltatás a jogállamiság egyik alapelve, amely független igazságszolgáltatást igényel; megismétli, hogy az igazságszolgáltatáshoz való hozzáférés alapvető fontosságú a </w:t>
            </w:r>
            <w:r w:rsidRPr="008A2298">
              <w:lastRenderedPageBreak/>
              <w:t>polgárok számára jogaik gyakorlásához, a megkülönböztetés elleni küzdelemhez é</w:t>
            </w:r>
            <w:r w:rsidRPr="008A2298">
              <w:t xml:space="preserve">s a döntéshozók felelősségre vonásához; </w:t>
            </w:r>
            <w:r w:rsidRPr="008A2298">
              <w:rPr>
                <w:b/>
                <w:i/>
              </w:rPr>
              <w:t>rámutat arra, hogy egyes tagállamok és az uniós tagjelölt országok igazságszolgáltatási rendszereit még mindig a kommunista korszakbeli kölcsönös függőségi viszonyok határozzák meg; hangsúlyozza az uniós álláspont kö</w:t>
            </w:r>
            <w:r w:rsidRPr="008A2298">
              <w:rPr>
                <w:b/>
                <w:i/>
              </w:rPr>
              <w:t xml:space="preserve">vetkezetlenségeit, mivel támogatja az igazságszolgáltatás reformját az uniós tagjelölt országokban, például Moldovában, ugyanakkor védi az ugyancsak nem hatékony, hibás és posztkommunista rendszert Lengyelországban; megjegyzi, hogy bár egyes tagállamokban </w:t>
            </w:r>
            <w:r w:rsidRPr="008A2298">
              <w:rPr>
                <w:b/>
                <w:i/>
              </w:rPr>
              <w:t>a bírák kinevezési rendszerét nem vitatják, más országok hasonló rendszerek létrehozására irányuló reformjait kritika éri; felhívja a Bizottságot, hogy tartózkodjon az igazságszolgáltatás szervezetével kapcsolatos reformokba való beavatkozástól; elfogadhat</w:t>
            </w:r>
            <w:r w:rsidRPr="008A2298">
              <w:rPr>
                <w:b/>
                <w:i/>
              </w:rPr>
              <w:t>atlannak tartja, hogy más országok és az EU is támogatja az igazságszolgáltatás képviselőiből álló szervezetek politikai fellépését, követeli az ilyen akciók leállítását, és kéri, hogy az eddigi beavatkozásokat átlátható módon hozzák nyilvánosságra;</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w:t>
      </w:r>
      <w:r w:rsidRPr="008A2298">
        <w:t>ey, Evin Incir, Juan Fernando López Aguilar, Nacho Sánchez Amor, Marco Tarquinio, Javier Moreno Sánchez, Alessandro Zan, Daniel Freund, Michał Wawrykiewicz, Cecilia Strada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1.</w:t>
            </w:r>
            <w:r w:rsidRPr="008A2298">
              <w:tab/>
              <w:t xml:space="preserve">hangsúlyozza, hogy a tisztességes és hozzáférhető igazságszolgáltatás a jogállamiság egyik alapelve, amely </w:t>
            </w:r>
            <w:r w:rsidRPr="008A2298">
              <w:lastRenderedPageBreak/>
              <w:t xml:space="preserve">független igazságszolgáltatást igényel; megismétli, hogy az </w:t>
            </w:r>
            <w:r w:rsidRPr="008A2298">
              <w:t>igazságszolgáltatáshoz való hozzáférés alapvető fontosságú a polgárok számára jogaik gyakorlásához, a megkülönböztetés elleni küzdelemhez és a döntéshozók felelősségre vonásához;</w:t>
            </w:r>
          </w:p>
        </w:tc>
        <w:tc>
          <w:tcPr>
            <w:tcW w:w="4876" w:type="dxa"/>
            <w:tcBorders>
              <w:top w:val="nil"/>
              <w:left w:val="nil"/>
              <w:bottom w:val="nil"/>
              <w:right w:val="nil"/>
            </w:tcBorders>
          </w:tcPr>
          <w:p w:rsidR="00DD1D01" w:rsidRPr="008A2298" w:rsidRDefault="00B81B67" w:rsidP="00CF051B">
            <w:pPr>
              <w:pStyle w:val="Normal6a"/>
            </w:pPr>
            <w:r w:rsidRPr="008A2298">
              <w:lastRenderedPageBreak/>
              <w:t>1.</w:t>
            </w:r>
            <w:r w:rsidRPr="008A2298">
              <w:tab/>
              <w:t>hangsúlyozza, hogy a tisztességes és hozzáférhető igazságszolgáltatás a jo</w:t>
            </w:r>
            <w:r w:rsidRPr="008A2298">
              <w:t xml:space="preserve">gállamiság egyik alapelve, amely </w:t>
            </w:r>
            <w:r w:rsidRPr="008A2298">
              <w:lastRenderedPageBreak/>
              <w:t>független igazságszolgáltatást igényel; megismétli, hogy az igazságszolgáltatáshoz való hozzáférés alapvető fontosságú a polgárok számára jogaik gyakorlásához, a megkülönböztetés elleni küzdelemhez és a döntéshozók felelőss</w:t>
            </w:r>
            <w:r w:rsidRPr="008A2298">
              <w:t>égre vonásához;</w:t>
            </w:r>
            <w:r w:rsidRPr="008A2298">
              <w:rPr>
                <w:b/>
                <w:i/>
              </w:rPr>
              <w:t> hangsúlyozza ezért, hogy a megfelelő javadalmazás elengedhetetlen a képzett igazságügyi személyzet vonzásához és megtartásához;</w:t>
            </w:r>
            <w:r w:rsidRPr="008A2298">
              <w:t xml:space="preserve"> </w:t>
            </w:r>
            <w:r w:rsidRPr="008A2298">
              <w:rPr>
                <w:b/>
                <w:i/>
              </w:rPr>
              <w:t>megismétli, hogy a megfelelő erőforrások – többek között a finanszírozás, az infrastruktúra és a személyzet – el</w:t>
            </w:r>
            <w:r w:rsidRPr="008A2298">
              <w:rPr>
                <w:b/>
                <w:i/>
              </w:rPr>
              <w:t>engedhetetlenek az igazságszolgáltatási rendszer hatékonysága és hozzáférhetősége szempontjából; hangsúlyozza a digitalizáció fontos szerepét a nemzeti igazságszolgáltatás átalakításában;</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Juan Fernando López Aguilar, Nacho Sánchez Amor, Javier Moreno Sánchez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1.</w:t>
            </w:r>
            <w:r w:rsidRPr="008A2298">
              <w:tab/>
              <w:t xml:space="preserve">hangsúlyozza, hogy a tisztességes és hozzáférhető igazságszolgáltatás a jogállamiság egyik alapelve, amely független igazságszolgáltatást igényel; megismétli, hogy az igazságszolgáltatáshoz való hozzáférés alapvető fontosságú a </w:t>
            </w:r>
            <w:r w:rsidRPr="008A2298">
              <w:t>polgárok számára jogaik gyakorlásához, a megkülönböztetés elleni küzdelemhez és a döntéshozók felelősségre vonásához;</w:t>
            </w:r>
          </w:p>
        </w:tc>
        <w:tc>
          <w:tcPr>
            <w:tcW w:w="4876" w:type="dxa"/>
            <w:tcBorders>
              <w:top w:val="nil"/>
              <w:left w:val="nil"/>
              <w:bottom w:val="nil"/>
              <w:right w:val="nil"/>
            </w:tcBorders>
          </w:tcPr>
          <w:p w:rsidR="00DD1D01" w:rsidRPr="008A2298" w:rsidRDefault="00B81B67" w:rsidP="00CF051B">
            <w:pPr>
              <w:pStyle w:val="Normal6a"/>
            </w:pPr>
            <w:r w:rsidRPr="008A2298">
              <w:t>1.</w:t>
            </w:r>
            <w:r w:rsidRPr="008A2298">
              <w:tab/>
              <w:t>hangsúlyozza, hogy a tisztességes és hozzáférhető igazságszolgáltatás a jogállamiság egyik alapelve, amely független igazságszolgáltatá</w:t>
            </w:r>
            <w:r w:rsidRPr="008A2298">
              <w:t>st igényel;</w:t>
            </w:r>
            <w:r w:rsidRPr="008A2298">
              <w:rPr>
                <w:b/>
                <w:i/>
              </w:rPr>
              <w:t xml:space="preserve"> üdvözli az egyes tagállamok által az igazságszolgáltatás függetlenségének biztosítása érdekében tett kezdeményezéseket, különösen az Igazságszolgáltatási Tanács hatékony működésén keresztül;</w:t>
            </w:r>
            <w:r w:rsidRPr="008A2298">
              <w:t xml:space="preserve"> megismétli, hogy az igazságszolgáltatáshoz való hozzá</w:t>
            </w:r>
            <w:r w:rsidRPr="008A2298">
              <w:t>férés alapvető fontosságú a polgárok számára jogaik gyakorlásához, a megkülönböztetés elleni küzdelemhez és a döntéshozók felelősségre vonásához;</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166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Alessandro Ciriani, Paolo Inselvini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1.</w:t>
            </w:r>
            <w:r w:rsidRPr="008A2298">
              <w:tab/>
              <w:t xml:space="preserve">hangsúlyozza, hogy a tisztességes és hozzáférhető </w:t>
            </w:r>
            <w:r w:rsidRPr="008A2298">
              <w:t>igazságszolgáltatás a jogállamiság egyik alapelve, amely független igazságszolgáltatást igényel; megismétli, hogy az igazságszolgáltatáshoz való hozzáférés alapvető fontosságú a polgárok számára jogaik gyakorlásához, a megkülönböztetés elleni küzdelemhez é</w:t>
            </w:r>
            <w:r w:rsidRPr="008A2298">
              <w:t>s a döntéshozók felelősségre vonásához;</w:t>
            </w:r>
          </w:p>
        </w:tc>
        <w:tc>
          <w:tcPr>
            <w:tcW w:w="4876" w:type="dxa"/>
            <w:tcBorders>
              <w:top w:val="nil"/>
              <w:left w:val="nil"/>
              <w:bottom w:val="nil"/>
              <w:right w:val="nil"/>
            </w:tcBorders>
          </w:tcPr>
          <w:p w:rsidR="00DD1D01" w:rsidRPr="008A2298" w:rsidRDefault="00B81B67" w:rsidP="00CF051B">
            <w:pPr>
              <w:pStyle w:val="Normal6a"/>
            </w:pPr>
            <w:r w:rsidRPr="008A2298">
              <w:t>1.</w:t>
            </w:r>
            <w:r w:rsidRPr="008A2298">
              <w:tab/>
              <w:t>hangsúlyozza, hogy a tisztességes és hozzáférhető igazságszolgáltatás a jogállamiság egyik alapelve, amely független igazságszolgáltatást igényel; megismétli, hogy az igazságszolgáltatáshoz való hozzáférés alapvet</w:t>
            </w:r>
            <w:r w:rsidRPr="008A2298">
              <w:t xml:space="preserve">ő fontosságú a polgárok számára jogaik gyakorlásához, a megkülönböztetés elleni küzdelemhez és a döntéshozók felelősségre vonásához; </w:t>
            </w:r>
            <w:r w:rsidRPr="008A2298">
              <w:rPr>
                <w:b/>
                <w:i/>
              </w:rPr>
              <w:t>megismétli, hogy az Európai Uniót létrehozó szerződések az igazságszolgáltatási rendszerek megszervezését a tagállamok hatá</w:t>
            </w:r>
            <w:r w:rsidRPr="008A2298">
              <w:rPr>
                <w:b/>
                <w:i/>
              </w:rPr>
              <w:t>skörébe utalják;</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Erik Kaliňák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1.</w:t>
            </w:r>
            <w:r w:rsidRPr="008A2298">
              <w:tab/>
              <w:t>hangsúlyozza, hogy a tisztességes és hozzáférhető igazságszolgáltatás a jogállamiság egyik alapelve, amely független igazságszolgáltatást igényel; megismétli, hogy az igazságszolgáltatáshoz való hozzáférés a</w:t>
            </w:r>
            <w:r w:rsidRPr="008A2298">
              <w:t>lapvető fontosságú a polgárok számára jogaik gyakorlásához, a megkülönböztetés elleni küzdelemhez és a döntéshozók felelősségre vonásához;</w:t>
            </w:r>
          </w:p>
        </w:tc>
        <w:tc>
          <w:tcPr>
            <w:tcW w:w="4876" w:type="dxa"/>
            <w:tcBorders>
              <w:top w:val="nil"/>
              <w:left w:val="nil"/>
              <w:bottom w:val="nil"/>
              <w:right w:val="nil"/>
            </w:tcBorders>
          </w:tcPr>
          <w:p w:rsidR="00DD1D01" w:rsidRPr="008A2298" w:rsidRDefault="00B81B67" w:rsidP="00CF051B">
            <w:pPr>
              <w:pStyle w:val="Normal6a"/>
            </w:pPr>
            <w:r w:rsidRPr="008A2298">
              <w:t>1.</w:t>
            </w:r>
            <w:r w:rsidRPr="008A2298">
              <w:tab/>
            </w:r>
            <w:r w:rsidRPr="008A2298">
              <w:rPr>
                <w:i/>
                <w:iCs/>
              </w:rPr>
              <w:t>(A magyar változatot nem érinti.)</w:t>
            </w:r>
            <w:r w:rsidRPr="008A2298">
              <w:t xml:space="preserve"> reiterates that access to justice is essential for citizens to exercise rights, </w:t>
            </w:r>
            <w:r w:rsidRPr="008A2298">
              <w:t>challenge discrimination and hold decision makers accountable;</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168</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Nicolas Bay</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1.</w:t>
            </w:r>
            <w:r w:rsidRPr="008A2298">
              <w:tab/>
              <w:t xml:space="preserve">hangsúlyozza, hogy a tisztességes és hozzáférhető igazságszolgáltatás a jogállamiság egyik alapelve, amely független igazságszolgáltatást igényel; </w:t>
            </w:r>
            <w:r w:rsidRPr="008A2298">
              <w:t xml:space="preserve">megismétli, hogy az igazságszolgáltatáshoz való hozzáférés alapvető fontosságú a polgárok </w:t>
            </w:r>
            <w:r w:rsidRPr="008A2298">
              <w:rPr>
                <w:b/>
                <w:i/>
              </w:rPr>
              <w:t>számára jogaik gyakorlásához</w:t>
            </w:r>
            <w:r w:rsidRPr="008A2298">
              <w:t xml:space="preserve">, a </w:t>
            </w:r>
            <w:r w:rsidRPr="008A2298">
              <w:rPr>
                <w:b/>
                <w:i/>
              </w:rPr>
              <w:t>megkülönböztetés elleni küzdelemhez</w:t>
            </w:r>
            <w:r w:rsidRPr="008A2298">
              <w:t xml:space="preserve"> és a </w:t>
            </w:r>
            <w:r w:rsidRPr="008A2298">
              <w:rPr>
                <w:b/>
                <w:i/>
              </w:rPr>
              <w:t>döntéshozók</w:t>
            </w:r>
            <w:r w:rsidRPr="008A2298">
              <w:t xml:space="preserve"> felelősségre </w:t>
            </w:r>
            <w:r w:rsidRPr="008A2298">
              <w:rPr>
                <w:b/>
                <w:i/>
              </w:rPr>
              <w:t>vonásához</w:t>
            </w:r>
            <w:r w:rsidRPr="008A2298">
              <w:t>;</w:t>
            </w:r>
          </w:p>
        </w:tc>
        <w:tc>
          <w:tcPr>
            <w:tcW w:w="4876" w:type="dxa"/>
            <w:tcBorders>
              <w:top w:val="nil"/>
              <w:left w:val="nil"/>
              <w:bottom w:val="nil"/>
              <w:right w:val="nil"/>
            </w:tcBorders>
          </w:tcPr>
          <w:p w:rsidR="00DD1D01" w:rsidRPr="008A2298" w:rsidRDefault="00B81B67" w:rsidP="00CF051B">
            <w:pPr>
              <w:pStyle w:val="Normal6a"/>
            </w:pPr>
            <w:r w:rsidRPr="008A2298">
              <w:t>1.</w:t>
            </w:r>
            <w:r w:rsidRPr="008A2298">
              <w:tab/>
              <w:t>hangsúlyozza, hogy a tisztességes és hozzáférhető igaz</w:t>
            </w:r>
            <w:r w:rsidRPr="008A2298">
              <w:t xml:space="preserve">ságszolgáltatás a jogállamiság egyik alapelve, amely független igazságszolgáltatást igényel; megismétli, hogy az igazságszolgáltatáshoz való hozzáférés alapvető fontosságú </w:t>
            </w:r>
            <w:r w:rsidRPr="008A2298">
              <w:rPr>
                <w:b/>
                <w:i/>
              </w:rPr>
              <w:t xml:space="preserve">ahhoz, hogy </w:t>
            </w:r>
            <w:r w:rsidRPr="008A2298">
              <w:t xml:space="preserve">a polgárok </w:t>
            </w:r>
            <w:r w:rsidRPr="008A2298">
              <w:rPr>
                <w:b/>
                <w:i/>
              </w:rPr>
              <w:t>gyakorolhassák jogaikat</w:t>
            </w:r>
            <w:r w:rsidRPr="008A2298">
              <w:t xml:space="preserve">, </w:t>
            </w:r>
            <w:r w:rsidRPr="008A2298">
              <w:rPr>
                <w:b/>
                <w:i/>
              </w:rPr>
              <w:t xml:space="preserve">garantált legyen </w:t>
            </w:r>
            <w:r w:rsidRPr="008A2298">
              <w:t xml:space="preserve">a </w:t>
            </w:r>
            <w:r w:rsidRPr="008A2298">
              <w:rPr>
                <w:b/>
                <w:i/>
              </w:rPr>
              <w:t>törvény előtti eg</w:t>
            </w:r>
            <w:r w:rsidRPr="008A2298">
              <w:rPr>
                <w:b/>
                <w:i/>
              </w:rPr>
              <w:t>yenlőség,</w:t>
            </w:r>
            <w:r w:rsidRPr="008A2298">
              <w:t xml:space="preserve"> és a </w:t>
            </w:r>
            <w:r w:rsidRPr="008A2298">
              <w:rPr>
                <w:b/>
                <w:i/>
              </w:rPr>
              <w:t>döntéshozókat</w:t>
            </w:r>
            <w:r w:rsidRPr="008A2298">
              <w:t xml:space="preserve"> felelősségre </w:t>
            </w:r>
            <w:r w:rsidRPr="008A2298">
              <w:rPr>
                <w:b/>
                <w:i/>
              </w:rPr>
              <w:t>lehessen vonni</w:t>
            </w:r>
            <w:r w:rsidRPr="008A2298">
              <w: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169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Ana Catarina Mendes, Chloé Ridel, Sandro Ruotolo, Francisco Assis, Hannes Heide, Pina </w:t>
      </w:r>
      <w:r w:rsidRPr="008A2298">
        <w:t>Picierno, Matjaž Nemec, Emma Rafowicz, Krzysztof Śmiszek, Katarina Barley, Evin Incir, Juan Fernando López Aguilar, Nacho Sánchez Amor, Marco Tarquinio, Javier Moreno Sánchez, Alessandro Zan, Cecilia Strada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w:t>
      </w:r>
      <w:r w:rsidRPr="008A2298">
        <w:t>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a.</w:t>
            </w:r>
            <w:r w:rsidRPr="008A2298">
              <w:tab/>
            </w:r>
            <w:r w:rsidRPr="008A2298">
              <w:rPr>
                <w:b/>
                <w:i/>
              </w:rPr>
              <w:t xml:space="preserve">megjegyzi, hogy a Bizottság azt is megállapítja, hogy több tagállam további forrásokat különített el az igazságszolgáltatási </w:t>
            </w:r>
            <w:r w:rsidRPr="008A2298">
              <w:rPr>
                <w:b/>
                <w:i/>
              </w:rPr>
              <w:t>rendszerek rezilienciájának megerősítésére; ezzel összefüggésben üdvözli az igazságszolgáltatás számára további források elkülönítésére irányuló intézkedéseket, valamint az igazságszolgáltatásban dolgozók fizetésének növelésére irányuló erőfeszítéseket; me</w:t>
            </w:r>
            <w:r w:rsidRPr="008A2298">
              <w:rPr>
                <w:b/>
                <w:i/>
              </w:rPr>
              <w:t xml:space="preserve">gjegyzi, hogy a Bizottság szerint egyes tagállamokban a javadalmazás szintje továbbra is problémát jelent, ami gyakran munkaerőhiányhoz és üres álláshelyekhez vezet; hangsúlyozza ezért, hogy a </w:t>
            </w:r>
            <w:r w:rsidRPr="008A2298">
              <w:rPr>
                <w:b/>
                <w:i/>
              </w:rPr>
              <w:lastRenderedPageBreak/>
              <w:t>megfelelő javadalmazás elengedhetetlen a képzett igazságügyi sz</w:t>
            </w:r>
            <w:r w:rsidRPr="008A2298">
              <w:rPr>
                <w:b/>
                <w:i/>
              </w:rPr>
              <w:t>emélyzet vonzásához és megtartásához; megismétli, hogy a megfelelő erőforrások – többek között a finanszírozás, az infrastruktúra és a személyzet – elengedhetetlenek az igazságszolgáltatási rendszer hatékonysága és hozzáférhetősége szempontjából; hangsúlyo</w:t>
            </w:r>
            <w:r w:rsidRPr="008A2298">
              <w:rPr>
                <w:b/>
                <w:i/>
              </w:rPr>
              <w:t>zza a digitalizáció fontos szerepét a nemzeti igazságszolgáltatás átalakításában;</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Giuseppe Antoci, Isabel Serra Sánchez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1a.</w:t>
            </w:r>
            <w:r w:rsidRPr="008A2298">
              <w:tab/>
            </w:r>
            <w:r w:rsidRPr="008A2298">
              <w:rPr>
                <w:b/>
                <w:i/>
              </w:rPr>
              <w:t xml:space="preserve">mély aggodalmát fejezi ki az olasz kormánynak az igazságszolgáltatás függetlenségének és autonómiájának </w:t>
            </w:r>
            <w:r w:rsidRPr="008A2298">
              <w:rPr>
                <w:b/>
                <w:i/>
              </w:rPr>
              <w:t>aláásására irányuló kísérletei miatt; úgy véli, hogy a szakmai előmenetel szétválasztására vonatkozó közelmúltbeli reform és a fegyelmi eljárásokkal foglalkozó legfelsőbb bíróság létrehozása ellentétes Olaszországnak az EUSZ 2., 19. és 49. cikkéből, valami</w:t>
            </w:r>
            <w:r w:rsidRPr="008A2298">
              <w:rPr>
                <w:b/>
                <w:i/>
              </w:rPr>
              <w:t>nt az Alapjogi Charta 47. cikkéből eredő szerződéses kötelezettségeivel; emlékeztet az Európai Bíróság ítélkezési gyakorlatára, amely a fegyelmi eljárások során a bírák függetlenségének konkrét garanciáit határozza meg; felhívja a Bizottságot, hogy értékel</w:t>
            </w:r>
            <w:r w:rsidRPr="008A2298">
              <w:rPr>
                <w:b/>
                <w:i/>
              </w:rPr>
              <w:t>je az olaszországi igazságszolgáltatás közelmúltbeli reformjának a Szerződés elveinek való megfelelését;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171</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Javier Zarzalejos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a.</w:t>
            </w:r>
            <w:r w:rsidRPr="008A2298">
              <w:tab/>
            </w:r>
            <w:r w:rsidRPr="008A2298">
              <w:rPr>
                <w:b/>
                <w:i/>
              </w:rPr>
              <w:t xml:space="preserve">hangsúlyozza, hogy az igazságszolgáltatási tanácsok fontos szerepet töltenek be az igazságszolgáltatás </w:t>
            </w:r>
            <w:r w:rsidRPr="008A2298">
              <w:rPr>
                <w:b/>
                <w:i/>
              </w:rPr>
              <w:t xml:space="preserve">függetlenségének megőrzésében; szükségesnek tartja a különböző tagállamokban elfogadás alatt álló reformok értékelését, és ösztönzi e testületek összetételének és működésének az Európai Bizottság és az Európa Tanács által meghatározott, és az Európai Unió </w:t>
            </w:r>
            <w:r w:rsidRPr="008A2298">
              <w:rPr>
                <w:b/>
                <w:i/>
              </w:rPr>
              <w:t>Bírósága által jóváhagyott normákkal összhangban történő kiigazítását;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w:t>
      </w:r>
      <w:r w:rsidRPr="008A2298">
        <w:t xml:space="preserve"> Jacek Ozdoba</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1a.</w:t>
            </w:r>
            <w:r w:rsidRPr="008A2298">
              <w:tab/>
            </w:r>
            <w:r w:rsidRPr="008A2298">
              <w:rPr>
                <w:b/>
                <w:i/>
              </w:rPr>
              <w:t xml:space="preserve">felszólít a korrupció ellen a legmagasabb kormányzati szinteken </w:t>
            </w:r>
            <w:r w:rsidRPr="008A2298">
              <w:rPr>
                <w:b/>
                <w:i/>
              </w:rPr>
              <w:t xml:space="preserve">harcolók védelmének megerősítésére; sajnálatát fejezi ki amiatt, hogy egyes tagállamokban – többek között Lengyelországban – a korrupció ellen küzdő személyek megtorlásnak és üldöztetésnek vannak kitéve, akár egy tucat évvel azt követően, hogy feltárták a </w:t>
            </w:r>
            <w:r w:rsidRPr="008A2298">
              <w:rPr>
                <w:b/>
                <w:i/>
              </w:rPr>
              <w:t>legmagasabb kormányzati szinteken elkövetett korrupciós ügyeket;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173</w:t>
      </w:r>
      <w:r w:rsidRPr="008A2298">
        <w:rPr>
          <w:rStyle w:val="HideTWBExt"/>
          <w:b w:val="0"/>
        </w:rPr>
        <w:t>&lt;/NumAm&gt;</w:t>
      </w:r>
    </w:p>
    <w:p w:rsidR="00DD1D01" w:rsidRPr="008A2298" w:rsidRDefault="00B81B67" w:rsidP="00DD1D01">
      <w:pPr>
        <w:pStyle w:val="NormalBold"/>
      </w:pPr>
      <w:r w:rsidRPr="008A2298">
        <w:rPr>
          <w:rStyle w:val="HideTWBExt"/>
          <w:b w:val="0"/>
        </w:rPr>
        <w:lastRenderedPageBreak/>
        <w:t>&lt;RepeatBlock-By&gt;&lt;Members&gt;</w:t>
      </w:r>
      <w:r w:rsidRPr="008A2298">
        <w:t>Ewa Zajączkowska-Hernik</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 xml:space="preserve">Állásfoglalásra irányuló </w:t>
      </w:r>
      <w:r w:rsidRPr="008A2298">
        <w:t>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1a.</w:t>
            </w:r>
            <w:r w:rsidRPr="008A2298">
              <w:tab/>
            </w:r>
            <w:r w:rsidRPr="008A2298">
              <w:rPr>
                <w:b/>
                <w:i/>
              </w:rPr>
              <w:t>hangsúlyozza, hogy az igazságszolgáltatás a tagállamok hatáskörébe tartozik, ugyanakkor a Bizottság olyan tevékenységet folytat ezen a területen,</w:t>
            </w:r>
            <w:r w:rsidRPr="008A2298">
              <w:rPr>
                <w:b/>
                <w:i/>
              </w:rPr>
              <w:t xml:space="preserve"> amely ellentétes az uniós szerződések elveivel és a demokratikus szempontból legitim tagállami parlamentek által hozott határozatokkal;</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174</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 xml:space="preserve">Alessandro </w:t>
      </w:r>
      <w:r w:rsidRPr="008A2298">
        <w:t>Ciriani, Paolo Inselvini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1a</w:t>
            </w:r>
            <w:r w:rsidRPr="008A2298">
              <w:tab/>
            </w:r>
            <w:r w:rsidRPr="008A2298">
              <w:rPr>
                <w:b/>
                <w:i/>
              </w:rPr>
              <w:t xml:space="preserve">megjegyzi, hogy a Bizottság több tagállamban is </w:t>
            </w:r>
            <w:r w:rsidRPr="008A2298">
              <w:rPr>
                <w:b/>
                <w:i/>
              </w:rPr>
              <w:t>bizonyítékot talált arra, hogy az igazságszolgáltatás digitalizálása terén előrelépés történt, valamint hogy az igazságszolgáltatási rendszer rendelkezésére álló pénzügyi és humán erőforrások növekedtek a függetlenség és hatékonyság javítását célzó reformo</w:t>
            </w:r>
            <w:r w:rsidRPr="008A2298">
              <w:rPr>
                <w:b/>
                <w:i/>
              </w:rPr>
              <w:t>k révén;</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175</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Tomáš Zdechovský</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a.</w:t>
            </w:r>
            <w:r w:rsidRPr="008A2298">
              <w:tab/>
            </w:r>
            <w:r w:rsidRPr="008A2298">
              <w:rPr>
                <w:b/>
                <w:i/>
              </w:rPr>
              <w:t>üdvözli, hogy az Európai Unió Bírósága (EUB) kulcsszerepet játszik a jogállamiság fenntartásában Unió-szerte; támogatja azokat a további kezdeményezéseket, amelyek célja az EUB erőforrásainak és képessége</w:t>
            </w:r>
            <w:r w:rsidRPr="008A2298">
              <w:rPr>
                <w:b/>
                <w:i/>
              </w:rPr>
              <w:t>inek javítása a jogállamisággal kapcsolatos további kihívások hatékony kezelése érdekében;</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176</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Isabel Serra Sánchez</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a.</w:t>
            </w:r>
            <w:r w:rsidRPr="008A2298">
              <w:tab/>
            </w:r>
            <w:r w:rsidRPr="008A2298">
              <w:rPr>
                <w:b/>
                <w:i/>
              </w:rPr>
              <w:t xml:space="preserve">elítéli az igazságszolgáltatási rendszer politikai célú felhasználását a politikai ellenvélemények megkárosítása, </w:t>
            </w:r>
            <w:r w:rsidRPr="008A2298">
              <w:rPr>
                <w:b/>
                <w:i/>
              </w:rPr>
              <w:t>legitimitásuktól való megfosztása és elhallgattatása érdekében; felhívja a tagállamokat, hogy tartózkodjanak a büntető igazságszolgáltatási rendszerrel való visszaéléstől a politikai ellenfelek üldözése érdekében;</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177</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Marieke Ehlers, Jorge Buxadé Villalba, Tom Vandendriessche, Fabrice 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a.</w:t>
            </w:r>
            <w:r w:rsidRPr="008A2298">
              <w:tab/>
            </w:r>
            <w:r w:rsidRPr="008A2298">
              <w:rPr>
                <w:b/>
                <w:i/>
              </w:rPr>
              <w:t>aggodalmát fejezi ki amiatt, hogy a Bizottság a jogállamiságra vonatkozó saját értelmezését alkalmazza anélkül, hogy a tagállamok megállapodtak volna egy egyértelmű fogalommeghatározásról;</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lastRenderedPageBreak/>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178</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Marieke Ehlers, Jorge Buxadé Villalba, Tom Vandendriessche, Fabrice 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w:t>
      </w:r>
      <w:r w:rsidRPr="008A2298">
        <w:rPr>
          <w:rStyle w:val="HideTWBExt"/>
          <w:b w:val="0"/>
        </w:rPr>
        <w:t>Amend&gt;</w:t>
      </w:r>
    </w:p>
    <w:p w:rsidR="00DD1D01" w:rsidRPr="008A2298" w:rsidRDefault="00B81B67" w:rsidP="00DD1D01">
      <w:pPr>
        <w:pStyle w:val="NormalBold"/>
      </w:pPr>
      <w:r w:rsidRPr="008A2298">
        <w:rPr>
          <w:rStyle w:val="HideTWBExt"/>
          <w:b w:val="0"/>
        </w:rPr>
        <w:t>&lt;Article&gt;</w:t>
      </w:r>
      <w:r w:rsidRPr="008A2298">
        <w:t>1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b.</w:t>
            </w:r>
            <w:r w:rsidRPr="008A2298">
              <w:tab/>
            </w:r>
            <w:r w:rsidRPr="008A2298">
              <w:rPr>
                <w:b/>
                <w:i/>
              </w:rPr>
              <w:t xml:space="preserve">felhívja a figyelmet arra, hogy számos tagállami jogrendszer eltérő fogalommeghatározásokat fűz a „jogállamiság” fogalmához, és hogy ezt a nemzeti jogban </w:t>
            </w:r>
            <w:r w:rsidRPr="008A2298">
              <w:rPr>
                <w:b/>
                <w:i/>
              </w:rPr>
              <w:t>megjelenő eltérést tiszteletben kell tartani és üdvözölni kell, nem pedig figyelmen kívül hagyni vagy megszüntetni; hangsúlyozza, hogy az összehasonlító joggal kapcsolatos kiterjedt tudományos kutatás azt mutatja, hogy nincs egységes felfogás a jogállamisá</w:t>
            </w:r>
            <w:r w:rsidRPr="008A2298">
              <w:rPr>
                <w:b/>
                <w:i/>
              </w:rPr>
              <w:t>gról; úgy véli, hogy az uniós szintű fogalmi konszenzus hiánya jogbizonytalansághoz vezet, és megnyitja a politikai beavatkozás lehetőségét, amely önmagában is a jogállamiság megsértését jelenti; felhívja a tagállamokat, hogy tartsák tiszteletben a hatalmi</w:t>
            </w:r>
            <w:r w:rsidRPr="008A2298">
              <w:rPr>
                <w:b/>
                <w:i/>
              </w:rPr>
              <w:t xml:space="preserve"> ágak szétválasztását mint a jogállamiság alapvető elemét;</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179</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Javier Zarzalejos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b.</w:t>
            </w:r>
            <w:r w:rsidRPr="008A2298">
              <w:tab/>
            </w:r>
            <w:r w:rsidRPr="008A2298">
              <w:rPr>
                <w:b/>
                <w:i/>
              </w:rPr>
              <w:t xml:space="preserve">rámutat, hogy az ügyészség a bűnözés és a korrupció elleni küzdelemhez szükséges igazságszolgáltatási kapacitás kulcsfontosságú eleme; kiemeli az </w:t>
            </w:r>
            <w:r w:rsidRPr="008A2298">
              <w:rPr>
                <w:b/>
                <w:i/>
              </w:rPr>
              <w:t xml:space="preserve">ügyészség autonómiája és függetlensége garantálásának fontosságát; hangsúlyozza, hogy biztosítékokat kell </w:t>
            </w:r>
            <w:r w:rsidRPr="008A2298">
              <w:rPr>
                <w:b/>
                <w:i/>
              </w:rPr>
              <w:lastRenderedPageBreak/>
              <w:t>bevezetni az ügyészség függetlenségének megőrzése érdekében, hogy az ügyészség független legyen az indokolatlan, különösen a kormánytól származó polit</w:t>
            </w:r>
            <w:r w:rsidRPr="008A2298">
              <w:rPr>
                <w:b/>
                <w:i/>
              </w:rPr>
              <w:t>ikai nyomásgyakorlástól;</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180</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Marieke Ehlers, Jorge Buxadé Villalba, Tom Vandendriessche, Fabrice Leggeri</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c.</w:t>
            </w:r>
            <w:r w:rsidRPr="008A2298">
              <w:tab/>
            </w:r>
            <w:r w:rsidRPr="008A2298">
              <w:rPr>
                <w:b/>
                <w:i/>
              </w:rPr>
              <w:t xml:space="preserve">sajnálja, hogy a Bizottság csak a tagállamok esetében értékeli a jogállamiság alkalmazását, maguknak az uniós </w:t>
            </w:r>
            <w:r w:rsidRPr="008A2298">
              <w:rPr>
                <w:b/>
                <w:i/>
              </w:rPr>
              <w:t>intézményeknek az esetében nem</w:t>
            </w:r>
            <w:r w:rsidRPr="008A2298">
              <w:rPr>
                <w:b/>
                <w:i/>
                <w:vertAlign w:val="superscript"/>
              </w:rPr>
              <w:t>1a</w:t>
            </w:r>
            <w:r w:rsidRPr="008A2298">
              <w:rPr>
                <w:b/>
                <w:i/>
              </w:rPr>
              <w:t>; hangsúlyozza, hogy számos olyan állítólagos jogállamisági jogsértés van, amelyet maguk az európai intézmények – nem utolsósorban a Bizottság – követnek el, és amelyek megfelelő kivizsgálást igényelnek;</w:t>
            </w:r>
          </w:p>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181</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Javier Zarzalejos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1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 xml:space="preserve">Állásfoglalásra irányuló </w:t>
            </w:r>
            <w:r w:rsidRPr="008A2298">
              <w:t>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1 c.</w:t>
            </w:r>
            <w:r w:rsidRPr="008A2298">
              <w:tab/>
            </w:r>
            <w:r w:rsidRPr="008A2298">
              <w:rPr>
                <w:b/>
                <w:i/>
              </w:rPr>
              <w:t>megjegyzi, hogy parlamenti bizottságok felállítása annak kivizsgálására, hogy bekövetkezett-e úgynevezett „jogi hadviselés” vagy a politika igazságszolgáltatásba való bevonása, a gyakorlatban azt jelenti, hogy a bírósági eljáráso</w:t>
            </w:r>
            <w:r w:rsidRPr="008A2298">
              <w:rPr>
                <w:b/>
                <w:i/>
              </w:rPr>
              <w:t xml:space="preserve">kat és határozatokat parlamenti felülvizsgálatnak vetik alá, ami nyilvánvaló beavatkozást jelent az </w:t>
            </w:r>
            <w:r w:rsidRPr="008A2298">
              <w:rPr>
                <w:b/>
                <w:i/>
              </w:rPr>
              <w:lastRenderedPageBreak/>
              <w:t>igazságszolgáltatás függetlenségébe és a hatalmi ágak szétválasztásába;</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182</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Moritz Körner, Hilde Vautmans, Nikola Minchev, Veronika Cifrová Ostrihoňová, Chloé Ridel, Abir Al-Sahlani, Fabienne Keller, Lucia Yar, Irena Joveva, Isabel Wiseler-Lima, Daniel Freund</w:t>
      </w:r>
      <w:r w:rsidRPr="008A2298">
        <w:rPr>
          <w:rStyle w:val="HideTWBExt"/>
          <w:b w:val="0"/>
        </w:rPr>
        <w:t>&lt;/Members&gt;</w:t>
      </w:r>
    </w:p>
    <w:p w:rsidR="00DD1D01" w:rsidRPr="008A2298" w:rsidRDefault="00B81B67" w:rsidP="00DD1D01">
      <w:r w:rsidRPr="008A2298">
        <w:rPr>
          <w:rStyle w:val="HideTWBExt"/>
        </w:rPr>
        <w:t>&lt;AuNomDe&gt;</w:t>
      </w:r>
      <w:r w:rsidRPr="008A2298">
        <w:rPr>
          <w:rStyle w:val="HideTWBInt"/>
          <w:color w:val="auto"/>
        </w:rPr>
        <w:t>{LIBE}</w:t>
      </w:r>
      <w:r w:rsidRPr="008A2298">
        <w:t xml:space="preserve">az Állampolgári Jogi, </w:t>
      </w:r>
      <w:r w:rsidRPr="008A2298">
        <w:t>Bel- és Igazságügyi Bizottság nevében</w:t>
      </w:r>
      <w:r w:rsidRPr="008A2298">
        <w:rPr>
          <w:rStyle w:val="HideTWBExt"/>
        </w:rPr>
        <w:t>&lt;/AuNomDe&gt;</w:t>
      </w:r>
    </w:p>
    <w:p w:rsidR="00DD1D01" w:rsidRPr="008A2298" w:rsidRDefault="00B81B67" w:rsidP="00DD1D01">
      <w:pPr>
        <w:pStyle w:val="NormalBold"/>
      </w:pPr>
      <w:r w:rsidRPr="008A2298">
        <w:rPr>
          <w:rStyle w:val="HideTWBExt"/>
          <w:b w:val="0"/>
        </w:rPr>
        <w:t>&lt;Members&gt;</w:t>
      </w:r>
      <w:r w:rsidRPr="008A2298">
        <w:t>Sophie Wilmès</w:t>
      </w:r>
      <w:r w:rsidRPr="008A2298">
        <w:rPr>
          <w:rStyle w:val="HideTWBExt"/>
          <w:b w:val="0"/>
        </w:rPr>
        <w:t>&lt;/Members&gt;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2.</w:t>
            </w:r>
            <w:r w:rsidRPr="008A2298">
              <w:tab/>
              <w:t xml:space="preserve">megjegyzi, hogy a </w:t>
            </w:r>
            <w:r w:rsidRPr="008A2298">
              <w:t>Bizottság strukturális kihívásokat talált az igazságszolgáltatás hatékonyságának javítása terén egyes tagállamokban</w:t>
            </w:r>
            <w:r w:rsidRPr="008A2298">
              <w:rPr>
                <w:vertAlign w:val="superscript"/>
              </w:rPr>
              <w:t>37</w:t>
            </w:r>
            <w:r w:rsidRPr="008A2298">
              <w:t>;</w:t>
            </w:r>
            <w:r w:rsidRPr="008A2298">
              <w:rPr>
                <w:b/>
                <w:i/>
              </w:rPr>
              <w:t xml:space="preserve"> hangsúlyozza</w:t>
            </w:r>
            <w:r w:rsidRPr="008A2298">
              <w:t xml:space="preserve">, hogy a </w:t>
            </w:r>
            <w:r w:rsidRPr="008A2298">
              <w:rPr>
                <w:b/>
                <w:i/>
              </w:rPr>
              <w:t>magas szintű bírói tisztségek betöltéséhez átlátható</w:t>
            </w:r>
            <w:r w:rsidRPr="008A2298">
              <w:t xml:space="preserve"> és </w:t>
            </w:r>
            <w:r w:rsidRPr="008A2298">
              <w:rPr>
                <w:b/>
                <w:i/>
              </w:rPr>
              <w:t>érdemeken alapuló</w:t>
            </w:r>
            <w:r w:rsidRPr="008A2298">
              <w:t xml:space="preserve">, </w:t>
            </w:r>
            <w:r w:rsidRPr="008A2298">
              <w:rPr>
                <w:b/>
                <w:i/>
              </w:rPr>
              <w:t>politikai beavatkozás nélküli kinevezésre</w:t>
            </w:r>
            <w:r w:rsidRPr="008A2298">
              <w:rPr>
                <w:b/>
                <w:i/>
              </w:rPr>
              <w:t xml:space="preserve"> van szükség</w:t>
            </w:r>
            <w:r w:rsidRPr="008A2298">
              <w:t>;</w:t>
            </w:r>
          </w:p>
        </w:tc>
        <w:tc>
          <w:tcPr>
            <w:tcW w:w="4876" w:type="dxa"/>
            <w:tcBorders>
              <w:top w:val="nil"/>
              <w:left w:val="nil"/>
              <w:bottom w:val="nil"/>
              <w:right w:val="nil"/>
            </w:tcBorders>
          </w:tcPr>
          <w:p w:rsidR="00DD1D01" w:rsidRPr="008A2298" w:rsidRDefault="00B81B67" w:rsidP="00CF051B">
            <w:pPr>
              <w:pStyle w:val="Normal6a"/>
            </w:pPr>
            <w:r w:rsidRPr="008A2298">
              <w:t>2.</w:t>
            </w:r>
            <w:r w:rsidRPr="008A2298">
              <w:tab/>
              <w:t>megjegyzi, hogy a Bizottság strukturális kihívásokat talált az igazságszolgáltatás hatékonyságának</w:t>
            </w:r>
            <w:r w:rsidRPr="008A2298">
              <w:rPr>
                <w:b/>
                <w:i/>
              </w:rPr>
              <w:t>, hozzáférhetőségének és minőségének</w:t>
            </w:r>
            <w:r w:rsidRPr="008A2298">
              <w:t xml:space="preserve"> javítása terén egyes tagállamokban</w:t>
            </w:r>
            <w:r w:rsidRPr="008A2298">
              <w:rPr>
                <w:vertAlign w:val="superscript"/>
              </w:rPr>
              <w:t>37</w:t>
            </w:r>
            <w:r w:rsidRPr="008A2298">
              <w:t xml:space="preserve">; </w:t>
            </w:r>
            <w:r w:rsidRPr="008A2298">
              <w:rPr>
                <w:b/>
                <w:i/>
              </w:rPr>
              <w:t>emlékeztet arra, hogy az igazságszolgáltatási rendszer hatékonyság</w:t>
            </w:r>
            <w:r w:rsidRPr="008A2298">
              <w:rPr>
                <w:b/>
                <w:i/>
              </w:rPr>
              <w:t>a olyan intézkedések végrehajtását teszi szükségessé, amelyek csökkentik az eljárások hosszát és az igazságszolgáltatási ügyhátralékot; felhívja a tagállamokat, hogy észszerű határidőn belül járjanak el a korrupciós ügyekben, hogy ne táplálják a büntetlens</w:t>
            </w:r>
            <w:r w:rsidRPr="008A2298">
              <w:rPr>
                <w:b/>
                <w:i/>
              </w:rPr>
              <w:t>ég érzését a polgárok körében; emlékeztet arra</w:t>
            </w:r>
            <w:r w:rsidRPr="008A2298">
              <w:t xml:space="preserve">, hogy </w:t>
            </w:r>
            <w:r w:rsidRPr="008A2298">
              <w:rPr>
                <w:b/>
                <w:i/>
              </w:rPr>
              <w:t>elegendő – pénzügyi, infrastrukturális vagy személyzeti – erőforrás nélkül az igazságszolgáltatási rendszer nem lehet hatékony;</w:t>
            </w:r>
            <w:r w:rsidRPr="008A2298">
              <w:t xml:space="preserve"> </w:t>
            </w:r>
            <w:r w:rsidRPr="008A2298">
              <w:rPr>
                <w:b/>
                <w:i/>
              </w:rPr>
              <w:t>felkéri a tagállamokat, hogy ragadják meg a digitalizáció által kínált lehe</w:t>
            </w:r>
            <w:r w:rsidRPr="008A2298">
              <w:rPr>
                <w:b/>
                <w:i/>
              </w:rPr>
              <w:t>tőségeket az egyszerűsítés, a hatékonyság és a hozzáférhetőség javítása, az időmegtakarítás és a tárolási költségek csökkentése érdekében;</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DD1D01" w:rsidRPr="008A2298" w:rsidRDefault="00B81B67" w:rsidP="00CF051B">
            <w:pPr>
              <w:pStyle w:val="Normal6a"/>
            </w:pPr>
            <w:r w:rsidRPr="008A2298">
              <w:rPr>
                <w:vertAlign w:val="superscript"/>
              </w:rPr>
              <w:t>37</w:t>
            </w:r>
            <w:r w:rsidRPr="008A2298">
              <w:t xml:space="preserve"> A Bizottság „2024. évi jogállamisági jelentés” című, 2024. július 24-i közleménye (COM(2022)0800),</w:t>
            </w:r>
            <w:r w:rsidRPr="008A2298">
              <w:t xml:space="preserve"> Melléklet ajánlásokkal, 1., 9., 11., 19. és 24. oldal.</w:t>
            </w:r>
          </w:p>
        </w:tc>
      </w:tr>
    </w:tbl>
    <w:p w:rsidR="00DD1D01" w:rsidRPr="008A2298" w:rsidRDefault="00B81B67" w:rsidP="00DD1D0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DD1D01" w:rsidRPr="008A2298" w:rsidRDefault="00B81B67" w:rsidP="00DD1D01">
      <w:r w:rsidRPr="008A2298">
        <w:rPr>
          <w:rStyle w:val="HideTWBExt"/>
        </w:rPr>
        <w:t>&lt;/Amend&gt;</w:t>
      </w:r>
    </w:p>
    <w:p w:rsidR="00DD1D01" w:rsidRPr="008A2298" w:rsidRDefault="00B81B67" w:rsidP="00DD1D0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183</w:t>
      </w:r>
      <w:r w:rsidRPr="008A2298">
        <w:rPr>
          <w:rStyle w:val="HideTWBExt"/>
          <w:b w:val="0"/>
        </w:rPr>
        <w:t>&lt;/NumAm&gt;</w:t>
      </w:r>
    </w:p>
    <w:p w:rsidR="00DD1D01" w:rsidRPr="008A2298" w:rsidRDefault="00B81B67" w:rsidP="00DD1D0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w:t>
      </w:r>
      <w:r w:rsidRPr="008A2298">
        <w:rPr>
          <w:rStyle w:val="HideTWBExt"/>
          <w:b w:val="0"/>
        </w:rPr>
        <w:t>Members&gt;</w:t>
      </w:r>
    </w:p>
    <w:p w:rsidR="00DD1D01" w:rsidRPr="008A2298" w:rsidRDefault="00B81B67" w:rsidP="00DD1D01">
      <w:pPr>
        <w:pStyle w:val="NormalBold"/>
      </w:pPr>
      <w:r w:rsidRPr="008A2298">
        <w:rPr>
          <w:rStyle w:val="HideTWBExt"/>
          <w:b w:val="0"/>
        </w:rPr>
        <w:t>&lt;/RepeatBlock-By&gt;</w:t>
      </w:r>
    </w:p>
    <w:p w:rsidR="00DD1D01" w:rsidRPr="008A2298" w:rsidRDefault="00B81B67" w:rsidP="00DD1D0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DD1D01" w:rsidRPr="008A2298" w:rsidRDefault="00B81B67" w:rsidP="00DD1D0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223F" w:rsidRPr="008A2298" w:rsidTr="00CF051B">
        <w:trPr>
          <w:trHeight w:hRule="exact" w:val="240"/>
          <w:jc w:val="center"/>
        </w:trPr>
        <w:tc>
          <w:tcPr>
            <w:tcW w:w="9752" w:type="dxa"/>
            <w:gridSpan w:val="2"/>
            <w:tcBorders>
              <w:top w:val="nil"/>
              <w:left w:val="nil"/>
              <w:bottom w:val="nil"/>
              <w:right w:val="nil"/>
            </w:tcBorders>
          </w:tcPr>
          <w:p w:rsidR="00DD1D01" w:rsidRPr="008A2298" w:rsidRDefault="00DD1D01" w:rsidP="00CF051B"/>
        </w:tc>
      </w:tr>
      <w:tr w:rsidR="0080223F" w:rsidRPr="008A2298" w:rsidTr="00CF051B">
        <w:trPr>
          <w:trHeight w:val="240"/>
          <w:jc w:val="center"/>
        </w:trPr>
        <w:tc>
          <w:tcPr>
            <w:tcW w:w="4876" w:type="dxa"/>
            <w:tcBorders>
              <w:top w:val="nil"/>
              <w:left w:val="nil"/>
              <w:bottom w:val="nil"/>
              <w:right w:val="nil"/>
            </w:tcBorders>
          </w:tcPr>
          <w:p w:rsidR="00DD1D01" w:rsidRPr="008A2298" w:rsidRDefault="00B81B67" w:rsidP="00CF051B">
            <w:pPr>
              <w:pStyle w:val="AmColumnHeading"/>
            </w:pPr>
            <w:r w:rsidRPr="008A2298">
              <w:t>Állásfoglalásra irányuló indítvány</w:t>
            </w:r>
          </w:p>
        </w:tc>
        <w:tc>
          <w:tcPr>
            <w:tcW w:w="4876" w:type="dxa"/>
            <w:tcBorders>
              <w:top w:val="nil"/>
              <w:left w:val="nil"/>
              <w:bottom w:val="nil"/>
              <w:right w:val="nil"/>
            </w:tcBorders>
          </w:tcPr>
          <w:p w:rsidR="00DD1D01" w:rsidRPr="008A2298" w:rsidRDefault="00B81B67" w:rsidP="00CF051B">
            <w:pPr>
              <w:pStyle w:val="AmColumnHeading"/>
            </w:pPr>
            <w:r w:rsidRPr="008A2298">
              <w:t>Módosítás</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t>2.</w:t>
            </w:r>
            <w:r w:rsidRPr="008A2298">
              <w:tab/>
              <w:t xml:space="preserve">megjegyzi, hogy a Bizottság </w:t>
            </w:r>
            <w:r w:rsidRPr="008A2298">
              <w:rPr>
                <w:b/>
                <w:i/>
              </w:rPr>
              <w:t xml:space="preserve">strukturális kihívásokat talált az igazságszolgáltatás </w:t>
            </w:r>
            <w:r w:rsidRPr="008A2298">
              <w:rPr>
                <w:b/>
                <w:i/>
              </w:rPr>
              <w:t>hatékonyságának javítása terén egyes tagállamokban</w:t>
            </w:r>
            <w:r w:rsidRPr="008A2298">
              <w:rPr>
                <w:b/>
                <w:i/>
                <w:vertAlign w:val="superscript"/>
              </w:rPr>
              <w:t>37</w:t>
            </w:r>
            <w:r w:rsidRPr="008A2298">
              <w:rPr>
                <w:b/>
                <w:i/>
              </w:rPr>
              <w:t>;</w:t>
            </w:r>
            <w:r w:rsidRPr="008A2298">
              <w:t xml:space="preserve"> </w:t>
            </w:r>
            <w:r w:rsidRPr="008A2298">
              <w:rPr>
                <w:b/>
                <w:i/>
              </w:rPr>
              <w:t>hangsúlyozza, hogy</w:t>
            </w:r>
            <w:r w:rsidRPr="008A2298">
              <w:t xml:space="preserve"> a magas szintű bírói tisztségek </w:t>
            </w:r>
            <w:r w:rsidRPr="008A2298">
              <w:rPr>
                <w:b/>
                <w:i/>
              </w:rPr>
              <w:t>betöltéséhez átlátható és érdemeken alapuló, politikai beavatkozás nélküli kinevezésre van szükség</w:t>
            </w:r>
            <w:r w:rsidRPr="008A2298">
              <w:t>;</w:t>
            </w:r>
          </w:p>
        </w:tc>
        <w:tc>
          <w:tcPr>
            <w:tcW w:w="4876" w:type="dxa"/>
            <w:tcBorders>
              <w:top w:val="nil"/>
              <w:left w:val="nil"/>
              <w:bottom w:val="nil"/>
              <w:right w:val="nil"/>
            </w:tcBorders>
          </w:tcPr>
          <w:p w:rsidR="00DD1D01" w:rsidRPr="008A2298" w:rsidRDefault="00B81B67" w:rsidP="00CF051B">
            <w:pPr>
              <w:pStyle w:val="Normal6a"/>
            </w:pPr>
            <w:r w:rsidRPr="008A2298">
              <w:t>2.</w:t>
            </w:r>
            <w:r w:rsidRPr="008A2298">
              <w:tab/>
              <w:t xml:space="preserve">megjegyzi, hogy a Bizottság </w:t>
            </w:r>
            <w:r w:rsidRPr="008A2298">
              <w:rPr>
                <w:b/>
                <w:i/>
              </w:rPr>
              <w:t>nem illetékes</w:t>
            </w:r>
            <w:r w:rsidRPr="008A2298">
              <w:t xml:space="preserve"> a </w:t>
            </w:r>
            <w:r w:rsidRPr="008A2298">
              <w:rPr>
                <w:b/>
                <w:i/>
              </w:rPr>
              <w:t>tagállamok igazságszolgáltatási szervezetének vizsgálatában vagy értékelésében</w:t>
            </w:r>
            <w:r w:rsidRPr="008A2298">
              <w:t>;</w:t>
            </w:r>
          </w:p>
        </w:tc>
      </w:tr>
      <w:tr w:rsidR="0080223F" w:rsidRPr="008A2298" w:rsidTr="00CF051B">
        <w:trPr>
          <w:jc w:val="center"/>
        </w:trPr>
        <w:tc>
          <w:tcPr>
            <w:tcW w:w="4876" w:type="dxa"/>
            <w:tcBorders>
              <w:top w:val="nil"/>
              <w:left w:val="nil"/>
              <w:bottom w:val="nil"/>
              <w:right w:val="nil"/>
            </w:tcBorders>
          </w:tcPr>
          <w:p w:rsidR="00DD1D01" w:rsidRPr="008A2298" w:rsidRDefault="00DD1D01" w:rsidP="00CF051B">
            <w:pPr>
              <w:pStyle w:val="Normal6a"/>
            </w:pPr>
          </w:p>
        </w:tc>
        <w:tc>
          <w:tcPr>
            <w:tcW w:w="4876" w:type="dxa"/>
            <w:tcBorders>
              <w:top w:val="nil"/>
              <w:left w:val="nil"/>
              <w:bottom w:val="nil"/>
              <w:right w:val="nil"/>
            </w:tcBorders>
          </w:tcPr>
          <w:p w:rsidR="00DD1D01" w:rsidRPr="008A2298" w:rsidRDefault="00B81B67" w:rsidP="00CF051B">
            <w:pPr>
              <w:pStyle w:val="Normal6a"/>
            </w:pPr>
            <w:r w:rsidRPr="008A2298">
              <w:rPr>
                <w:b/>
                <w:i/>
              </w:rPr>
              <w:t xml:space="preserve">hangsúlyozza, hogy a tagállamok hatáskörébe tartozik, hogy átlátható módon és politikai beavatkozás nélkül határozzák meg </w:t>
            </w:r>
            <w:r w:rsidRPr="008A2298">
              <w:t>a magas szintű bírói tisztségek</w:t>
            </w:r>
            <w:r w:rsidRPr="008A2298">
              <w:rPr>
                <w:b/>
                <w:i/>
              </w:rPr>
              <w:t xml:space="preserve"> betöltésére vonatkozó kinevezési eljárásokat;</w:t>
            </w:r>
            <w:r w:rsidRPr="008A2298">
              <w:t xml:space="preserve"> </w:t>
            </w:r>
            <w:r w:rsidRPr="008A2298">
              <w:rPr>
                <w:b/>
                <w:i/>
              </w:rPr>
              <w:t>hangsúlyozza, hogy elfogadhatatlan, hogy a Bizottság beavatkozzon a tagállamok azon tevékenységeibe, amelyek célja az igazságszolgáltatás szervezetének reformja és hatékonyságának javítása;</w:t>
            </w:r>
          </w:p>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rPr>
              <w:t>_________________</w:t>
            </w:r>
          </w:p>
        </w:tc>
        <w:tc>
          <w:tcPr>
            <w:tcW w:w="4876" w:type="dxa"/>
            <w:tcBorders>
              <w:top w:val="nil"/>
              <w:left w:val="nil"/>
              <w:bottom w:val="nil"/>
              <w:right w:val="nil"/>
            </w:tcBorders>
          </w:tcPr>
          <w:p w:rsidR="00DD1D01" w:rsidRPr="008A2298" w:rsidRDefault="00DD1D01" w:rsidP="00CF051B"/>
        </w:tc>
      </w:tr>
      <w:tr w:rsidR="0080223F" w:rsidRPr="008A2298" w:rsidTr="00CF051B">
        <w:trPr>
          <w:jc w:val="center"/>
        </w:trPr>
        <w:tc>
          <w:tcPr>
            <w:tcW w:w="4876" w:type="dxa"/>
            <w:tcBorders>
              <w:top w:val="nil"/>
              <w:left w:val="nil"/>
              <w:bottom w:val="nil"/>
              <w:right w:val="nil"/>
            </w:tcBorders>
          </w:tcPr>
          <w:p w:rsidR="00DD1D01" w:rsidRPr="008A2298" w:rsidRDefault="00B81B67" w:rsidP="00CF051B">
            <w:pPr>
              <w:pStyle w:val="Normal6a"/>
            </w:pPr>
            <w:r w:rsidRPr="008A2298">
              <w:rPr>
                <w:b/>
                <w:i/>
                <w:vertAlign w:val="superscript"/>
              </w:rPr>
              <w:t>37</w:t>
            </w:r>
            <w:r w:rsidRPr="008A2298">
              <w:rPr>
                <w:b/>
                <w:i/>
              </w:rPr>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DD1D01" w:rsidRPr="008A2298" w:rsidRDefault="00DD1D01" w:rsidP="00CF051B"/>
        </w:tc>
      </w:tr>
    </w:tbl>
    <w:p w:rsidR="00DD1D01" w:rsidRPr="008A2298" w:rsidRDefault="00B81B67" w:rsidP="00DD1D0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DD1D01" w:rsidRPr="008A2298" w:rsidRDefault="00B81B67" w:rsidP="00DD1D01">
      <w:pPr>
        <w:rPr>
          <w:rStyle w:val="HideTWBExt"/>
        </w:rPr>
      </w:pPr>
      <w:r w:rsidRPr="008A2298">
        <w:rPr>
          <w:rStyle w:val="HideTWBExt"/>
        </w:rPr>
        <w:t>&lt;/Amend&gt;</w:t>
      </w:r>
    </w:p>
    <w:p w:rsidR="00085AC1" w:rsidRPr="008A2298" w:rsidRDefault="00085AC1" w:rsidP="00085AC1">
      <w:pPr>
        <w:pStyle w:val="AmNumberTabs"/>
      </w:pPr>
      <w:r w:rsidRPr="008A2298">
        <w:rPr>
          <w:rStyle w:val="HideTWBExt"/>
          <w:b w:val="0"/>
        </w:rPr>
        <w:t>&lt;</w:t>
      </w:r>
      <w:bookmarkStart w:id="0" w:name="_GoBack"/>
      <w:bookmarkEnd w:id="0"/>
      <w:r w:rsidRPr="008A2298">
        <w:rPr>
          <w:rStyle w:val="HideTWBExt"/>
          <w:b w:val="0"/>
        </w:rPr>
        <w:t>Amend&gt;</w:t>
      </w:r>
      <w:r w:rsidRPr="008A2298">
        <w:t>Módosítás</w:t>
      </w:r>
      <w:r w:rsidRPr="008A2298">
        <w:tab/>
      </w:r>
      <w:r w:rsidRPr="008A2298">
        <w:tab/>
      </w:r>
      <w:r w:rsidRPr="008A2298">
        <w:rPr>
          <w:rStyle w:val="HideTWBExt"/>
          <w:b w:val="0"/>
        </w:rPr>
        <w:t>&lt;NumAm&gt;</w:t>
      </w:r>
      <w:r w:rsidRPr="008A2298">
        <w:t>184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Malika Sorel</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 xml:space="preserve">megjegyzi, hogy a Bizottság </w:t>
            </w:r>
            <w:r w:rsidRPr="008A2298">
              <w:lastRenderedPageBreak/>
              <w:t>strukturális kihívásokat talált az igazságszolgáltatás hatékonyságának javítása terén egyes tagállamokban</w:t>
            </w:r>
            <w:r w:rsidRPr="008A2298">
              <w:rPr>
                <w:vertAlign w:val="superscript"/>
              </w:rPr>
              <w:t>37</w:t>
            </w:r>
            <w:r w:rsidRPr="008A2298">
              <w:t>; hangsúlyozza, hogy a magas szintű bírói tisztségek betöltéséhez átlátható és érdemeken alapuló, politikai beavatkozás nélküli kinevezésre van szükség;</w:t>
            </w:r>
          </w:p>
        </w:tc>
        <w:tc>
          <w:tcPr>
            <w:tcW w:w="4876" w:type="dxa"/>
            <w:tcBorders>
              <w:top w:val="nil"/>
              <w:left w:val="nil"/>
              <w:bottom w:val="nil"/>
              <w:right w:val="nil"/>
            </w:tcBorders>
          </w:tcPr>
          <w:p w:rsidR="00085AC1" w:rsidRPr="008A2298" w:rsidRDefault="00085AC1" w:rsidP="00875E96">
            <w:pPr>
              <w:pStyle w:val="Normal6a"/>
            </w:pPr>
            <w:r w:rsidRPr="008A2298">
              <w:lastRenderedPageBreak/>
              <w:t>2.</w:t>
            </w:r>
            <w:r w:rsidRPr="008A2298">
              <w:tab/>
              <w:t xml:space="preserve">megjegyzi, hogy a Bizottság </w:t>
            </w:r>
            <w:r w:rsidRPr="008A2298">
              <w:lastRenderedPageBreak/>
              <w:t>strukturális kihívásokat talált az igazságszolgáltatás hatékonyságának javítása terén egyes tagállamokban</w:t>
            </w:r>
            <w:r w:rsidRPr="008A2298">
              <w:rPr>
                <w:vertAlign w:val="superscript"/>
              </w:rPr>
              <w:t>37</w:t>
            </w:r>
            <w:r w:rsidRPr="008A2298">
              <w:t xml:space="preserve">; hangsúlyozza, hogy a magas szintű bírói tisztségek betöltéséhez átlátható és érdemeken alapuló, politikai beavatkozás nélküli kinevezésre van szükség; </w:t>
            </w:r>
            <w:r w:rsidRPr="008A2298">
              <w:rPr>
                <w:b/>
                <w:i/>
              </w:rPr>
              <w:t>emlékeztet az Európa Tanácsnak a bírói tanácsok bíráinak megválasztására vonatkozó normáira, akiket a hatalmi ágak szétválasztásának biztosítása érdekében a bíráknak kell megválasztaniuk;</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András László</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 xml:space="preserve">megjegyzi, hogy a Bizottság </w:t>
            </w:r>
            <w:r w:rsidRPr="008A2298">
              <w:rPr>
                <w:b/>
                <w:i/>
              </w:rPr>
              <w:t>strukturális kihívásokat talált az igazságszolgáltatás hatékonyságának javítása terén egyes tagállamokban</w:t>
            </w:r>
            <w:r w:rsidRPr="008A2298">
              <w:rPr>
                <w:b/>
                <w:i/>
                <w:vertAlign w:val="superscript"/>
              </w:rPr>
              <w:t>37</w:t>
            </w:r>
            <w:r w:rsidRPr="008A2298">
              <w:t xml:space="preserve">; </w:t>
            </w:r>
            <w:r w:rsidRPr="008A2298">
              <w:rPr>
                <w:b/>
                <w:i/>
              </w:rPr>
              <w:t>hangsúlyozza, hogy a magas szintű bírói tisztségek betöltéséhez átlátható és érdemeken alapuló, politikai beavatkozás nélküli kinevezésre van szükség;</w:t>
            </w:r>
          </w:p>
        </w:tc>
        <w:tc>
          <w:tcPr>
            <w:tcW w:w="4876" w:type="dxa"/>
            <w:tcBorders>
              <w:top w:val="nil"/>
              <w:left w:val="nil"/>
              <w:bottom w:val="nil"/>
              <w:right w:val="nil"/>
            </w:tcBorders>
          </w:tcPr>
          <w:p w:rsidR="00085AC1" w:rsidRPr="008A2298" w:rsidRDefault="00085AC1" w:rsidP="00875E96">
            <w:pPr>
              <w:pStyle w:val="Normal6a"/>
            </w:pPr>
            <w:r w:rsidRPr="008A2298">
              <w:t>2.</w:t>
            </w:r>
            <w:r w:rsidRPr="008A2298">
              <w:tab/>
              <w:t xml:space="preserve">megjegyzi, hogy a Bizottság </w:t>
            </w:r>
            <w:r w:rsidRPr="008A2298">
              <w:rPr>
                <w:b/>
                <w:i/>
              </w:rPr>
              <w:t>éves jogállamisági jelentése a politikai nyomásgyakorlás újabb eszköze; sajnálja, hogy a jelentés nem ad objektív és megalapozott képet a tagállamok jogállamisági helyzetéről; hangsúlyozza, hogy ez a jelentés nem szolgálhat további uniós mechanizmusok és eljárások alapjául; sajnálja</w:t>
            </w:r>
            <w:r w:rsidRPr="008A2298">
              <w:t xml:space="preserve">, </w:t>
            </w:r>
            <w:r w:rsidRPr="008A2298">
              <w:rPr>
                <w:b/>
                <w:i/>
              </w:rPr>
              <w:t>hogy éves jogállamisági jelentésének elkészítésekor a Bizottság a jelentésbe foglalja a külföldi finanszírozású nem kormányzati szervezetek észrevételeit</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vertAlign w:val="superscript"/>
              </w:rPr>
              <w:t>37</w:t>
            </w:r>
            <w:r w:rsidRPr="008A2298">
              <w:rPr>
                <w:b/>
                <w:i/>
              </w:rPr>
              <w:t xml:space="preserve"> A Bizottság „2024. évi jogállamisági jelentés” című, 2024. július 24-i közleménye (COM(2022)0800), Melléklet </w:t>
            </w:r>
            <w:r w:rsidRPr="008A2298">
              <w:rPr>
                <w:b/>
                <w:i/>
              </w:rPr>
              <w:lastRenderedPageBreak/>
              <w:t>ajánlásokkal, 1., 9., 11., 19. és 24. oldal.</w:t>
            </w:r>
          </w:p>
        </w:tc>
        <w:tc>
          <w:tcPr>
            <w:tcW w:w="4876" w:type="dxa"/>
            <w:tcBorders>
              <w:top w:val="nil"/>
              <w:left w:val="nil"/>
              <w:bottom w:val="nil"/>
              <w:right w:val="nil"/>
            </w:tcBorders>
          </w:tcPr>
          <w:p w:rsidR="00085AC1" w:rsidRPr="008A2298" w:rsidRDefault="00085AC1" w:rsidP="00875E96"/>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Nicolas Bay</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hangsúlyozza, hogy a magas szintű bírói tisztségek betöltéséhez átlátható és érdemeken alapuló, politikai beavatkozás nélküli kinevezésre van szükség;</w:t>
            </w:r>
          </w:p>
        </w:tc>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hangsúlyozza, hogy a magas szintű bírói tisztségek betöltéséhez átlátható és érdemeken alapuló, politikai beavatkozás nélküli kinevezésre van szükség</w:t>
            </w:r>
            <w:r w:rsidRPr="008A2298">
              <w:rPr>
                <w:b/>
                <w:i/>
              </w:rPr>
              <w:t>, csakúgy mint a Bizottság esetében, amelynek szigorúan tiszteletben kell tartania a nemzeti szuverenitást és előjogokat</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Ewa Zajączkowska-Hernik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 xml:space="preserve">megjegyzi, hogy a Bizottság </w:t>
            </w:r>
            <w:r w:rsidRPr="008A2298">
              <w:rPr>
                <w:b/>
                <w:i/>
              </w:rPr>
              <w:t>strukturális kihívásokat talált az igazságszolgáltatás hatékonyságának javítása terén egyes tagállamokban</w:t>
            </w:r>
            <w:r w:rsidRPr="008A2298">
              <w:rPr>
                <w:vertAlign w:val="superscript"/>
              </w:rPr>
              <w:t>37</w:t>
            </w:r>
            <w:r w:rsidRPr="008A2298">
              <w:t xml:space="preserve">; hangsúlyozza, hogy a magas szintű bírói tisztségek betöltéséhez átlátható és </w:t>
            </w:r>
            <w:r w:rsidRPr="008A2298">
              <w:lastRenderedPageBreak/>
              <w:t xml:space="preserve">érdemeken alapuló, politikai </w:t>
            </w:r>
            <w:r w:rsidRPr="008A2298">
              <w:rPr>
                <w:b/>
                <w:i/>
              </w:rPr>
              <w:t>beavatkozás</w:t>
            </w:r>
            <w:r w:rsidRPr="008A2298">
              <w:t xml:space="preserve"> nélküli kinevezésre van szükség;</w:t>
            </w:r>
          </w:p>
        </w:tc>
        <w:tc>
          <w:tcPr>
            <w:tcW w:w="4876" w:type="dxa"/>
            <w:tcBorders>
              <w:top w:val="nil"/>
              <w:left w:val="nil"/>
              <w:bottom w:val="nil"/>
              <w:right w:val="nil"/>
            </w:tcBorders>
          </w:tcPr>
          <w:p w:rsidR="00085AC1" w:rsidRPr="008A2298" w:rsidRDefault="00085AC1" w:rsidP="00875E96">
            <w:pPr>
              <w:pStyle w:val="Normal6a"/>
            </w:pPr>
            <w:r w:rsidRPr="008A2298">
              <w:lastRenderedPageBreak/>
              <w:t>2.</w:t>
            </w:r>
            <w:r w:rsidRPr="008A2298">
              <w:tab/>
              <w:t xml:space="preserve">megjegyzi, hogy a Bizottság </w:t>
            </w:r>
            <w:r w:rsidRPr="008A2298">
              <w:rPr>
                <w:b/>
                <w:i/>
              </w:rPr>
              <w:t>túllépte hatáskörét, amikor olyan intézkedéseket hozott, amelyek egyes tagállamok igazságszolgáltatásába való beavatkozásoknak tekinthetők</w:t>
            </w:r>
            <w:r w:rsidRPr="008A2298">
              <w:rPr>
                <w:vertAlign w:val="superscript"/>
              </w:rPr>
              <w:t>37</w:t>
            </w:r>
            <w:r w:rsidRPr="008A2298">
              <w:t xml:space="preserve">; hangsúlyozza, hogy a magas szintű bírói </w:t>
            </w:r>
            <w:r w:rsidRPr="008A2298">
              <w:lastRenderedPageBreak/>
              <w:t xml:space="preserve">tisztségek betöltéséhez átlátható és érdemeken alapuló, </w:t>
            </w:r>
            <w:r w:rsidRPr="008A2298">
              <w:rPr>
                <w:b/>
                <w:i/>
              </w:rPr>
              <w:t xml:space="preserve">az európai uniós intézményeken belül hatalmon lévő csoport </w:t>
            </w:r>
            <w:r w:rsidRPr="008A2298">
              <w:t xml:space="preserve">politikai </w:t>
            </w:r>
            <w:r w:rsidRPr="008A2298">
              <w:rPr>
                <w:b/>
                <w:i/>
              </w:rPr>
              <w:t>beavatkozása</w:t>
            </w:r>
            <w:r w:rsidRPr="008A2298">
              <w:t xml:space="preserve"> nélküli kinevezésre van szükség;</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vertAlign w:val="superscript"/>
              </w:rPr>
              <w:t>37</w:t>
            </w:r>
            <w:r w:rsidRPr="008A2298">
              <w:rPr>
                <w:b/>
                <w:i/>
              </w:rPr>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b/>
                <w:i/>
                <w:vertAlign w:val="superscript"/>
              </w:rPr>
              <w:t>37</w:t>
            </w:r>
            <w:r w:rsidRPr="008A2298">
              <w:rPr>
                <w:b/>
                <w:i/>
              </w:rPr>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hangsúlyozza, hogy a magas szintű bírói tisztségek betöltéséhez átlátható és érdemeken alapuló, politikai beavatkozás nélküli kinevezésre van szükség;</w:t>
            </w:r>
          </w:p>
        </w:tc>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hangsúlyozza, hogy a magas szintű bírói tisztségek betöltéséhez átlátható és érdemeken alapuló, politikai beavatkozás nélküli</w:t>
            </w:r>
            <w:r w:rsidRPr="008A2298">
              <w:rPr>
                <w:b/>
                <w:i/>
              </w:rPr>
              <w:t>, pártatlanságukat biztosító</w:t>
            </w:r>
            <w:r w:rsidRPr="008A2298">
              <w:t xml:space="preserve"> kinevezésre van szükség;</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189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Raquel García Hermida-Van Der Walle, Fabienne Keller, Sophie Wilmès, Moritz Körner, Abir Al-Sahlani, Sigrid Friis, Lucia Yar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hangsúlyozza, hogy a magas szintű bírói tisztségek betöltéséhez átlátható és érdemeken alapuló, politikai beavatkozás nélküli kinevezésre van szükség;</w:t>
            </w:r>
          </w:p>
        </w:tc>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xml:space="preserve">; hangsúlyozza, hogy a magas szintű bírói tisztségek betöltéséhez átlátható és érdemeken alapuló, politikai beavatkozás nélküli </w:t>
            </w:r>
            <w:r w:rsidRPr="008A2298">
              <w:rPr>
                <w:b/>
                <w:i/>
              </w:rPr>
              <w:t xml:space="preserve">jelölésre és </w:t>
            </w:r>
            <w:r w:rsidRPr="008A2298">
              <w:t>kinevezésre van szükség</w:t>
            </w:r>
            <w:r w:rsidRPr="008A2298">
              <w:rPr>
                <w:b/>
                <w:i/>
              </w:rPr>
              <w:t xml:space="preserve"> valamennyi tagállamban</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xml:space="preserve">; hangsúlyozza, hogy </w:t>
            </w:r>
            <w:r w:rsidRPr="008A2298">
              <w:rPr>
                <w:b/>
                <w:i/>
              </w:rPr>
              <w:t>a magas szintű bírói tisztségek betöltéséhez átlátható és</w:t>
            </w:r>
            <w:r w:rsidRPr="008A2298">
              <w:t xml:space="preserve"> érdemeken alapuló, politikai beavatkozás nélküli </w:t>
            </w:r>
            <w:r w:rsidRPr="008A2298">
              <w:rPr>
                <w:b/>
                <w:i/>
              </w:rPr>
              <w:t>kinevezésre van szükség</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xml:space="preserve">; hangsúlyozza, hogy </w:t>
            </w:r>
            <w:r w:rsidRPr="008A2298">
              <w:rPr>
                <w:b/>
                <w:i/>
              </w:rPr>
              <w:t>teljes mértékben átlátható, nyilvános kritériumokra van szükség a magas szintű bírák</w:t>
            </w:r>
            <w:r w:rsidRPr="008A2298">
              <w:t xml:space="preserve"> érdemeken alapuló, politikai beavatkozás nélküli </w:t>
            </w:r>
            <w:r w:rsidRPr="008A2298">
              <w:rPr>
                <w:b/>
                <w:i/>
              </w:rPr>
              <w:t>kinevezéséhez</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lastRenderedPageBreak/>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rPr>
                <w:b/>
                <w:i/>
              </w:rPr>
              <w:t>;</w:t>
            </w:r>
            <w:r w:rsidRPr="008A2298">
              <w:t xml:space="preserve"> </w:t>
            </w:r>
            <w:r w:rsidRPr="008A2298">
              <w:rPr>
                <w:b/>
                <w:i/>
              </w:rPr>
              <w:t>hangsúlyozza</w:t>
            </w:r>
            <w:r w:rsidRPr="008A2298">
              <w:t xml:space="preserve">, </w:t>
            </w:r>
            <w:r w:rsidRPr="008A2298">
              <w:rPr>
                <w:b/>
                <w:i/>
              </w:rPr>
              <w:t>hogy</w:t>
            </w:r>
            <w:r w:rsidRPr="008A2298">
              <w:t xml:space="preserve"> a </w:t>
            </w:r>
            <w:r w:rsidRPr="008A2298">
              <w:rPr>
                <w:b/>
                <w:i/>
              </w:rPr>
              <w:t>magas szintű bírói tisztségek betöltéséhez átlátható és érdemeken alapuló, politikai beavatkozás nélküli kinevezésre van szükség</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2.</w:t>
            </w:r>
            <w:r w:rsidRPr="008A2298">
              <w:tab/>
              <w:t>megjegyzi, hogy a Bizottság strukturális kihívásokat talált az igazságszolgáltatás hatékonyságának javítása terén egyes tagállamokban</w:t>
            </w:r>
            <w:r w:rsidRPr="008A2298">
              <w:rPr>
                <w:vertAlign w:val="superscript"/>
              </w:rPr>
              <w:t>37</w:t>
            </w:r>
            <w:r w:rsidRPr="008A2298">
              <w:t xml:space="preserve">, </w:t>
            </w:r>
            <w:r w:rsidRPr="008A2298">
              <w:rPr>
                <w:b/>
                <w:i/>
              </w:rPr>
              <w:t>tiszteletben tartja</w:t>
            </w:r>
            <w:r w:rsidRPr="008A2298">
              <w:t xml:space="preserve"> a </w:t>
            </w:r>
            <w:r w:rsidRPr="008A2298">
              <w:rPr>
                <w:b/>
                <w:i/>
              </w:rPr>
              <w:t>tagállamok azon hatáskörét, hogy szabályokat állapítsanak meg a magas szintű bírói álláshelyekre szóló kinevezések tekintetében</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37</w:t>
            </w:r>
            <w:r w:rsidRPr="008A2298">
              <w:t xml:space="preserve"> A Bizottság „2024. évi jogállamisági jelentés” című, 2024. július 24-i közleménye (COM(2022)0800), Melléklet ajánlásokkal, 1., 9., 11., 19. és 24. oldal.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Zan, Cecilia Strada, Sandro Ruotolo, Pina Picierno, Marco Tarquinio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a.</w:t>
            </w:r>
            <w:r w:rsidRPr="008A2298">
              <w:tab/>
            </w:r>
            <w:r w:rsidRPr="008A2298">
              <w:rPr>
                <w:b/>
                <w:i/>
              </w:rPr>
              <w:t xml:space="preserve">megjegyzi, hogy a Bizottság megállapítja, hogy Olaszországban a bírói függetlenség érzékelt szintje továbbra is alacsony; aggodalmát fejezi ki a végrehajtási jogszabályoknak az olasz igazságszolgáltatási rendszer reformja keretében történő elfogadása és a bírói hatalom ebből következő gyengülése miatt; aggodalmát fejezi ki az igazságszolgáltatási életpályák szétválasztására, valamint a bírák magatartásának nyomon követésére szolgáló Fegyelmi Felsőbíróság </w:t>
            </w:r>
            <w:r w:rsidRPr="008A2298">
              <w:rPr>
                <w:b/>
                <w:i/>
              </w:rPr>
              <w:lastRenderedPageBreak/>
              <w:t>létrehozására vonatkozó javasolt alkotmányos reformok miatt; hangsúlyozza a bírói függetlenség és a hatalmi ágak szétválasztása megőrzésének fontosságát;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Abir Al-Sahlani, Fabienne Keller, Lucia Yar, Irena Joveva,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a.</w:t>
            </w:r>
            <w:r w:rsidRPr="008A2298">
              <w:tab/>
            </w:r>
            <w:r w:rsidRPr="008A2298">
              <w:rPr>
                <w:b/>
                <w:i/>
              </w:rPr>
              <w:t>sajnálatát fejezi ki amiatt, hogy számos tagállamban továbbra is aggályok merülnek fel a bírák és az igazságügyi alkalmazottak javadalmazási szintjével kapcsolatban, ami miatt az álláshelyek nem vonzók, és ezért nehezen tölthetők be; emlékeztet arra, hogy a bírák kinevezésére és felmentésére, valamint a bírói tanácsok hatásköreire és összetételére vonatkozó átlátható eljárások elengedhetetlenek a bírói függetlenség megőrzéséhez; felhívja a tagállamokat, hogy vezessenek be megfelelő biztosítékokat az indokolatlan – többek között harmadik országokból érkező – politikai befolyással szemben;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Giuseppe Antoci, 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a.</w:t>
            </w:r>
            <w:r w:rsidRPr="008A2298">
              <w:tab/>
            </w:r>
            <w:r w:rsidRPr="008A2298">
              <w:rPr>
                <w:b/>
                <w:i/>
              </w:rPr>
              <w:t>úgy véli, hogy az olaszországi helyzet különös figyelmet érdemel, mivel az országban a jogállamiság helyzete napról napra romlik; elítéli a büntető törvénykönyv reformját, amely megszüntette a közhivatallal való visszaélés bűncselekményét; hangsúlyozza, hogy ez a megszüntetés negatívan hat a korrupció és a szervezett bűnözés elleni küzdelemre Olaszországban és uniós szinten egyaránt; felhívja a Bizottságot, hogy e tekintetben szorosan kövesse nyomon az olaszországi helyzetet, és számoljon be erről a 2025. évi jogállamisági jelentésben;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Ewa Zajączkowska-Hernik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2a.</w:t>
            </w:r>
            <w:r w:rsidRPr="008A2298">
              <w:tab/>
            </w:r>
            <w:r w:rsidRPr="008A2298">
              <w:rPr>
                <w:b/>
                <w:i/>
              </w:rPr>
              <w:t>úgy véli, hogy a Bizottság saját partizánpolitikáját folytatja, szlogenként használva a jogállamiságot annak érdekében, hogy – a finanszírozás és a kommunikáció tekintetében, valamint formálisan – preferált tagállami politikusait pártfogolja, és kirívóan figyelmen kívül hagyja azt az elvet, amely szerint minden kormányzati ágnak, beleértve az igazságszolgáltatást is, bizonyítania kell a demokratikus legitimitást;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 xml:space="preserve">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w:t>
      </w:r>
      <w:r w:rsidRPr="008A2298">
        <w:lastRenderedPageBreak/>
        <w:t>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a.</w:t>
            </w:r>
            <w:r w:rsidRPr="008A2298">
              <w:tab/>
            </w:r>
            <w:r w:rsidRPr="008A2298">
              <w:rPr>
                <w:b/>
                <w:i/>
              </w:rPr>
              <w:t>felhívja a Bizottságot, hogy a jövőbeli jogállamisági jelentésekben értékelje a börtönkörülményeket, tekintettel a túlzsúfoltsággal, a nem megfelelő életkörülményekkel és a börtönökön belüli öngyilkosságok riasztó arányával kapcsolatos súlyos és Európa-szerte növekvő aggodalmakra;</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a.</w:t>
            </w:r>
            <w:r w:rsidRPr="008A2298">
              <w:tab/>
            </w:r>
            <w:r w:rsidRPr="008A2298">
              <w:rPr>
                <w:b/>
                <w:i/>
              </w:rPr>
              <w:t>emlékeztet arra, hogy a bírák és ügyészek kinevezését és előléptetését kizárólag képesítésük alapján kell meghatározni, és azt politikai vagy személyes megfontolások nem befolyásolhatják;</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a.</w:t>
            </w:r>
            <w:r w:rsidRPr="008A2298">
              <w:tab/>
            </w:r>
            <w:r w:rsidRPr="008A2298">
              <w:rPr>
                <w:b/>
                <w:i/>
              </w:rPr>
              <w:t xml:space="preserve">hangsúlyozza az ügyészség </w:t>
            </w:r>
            <w:r w:rsidRPr="008A2298">
              <w:rPr>
                <w:b/>
                <w:i/>
              </w:rPr>
              <w:lastRenderedPageBreak/>
              <w:t>függetlenségének és autonómiájának fontosságát;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199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Fabienne Keller, Lucia Yar, Irena Joveva, Isabel Wiseler-Lima</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b.</w:t>
            </w:r>
            <w:r w:rsidRPr="008A2298">
              <w:tab/>
            </w:r>
            <w:r w:rsidRPr="008A2298">
              <w:rPr>
                <w:b/>
                <w:i/>
              </w:rPr>
              <w:t>emlékeztet arra, hogy garantálni kell az ügyészség autonómiáját, megelőzve ezáltal a munkájába való politikai beavatkozást; sürgeti a fegyelmi eljárások rendszerének reformját annak megakadályozása érdekében, hogy azokat a politikai hatóságok az igazságszolgáltatás ellenőrzésére használják; e tekintetben ragaszkodik ahhoz, hogy ezeket az eljárásokat független szerv végezze;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 Ana Catarina Mendes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b.</w:t>
            </w:r>
            <w:r w:rsidRPr="008A2298">
              <w:tab/>
            </w:r>
            <w:r w:rsidRPr="008A2298">
              <w:rPr>
                <w:b/>
                <w:i/>
              </w:rPr>
              <w:t xml:space="preserve">hangsúlyozza, hogy garantálni kell az ügyészségek autonómiáját és elszámoltathatóságát, megvédve őket az indokolatlan politikai nyomástól; kiemeli az ügyészek átlátható kinevezési eljárásainak szerepét, amely </w:t>
            </w:r>
            <w:r w:rsidRPr="008A2298">
              <w:rPr>
                <w:b/>
                <w:i/>
              </w:rPr>
              <w:lastRenderedPageBreak/>
              <w:t>kulcsfontosságú tényező a büntető igazságszolgáltatásba vetett közbizalom fenntartásában;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c.</w:t>
            </w:r>
            <w:r w:rsidRPr="008A2298">
              <w:tab/>
            </w:r>
            <w:r w:rsidRPr="008A2298">
              <w:rPr>
                <w:b/>
                <w:i/>
              </w:rPr>
              <w:t>felhívja a Bizottságot, hogy tartsa fenn a folyamatos felügyeletet, biztosítva, hogy a bírák és ügyészek továbbra is függetlenek legyenek a kinevezésükért vagy újbóli kinevezésükért felelős hatóságoktól;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d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d.</w:t>
            </w:r>
            <w:r w:rsidRPr="008A2298">
              <w:tab/>
            </w:r>
            <w:r w:rsidRPr="008A2298">
              <w:rPr>
                <w:b/>
                <w:i/>
              </w:rPr>
              <w:t>sürgeti, hogy a bírákra vonatkozó fegyelmi eljárásokat független, politikai befolyástól mentes szervek kezeljék;</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 xml:space="preserve">Moritz Körner, Malik Azmani, Dainius Žalimas, Lucia Yar, Fabienne Keller, Sophie Wilmès, Raquel García Hermida-Van Der Walle, Abir Al-Sahlani, Michał </w:t>
      </w:r>
      <w:r w:rsidRPr="008A2298">
        <w:lastRenderedPageBreak/>
        <w:t>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2 e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 e.</w:t>
            </w:r>
            <w:r w:rsidRPr="008A2298">
              <w:tab/>
            </w:r>
            <w:r w:rsidRPr="008A2298">
              <w:rPr>
                <w:b/>
                <w:i/>
              </w:rPr>
              <w:t>aggodalommal állapítja meg, hogy a politikai indíttatású amnesztiatörvények kétségeket ébresztenek a nyilvánosságban az alkotmányos rendelkezéseknek és az uniós normáknak való megfelelést illetően; sajnálatát fejezi ki a korrupciós nyomozásokba való bármilyen kormányzati vagy politikai beavatkozás miatt, és emlékeztet arra, hogy senki sem áll a törvények felett;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Nicolas Bay</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3.</w:t>
            </w:r>
            <w:r w:rsidRPr="008A2298">
              <w:tab/>
            </w:r>
            <w:r w:rsidRPr="008A2298">
              <w:rPr>
                <w:b/>
                <w:i/>
              </w:rPr>
              <w:t>felhívja a tagállamokat, hogy haladéktalanul hajtsák végre a függőben lévő ítéleteket, és sürgeti a Bizottságot, hogy értékelje az uniós jognak való megfelelésre vonatkozó következményeket, és szükség esetén indítson kötelezettségszegési eljárásokat;</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Mary Khan, Milan Uhrík, Ewa Zajączkowska-Hernik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3.</w:t>
            </w:r>
            <w:r w:rsidRPr="008A2298">
              <w:tab/>
            </w:r>
            <w:r w:rsidRPr="008A2298">
              <w:rPr>
                <w:b/>
                <w:i/>
              </w:rPr>
              <w:t>felhívja a tagállamokat, hogy haladéktalanul hajtsák végre a függőben lévő ítéleteket, és sürgeti a Bizottságot, hogy értékelje az uniós jognak való megfelelésre vonatkozó következményeket, és szükség esetén indítson kötelezettségszegési eljárásokat;</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3.</w:t>
            </w:r>
            <w:r w:rsidRPr="008A2298">
              <w:tab/>
              <w:t>felhívja a tagállamokat, hogy haladéktalanul hajtsák végre a függőben lévő ítéleteket, és sürgeti a Bizottságot, hogy értékelje az uniós jognak való megfelelésre vonatkozó következményeket, és szükség esetén indítson kötelezettségszegési eljárásokat;</w:t>
            </w:r>
          </w:p>
        </w:tc>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a függőben lévő ítéleteket, és sürgeti a Bizottságot, hogy értékelje az uniós jognak való megfelelésre vonatkozó következményeket, és szükség esetén indítson kötelezettségszegési eljárásokat; </w:t>
            </w:r>
            <w:r w:rsidRPr="008A2298">
              <w:rPr>
                <w:b/>
                <w:i/>
              </w:rPr>
              <w:t>hangsúlyozza, hogy a nemzeti és a nemzetközi bíróságok ítéleteinek végre nem hajtása az emberi jogok jogorvoslat nélkül maradó és valószínűleg többször is bekövetkező megsértéséhez vezet; kiemeli, hogy ezt a nyilvánosság úgy észleli, hogy az ítéleteket figyelmen kívül lehet hagyni, ami aláássa az igazságszolgáltatás függetlenségét és az igazságos ítélkezés erejébe vetett általános bizalmat, különösen, ha az állami hivatalok helyezkednek szembe a saját nemzeti bíróságaik által kihirdetett ítéletek betartásával, vagy ha az államok elkezdik darabokra tépni a nemzetközi megállapodások szövetét azáltal, hogy nem tartják be a nemzetközi bíróságok ítéleteit;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207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3.</w:t>
            </w:r>
            <w:r w:rsidRPr="008A2298">
              <w:tab/>
              <w:t>felhívja a tagállamokat, hogy haladéktalanul hajtsák végre a függőben lévő ítéleteket, és sürgeti a Bizottságot, hogy értékelje az uniós jognak való megfelelésre vonatkozó következményeket, és szükség esetén indítson kötelezettségszegési eljárásokat;</w:t>
            </w:r>
          </w:p>
        </w:tc>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a függőben lévő ítéleteket, és sürgeti a Bizottságot, hogy értékelje az uniós jognak való megfelelésre vonatkozó következményeket, és szükség esetén indítson kötelezettségszegési eljárásokat; </w:t>
            </w:r>
            <w:r w:rsidRPr="008A2298">
              <w:rPr>
                <w:b/>
                <w:i/>
              </w:rPr>
              <w:t>javasolja egy ellenőrző egység létrehozását az ítéletek végrehajtásának felügyeletére, biztosítva az Európa Tanáccsal való együttműködést;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w:t>
            </w:r>
            <w:r w:rsidRPr="008A2298">
              <w:rPr>
                <w:b/>
                <w:i/>
              </w:rPr>
              <w:t>a</w:t>
            </w:r>
            <w:r w:rsidRPr="008A2298">
              <w:t xml:space="preserve"> függőben lévő </w:t>
            </w:r>
            <w:r w:rsidRPr="008A2298">
              <w:rPr>
                <w:b/>
                <w:i/>
              </w:rPr>
              <w:t>ítéleteket, és sürgeti a Bizottságot, hogy értékelje az uniós jognak való megfelelésre vonatkozó következményeket, és szükség esetén indítson kötelezettségszegési eljárásokat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w:t>
            </w:r>
            <w:r w:rsidRPr="008A2298">
              <w:rPr>
                <w:b/>
                <w:i/>
              </w:rPr>
              <w:t>az alkotmánybíróságok</w:t>
            </w:r>
            <w:r w:rsidRPr="008A2298">
              <w:t xml:space="preserve"> függőben lévő </w:t>
            </w:r>
            <w:r w:rsidRPr="008A2298">
              <w:rPr>
                <w:b/>
                <w:i/>
              </w:rPr>
              <w:t>ítéleteit</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209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 Ana Catarina Mendes, Moritz Körner</w:t>
      </w:r>
      <w:r w:rsidRPr="008A2298">
        <w:rPr>
          <w:rStyle w:val="HideTWBExt"/>
          <w:b w:val="0"/>
        </w:rPr>
        <w:t>&lt;/Members&gt;</w:t>
      </w:r>
    </w:p>
    <w:p w:rsidR="00085AC1" w:rsidRPr="008A2298" w:rsidRDefault="00085AC1" w:rsidP="00085AC1">
      <w:pPr>
        <w:pStyle w:val="NormalBold"/>
      </w:pPr>
      <w:r w:rsidRPr="008A2298">
        <w:rPr>
          <w:rStyle w:val="HideTWBExt"/>
          <w:b w:val="0"/>
        </w:rPr>
        <w:lastRenderedPageBreak/>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a függőben lévő </w:t>
            </w:r>
            <w:r w:rsidRPr="008A2298">
              <w:rPr>
                <w:b/>
                <w:i/>
              </w:rPr>
              <w:t>ítéleteket</w:t>
            </w:r>
            <w:r w:rsidRPr="008A2298">
              <w:t>, és sürgeti a Bizottságot, hogy értékelje az uniós jognak való megfelelésre vonatkozó következményeket, és szükség esetén indítson kötelezettségszegési eljárásokat;</w:t>
            </w:r>
          </w:p>
        </w:tc>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a </w:t>
            </w:r>
            <w:r w:rsidRPr="008A2298">
              <w:rPr>
                <w:b/>
                <w:i/>
              </w:rPr>
              <w:t xml:space="preserve">az Európai Unió Bírósága és az EJEB </w:t>
            </w:r>
            <w:r w:rsidRPr="008A2298">
              <w:t xml:space="preserve">függőben lévő </w:t>
            </w:r>
            <w:r w:rsidRPr="008A2298">
              <w:rPr>
                <w:b/>
                <w:i/>
              </w:rPr>
              <w:t>ítéleteit</w:t>
            </w:r>
            <w:r w:rsidRPr="008A2298">
              <w:t>, és sürgeti a Bizottságot, hogy értékelje az uniós jognak való megfelelésre vonatkozó következményeket, és szükség esetén</w:t>
            </w:r>
            <w:r w:rsidRPr="008A2298">
              <w:rPr>
                <w:b/>
                <w:i/>
              </w:rPr>
              <w:t xml:space="preserve"> ideiglenes intézkedésekre irányuló indítványokkal együtt</w:t>
            </w:r>
            <w:r w:rsidRPr="008A2298">
              <w:t xml:space="preserve"> indítson kötelezettségszegési eljárásokat;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3.</w:t>
            </w:r>
            <w:r w:rsidRPr="008A2298">
              <w:tab/>
              <w:t>felhívja a tagállamokat, hogy haladéktalanul hajtsák végre a függőben lévő ítéleteket, és sürgeti a Bizottságot, hogy értékelje az uniós jognak való megfelelésre vonatkozó következményeket, és szükség esetén indítson kötelezettségszegési eljárásokat;</w:t>
            </w:r>
          </w:p>
        </w:tc>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a függőben lévő ítéleteket, </w:t>
            </w:r>
            <w:r w:rsidRPr="008A2298">
              <w:rPr>
                <w:b/>
                <w:i/>
              </w:rPr>
              <w:t xml:space="preserve">köztük az Emberi Jogok Európai Bíróságának ítéleteit, </w:t>
            </w:r>
            <w:r w:rsidRPr="008A2298">
              <w:t>és sürgeti a Bizottságot, hogy értékelje az uniós jognak való megfelelésre vonatkozó következményeket, és szükség esetén indítson kötelezettségszegési eljárásokat;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w:t>
            </w:r>
            <w:r w:rsidRPr="008A2298">
              <w:rPr>
                <w:b/>
                <w:i/>
              </w:rPr>
              <w:t>a</w:t>
            </w:r>
            <w:r w:rsidRPr="008A2298">
              <w:t xml:space="preserve"> függőben lévő </w:t>
            </w:r>
            <w:r w:rsidRPr="008A2298">
              <w:rPr>
                <w:b/>
                <w:i/>
              </w:rPr>
              <w:t>ítéleteket</w:t>
            </w:r>
            <w:r w:rsidRPr="008A2298">
              <w:t xml:space="preserve">, </w:t>
            </w:r>
            <w:r w:rsidRPr="008A2298">
              <w:rPr>
                <w:b/>
                <w:i/>
              </w:rPr>
              <w:t>és sürgeti</w:t>
            </w:r>
            <w:r w:rsidRPr="008A2298">
              <w:t xml:space="preserve"> a </w:t>
            </w:r>
            <w:r w:rsidRPr="008A2298">
              <w:rPr>
                <w:b/>
                <w:i/>
              </w:rPr>
              <w:t>Bizottságot, hogy értékelje az uniós jognak való megfelelésre vonatkozó következményeket, és szükség esetén</w:t>
            </w:r>
            <w:r w:rsidRPr="008A2298">
              <w:t xml:space="preserve"> indítson</w:t>
            </w:r>
            <w:r w:rsidRPr="008A2298">
              <w:rPr>
                <w:b/>
                <w:i/>
              </w:rPr>
              <w:t xml:space="preserve"> kötelezettségszegési eljárásokat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3.</w:t>
            </w:r>
            <w:r w:rsidRPr="008A2298">
              <w:tab/>
              <w:t xml:space="preserve">felhívja a tagállamokat, hogy haladéktalanul hajtsák végre </w:t>
            </w:r>
            <w:r w:rsidRPr="008A2298">
              <w:rPr>
                <w:b/>
                <w:i/>
              </w:rPr>
              <w:t>az összes</w:t>
            </w:r>
            <w:r w:rsidRPr="008A2298">
              <w:t xml:space="preserve"> függőben lévő </w:t>
            </w:r>
            <w:r w:rsidRPr="008A2298">
              <w:rPr>
                <w:b/>
                <w:i/>
              </w:rPr>
              <w:t>ítéletet</w:t>
            </w:r>
            <w:r w:rsidRPr="008A2298">
              <w:t xml:space="preserve">, </w:t>
            </w:r>
            <w:r w:rsidRPr="008A2298">
              <w:rPr>
                <w:b/>
                <w:i/>
              </w:rPr>
              <w:t>tiszteletben tartva ugyanakkor</w:t>
            </w:r>
            <w:r w:rsidRPr="008A2298">
              <w:t xml:space="preserve"> a </w:t>
            </w:r>
            <w:r w:rsidRPr="008A2298">
              <w:rPr>
                <w:b/>
                <w:i/>
              </w:rPr>
              <w:t>Bizottság arra vonatkozó mérlegelési jogkörét, hogy indokolt esetben kötelezettségszegési eljárást</w:t>
            </w:r>
            <w:r w:rsidRPr="008A2298">
              <w:t xml:space="preserve"> indítson;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Jaume Asens Llodrà,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 – 1 pont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w:t>
            </w:r>
            <w:r w:rsidRPr="008A2298">
              <w:tab/>
            </w:r>
            <w:r w:rsidRPr="008A2298">
              <w:rPr>
                <w:b/>
                <w:i/>
              </w:rPr>
              <w:t>mivel a jogállamiságot aláássa, ha a demokratikusan elfogadott jogszabályok bizonyos igazságügyi vagy közigazgatási ágazatok intézményei részéről akadályokba vagy ellenállásba ütköznek, ami hátráltatja megfelelő végrehajtásukat;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Jaume Asens Llodrà,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 – 2 pont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(2)</w:t>
            </w:r>
            <w:r w:rsidRPr="008A2298">
              <w:tab/>
            </w:r>
            <w:r w:rsidRPr="008A2298">
              <w:rPr>
                <w:b/>
                <w:i/>
              </w:rPr>
              <w:t xml:space="preserve">mivel a spanyol parlament 2024. május 30-án elfogadta az amnesztiáról szóló törvényt, amelynek célja a katalán válság politikai és igazságügyi következményeinek megoldása, tükrözve a demokratikusan megválasztott képviselők azon szándékát, hogy a párbeszéd és a normalizálás útjára lépjenek; mivel a </w:t>
            </w:r>
            <w:r w:rsidRPr="008A2298">
              <w:rPr>
                <w:b/>
                <w:i/>
              </w:rPr>
              <w:lastRenderedPageBreak/>
              <w:t>megállapodás 2024. június 11-én lépett hatályba; mivel a spanyol bíróságoknak a hatálybalépéstől számítva két hónap állt rendelkezésükre annak végrehajtására;</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Jaume Asens Llodrà,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 – 3 pont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w:t>
            </w:r>
            <w:r w:rsidRPr="008A2298">
              <w:tab/>
            </w:r>
            <w:r w:rsidRPr="008A2298">
              <w:rPr>
                <w:b/>
                <w:i/>
              </w:rPr>
              <w:t>aggodalmát fejezi ki amiatt, hogy Spanyolországban egyes igazságügyi és közigazgatási szereplők vonakodnak az amnesztiáról szóló törvény teljes körű végrehajtásától, ami alááshatja a jogbiztonságot, a demokrácia elsőbbségét és a hatalmi ágak szétválasztását; hangsúlyozza, hogy a demokratikusan elfogadott törvények végrehajtásának elmulasztása fenyegetést jelenthet a jogállamiságra és az alapvető jogokra, valamint a társadalmi és politikai stabilitásra nézve;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Jaume Asens Llodrà,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 – 4 pont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(4)</w:t>
            </w:r>
            <w:r w:rsidRPr="008A2298">
              <w:tab/>
            </w:r>
            <w:r w:rsidRPr="008A2298">
              <w:rPr>
                <w:b/>
                <w:i/>
              </w:rPr>
              <w:t>mivel a spanyol alkotmánybíróság a 63/1983., 147/1983. és 147/1986. sz. ítéleteiben már eloszlatta az amnesztia mint jogi fogalom alkotmányosságával kapcsolatos kételyeket az 1977. évi (1984-ben felülvizsgált) amnesztiatörvényre hivatkozva;</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Jaume Asens Llodrà,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 – 5 pont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(5)</w:t>
            </w:r>
            <w:r w:rsidRPr="008A2298">
              <w:tab/>
            </w:r>
            <w:r w:rsidRPr="008A2298">
              <w:rPr>
                <w:b/>
                <w:i/>
              </w:rPr>
              <w:t>figyelmeztet arra, hogy az amnesztiát kérelmező emberek kevesebb mint fele kapott kedvező döntést; hangsúlyozza, hogy a bíróságok és törvényszékek alig jártak el saját kezdeményezésükre a jogszabályok alkalmazása érdekében; megjegyzi, hogy egyes esetekben az amnesztia iránti kérelmeket követően eljárási útvesztők alakultak ki, részben a törvény újszerűsége, részben pedig az ügyek gyors megoldására való hajlandóság hiánya miatt;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Jaume Asens Llodrà,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bekezdés – 6 pont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(6)</w:t>
            </w:r>
            <w:r w:rsidRPr="008A2298">
              <w:tab/>
            </w:r>
            <w:r w:rsidRPr="008A2298">
              <w:rPr>
                <w:b/>
                <w:i/>
              </w:rPr>
              <w:t>helyteleníti, hogy az amnesztia iránti kérelmek közel fele hét hónappal a törvény hatálybalépése után megoldatlan maradt; 13%-a függőben van az alkotmánybírósághoz vagy az Európai Unió Bíróságához (EUB) intézett jogi kérdések megválaszolásáig; és közel 15%-át közvetlenül elutasították, gyakran egyértelmű indokolás nélkül, vagy önkényes és ideológiai kritériumok alapján;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a.</w:t>
            </w:r>
            <w:r w:rsidRPr="008A2298">
              <w:tab/>
            </w:r>
            <w:r w:rsidRPr="008A2298">
              <w:rPr>
                <w:b/>
                <w:i/>
              </w:rPr>
              <w:t>felszólítja a tagállamokat, hogy a Korrupció Elleni Államok Csoportjának (GRECO) ajánlásait követve és figyelembe véve az Emberi Jogok Európai Bíróságán (EJEB) és az Európai Unió Bíróságán alkalmazandó magatartási kódexeket, hozzanak létre független mechanizmusokat a magatartási kódex és más jogszabályok állítólagos megsértésének kivizsgálására, javítsák az összeférhetetlenségek és az igazságszolgáltatás által kapott ajándékok nyilvánosságra hozatalát és átláthatóságát, foglalkozzanak a forgóajtó-jelenséggel, és követeljék meg, hogy a bírák nyilvánosan indokolják meg az ügyek visszaadására vonatkozó döntéseiket;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219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Marieke Ehlers, Jorge Buxadé Villalba, Tom Vandendriessche,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a.</w:t>
            </w:r>
            <w:r w:rsidRPr="008A2298">
              <w:tab/>
            </w:r>
            <w:r w:rsidRPr="008A2298">
              <w:rPr>
                <w:b/>
                <w:i/>
              </w:rPr>
              <w:t xml:space="preserve">ösztönzi a tagállamokat, hogy erősítsék meg képességeiket, hogy hatékonyan tudják ellenőrizni és kifogásolni az uniós intézkedéseket, biztosítva, hogy minden jogalkotási kezdeményezés tiszteletben tartsa a hatásköröknek az Unió és a tagállamok </w:t>
            </w:r>
            <w:r w:rsidRPr="008A2298">
              <w:rPr>
                <w:b/>
                <w:i/>
              </w:rPr>
              <w:lastRenderedPageBreak/>
              <w:t>közötti egyensúlyát;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Raquel García Hermida-Van Der Walle, Abir Al-Sahlani, Ana Catarina Mendes,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a.</w:t>
            </w:r>
            <w:r w:rsidRPr="008A2298">
              <w:tab/>
            </w:r>
            <w:r w:rsidRPr="008A2298">
              <w:rPr>
                <w:b/>
                <w:i/>
              </w:rPr>
              <w:t>hangsúlyozza, hogy az uniós jog szisztematikus be nem tartásának kézzelfogható pénzügyi szankciókhoz kell vezetnie a valódi elrettentés biztosítása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b.</w:t>
            </w:r>
            <w:r w:rsidRPr="008A2298">
              <w:tab/>
            </w:r>
            <w:r w:rsidRPr="008A2298">
              <w:rPr>
                <w:b/>
                <w:i/>
              </w:rPr>
              <w:t xml:space="preserve">határozottan úgy véli, hogy a képzés olyan kulcsfontosságú elem, amely garantálja a bírák függetlenségét, valamint az igazságszolgáltatási rendszer minőségét és hatékonyságát; határozottan úgy véli, hogy a képzésnek multidiszciplinárisnak kell lennie, mivel a bíráknak szükségük van az új témákkal kapcsolatos mindennapi ismeretekre, és a képzés segít megnyitni a bírák gondolkodásmódját a kulturális sokszínűség és a különböző társadalmi realitások felé; felszólítja a tagállamokat, hogy biztosítsanak kötelező képzéseket a bírák számára a nemek közötti egyenlőségről, a nemi alapú </w:t>
            </w:r>
            <w:r w:rsidRPr="008A2298">
              <w:rPr>
                <w:b/>
                <w:i/>
              </w:rPr>
              <w:lastRenderedPageBreak/>
              <w:t xml:space="preserve">megkülönböztetésről, a nemi alapú erőszakról és a nemi szempontokat figyelembe vevő módszerekről, amelyeket munkájuk során alkalmazhatnak, valamint a gyermekek jogairól és a gyermek mindenek felett álló érdekének elvéről a gyermekbarát igazságszolgáltatáshoz való hozzájárulás érdekében; </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b.</w:t>
            </w:r>
            <w:r w:rsidRPr="008A2298">
              <w:tab/>
            </w:r>
            <w:r w:rsidRPr="008A2298">
              <w:rPr>
                <w:b/>
                <w:i/>
              </w:rPr>
              <w:t>felhívja a tagállamokat, hogy különítsenek el elegendő forrást az igazságszolgáltatás számára az ügyek időben történő rendezésének biztosítása és az ügyhátralék csökkentése érdekében; megjegyzi, hogy az alulfinanszírozottság és a létszámhiány alááshatja az igazságszolgáltatási rendszerek hozzáférhetőségét és hatékonyságát, és ezáltal alááshatja a jogállamiságba vetett bizalmat;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c.</w:t>
            </w:r>
            <w:r w:rsidRPr="008A2298">
              <w:tab/>
            </w:r>
            <w:r w:rsidRPr="008A2298">
              <w:rPr>
                <w:b/>
                <w:i/>
              </w:rPr>
              <w:t xml:space="preserve">hangsúlyozza, hogy Magyarországon továbbra is komoly </w:t>
            </w:r>
            <w:r w:rsidRPr="008A2298">
              <w:rPr>
                <w:b/>
                <w:i/>
              </w:rPr>
              <w:lastRenderedPageBreak/>
              <w:t>aggályok állnak fenn az igazságszolgáltatás függetlenségével kapcsolatban, és kiemeli, hogy igazságszolgáltatási rendszere nem felel meg a Chartában és az EUSZ-ben meghatározott függetlenségi normáknak;</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d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3 d.</w:t>
            </w:r>
            <w:r w:rsidRPr="008A2298">
              <w:tab/>
            </w:r>
            <w:r w:rsidRPr="008A2298">
              <w:rPr>
                <w:b/>
                <w:i/>
              </w:rPr>
              <w:t>emlékeztet arra, hogy a Bizottság 2024. évi jogállamisági jelentése megállapítja, hogy Magyarországon továbbra is fennáll az ügyészség politikai befolyásolása, ami az egyes ügyekbe való indokolatlan beavatkozás kockázatával jár, és hogy a bírák véleménynyilvánítási szabadsága továbbra is nyomás alatt áll, és a médiában folytatódnak a bírák elleni lejárató kampányok;</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4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w:t>
            </w:r>
            <w:r w:rsidRPr="008A2298">
              <w:rPr>
                <w:b/>
                <w:i/>
              </w:rPr>
              <w:t>biztosítva</w:t>
            </w:r>
            <w:r w:rsidRPr="008A2298">
              <w:t xml:space="preserve">, hogy az áldozatok hozzáférjenek az igazságszolgáltatáshoz és támogatásban </w:t>
            </w:r>
            <w:r w:rsidRPr="008A2298">
              <w:lastRenderedPageBreak/>
              <w:t>részesüljenek;</w:t>
            </w:r>
          </w:p>
        </w:tc>
        <w:tc>
          <w:tcPr>
            <w:tcW w:w="4876" w:type="dxa"/>
            <w:tcBorders>
              <w:top w:val="nil"/>
              <w:left w:val="nil"/>
              <w:bottom w:val="nil"/>
              <w:right w:val="nil"/>
            </w:tcBorders>
          </w:tcPr>
          <w:p w:rsidR="00085AC1" w:rsidRPr="008A2298" w:rsidRDefault="00085AC1" w:rsidP="00875E96">
            <w:pPr>
              <w:pStyle w:val="Normal6a"/>
            </w:pPr>
            <w:r w:rsidRPr="008A2298">
              <w:lastRenderedPageBreak/>
              <w:t>4.</w:t>
            </w:r>
            <w:r w:rsidRPr="008A2298">
              <w:tab/>
              <w:t>üdvözli az áldozatok jogairól szóló irányelvnek</w:t>
            </w:r>
            <w:r w:rsidRPr="008A2298">
              <w:rPr>
                <w:vertAlign w:val="superscript"/>
              </w:rPr>
              <w:t>38</w:t>
            </w:r>
            <w:r w:rsidRPr="008A2298">
              <w:t xml:space="preserve"> a joghézagok megszüntetésére irányuló felülvizsgálatát, </w:t>
            </w:r>
            <w:r w:rsidRPr="008A2298">
              <w:rPr>
                <w:b/>
                <w:i/>
              </w:rPr>
              <w:t>amely biztosítja</w:t>
            </w:r>
            <w:r w:rsidRPr="008A2298">
              <w:t xml:space="preserve">, hogy az áldozatok hozzáférjenek az igazságszolgáltatáshoz és </w:t>
            </w:r>
            <w:r w:rsidRPr="008A2298">
              <w:lastRenderedPageBreak/>
              <w:t>támogatásban részesüljenek</w:t>
            </w:r>
            <w:r w:rsidRPr="008A2298">
              <w:rPr>
                <w:b/>
                <w:i/>
              </w:rPr>
              <w:t>, beleértve a lehetőséget az áldozatot érintő határozatok felülvizsgálatára, továbbá az áldozatok támogatására és védelmére vonatkozó rendelkezéseket, a kártérítéshez való hozzáférést, valamint a hatékony adatgyűjtést, a bűncselekmények áldozatai jogainak érvényesítését szolgáló források jobb elosztását, továbbá magánéletük tiszteletben tartását és személyes adataik védelmét, ideértve az okmányokkal nem rendelkező migránsokat és menedékkérőket is</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Ciriani, Paolo Inselvini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4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w:t>
            </w:r>
            <w:r w:rsidRPr="008A2298">
              <w:rPr>
                <w:b/>
                <w:i/>
              </w:rPr>
              <w:t>biztosítva, hogy</w:t>
            </w:r>
            <w:r w:rsidRPr="008A2298">
              <w:t xml:space="preserve"> az áldozatok </w:t>
            </w:r>
            <w:r w:rsidRPr="008A2298">
              <w:rPr>
                <w:b/>
                <w:i/>
              </w:rPr>
              <w:t>hozzáférjenek az igazságszolgáltatáshoz</w:t>
            </w:r>
            <w:r w:rsidRPr="008A2298">
              <w:t xml:space="preserve"> és </w:t>
            </w:r>
            <w:r w:rsidRPr="008A2298">
              <w:rPr>
                <w:b/>
                <w:i/>
              </w:rPr>
              <w:t>támogatásban részesüljenek</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w:t>
            </w:r>
            <w:r w:rsidRPr="008A2298">
              <w:rPr>
                <w:b/>
                <w:i/>
              </w:rPr>
              <w:t>amely Unió-szerte jobb védelmet és támogatást biztosít</w:t>
            </w:r>
            <w:r w:rsidRPr="008A2298">
              <w:t xml:space="preserve"> az áldozatok </w:t>
            </w:r>
            <w:r w:rsidRPr="008A2298">
              <w:rPr>
                <w:b/>
                <w:i/>
              </w:rPr>
              <w:t>számára;</w:t>
            </w:r>
            <w:r w:rsidRPr="008A2298">
              <w:t xml:space="preserve"> </w:t>
            </w:r>
            <w:r w:rsidRPr="008A2298">
              <w:rPr>
                <w:b/>
                <w:i/>
              </w:rPr>
              <w:t>figyelembe kell venni a nemzeti jogszabályok összetettségét annak biztosítása érdekében, hogy a változások ténylegesen végrehajthatók legyenek, és Unió-szerte a bűncselekmények több millió áldozatának kézzelfogható támogatását eredményezzék;</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4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biztosítva, hogy az áldozatok hozzáférjenek az igazságszolgáltatáshoz és támogatásban részesüljenek;</w:t>
            </w:r>
          </w:p>
        </w:tc>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biztosítva, hogy az áldozatok hozzáférjenek az igazságszolgáltatáshoz és támogatásban részesüljenek; </w:t>
            </w:r>
            <w:r w:rsidRPr="008A2298">
              <w:rPr>
                <w:b/>
                <w:i/>
              </w:rPr>
              <w:t>e tekintetben hangsúlyozza, hogy az áldozatok méltóságának védelme érdekében a tagállamoknak meg kell akadályozniuk a bűncselekmények dicsőítését és az elítélt elkövetők tiszteletét;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228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4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biztosítva, hogy az áldozatok hozzáférjenek az igazságszolgáltatáshoz és támogatásban részesüljenek;</w:t>
            </w:r>
          </w:p>
        </w:tc>
        <w:tc>
          <w:tcPr>
            <w:tcW w:w="4876" w:type="dxa"/>
            <w:tcBorders>
              <w:top w:val="nil"/>
              <w:left w:val="nil"/>
              <w:bottom w:val="nil"/>
              <w:right w:val="nil"/>
            </w:tcBorders>
          </w:tcPr>
          <w:p w:rsidR="00085AC1" w:rsidRPr="008A2298" w:rsidRDefault="00085AC1" w:rsidP="00875E96">
            <w:pPr>
              <w:pStyle w:val="Normal6a"/>
            </w:pPr>
            <w:r w:rsidRPr="008A2298">
              <w:t>4.</w:t>
            </w:r>
            <w:r w:rsidRPr="008A2298">
              <w:tab/>
              <w:t>üdvözli az áldozatok jogairól szóló irányelvnek</w:t>
            </w:r>
            <w:r w:rsidRPr="008A2298">
              <w:rPr>
                <w:vertAlign w:val="superscript"/>
              </w:rPr>
              <w:t>38</w:t>
            </w:r>
            <w:r w:rsidRPr="008A2298">
              <w:t xml:space="preserve"> a joghézagok megszüntetésére irányuló felülvizsgálatát, biztosítva, hogy az áldozatok hozzáférjenek az igazságszolgáltatáshoz és támogatásban részesüljenek; </w:t>
            </w:r>
            <w:r w:rsidRPr="008A2298">
              <w:rPr>
                <w:b/>
                <w:i/>
              </w:rPr>
              <w:t>elvárja, hogy a társjogalkotók olyan megoldásokat találjanak, amelyek az áldozatokat helyezik a középpontba;</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229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4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4.</w:t>
            </w:r>
            <w:r w:rsidRPr="008A2298">
              <w:tab/>
              <w:t xml:space="preserve">üdvözli az áldozatok jogairól szóló </w:t>
            </w:r>
            <w:r w:rsidRPr="008A2298">
              <w:rPr>
                <w:b/>
                <w:bCs/>
                <w:i/>
                <w:iCs/>
              </w:rPr>
              <w:t>irányelvnek</w:t>
            </w:r>
            <w:r w:rsidRPr="008A2298">
              <w:rPr>
                <w:b/>
                <w:bCs/>
                <w:i/>
                <w:iCs/>
                <w:vertAlign w:val="superscript"/>
              </w:rPr>
              <w:t>38</w:t>
            </w:r>
            <w:r w:rsidRPr="008A2298">
              <w:rPr>
                <w:b/>
                <w:bCs/>
                <w:i/>
                <w:iCs/>
              </w:rPr>
              <w:t xml:space="preserve"> a joghézagok megszüntetésére irányuló</w:t>
            </w:r>
            <w:r w:rsidRPr="008A2298">
              <w:t xml:space="preserve"> felülvizsgálatát, biztosítva, hogy az áldozatok hozzáférjenek az igazságszolgáltatáshoz és támogatásban részesüljenek;</w:t>
            </w:r>
          </w:p>
        </w:tc>
        <w:tc>
          <w:tcPr>
            <w:tcW w:w="4876" w:type="dxa"/>
            <w:tcBorders>
              <w:top w:val="nil"/>
              <w:left w:val="nil"/>
              <w:bottom w:val="nil"/>
              <w:right w:val="nil"/>
            </w:tcBorders>
          </w:tcPr>
          <w:p w:rsidR="00085AC1" w:rsidRPr="008A2298" w:rsidRDefault="00085AC1" w:rsidP="00875E96">
            <w:pPr>
              <w:pStyle w:val="Normal6a"/>
            </w:pPr>
            <w:r w:rsidRPr="008A2298">
              <w:t>4.</w:t>
            </w:r>
            <w:r w:rsidRPr="008A2298">
              <w:tab/>
              <w:t xml:space="preserve">üdvözli az áldozatok jogairól szóló </w:t>
            </w:r>
            <w:r w:rsidRPr="008A2298">
              <w:rPr>
                <w:b/>
                <w:bCs/>
                <w:i/>
                <w:iCs/>
              </w:rPr>
              <w:t>irányelv</w:t>
            </w:r>
            <w:r w:rsidRPr="008A2298">
              <w:rPr>
                <w:vertAlign w:val="superscript"/>
              </w:rPr>
              <w:t>38</w:t>
            </w:r>
            <w:r w:rsidRPr="008A2298">
              <w:t xml:space="preserve"> felülvizsgálatát, biztosítva, hogy az áldozatok hozzáférjenek az igazságszolgáltatáshoz és támogatásban részesüljenek;</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38</w:t>
            </w:r>
            <w:r w:rsidRPr="008A2298">
              <w:t xml:space="preserve"> Az Európai Parlament és a </w:t>
            </w:r>
            <w:r w:rsidRPr="008A2298">
              <w:lastRenderedPageBreak/>
              <w:t>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lastRenderedPageBreak/>
              <w:t>38</w:t>
            </w:r>
            <w:r w:rsidRPr="008A2298">
              <w:t xml:space="preserve"> Az Európai Parlament és a </w:t>
            </w:r>
            <w:r w:rsidRPr="008A2298">
              <w:lastRenderedPageBreak/>
              <w:t>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5.</w:t>
            </w:r>
            <w:r w:rsidRPr="008A2298">
              <w:tab/>
              <w:t xml:space="preserve">ismételten felhívja a Bizottságot, hogy mielőbb zárja le az EU-nak az Európa Tanács Korrupció Elleni Államok Csoportjában (GRECO) való tagságáról szóló tárgyalásokat, </w:t>
            </w:r>
            <w:r w:rsidRPr="008A2298">
              <w:rPr>
                <w:b/>
                <w:bCs/>
                <w:i/>
                <w:iCs/>
              </w:rPr>
              <w:t>és</w:t>
            </w:r>
            <w:r w:rsidRPr="008A2298">
              <w:t xml:space="preserve"> kéri, hogy az éves jogállamisági jelentés terjedjen ki az uniós intézményekre;</w:t>
            </w:r>
          </w:p>
        </w:tc>
        <w:tc>
          <w:tcPr>
            <w:tcW w:w="4876" w:type="dxa"/>
            <w:tcBorders>
              <w:top w:val="nil"/>
              <w:left w:val="nil"/>
              <w:bottom w:val="nil"/>
              <w:right w:val="nil"/>
            </w:tcBorders>
          </w:tcPr>
          <w:p w:rsidR="00085AC1" w:rsidRPr="008A2298" w:rsidRDefault="00085AC1" w:rsidP="00875E96">
            <w:pPr>
              <w:pStyle w:val="Normal6a"/>
            </w:pPr>
            <w:r w:rsidRPr="008A2298">
              <w:t>5.</w:t>
            </w:r>
            <w:r w:rsidRPr="008A2298">
              <w:tab/>
              <w:t>ismételten felhívja a Bizottságot, hogy mielőbb zárja le az EU-nak az Európa Tanács Korrupció Elleni Államok Csoportjában (GRECO) való tagságáról szóló tárgyalásokat;</w:t>
            </w:r>
            <w:r w:rsidRPr="008A2298">
              <w:rPr>
                <w:b/>
                <w:i/>
              </w:rPr>
              <w:t xml:space="preserve"> elismeri, hogy a közelmúltbeli botrányok fényében egyik uniós intézmény sem mentes a korrupciótól;</w:t>
            </w:r>
            <w:r w:rsidRPr="008A2298">
              <w:t xml:space="preserve"> kéri, hogy a jogállamiságról szóló éves jelentés terjedjen ki az uniós intézményekre, </w:t>
            </w:r>
            <w:r w:rsidRPr="008A2298">
              <w:rPr>
                <w:b/>
                <w:bCs/>
                <w:i/>
                <w:iCs/>
              </w:rPr>
              <w:t>különösen a korrupció, a hatalommal való visszaélés, a lobbizás, a kiválasztott országokkal vagy vállalatokkal szembeni részrehajlás és az elfogadhatatlan ideológiai elfogultság tekintetében</w:t>
            </w:r>
            <w:r w:rsidRPr="008A2298">
              <w:t xml:space="preserve">; </w:t>
            </w:r>
            <w:r w:rsidRPr="008A2298">
              <w:rPr>
                <w:b/>
                <w:i/>
              </w:rPr>
              <w:t>ösztönzi az oknyomozó újságírókat és a civil társadalmat, hogy még részletesebben vizsgálják meg az uniós intézmények működését; felhívja az uniós intézményeket, hogy hozzanak létre hiteles mechanizmust az uniós intézmények működésével kapcsolatos szabálytalanságok bejelentői számára;</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231</w:t>
      </w:r>
      <w:r w:rsidRPr="008A2298">
        <w:rPr>
          <w:rStyle w:val="HideTWBExt"/>
          <w:b w:val="0"/>
        </w:rPr>
        <w:t>&lt;/NumAm&gt;</w:t>
      </w:r>
    </w:p>
    <w:p w:rsidR="00085AC1" w:rsidRPr="008A2298" w:rsidRDefault="00085AC1" w:rsidP="00085AC1">
      <w:pPr>
        <w:pStyle w:val="NormalBold"/>
      </w:pPr>
      <w:r w:rsidRPr="008A2298">
        <w:rPr>
          <w:rStyle w:val="HideTWBExt"/>
          <w:b w:val="0"/>
        </w:rPr>
        <w:lastRenderedPageBreak/>
        <w:t>&lt;RepeatBlock-By&gt;&lt;Members&gt;</w:t>
      </w:r>
      <w:r w:rsidRPr="008A2298">
        <w:t>András László</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5.</w:t>
            </w:r>
            <w:r w:rsidRPr="008A2298">
              <w:tab/>
            </w:r>
            <w:r w:rsidRPr="008A2298">
              <w:rPr>
                <w:b/>
                <w:i/>
              </w:rPr>
              <w:t>ismételten felhívja a Bizottságot, hogy mielőbb zárja le az EU-nak az Európa Tanács Korrupció Elleni Államok Csoportjában (GRECO) való tagságáról szóló tárgyalásokat, és</w:t>
            </w:r>
            <w:r w:rsidRPr="008A2298">
              <w:t xml:space="preserve"> kéri, hogy az éves jogállamisági jelentés terjedjen ki az uniós intézményekre;</w:t>
            </w:r>
          </w:p>
        </w:tc>
        <w:tc>
          <w:tcPr>
            <w:tcW w:w="4876" w:type="dxa"/>
            <w:tcBorders>
              <w:top w:val="nil"/>
              <w:left w:val="nil"/>
              <w:bottom w:val="nil"/>
              <w:right w:val="nil"/>
            </w:tcBorders>
          </w:tcPr>
          <w:p w:rsidR="00085AC1" w:rsidRPr="008A2298" w:rsidRDefault="00085AC1" w:rsidP="00875E96">
            <w:pPr>
              <w:pStyle w:val="Normal6a"/>
            </w:pPr>
            <w:r w:rsidRPr="008A2298">
              <w:t>5.</w:t>
            </w:r>
            <w:r w:rsidRPr="008A2298">
              <w:tab/>
              <w:t>kéri, hogy a jogállamiságról szóló éves jelentés terjedjen ki az uniós intézményekre;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5.</w:t>
            </w:r>
            <w:r w:rsidRPr="008A2298">
              <w:tab/>
            </w:r>
            <w:r w:rsidRPr="008A2298">
              <w:rPr>
                <w:b/>
                <w:i/>
              </w:rPr>
              <w:t>ismételten felhívja a Bizottságot, hogy mielőbb zárja le az EU-nak az Európa Tanács Korrupció Elleni Államok Csoportjában (GRECO) való tagságáról szóló tárgyalásokat, és</w:t>
            </w:r>
            <w:r w:rsidRPr="008A2298">
              <w:t xml:space="preserve"> kéri, hogy az éves jogállamisági jelentés terjedjen ki </w:t>
            </w:r>
            <w:r w:rsidRPr="008A2298">
              <w:rPr>
                <w:b/>
                <w:bCs/>
                <w:i/>
                <w:iCs/>
              </w:rPr>
              <w:t>az</w:t>
            </w:r>
            <w:r w:rsidRPr="008A2298">
              <w:t xml:space="preserve"> uniós intézményekre;</w:t>
            </w:r>
          </w:p>
        </w:tc>
        <w:tc>
          <w:tcPr>
            <w:tcW w:w="4876" w:type="dxa"/>
            <w:tcBorders>
              <w:top w:val="nil"/>
              <w:left w:val="nil"/>
              <w:bottom w:val="nil"/>
              <w:right w:val="nil"/>
            </w:tcBorders>
          </w:tcPr>
          <w:p w:rsidR="00085AC1" w:rsidRPr="008A2298" w:rsidRDefault="00085AC1" w:rsidP="00875E96">
            <w:pPr>
              <w:pStyle w:val="Normal6a"/>
            </w:pPr>
            <w:r w:rsidRPr="008A2298">
              <w:t>5.</w:t>
            </w:r>
            <w:r w:rsidRPr="008A2298">
              <w:tab/>
              <w:t xml:space="preserve">kéri, hogy a jogállamiságról szóló éves jelentés terjedjen ki </w:t>
            </w:r>
            <w:r w:rsidRPr="008A2298">
              <w:rPr>
                <w:b/>
                <w:i/>
              </w:rPr>
              <w:t>valamennyi</w:t>
            </w:r>
            <w:r w:rsidRPr="008A2298">
              <w:t xml:space="preserve"> uniós intézményre </w:t>
            </w:r>
            <w:r w:rsidRPr="008A2298">
              <w:rPr>
                <w:b/>
                <w:i/>
              </w:rPr>
              <w:t>és azok tevékenységeire</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Raquel García Hermida-Van Der Walle, Abir Al-Sahlani, 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5.</w:t>
            </w:r>
            <w:r w:rsidRPr="008A2298">
              <w:tab/>
              <w:t xml:space="preserve">ismételten felhívja a Bizottságot, hogy </w:t>
            </w:r>
            <w:r w:rsidRPr="008A2298">
              <w:rPr>
                <w:b/>
                <w:i/>
              </w:rPr>
              <w:t>mielőbb zárja le</w:t>
            </w:r>
            <w:r w:rsidRPr="008A2298">
              <w:t xml:space="preserve"> az EU-nak az </w:t>
            </w:r>
            <w:r w:rsidRPr="008A2298">
              <w:lastRenderedPageBreak/>
              <w:t>Európa Tanács Korrupció Elleni Államok Csoportjában (GRECO) való tagságáról szóló tárgyalásokat, és kéri, hogy az éves jogállamisági jelentés terjedjen ki az uniós intézményekre;</w:t>
            </w:r>
          </w:p>
        </w:tc>
        <w:tc>
          <w:tcPr>
            <w:tcW w:w="4876" w:type="dxa"/>
            <w:tcBorders>
              <w:top w:val="nil"/>
              <w:left w:val="nil"/>
              <w:bottom w:val="nil"/>
              <w:right w:val="nil"/>
            </w:tcBorders>
          </w:tcPr>
          <w:p w:rsidR="00085AC1" w:rsidRPr="008A2298" w:rsidRDefault="00085AC1" w:rsidP="00875E96">
            <w:pPr>
              <w:pStyle w:val="Normal6a"/>
            </w:pPr>
            <w:r w:rsidRPr="008A2298">
              <w:lastRenderedPageBreak/>
              <w:t>5.</w:t>
            </w:r>
            <w:r w:rsidRPr="008A2298">
              <w:tab/>
              <w:t xml:space="preserve">ismételten felhívja a Bizottságot, hogy </w:t>
            </w:r>
            <w:r w:rsidRPr="008A2298">
              <w:rPr>
                <w:b/>
                <w:i/>
              </w:rPr>
              <w:t>azonnal véglegesítse</w:t>
            </w:r>
            <w:r w:rsidRPr="008A2298">
              <w:t xml:space="preserve"> az EU-nak az </w:t>
            </w:r>
            <w:r w:rsidRPr="008A2298">
              <w:lastRenderedPageBreak/>
              <w:t>Európa Tanács Korrupció Elleni Államok Csoportjában (GRECO) való tagságáról szóló tárgyalásokat, és kéri, hogy az éves jogállamisági jelentés terjedjen ki az uniós intézményekre;</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Chloé Ridel, Abir Al-Sahlani, Fabienne Keller, Lucia Yar, Irena Joveva,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5 a.</w:t>
            </w:r>
            <w:r w:rsidRPr="008A2298">
              <w:tab/>
            </w:r>
            <w:r w:rsidRPr="008A2298">
              <w:rPr>
                <w:b/>
                <w:i/>
              </w:rPr>
              <w:t>felhívja a tagállamokat, hogy fogadják el, frissítsék, kövessék nyomon, hajtsák végre és vizsgálják felül nemzeti korrupcióellenes stratégiáikat annak biztosítása érdekében, hogy a korrupció elleni fellépés valamennyi érintett szakpolitikai ágazatban érvényesüljön; emlékeztet a nemzeti hatóságok és az Európai Ügyészség (EPPO) közötti együttműködés fontosságára; javasolja, hogy azok a tagállamok, amelyek nem vesznek részt az Európai Ügyészségben, ne legyenek jogosultak a források közvetlen kezelésére;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5 a.</w:t>
            </w:r>
            <w:r w:rsidRPr="008A2298">
              <w:tab/>
            </w:r>
            <w:r w:rsidRPr="008A2298">
              <w:rPr>
                <w:b/>
                <w:i/>
              </w:rPr>
              <w:t>ismételten felszólítja az összes tagállamot, hogy fogadjanak el magatartási kódexet a bírák számára a GRECO ajánlásait követve és az Emberi Jogok Európai Bíróságán (EJEB) alkalmazandó ilyen kódexeket figyelembe véve;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Javier Zarzalejos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5 a.</w:t>
            </w:r>
            <w:r w:rsidRPr="008A2298">
              <w:tab/>
            </w:r>
            <w:r w:rsidRPr="008A2298">
              <w:rPr>
                <w:b/>
                <w:i/>
              </w:rPr>
              <w:t>úgy véli, hogy az „ad hominem” jogi reformok sértik a jogállamiság olyan alapelveit, mint a törvény előtti egyenlőség és az igazságszolgáltatás függetlensége;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5 b.</w:t>
            </w:r>
            <w:r w:rsidRPr="008A2298">
              <w:tab/>
            </w:r>
            <w:r w:rsidRPr="008A2298">
              <w:rPr>
                <w:b/>
                <w:i/>
              </w:rPr>
              <w:t xml:space="preserve">megismétli, hogy a korrupció komoly veszélyt jelent a demokráciára, az alapvető jogokra és a jogállamiságra nézve; hangsúlyozza, hogy a korrupció megrendíti a polgárok bizalmát a közintézményekben; sajnálatát fejezi ki, hogy a korrupcióról szóló 2024. évi </w:t>
            </w:r>
            <w:r w:rsidRPr="008A2298">
              <w:rPr>
                <w:b/>
                <w:i/>
              </w:rPr>
              <w:lastRenderedPageBreak/>
              <w:t>Eurobarométer felmérések azt mutatják, hogy a korrupció továbbra is komolyan aggasztja az uniós polgárokat és vállalkozásokat, és az európaiak 68%-a úgy véli, hogy országukban a korrupció széles körben elterjedt, 65%-uk szerint a magas szinten elkövetett korrupciós ügyeket nem vizsgálják ki megfelelően, és 41% úgy látja, hogy a korrupció mértéke nőtt; úgy véli, ez felszólítás arra, hogy az EU fokozza a korrupció elleni küzdelemre irányuló erőfeszítéseit;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Fabienne Keller, Lucia Yar, Irena Joveva, Isabel Wiseler-Lima</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5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5 b.</w:t>
            </w:r>
            <w:r w:rsidRPr="008A2298">
              <w:tab/>
            </w:r>
            <w:r w:rsidRPr="008A2298">
              <w:rPr>
                <w:b/>
                <w:i/>
              </w:rPr>
              <w:t>felszólítja az európai szerveket, például az Europolt, az Eurojustot, az Európai Számvevőszéket, az EPPO-t és az Európai Csalás Elleni Hivatalt (OLAF), hogy javítsák együttműködésüket;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239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Sebastian Tynkkynen</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6.</w:t>
            </w:r>
            <w:r w:rsidRPr="008A2298">
              <w:tab/>
            </w:r>
            <w:r w:rsidRPr="008A2298">
              <w:rPr>
                <w:b/>
                <w:i/>
              </w:rPr>
              <w:t xml:space="preserve">tudomásul veszi azt a tendenciát, hogy egyes tagállamok késleltetik vagy nem hajtják végre az EUB ítéleteit, és kéri, hogy az említett ítéletek </w:t>
            </w:r>
            <w:r w:rsidRPr="008A2298">
              <w:rPr>
                <w:b/>
                <w:i/>
              </w:rPr>
              <w:lastRenderedPageBreak/>
              <w:t>végrehajtását helyezzék előtérbe;</w:t>
            </w:r>
          </w:p>
        </w:tc>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{FI}</w:t>
      </w:r>
      <w:r w:rsidRPr="008A2298">
        <w:t>fi</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Ciriani, Paolo Inselvini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6.</w:t>
            </w:r>
            <w:r w:rsidRPr="008A2298">
              <w:tab/>
            </w:r>
            <w:r w:rsidRPr="008A2298">
              <w:rPr>
                <w:b/>
                <w:i/>
              </w:rPr>
              <w:t>tudomásul veszi azt a tendenciát, hogy egyes tagállamok késleltetik vagy nem hajtják végre az EUB ítéleteit, és kéri, hogy az említett ítéletek végrehajtását helyezzék előtérbe;</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 és kéri, hogy az említett ítéletek végrehajtását helyezzék előtérbe;</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megállapítja azt a tendenciát, hogy egyes tagállamok késleltetik vagy nem hajtják végre az EUB és az EJEB ítéleteit, és kéri, hogy az említett ítéletek végrehajtását prioritásként kezeljék; </w:t>
            </w:r>
            <w:r w:rsidRPr="008A2298">
              <w:rPr>
                <w:b/>
                <w:i/>
              </w:rPr>
              <w:t xml:space="preserve">sürgeti a Bizottságot, hogy a Szerződések őreként tegyen eleget az uniós emberi jogi jogszabályok végrehajtásáért viselt felelősségének, és ne hagyatkozzon kizárólag arra, hogy az uniós jog alkalmazásának biztosítása érdekében a polgárok forduljanak bírósághoz; felhívja a Bizottságot, hogy hozzon létre egy olyan eredménytáblát, amely nyomon követi a demokráciával, a jogállamisággal és az alapvető jogokkal kapcsolatos minden egyes EUB- és EJEB-ítélet végrehajtását, és teljes mértékben integrálja azt a </w:t>
            </w:r>
            <w:r w:rsidRPr="008A2298">
              <w:rPr>
                <w:b/>
                <w:i/>
              </w:rPr>
              <w:lastRenderedPageBreak/>
              <w:t>jogállamiságról szóló éves jelentésbe; javasolja, hogy különösen a Bizottság az EUMSZ 260. cikkének (2) bekezdése alapján lépjen fel, ha elmulasztják végrehajtani az EUB ítéleteit, és alkalmazza a jogállamiságra vonatkozó feltételrendszerről szóló rendeletet, ha nem tartják be az EUB és az EJEB ítéleteit; felszólítja a Bizottságot, hogy szisztematikusan elemezze az ENSZ-egyezmények végrehajtását felügyelő testületek által az egyes közleményekről kialakított vélemények be nem tartására vonatkozó adatokat;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 Ana Catarina Mendes, Moritz Körner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 és kéri, hogy az említett ítéletek végrehajtását helyezzék előtérbe;</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tudomásul veszi azt a tendenciát, hogy egyes tagállamok késleltetik vagy nem hajtják végre az EUB ítéleteit, és kéri, hogy az említett ítéletek végrehajtását helyezzék előtérbe; </w:t>
            </w:r>
            <w:r w:rsidRPr="008A2298">
              <w:rPr>
                <w:b/>
                <w:i/>
              </w:rPr>
              <w:t>hangsúlyozza, hogy a tagállamoknak és az uniós intézményeknek szisztematikusan integrálniuk kell és végre kell hajtaniuk az EUB legújabb ítélkezési gyakorlatát a jogállamiság fenntartása és az uniós jog egységes alkalmazásának biztosítása érdekében; felszólít a nemzeti jogszabályok és intézményi keretek gyors kiigazítására a bírósági ítéleteknek való megfelelés érdekében; sürgeti a Bizottságot, hogy kövesse nyomon a megfelelést, és tegyen lépéseket a végrehajtás tartós elmaradása esetén;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243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Javier Zarzalejos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tudomásul veszi azt a tendenciát, hogy egyes tagállamok késleltetik vagy nem hajtják végre az EUB ítéleteit, és kéri, hogy az </w:t>
            </w:r>
            <w:r w:rsidRPr="008A2298">
              <w:rPr>
                <w:b/>
                <w:i/>
              </w:rPr>
              <w:t>említett ítéletek végrehajtását helyezzék előtérbe</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 és kéri</w:t>
            </w:r>
            <w:r w:rsidRPr="008A2298">
              <w:rPr>
                <w:b/>
                <w:i/>
              </w:rPr>
              <w:t xml:space="preserve"> ezek időben történő végrehajtását; hangsúlyozza, hogy a jogállamiság tiszteletben tartása magában foglalja az EUB ítéleteinek való teljes megfelelést, különösen a hatalmi ágak szétválasztását és a bírói függetlenséget érintő ügyekben; felszólítja a Bizottságot annak értékelésére, hogy az ilyen ítélet késedelmes végrehajtása vagy be nem tartása indokolja-e az EUMSZ 258. cikke szerinti kötelezettségszegési eljárást</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 és kéri, hogy az említett ítéletek végrehajtását helyezzék előtérbe;</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tudomásul veszi azt a tendenciát, hogy egyes tagállamok késleltetik vagy nem hajtják végre az EUB ítéleteit, és kéri, hogy az említett ítéletek végrehajtását helyezzék előtérbe; </w:t>
            </w:r>
            <w:r w:rsidRPr="008A2298">
              <w:rPr>
                <w:b/>
                <w:i/>
              </w:rPr>
              <w:t xml:space="preserve">megismétli, hogy az ítéletek hatékony végrehajtása alapvető fontosságú az EUSZ-ben, az EUMSZ-ben és a Chartában foglalt alapvető jogok és gazdasági szabadságok védelmének biztosításához; felszólítja valamennyi tagállamot, hogy kezelje kiemelten az EUB ítéleteinek időben történő és </w:t>
            </w:r>
            <w:r w:rsidRPr="008A2298">
              <w:rPr>
                <w:b/>
                <w:i/>
              </w:rPr>
              <w:lastRenderedPageBreak/>
              <w:t>hatékony végrehajtását;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tudomásul veszi azt a tendenciát, hogy egyes tagállamok késleltetik vagy nem hajtják végre az EUB ítéleteit, és </w:t>
            </w:r>
            <w:r w:rsidRPr="008A2298">
              <w:rPr>
                <w:b/>
                <w:i/>
              </w:rPr>
              <w:t>kéri</w:t>
            </w:r>
            <w:r w:rsidRPr="008A2298">
              <w:t xml:space="preserve">, hogy az </w:t>
            </w:r>
            <w:r w:rsidRPr="008A2298">
              <w:rPr>
                <w:b/>
                <w:i/>
              </w:rPr>
              <w:t>említett ítéletek végrehajtását helyezzék előtérbe</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w:t>
            </w:r>
            <w:r w:rsidRPr="008A2298">
              <w:rPr>
                <w:b/>
                <w:i/>
              </w:rPr>
              <w:t>; úgy véli, hogy az EUB egyes ítéletei hatáskörtúllépésnek minősülnek, és sértik a tagállamok hatásköreit; felhívja az uniós intézményeket és a tagállamokat</w:t>
            </w:r>
            <w:r w:rsidRPr="008A2298">
              <w:t xml:space="preserve">, hogy </w:t>
            </w:r>
            <w:r w:rsidRPr="008A2298">
              <w:rPr>
                <w:b/>
                <w:i/>
              </w:rPr>
              <w:t xml:space="preserve">tartsák tiszteletben a tagállamok által elfogadott alkotmányos megoldásokat és </w:t>
            </w:r>
            <w:r w:rsidRPr="008A2298">
              <w:t xml:space="preserve">az </w:t>
            </w:r>
            <w:r w:rsidRPr="008A2298">
              <w:rPr>
                <w:b/>
                <w:i/>
              </w:rPr>
              <w:t>alkotmánybíróságok nemzeti ítélkezési gyakorlatát</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r>
            <w:r w:rsidRPr="008A2298">
              <w:rPr>
                <w:b/>
                <w:i/>
              </w:rPr>
              <w:t>tudomásul veszi azt a tendenciát, hogy egyes tagállamok késleltetik vagy nem hajtják végre az EUB ítéleteit</w:t>
            </w:r>
            <w:r w:rsidRPr="008A2298">
              <w:t xml:space="preserve">, </w:t>
            </w:r>
            <w:r w:rsidRPr="008A2298">
              <w:rPr>
                <w:b/>
                <w:i/>
              </w:rPr>
              <w:t>és kéri</w:t>
            </w:r>
            <w:r w:rsidRPr="008A2298">
              <w:t xml:space="preserve">, hogy </w:t>
            </w:r>
            <w:r w:rsidRPr="008A2298">
              <w:rPr>
                <w:b/>
                <w:i/>
              </w:rPr>
              <w:t>az említett ítéletek végrehajtását helyezzék előtérbe</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r>
            <w:r w:rsidRPr="008A2298">
              <w:rPr>
                <w:b/>
                <w:i/>
              </w:rPr>
              <w:t>kéri, hogy vizsgálják meg az európai zöld megállapodás támogatása érdekében végzett közvetett lobbizási gyakorlatokra vonatkozó állításokkal kapcsolatos bizottsági intézkedéseket</w:t>
            </w:r>
            <w:r w:rsidRPr="008A2298">
              <w:t xml:space="preserve">, </w:t>
            </w:r>
            <w:r w:rsidRPr="008A2298">
              <w:rPr>
                <w:b/>
                <w:i/>
              </w:rPr>
              <w:t>amelyek során a Bizottság állítólag európai forrásokat különített el nem kormányzati szervezetek számára annak érdekében</w:t>
            </w:r>
            <w:r w:rsidRPr="008A2298">
              <w:t xml:space="preserve">, hogy </w:t>
            </w:r>
            <w:r w:rsidRPr="008A2298">
              <w:rPr>
                <w:b/>
                <w:i/>
              </w:rPr>
              <w:t>lehetővé tegye számukra más európai intézmények befolyásolását és politikáinak előmozdítását</w:t>
            </w:r>
            <w:r w:rsidRPr="008A2298">
              <w: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Nicolas Bay</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w:t>
            </w:r>
            <w:r w:rsidRPr="008A2298">
              <w:rPr>
                <w:b/>
                <w:bCs/>
                <w:i/>
                <w:iCs/>
              </w:rPr>
              <w:t>, és kéri, hogy az említett ítéletek végrehajtását helyezzék előtérbe</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6.</w:t>
            </w:r>
            <w:r w:rsidRPr="008A2298">
              <w:tab/>
              <w:t>tudomásul veszi azt a tendenciát, hogy egyes tagállamok késleltetik vagy nem hajtják végre az EUB ítéleteit, és kéri, hogy az említett ítéletek végrehajtását helyezzék előtérbe;</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tudomásul veszi azt a tendenciát, hogy egyes tagállamok </w:t>
            </w:r>
            <w:r w:rsidRPr="008A2298">
              <w:rPr>
                <w:b/>
                <w:i/>
              </w:rPr>
              <w:t xml:space="preserve">szelektíven alkalmazzák, </w:t>
            </w:r>
            <w:r w:rsidRPr="008A2298">
              <w:t>késleltetik vagy nem hajtják végre az EUB ítéleteit, és kéri, hogy az említett ítéletek végrehajtását helyezzék előtérbe;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249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Mary Khan, Milan Uhrík, Ewa Zajączkowska-Hernik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lastRenderedPageBreak/>
              <w:t>6.</w:t>
            </w:r>
            <w:r w:rsidRPr="008A2298">
              <w:tab/>
              <w:t xml:space="preserve">tudomásul veszi azt a tendenciát, hogy egyes tagállamok késleltetik vagy nem hajtják végre az EUB ítéleteit, és </w:t>
            </w:r>
            <w:r w:rsidRPr="008A2298">
              <w:rPr>
                <w:b/>
                <w:i/>
              </w:rPr>
              <w:t>kéri, hogy az említett ítéletek végrehajtását helyezzék előtérbe</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6.</w:t>
            </w:r>
            <w:r w:rsidRPr="008A2298">
              <w:tab/>
              <w:t xml:space="preserve">tudomásul veszi azt a tendenciát, hogy egyes tagállamok késleltetik vagy nem hajtják végre az EUB ítéleteit, és </w:t>
            </w:r>
            <w:r w:rsidRPr="008A2298">
              <w:rPr>
                <w:b/>
                <w:i/>
              </w:rPr>
              <w:t>tiszteletben tartja e szuverén döntésüket</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6 a.</w:t>
            </w:r>
            <w:r w:rsidRPr="008A2298">
              <w:tab/>
            </w:r>
            <w:r w:rsidRPr="008A2298">
              <w:rPr>
                <w:b/>
                <w:i/>
              </w:rPr>
              <w:t xml:space="preserve">hangsúlyozza, hogy a demokratikus államok mechanizmusokat biztosítanak a politikai és társadalmi megbékéléshez, többek között amnesztia és kegyelem révén, amelyek elősegítik az együttélést, megakadályozzák, hogy a politikai konfliktusok megoldását túl gyakran a bíróságokra bízzák, és megerősítik a demokratikus párbeszédet; rámutat, hogy az emberi jogok súlyos megsértését ki kell zárni az amnesztia hatálya alól, és nem használható fel arra, hogy megvédje a tisztviselőket a köztulajdon eltulajdonítása esetén fennálló felelősségtől; hangsúlyozza, hogy az amnesztia azzal a hatással jár, hogy megszünteti vagy megelőzi a bírósági határozatokat és eljárásokat, és a bírák kötelesek a jogot alkalmazni, mind a büntető jogszabályok változása, mind pedig az amnesztia esetén; úgy véli, hogy a konfliktusok politikai szintről az igazságszolgáltatási szintre való áthelyezése nincs összhangban az amnesztia céljával; aggodalmát fejezi ki amiatt, hogy beszámolók szerint Spanyolországban egyes szereplők vonakodnak az amnesztiáról szóló, elfogadott törvény teljes körű végrehajtásától, ami aláássa a jogbiztonságot és a hatalmi ágak </w:t>
            </w:r>
            <w:r w:rsidRPr="008A2298">
              <w:rPr>
                <w:b/>
                <w:i/>
              </w:rPr>
              <w:lastRenderedPageBreak/>
              <w:t>szétválasztását;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6 a.</w:t>
            </w:r>
            <w:r w:rsidRPr="008A2298">
              <w:tab/>
            </w:r>
            <w:r w:rsidRPr="008A2298">
              <w:rPr>
                <w:b/>
                <w:i/>
              </w:rPr>
              <w:t>hangsúlyozza, hogy olyan célzott intézkedésekre van szükség, amelyek kezelik a kölcsönös elismerés igazságügyi és közigazgatási együttműködésben alkalmazott elvét fenyegető konkrét veszélyeket, és biztosítják az EU belső piacán belüli folyamatos integritást és bizalmat; javasolja, hogy minden új szabályozás tartalmazzon olyan hatékony mechanizmusokra vonatkozó rendelkezéseket, amelyek megakadályozzák vagy módosítják a tagállamok és/vagy az uniós intézmények kölcsönös bizalom elvén alapuló együttműködését a jogállamiságot súlyosan megsértő tagállammal</w:t>
            </w:r>
            <w:r w:rsidRPr="008A2298">
              <w:rPr>
                <w:b/>
                <w:i/>
                <w:vertAlign w:val="superscript"/>
              </w:rPr>
              <w:t>1a</w:t>
            </w:r>
            <w:r w:rsidRPr="008A2298">
              <w:rPr>
                <w:b/>
                <w:i/>
              </w:rPr>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tc>
        <w:tc>
          <w:tcPr>
            <w:tcW w:w="4876" w:type="dxa"/>
            <w:tcBorders>
              <w:top w:val="nil"/>
              <w:left w:val="nil"/>
              <w:bottom w:val="nil"/>
              <w:right w:val="nil"/>
            </w:tcBorders>
          </w:tcPr>
          <w:p w:rsidR="00085AC1" w:rsidRPr="008A2298" w:rsidRDefault="00085AC1" w:rsidP="00875E96">
            <w:pPr>
              <w:pStyle w:val="Normal6a"/>
            </w:pPr>
            <w:r w:rsidRPr="008A2298">
              <w:rPr>
                <w:b/>
                <w:i/>
                <w:vertAlign w:val="superscript"/>
              </w:rPr>
              <w:t>1a</w:t>
            </w:r>
            <w:r w:rsidRPr="008A2298">
              <w:rPr>
                <w:b/>
                <w:i/>
              </w:rPr>
              <w:t xml:space="preserve"> Amint azt az EUB a 2014. október 23-i, C-577/12. sz. Sped-Pro GmbH kontra Finanzamt Linz ügyben hozott ítéletében megállapította.</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Marieke Ehlers, Jorge Buxadé Villalba, Tom Vandendriessche,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6 a.</w:t>
            </w:r>
            <w:r w:rsidRPr="008A2298">
              <w:tab/>
            </w:r>
            <w:r w:rsidRPr="008A2298">
              <w:rPr>
                <w:b/>
                <w:i/>
              </w:rPr>
              <w:t xml:space="preserve">emlékeztet arra, hogy a korai </w:t>
            </w:r>
            <w:r w:rsidRPr="008A2298">
              <w:rPr>
                <w:b/>
                <w:i/>
              </w:rPr>
              <w:lastRenderedPageBreak/>
              <w:t>előrejelző mechanizmus keretében mindössze két eljárás vezetett az Európai Unió Bírósága előtti eljáráshoz, amelyek közül egyikben sem döntöttek a tagállam javára; elismeri, hogy ez azt a benyomást kelti, hogy a Bíróság a tagállamokkal szemben részrehajló döntéseket hoz, és a Bizottságnak kedvez; elismeri, hogy az ilyen részrehajlás a jogállamiság elveinek súlyos megsértését jelentené;</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6 a.</w:t>
            </w:r>
            <w:r w:rsidRPr="008A2298">
              <w:tab/>
            </w:r>
            <w:r w:rsidRPr="008A2298">
              <w:rPr>
                <w:b/>
                <w:i/>
              </w:rPr>
              <w:t>elítéli, hogy egyes tagállamokban tartósan nem történt előrelépés a magas szinten elkövetett korrupciós ügyek kivizsgálása és büntetőeljárás alá vonása terén; hangsúlyozza, hogy a korrupció elleni küzdelem iránti valódi elkötelezettség bizonyításához jogerős ítéletekre és visszatartó erejű szankciókra van szükség;</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Ciriani, Paolo Inselvini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6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6a.</w:t>
            </w:r>
            <w:r w:rsidRPr="008A2298">
              <w:tab/>
            </w:r>
            <w:r w:rsidRPr="008A2298">
              <w:rPr>
                <w:b/>
                <w:i/>
              </w:rPr>
              <w:t>felszólítja a tagállamokat, hogy hajtsák végre az EUB ítéleteit;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7.</w:t>
            </w:r>
            <w:r w:rsidRPr="008A2298">
              <w:tab/>
            </w:r>
            <w:r w:rsidRPr="008A2298">
              <w:rPr>
                <w:b/>
                <w:i/>
              </w:rPr>
              <w:t>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Zan, Cecilia Strada, Sandro Ruotolo, Pina Picierno, Marco Tarquinio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w:t>
            </w:r>
            <w:r w:rsidRPr="008A2298">
              <w:lastRenderedPageBreak/>
              <w:t>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lastRenderedPageBreak/>
              <w:t>7.</w:t>
            </w:r>
            <w:r w:rsidRPr="008A2298">
              <w:tab/>
              <w:t xml:space="preserve">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w:t>
            </w:r>
            <w:r w:rsidRPr="008A2298">
              <w:lastRenderedPageBreak/>
              <w:t xml:space="preserve">megfelelő előrelépés a magas szinten elkövetett korrupció kezelése terén; </w:t>
            </w:r>
            <w:r w:rsidRPr="008A2298">
              <w:rPr>
                <w:b/>
                <w:i/>
              </w:rPr>
              <w:t>sajnálja, hogy Olaszország nem hajtotta végre a Bizottság korrupcióval, a politikai pártok és a választási kampányok finanszírozására vonatkozó szabályokkal, valamint a lobbitevékenység szabályozásával kapcsolatos ajánlásait; megjegyzi, hogy a közhivatallal való visszaélés bűncselekményének megszüntetése és a befolyással való üzérkedés bűncselekménye hatályának szűkítése gyengíti a korrupcióellenes és átláthatósági keretet, és ellentétes a nemzetközi korrupcióellenes egyezményekkel is;</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Abir Al-Sahlani, Chloé Ridel, Alessandro Zan, Fabienne Keller, Lucia Yar, Irena Joveva,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tagállamokat, hogy </w:t>
            </w:r>
            <w:r w:rsidRPr="008A2298">
              <w:rPr>
                <w:b/>
                <w:i/>
              </w:rPr>
              <w:t xml:space="preserve">a korrupciós ügyek, köztük a magas szinten – különösen a magas kockázatú területeken, például a kikötőkben vagy a szárazföldi határokon – elkövetett korrupció hatékony kivizsgálásának és büntetőeljárás alá vonásának biztosítása érdekében </w:t>
            </w:r>
            <w:r w:rsidRPr="008A2298">
              <w:t xml:space="preserve">fokozzák az átláthatóságot és az elszámoltathatóságot a közintézményekben a korrupcióellenes </w:t>
            </w:r>
            <w:r w:rsidRPr="008A2298">
              <w:rPr>
                <w:b/>
                <w:i/>
              </w:rPr>
              <w:t xml:space="preserve">és feddhetetlenségi jogi </w:t>
            </w:r>
            <w:r w:rsidRPr="008A2298">
              <w:t>keretek</w:t>
            </w:r>
            <w:r w:rsidRPr="008A2298">
              <w:rPr>
                <w:b/>
                <w:i/>
              </w:rPr>
              <w:t xml:space="preserve"> és a jelentéstételi eljárások</w:t>
            </w:r>
            <w:r w:rsidRPr="008A2298">
              <w:t xml:space="preserve"> megerősítése, a független felügyeleti szervek létrehozásának biztosítása, a visszaélést bejelentő személyek védelmének előmozdítása, a feddhetetlenségi keretek javítása és a jogalkotás érdekében folytatott lobbizás </w:t>
            </w:r>
            <w:r w:rsidRPr="008A2298">
              <w:lastRenderedPageBreak/>
              <w:t>révén; sajnálatát fejezi ki amiatt, hogy egyes tagállamokban nem történt megfelelő előrelépés a magas szinten elkövetett korrupció kezelése terén;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 Jaume Asens Llodrà, Vicent Marzà Ibáñez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t>7.</w:t>
            </w:r>
            <w:r w:rsidRPr="008A2298">
              <w:tab/>
              <w:t>felhívja a tagállamokat, hogy fokozzák az átláthatóságot és az elszámoltathatóságot a közintézményekben a korrupcióellenes keretek megerősítése, a független felügyeleti szervek létrehozásának</w:t>
            </w:r>
            <w:r w:rsidRPr="008A2298">
              <w:rPr>
                <w:b/>
                <w:i/>
              </w:rPr>
              <w:t>, a meglévő ügynökségek függetlenségének és megfelelő működésének</w:t>
            </w:r>
            <w:r w:rsidRPr="008A2298">
              <w:t xml:space="preserve">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w:t>
            </w:r>
            <w:r w:rsidRPr="008A2298">
              <w:rPr>
                <w:b/>
                <w:i/>
              </w:rPr>
              <w:t>, többek között a közbeszerzési eljárásokhoz kapcsolódó</w:t>
            </w:r>
            <w:r w:rsidRPr="008A2298">
              <w:t xml:space="preserve"> korrupció kezelése terén;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259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tagállamokat, hogy fokozzák az átláthatóságot és az elszámoltathatóságot a közintézményekben </w:t>
            </w:r>
            <w:r w:rsidRPr="008A2298">
              <w:lastRenderedPageBreak/>
              <w:t>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lastRenderedPageBreak/>
              <w:t>7.</w:t>
            </w:r>
            <w:r w:rsidRPr="008A2298">
              <w:tab/>
              <w:t xml:space="preserve">felhívja a tagállamokat, hogy fokozzák az átláthatóságot és az elszámoltathatóságot a közintézményekben </w:t>
            </w:r>
            <w:r w:rsidRPr="008A2298">
              <w:lastRenderedPageBreak/>
              <w:t>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r w:rsidRPr="008A2298">
              <w:rPr>
                <w:b/>
                <w:i/>
              </w:rPr>
              <w:t>, és hogy a korrupciós ügyekben érintett magas rangú tisztviselők esetében amnesztiatörvényeket alkalmaznak vagy kegyelmet adnak</w:t>
            </w:r>
            <w:r w:rsidRPr="008A2298">
              <w: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András László</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w:t>
            </w:r>
            <w:r w:rsidRPr="008A2298">
              <w:rPr>
                <w:b/>
                <w:i/>
              </w:rPr>
              <w:t>tagállamokat</w:t>
            </w:r>
            <w:r w:rsidRPr="008A2298">
              <w:t xml:space="preserve">, hogy </w:t>
            </w:r>
            <w:r w:rsidRPr="008A2298">
              <w:rPr>
                <w:b/>
                <w:i/>
              </w:rPr>
              <w:t>fokozzák</w:t>
            </w:r>
            <w:r w:rsidRPr="008A2298">
              <w:t xml:space="preserve"> az átláthatóságot és az elszámoltathatóságot </w:t>
            </w:r>
            <w:r w:rsidRPr="008A2298">
              <w:rPr>
                <w:b/>
                <w:i/>
              </w:rPr>
              <w:t>a közintézményekben</w:t>
            </w:r>
            <w:r w:rsidRPr="008A2298">
              <w:t xml:space="preserve"> a korrupcióellenes keretek megerősítése, a független felügyeleti szervek létrehozásának biztosítása, a </w:t>
            </w:r>
            <w:r w:rsidRPr="008A2298">
              <w:rPr>
                <w:b/>
                <w:i/>
              </w:rPr>
              <w:t xml:space="preserve">visszaélést bejelentő személyek védelmének előmozdítása, a </w:t>
            </w:r>
            <w:r w:rsidRPr="008A2298">
              <w:t xml:space="preserve">feddhetetlenségi keretek javítása és a jogalkotás érdekében folytatott lobbizás révén; sajnálatát fejezi ki amiatt, hogy </w:t>
            </w:r>
            <w:r w:rsidRPr="008A2298">
              <w:rPr>
                <w:b/>
                <w:i/>
              </w:rPr>
              <w:t>egyes tagállamokban</w:t>
            </w:r>
            <w:r w:rsidRPr="008A2298">
              <w:t xml:space="preserve">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w:t>
            </w:r>
            <w:r w:rsidRPr="008A2298">
              <w:rPr>
                <w:b/>
                <w:i/>
              </w:rPr>
              <w:t>Bizottságot</w:t>
            </w:r>
            <w:r w:rsidRPr="008A2298">
              <w:t xml:space="preserve">, hogy </w:t>
            </w:r>
            <w:r w:rsidRPr="008A2298">
              <w:rPr>
                <w:b/>
                <w:i/>
              </w:rPr>
              <w:t>fokozza</w:t>
            </w:r>
            <w:r w:rsidRPr="008A2298">
              <w:t xml:space="preserve"> az átláthatóságot és az elszámoltathatóságot </w:t>
            </w:r>
            <w:r w:rsidRPr="008A2298">
              <w:rPr>
                <w:b/>
                <w:i/>
              </w:rPr>
              <w:t>az uniós intézményekben</w:t>
            </w:r>
            <w:r w:rsidRPr="008A2298">
              <w:t xml:space="preserve"> a korrupcióellenes keretek megerősítése, a független felügyeleti szervek létrehozásának biztosítása, a feddhetetlenségi keretek javítása és a jogalkotás érdekében folytatott lobbizás révén; sajnálatát fejezi ki amiatt, hogy </w:t>
            </w:r>
            <w:r w:rsidRPr="008A2298">
              <w:rPr>
                <w:b/>
                <w:i/>
              </w:rPr>
              <w:t>az uniós intézményekben</w:t>
            </w:r>
            <w:r w:rsidRPr="008A2298">
              <w:t xml:space="preserve"> nem történt megfelelő előrelépés a magas szinten elkövetett korrupció kezelése terén;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lastRenderedPageBreak/>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tagállamokat, hogy fokozzák az átláthatóságot és az elszámoltathatóságot a közintézményekben a korrupcióellenes keretek megerősítése, a független felügyeleti szervek létrehozásának biztosítása, a visszaélést bejelentő személyek védelmének előmozdítása, a feddhetetlenségi keretek javítása és a jogalkotás érdekében folytatott lobbizás révén; sajnálatát fejezi ki amiatt, hogy egyes tagállamokban </w:t>
            </w:r>
            <w:r w:rsidRPr="008A2298">
              <w:rPr>
                <w:b/>
                <w:i/>
              </w:rPr>
              <w:t xml:space="preserve">és az uniós intézményekben </w:t>
            </w:r>
            <w:r w:rsidRPr="008A2298">
              <w:t>nem történt megfelelő előrelépés a magas szinten elkövetett korrupció kezelése terén;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tagállamokat, hogy fokozzák az átláthatóságot és az elszámoltathatóságot a közintézményekben a korrupcióellenes keretek megerősítése, a </w:t>
            </w:r>
            <w:r w:rsidRPr="008A2298">
              <w:rPr>
                <w:b/>
                <w:i/>
              </w:rPr>
              <w:t xml:space="preserve">független </w:t>
            </w:r>
            <w:r w:rsidRPr="008A2298">
              <w:t xml:space="preserve">felügyeleti </w:t>
            </w:r>
            <w:r w:rsidRPr="008A2298">
              <w:rPr>
                <w:b/>
                <w:i/>
              </w:rPr>
              <w:t>szervek létrehozásának biztosítása</w:t>
            </w:r>
            <w:r w:rsidRPr="008A2298">
              <w:t>,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c>
          <w:tcPr>
            <w:tcW w:w="4876" w:type="dxa"/>
            <w:tcBorders>
              <w:top w:val="nil"/>
              <w:left w:val="nil"/>
              <w:bottom w:val="nil"/>
              <w:right w:val="nil"/>
            </w:tcBorders>
          </w:tcPr>
          <w:p w:rsidR="00085AC1" w:rsidRPr="008A2298" w:rsidRDefault="00085AC1" w:rsidP="00875E96">
            <w:pPr>
              <w:pStyle w:val="Normal6a"/>
            </w:pPr>
            <w:r w:rsidRPr="008A2298">
              <w:t>7.</w:t>
            </w:r>
            <w:r w:rsidRPr="008A2298">
              <w:tab/>
              <w:t xml:space="preserve">felhívja a tagállamokat, hogy fokozzák az átláthatóságot és az elszámoltathatóságot a közintézményekben a korrupcióellenes keretek megerősítése, a felügyeleti </w:t>
            </w:r>
            <w:r w:rsidRPr="008A2298">
              <w:rPr>
                <w:b/>
                <w:i/>
              </w:rPr>
              <w:t>mechanizmusok és szervek megszilárdítása</w:t>
            </w:r>
            <w:r w:rsidRPr="008A2298">
              <w:t>, a visszaélést bejelentő személyek védelmének előmozdítása, a feddhetetlenségi keretek javítása és a jogalkotás érdekében folytatott lobbizás révén; sajnálatát fejezi ki amiatt, hogy egyes tagállamokban nem történt megfelelő előrelépés a magas szinten elkövetett korrupció kezelése terén;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263</w:t>
      </w:r>
      <w:r w:rsidRPr="008A2298">
        <w:rPr>
          <w:rStyle w:val="HideTWBExt"/>
          <w:b w:val="0"/>
        </w:rPr>
        <w:t>&lt;/NumAm&gt;</w:t>
      </w:r>
    </w:p>
    <w:p w:rsidR="00085AC1" w:rsidRPr="008A2298" w:rsidRDefault="00085AC1" w:rsidP="00085AC1">
      <w:pPr>
        <w:pStyle w:val="NormalBold"/>
      </w:pPr>
      <w:r w:rsidRPr="008A2298">
        <w:rPr>
          <w:rStyle w:val="HideTWBExt"/>
          <w:b w:val="0"/>
        </w:rPr>
        <w:lastRenderedPageBreak/>
        <w:t>&lt;RepeatBlock-By&gt;&lt;Members&gt;</w:t>
      </w:r>
      <w:r w:rsidRPr="008A2298">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 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megismétli, hogy a korrupció komoly veszélyt jelent a demokráciára, az alapvető jogokra és a jogállamiságra nézve; hangsúlyozza, hogy a korrupció megrendíti a polgárok bizalmát a közintézményekben; sajnálatát fejezi ki, hogy a korrupcióról szóló 2024. évi Eurobarométer felmérések azt mutatják, hogy a korrupció továbbra is komolyan aggasztja az uniós polgárokat és vállalkozásokat, és az európaiak 68%-a úgy véli, hogy országukban a korrupció széles körben elterjedt, 65%-uk szerint a magas szinten elkövetett korrupciós ügyeket nem vizsgálják ki megfelelően, és 41% úgy látja, hogy a korrupció mértéke nőtt; úgy véli, ez felszólítás arra, hogy az EU fokozza a korrupció elleni küzdelemre irányuló erőfeszítéseit;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Javier Zarzalejos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 xml:space="preserve">felhívja a tagállamok törvényhozó és végrehajtó hatalmi ágait, hogy tartózkodjanak az olyan nyilatkozatok közzétételétől, amelyek alááshatják a nyilvánosság igazságszolgáltatásba vetett bizalmát; emlékeztet, hogy a Bizottság korábbi jelentéseiben figyelmeztetett arra, </w:t>
            </w:r>
            <w:r w:rsidRPr="008A2298">
              <w:rPr>
                <w:b/>
                <w:i/>
              </w:rPr>
              <w:lastRenderedPageBreak/>
              <w:t>hogy az ilyen nyilatkozatok rontják a polgárok bírói függetlenségről alkotott képét; hangsúlyozza, hogy ez a romló tendencia különösen aggasztó, ha a kritikák maguktól a törvényhozó és végrehajtó hatalmi ágaktól származnak; kiemeli, hogy valamennyi kormányzati ág felelős az alkotmányos intézményekbe, többek között az igazságszolgáltatás függetlenségébe vetett közbizalom előmozdításáért és megőrzéséért;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kitart amellett, hogy továbbra is komoly aggodalomra ad okot az állami és nem állami szereplők által az emberijog-védőkkel szemben elkövetett jogsértések hatékony kivizsgálásának hiánya; elítéli, hogy egyes kormányok a nemzetbiztonsági és a közbiztonsági aggályokat az emberi jogoknál fontosabbnak tekintik; aggodalmát fejezi ki amiatt, hogy az emberi jogi aktivisták és a politikai ellenfelek bírósági zaklatással, büntetőeljárásokkal, visszaélésszerű ellenőrzésekkel és állami szereplők általi megfigyeléssel szembesülnek; elítéli az állami szereplők politikai ellenfelek elleni kémkedését Spanyolországban;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Mary Khan, Christine Anderson, Milan Uhrík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sajnálatát fejezi ki a kormányzati jogi hadviselés nyilvánvaló semmibevétele miatt, azaz amiatt, hogy a tagállamok kormányai módszeresen kihasználják az igazságszolgáltatási rendszert annak érdekében, hogy megvédjék a végrehajtó szervet a polgárok kritikájától; rámutat különösen a német kormány szólásszabadsággal kapcsolatos jogsértéseire, mivel a hivatalban lévő szövetségi gazdasági miniszter, Robert Habeck hivatali ideje alatt egyedül több mint 800 panaszt nyújtott be;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7a.</w:t>
            </w:r>
            <w:r w:rsidRPr="008A2298">
              <w:tab/>
            </w:r>
            <w:r w:rsidRPr="008A2298">
              <w:rPr>
                <w:b/>
                <w:i/>
              </w:rPr>
              <w:t>mély aggodalmát fejezi ki amiatt, hogy nem történt előrelépés a Katargate-ügy kivizsgálása terén, valamint a média által feltárt egyéb botrányok szőnyeg alá söprése miatt, beleértve a Bizottság elnökének a Covid19-oltóanyagok beszerzésében való részvételével kapcsolatos kérdéseket, valamint az EUB bírái esetében megfigyelt összeférhetetlenséget és befolyással való visszaélést, továbbá az Európai Számvevőszék tagjainak tulajdonított szabálytalanságokat;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lastRenderedPageBreak/>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aggodalommal veszi tudomásul a közelmúltban az úgynevezett „zöld lobbibotrány” kapcsán napvilágra került információkat, amelyek szerint az Európai Bizottság uniós forrásokat használt fel arra, hogy az EU jogalkotási ágánál közbenjárjon az európai zöld megállapodás támogatása érdekében; e tekintetben felszólít az ügy alapos kivizsgálására, valamint az adófizetők jogosulatlanul elköltött összes pénzének visszafizettetésére;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269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Lukas Mandl, Hannes Heide</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elismeri a közjegyzők szerepét számos tagállamban, akik funkcionálisan bírósági feladatokat látnak el; úgy véli, hogy a jogállamisági jelentés későbbi kiadásaiban foglalkozni kell a közjegyzők jogállamisági normákhoz való hozzájárulásával;</w:t>
            </w:r>
            <w:r w:rsidRPr="008A2298">
              <w:rPr>
                <w:b/>
                <w:i/>
                <w:vertAlign w:val="superscript"/>
              </w:rPr>
              <w:t>1a</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tc>
        <w:tc>
          <w:tcPr>
            <w:tcW w:w="4876" w:type="dxa"/>
            <w:tcBorders>
              <w:top w:val="nil"/>
              <w:left w:val="nil"/>
              <w:bottom w:val="nil"/>
              <w:right w:val="nil"/>
            </w:tcBorders>
          </w:tcPr>
          <w:p w:rsidR="00085AC1" w:rsidRPr="008A2298" w:rsidRDefault="00085AC1" w:rsidP="00875E96">
            <w:pPr>
              <w:pStyle w:val="Normal6a"/>
            </w:pPr>
            <w:r w:rsidRPr="008A2298">
              <w:rPr>
                <w:b/>
                <w:i/>
                <w:vertAlign w:val="superscript"/>
              </w:rPr>
              <w:t>1a</w:t>
            </w:r>
            <w:r w:rsidRPr="008A2298">
              <w:rPr>
                <w:b/>
                <w:i/>
              </w:rPr>
              <w:t xml:space="preserve"> Az Európai Parlament 2024. február 28-i állásfoglalása a Bizottság 2023. évi jogállamisági jelentéséről szóló jelentésről (2023/2113(INI))</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270</w:t>
      </w:r>
      <w:r w:rsidRPr="008A2298">
        <w:rPr>
          <w:rStyle w:val="HideTWBExt"/>
          <w:b w:val="0"/>
        </w:rPr>
        <w:t>&lt;/NumAm&gt;</w:t>
      </w:r>
    </w:p>
    <w:p w:rsidR="00085AC1" w:rsidRPr="008A2298" w:rsidRDefault="00085AC1" w:rsidP="00085AC1">
      <w:pPr>
        <w:pStyle w:val="NormalBold"/>
      </w:pPr>
      <w:r w:rsidRPr="008A2298">
        <w:rPr>
          <w:rStyle w:val="HideTWBExt"/>
          <w:b w:val="0"/>
        </w:rPr>
        <w:lastRenderedPageBreak/>
        <w:t>&lt;RepeatBlock-By&gt;&lt;Members&gt;</w:t>
      </w:r>
      <w:r w:rsidRPr="008A2298">
        <w:t>Tomáš Zdechovský</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egyetért azzal, hogy az Európai Ügyészség (EPPO) sikeresen ellátja a tagállami korrupció elleni küzdelemmel kapcsolatos feladatait; támogatja az Európai Ügyészség ellenőrzési és koordinációs hatásköreinek megerősítését a tagállami korrupció elleni küzdelemre irányuló képességeinek javítása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 Ana Catarina Mendes, Moritz Körner, 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sürgeti azokat a tagállamokat, amelyek ezt még nem tették meg, hogy csatlakozzanak az Európai Ügyészséghez (EPPO) a korrupció elleni küzdelem hatékonyságának fokozása érdekében, különösen az uniós források védelme tekintetében;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üdvözli az intézményközi etikai testület létrehozásáról szóló megállapodást; felszólít minden olyan uniós intézményt és tanácsadó testületet, amely még nem csatlakozott a testülethez, hogy tegye ezt meg; várakozással tekint a testület első éves jelentése elé;</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Romana Tomc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felhívja a Bizottságot, hogy valamennyi dokumentumában, látogatása és találkozója során fokozza az átláthatóságot és az elszámoltathatóságot, különösen a magas rangú nemzeti szereplőkkel folytatott kommunikáció során;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Chloé Ridel, Emma Rafowicz, Sandro Ruotolo, Eric Sargiacomo, Michał Wawrykiewicz, Alessandro Zan, Giuseppe Antoci, Klára Dobrev, Csaba Molnár, Bruno Gonçalves, Nora Mebarek, Raphaël Glucksmann, Nikola Minchev, Estelle Ceulemans, Krzysztof Śmiszek, Daniel Freund, Birgit Sippel, Katarina Barley, David Casa, Evin Incir, Matjaž Nemec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b.</w:t>
            </w:r>
            <w:r w:rsidRPr="008A2298">
              <w:tab/>
            </w:r>
            <w:r w:rsidRPr="008A2298">
              <w:rPr>
                <w:b/>
                <w:i/>
              </w:rPr>
              <w:t xml:space="preserve">üdvözli a korrupció elleni küzdelemről szóló irányelvre irányuló bizottsági javaslatot, amely harmonizálja </w:t>
            </w:r>
            <w:r w:rsidRPr="008A2298">
              <w:rPr>
                <w:b/>
                <w:i/>
              </w:rPr>
              <w:lastRenderedPageBreak/>
              <w:t>a köz- és magánszektorban elkövetett korrupciós bűncselekmények és a megfelelő szankciók meghatározását; hangsúlyozza, hogy a jogellenes politikai finanszírozást fel kell venni az ezen irányelvben szereplő, korrupcióval kapcsolatos büntetendő bűncselekmények listájára; üdvözli, hogy a korrupció elleni küzdelemről szóló irányelvbe olyan megelőző intézkedéseket és képzéseket illesztettek be, mint például az összeférhetetlenségek közzétételére és kezelésére vonatkozó hatékony szabályok, az információkhoz való nyílt hozzáférés, valamint a magánszektor és a közszféra közötti interakciót szabályozó hatékony szabályok; felhívja a tagállamokat, hogy vezessenek be hatékony szabályokat a forgóajtó-jelenség kezelésére, dolgozzanak ki magatartási kódexeket a köztisztviselők számára, hozzanak létre nyilvános jogalkotási lábnyomot, biztosítsák a választott köztisztviselők és politikai pártok jelöltjei finanszírozásának átláthatóságát; nagyra értékeli, hogy majdnem minden tagállam rendelkezik korrupcióellenes stratégiával; sajnálatát fejezi ki ugyanakkor amiatt, hogy a végrehajtás és a hatékonyság eltérő; felhívja azokat a tagállamokat, amelyek ezt még nem tették meg, hogy a civil társadalom bevonásával dolgozzanak ki és hajtsanak végre szilárd és hatékony korrupcióellenes stratégiákat; hangsúlyozza a korrupció áldozatai azonosításának, értesítésének, képviseletének és koordinálásának fontosságát; felhívja a tagállamokat, hogy védjék meg a korrupció áldozatait, és tegyék lehetővé, hogy a büntetőeljárás megfelelő szakaszaiban ismertethessék véleményüket és aggályaikat, és ezeket vegyék figyelembe; felhívja a tagállamokat annak biztosítására, hogy a korrupció áldozatainak joguk legyen a megfelelő és arányos kártérítéshez;</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275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b.</w:t>
            </w:r>
            <w:r w:rsidRPr="008A2298">
              <w:tab/>
            </w:r>
            <w:r w:rsidRPr="008A2298">
              <w:rPr>
                <w:b/>
                <w:i/>
              </w:rPr>
              <w:t>elismeri, hogy az Európai Ügyészség (EPPO) fontos szerepet tölt be a jogállamiság biztosítása és a korrupció elleni fellépés tekintetében az Unióban, és ösztönzi a Bizottságot, hogy a későbbi jelentésekben szorosan kövesse nyomon a tagállamok és az Európai Ügyészség közötti együttműködés szintjét, különösen a hatáskörökkel kapcsolatos viták rendezése és a korrupciós bűncselekmények tekintetében;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b.</w:t>
            </w:r>
            <w:r w:rsidRPr="008A2298">
              <w:tab/>
            </w:r>
            <w:r w:rsidRPr="008A2298">
              <w:rPr>
                <w:b/>
                <w:i/>
              </w:rPr>
              <w:t>sajnálatát fejezi ki amiatt, hogy a Bizottság a kétéves várakozási időszak ellenére engedélyezte Thierry Breton volt biztos számára, hogy a Bank of America kötelékében dolgozzon; e tekintetben felszólít a biztosok magatartási kódexe alkalmazásának megerősítésére a forgóajtó-jelenség káros hatásainak megelőzése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277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7b.</w:t>
            </w:r>
            <w:r w:rsidRPr="008A2298">
              <w:tab/>
            </w:r>
            <w:r w:rsidRPr="008A2298">
              <w:rPr>
                <w:b/>
                <w:i/>
              </w:rPr>
              <w:t>felhívja a Bizottságot, hogy szorosan működjön együtt a belga hatóságokkal a korábbi jogérvényesülési biztost érintő ügyben, akit pénzmosással gyanúsítanak; felhívja a Bizottságot, hogy végezzen saját vizsgálatot Reynders minden olyan összeférhetetlenségével kapcsolatban, amely befolyásolhatta megbízatásának teljesítését;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c.</w:t>
            </w:r>
            <w:r w:rsidRPr="008A2298">
              <w:tab/>
            </w:r>
            <w:r w:rsidRPr="008A2298">
              <w:rPr>
                <w:b/>
                <w:i/>
              </w:rPr>
              <w:t xml:space="preserve">üdvözli a korrupció elleni küzdelemről szóló irányelvre irányuló bizottsági javaslatot, amely harmonizálja a köz- és magánszektorban elkövetett korrupciós bűncselekmények és a megfelelő szankciók meghatározását; hangsúlyozza, hogy a jogellenes politikai finanszírozást fel kell venni az ezen irányelvben szereplő, korrupcióval kapcsolatos büntetendő bűncselekmények listájára; üdvözli, hogy a korrupció elleni küzdelemről szóló irányelvbe olyan megelőző intézkedéseket és képzéseket illesztettek be, mint például az összeférhetetlenségek közzétételére és kezelésére vonatkozó hatékony szabályok, </w:t>
            </w:r>
            <w:r w:rsidRPr="008A2298">
              <w:rPr>
                <w:b/>
                <w:i/>
              </w:rPr>
              <w:lastRenderedPageBreak/>
              <w:t>az információkhoz való nyílt hozzáférés, valamint a magánszektor és a közszféra közötti interakciót szabályozó hatékony szabályok; felhívja a tagállamokat, hogy vezessenek be hatékony szabályokat a forgóajtó-jelenség kezelésére, dolgozzanak ki magatartási kódexeket a köztisztviselők számára, hozzanak létre nyilvános jogalkotási lábnyomot, biztosítsák a választott köztisztviselők és politikai pártok jelöltjei finanszírozásának átláthatóságát; nagyra értékeli, hogy majdnem minden tagállam rendelkezik korrupcióellenes stratégiával; sajnálatát fejezi ki ugyanakkor amiatt, hogy a végrehajtás és a hatékonyság eltérő; felhívja azokat a tagállamokat, amelyek ezt még nem tették meg, hogy a civil társadalom bevonásával dolgozzanak ki és hajtsanak végre szilárd és hatékony korrupcióellenes stratégiákat; hangsúlyozza a korrupció áldozatai azonosításának, értesítésének, képviseletének és koordinálásának fontosságát; felhívja a tagállamokat, hogy védjék meg a korrupció áldozatait, és tegyék lehetővé, hogy a büntetőeljárás megfelelő szakaszaiban ismertethessék véleményüket és aggályaikat, és ezeket vegyék figyelembe; felhívja a tagállamokat annak biztosítására, hogy a korrupció áldozatainak joguk legyen a megfelelő és arányos kártérítéshez;</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279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Chloé Ridel, Emma Rafowicz, Sandro Ruotolo, Eric Sargiacomo, Alessandro Zan, Giuseppe Antoci, Klára Dobrev, Csaba Molnár, Bruno Gonçalves, Nora Mebarek, Raphaël Glucksmann, Nikola Minchev, Estelle Ceulemans, Krzysztof Śmiszek, Raquel García Hermida-Van Der Walle, Birgit Sippel, Katarina Barley, David Casa, Evin Incir, Matjaž Nemec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c.</w:t>
            </w:r>
            <w:r w:rsidRPr="008A2298">
              <w:tab/>
            </w:r>
            <w:r w:rsidRPr="008A2298">
              <w:rPr>
                <w:b/>
                <w:i/>
              </w:rPr>
              <w:t>felhívja az összes uniós intézményt, szervet, hivatalt és ügynökséget, hogy erősítsék meg megelőző intézkedéseiket az összeférhetetlenségek közzététele és kezelése, az információkhoz való nyílt hozzáférés, a magánszektorral való interakciót szabályozó szabályok, a forgóajtó-jelenség kezelése és a köztisztviselők magatartási kódexe tekintetében; úgy véli, hogy mandátumuk alatt az európai parlamenti képviselők nem folytathatnak fizetett melléktevékenységeket olyan profitorientált szervezeteknél vagy vállalkozásoknál, amelyek befolyásolni kívánják az uniós politikai döntéshozatalt; felhívja az összes uniós intézményt és tanácsadó szervet, hogy csatlakozzanak az intézményközi etikai testülethez;</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c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7c.</w:t>
            </w:r>
            <w:r w:rsidRPr="008A2298">
              <w:tab/>
            </w:r>
            <w:r w:rsidRPr="008A2298">
              <w:rPr>
                <w:b/>
                <w:i/>
              </w:rPr>
              <w:t>felszólítja Donald Tusk kormányát, hogy tartózkodjon a Lengyel Köztársaság alkotmányának minden további megsértésétől és a lengyel jogrend alapját képező független intézmények további felszámolásától, beleértve a lengyel jogrendszer gerincét képező Alkotmánybíróság elleni támadásokat is; megjegyzi, hogy Donald Tusk kormánya büntetőjogi következményekkel fog szembesülni a Lengyel Köztársaság alkotmányos rendjének radikális megváltoztatása és a rendszerszintű törvénytelenség bevezetése miatt;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lastRenderedPageBreak/>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d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d.</w:t>
            </w:r>
            <w:r w:rsidRPr="008A2298">
              <w:tab/>
            </w:r>
            <w:r w:rsidRPr="008A2298">
              <w:rPr>
                <w:b/>
                <w:i/>
              </w:rPr>
              <w:t>elismeri, hogy az Európai Ügyészség (EPPO) fontos szerepet tölt be az Unióban a jogállamiság biztosítása és a korrupció elleni fellépés tekintetében, és ösztönzi a Bizottságot, hogy a későbbi jelentésekben szorosan kövesse nyomon a tagállamok és az Európai Ügyészség közötti együttműködés szintjét, különösen a hatáskörökkel kapcsolatos viták rendezése és a korrupciós bűncselekmények tekintetében; üdvözli az új ír kormány azon célkitűzését, hogy csatlakozzon az EPPO-hoz, és felszólítja a többi tagállamot, hogy kövessék ezt a példát; úgy véli, hogy az uniós pénzeszközök megszerzéséhez előfeltételként kell szabni az EPPO-hoz való csatlakozást; felhívja a Bizottságot, hogy az EUMSZ 86. cikkének (4) bekezdése értelmében tegyen javaslatot az EPPO megbízatásának kiterjesztésére az uniós korlátozó intézkedések kijátszásának és a határokon átnyúló környezeti bűncselekményeknek az elkerülése, valamint az EPPO-ról szóló rendelet és a PIF-irányelv felülvizsgálatának felgyorsítása érdekében az EPPO elsődleges hatáskörének védelme és tisztázása érdekében az EU pénzügyi érdekeit sértő vagy az uniós tisztviselők által elkövetett korrupciós bűncselekmények tekintetében;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282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d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7d.</w:t>
            </w:r>
            <w:r w:rsidRPr="008A2298">
              <w:tab/>
            </w:r>
            <w:r w:rsidRPr="008A2298">
              <w:rPr>
                <w:b/>
                <w:i/>
              </w:rPr>
              <w:t>sajnálatát fejezi ki amiatt, hogy Donald Tusk kormánya jogellenesen járt el az ügyészség politikai alárendelése érdekében, beleértve a nemzeti ügyész felmentésére irányuló kísérletet, akinek felmentéséhez a legfőbb ügyésznek meg kell kapnia a Lengyel Köztársaság elnökének írásbeli hozzájárulását, ami azt jelenti, hogy ez az intézkedés ellentétes az ügyészségről szóló törvénnyel, valamint sérti a Lengyel Köztársaság alkotmányát és a jogszerűség elvét; felszólítja Donald Tusk kormányát, hogy hagyjon fel az ügyészség elleni támadásokkal és a nemzeti ügyész, és következésképpen az általa felügyelt valamennyi ügyész hatáskörének aláásásával; rámutat arra, hogy lehetővé kell tenni a nemzeti ügyész számára, hogy azonnal ellássa feladatait, ugyanakkor megjegyzi, hogy Adam Bodnar legfőbb ügyész cselekményei máskülönben több ezer bűnelkövető mentesülését eredményezik a büntetőjogi felelősség alól;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e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7e.</w:t>
            </w:r>
            <w:r w:rsidRPr="008A2298">
              <w:tab/>
            </w:r>
            <w:r w:rsidRPr="008A2298">
              <w:rPr>
                <w:b/>
                <w:i/>
              </w:rPr>
              <w:t xml:space="preserve">sajnálatát fejezi ki amiatt, hogy az olyan országokban, mint Lengyelország, miután egy magát demokratikusnak valló </w:t>
            </w:r>
            <w:r w:rsidRPr="008A2298">
              <w:rPr>
                <w:b/>
                <w:i/>
              </w:rPr>
              <w:lastRenderedPageBreak/>
              <w:t>politikai tábor hatalomra került, a revansizmus, az ellenzék üldözése, a politikai perek, a többször meghosszabbított előzetes letartóztatások, sőt olyan ügyek lépnek a demokratikus jogállamiság elvének helyébe, ahol kínzást alkalmaznak;</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f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7f.</w:t>
            </w:r>
            <w:r w:rsidRPr="008A2298">
              <w:tab/>
            </w:r>
            <w:r w:rsidRPr="008A2298">
              <w:rPr>
                <w:b/>
                <w:i/>
              </w:rPr>
              <w:t>felszólítja Donald Tusk kormányát, hogy tartsa tiszteletben a Lengyel Köztársaság alkotmányát és a törvényeket, valamint tartsa be és hajtsa végre az alkotmánybíróság jogerős és egyetemesen kötelező ítéleteit;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Juan Fernando López Aguilar, Nacho Sánchez Amor, Javier Moreno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 xml:space="preserve">elismeri, hogy a visszaélést bejelentő személyek döntő szerepet játszanak a korrupció feltárásában és az átláthatóság előmozdításában mind a köz-, mind a magánszektorban; hangsúlyozza, hogy meg kell védeni a visszaélést bejelentő személyeket a megtorlással és a zaklatással szemben; felszólít a visszaélést bejelentő személyek védelmével foglalkozó független és autonóm hatóságok további </w:t>
            </w:r>
            <w:r w:rsidRPr="008A2298">
              <w:rPr>
                <w:b/>
                <w:i/>
              </w:rPr>
              <w:lastRenderedPageBreak/>
              <w:t>megerősítésére és a tágabb nemzeti korrupcióellenes keretekbe való további integrálásukra, biztosítva a korrupció elleni küzdelem egységes és szilárd megközelítését valamennyi tagállamban;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Abir Al-Sahlani, Alessandro Zan, Chloé Ridel, Fabienne Keller, Lucia Yar, Irena Joveva,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 a.</w:t>
            </w:r>
            <w:r w:rsidRPr="008A2298">
              <w:tab/>
            </w:r>
            <w:r w:rsidRPr="008A2298">
              <w:rPr>
                <w:b/>
                <w:i/>
              </w:rPr>
              <w:t>emlékeztet arra, hogy a szilárd nemzeti jogrendszerek elengedhetetlenek, mivel a Bizottság a nemzeti igazságügyi hatóságokra támaszkodik az uniós jog érvényesítése érdekében, és hogy ezek alapvető fontosságúak az EU-n belüli igazságügyi együttműködés és a kölcsönös bizalom előmozdítása szempontjából;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Ciriani, Paolo Inselvini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7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7a</w:t>
            </w:r>
            <w:r w:rsidRPr="008A2298">
              <w:tab/>
            </w:r>
            <w:r w:rsidRPr="008A2298">
              <w:rPr>
                <w:b/>
                <w:i/>
              </w:rPr>
              <w:t>megjegyzi, hogy a Bizottság különböző tagállamokban bizonyítékot talált a médiaágazatot szabályozó és a független szabályozói feladatokat is hatékonyan ellátó, szilárd szabályozási keret létezésére;</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{IT}</w:t>
      </w:r>
      <w:r w:rsidRPr="008A2298">
        <w:t>it</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 xml:space="preserve">üdvözli </w:t>
            </w:r>
            <w:r w:rsidRPr="008A2298">
              <w:rPr>
                <w:b/>
                <w:bCs/>
                <w:i/>
                <w:iCs/>
              </w:rPr>
              <w:t>az olyan</w:t>
            </w:r>
            <w:r w:rsidRPr="008A2298">
              <w:t xml:space="preserve"> kezdeményezéseket, mint a tömegtájékoztatás szabadságáról szóló európai </w:t>
            </w:r>
            <w:r w:rsidRPr="008A2298">
              <w:rPr>
                <w:b/>
                <w:bCs/>
                <w:i/>
                <w:iCs/>
              </w:rPr>
              <w:t>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t xml:space="preserve">üdvözli </w:t>
            </w:r>
            <w:r w:rsidRPr="008A2298">
              <w:rPr>
                <w:b/>
                <w:i/>
              </w:rPr>
              <w:t>a szabad, független és plurális média, valamint az újságírók számára biztonságos és támogató környezet előmozdítására irányuló</w:t>
            </w:r>
            <w:r w:rsidRPr="008A2298">
              <w:t xml:space="preserve"> kezdeményezéseket, például az európai tömegtájékoztatás szabadságáról szóló </w:t>
            </w:r>
            <w:r w:rsidRPr="008A2298">
              <w:rPr>
                <w:b/>
                <w:i/>
              </w:rPr>
              <w:t>rendeletet</w:t>
            </w:r>
            <w:r w:rsidRPr="008A2298">
              <w:rPr>
                <w:vertAlign w:val="superscript"/>
              </w:rPr>
              <w:t>39</w:t>
            </w:r>
            <w:r w:rsidRPr="008A2298">
              <w:t xml:space="preserve">, és felszólít annak gyors végrehajtására; felhívja a tagállamokat, hogy javítsák az állami hirdetések elosztásának átláthatóságát, </w:t>
            </w:r>
            <w:r w:rsidRPr="008A2298">
              <w:rPr>
                <w:b/>
                <w:i/>
              </w:rPr>
              <w:t>és kövessék az újságírók és más médiaszakemberek védelmének, biztonságának és szerepvállalásának az Európai Unióban történő biztosításáról szóló, 2021. szeptember 16-i bizottsági ajánlásban foglalt ajánlásokat</w:t>
            </w:r>
            <w:r w:rsidRPr="008A2298">
              <w:t xml:space="preserve">; felhívja a Bizottságot, hogy biztosítsa a tagállamok számára az EMFA átültetéséhez </w:t>
            </w:r>
            <w:r w:rsidRPr="008A2298">
              <w:rPr>
                <w:b/>
                <w:i/>
              </w:rPr>
              <w:t>és a bizottsági ajánlások követéséhez</w:t>
            </w:r>
            <w:r w:rsidRPr="008A2298">
              <w:t xml:space="preserve"> szükséges segítséget;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289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Juan Fernando López Aguilar, Nacho Sánchez Amor, Javier Moreno Sánchez</w:t>
      </w:r>
      <w:r w:rsidRPr="008A2298">
        <w:rPr>
          <w:rStyle w:val="HideTWBExt"/>
          <w:b w:val="0"/>
        </w:rPr>
        <w:t>&lt;/Members&gt;</w:t>
      </w:r>
    </w:p>
    <w:p w:rsidR="00085AC1" w:rsidRPr="008A2298" w:rsidRDefault="00085AC1" w:rsidP="00085AC1">
      <w:pPr>
        <w:pStyle w:val="NormalBold"/>
      </w:pPr>
      <w:r w:rsidRPr="008A2298">
        <w:rPr>
          <w:rStyle w:val="HideTWBExt"/>
          <w:b w:val="0"/>
        </w:rPr>
        <w:lastRenderedPageBreak/>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b/>
                <w:i/>
                <w:vertAlign w:val="superscript"/>
              </w:rPr>
              <w:t>39</w:t>
            </w:r>
            <w:r w:rsidRPr="008A2298">
              <w:t xml:space="preserve"> (EMFA),</w:t>
            </w:r>
            <w:r w:rsidRPr="008A2298">
              <w:rPr>
                <w:b/>
                <w:i/>
              </w:rPr>
              <w:t xml:space="preserve"> és</w:t>
            </w:r>
            <w:r w:rsidRPr="008A2298">
              <w:t xml:space="preserve"> felszólít annak gyors végrehajtására; 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 (EMFA)</w:t>
            </w:r>
            <w:r w:rsidRPr="008A2298">
              <w:rPr>
                <w:b/>
                <w:i/>
                <w:vertAlign w:val="superscript"/>
              </w:rPr>
              <w:t>39</w:t>
            </w:r>
            <w:r w:rsidRPr="008A2298">
              <w:t>, felszólít annak gyors végrehajtására</w:t>
            </w:r>
            <w:r w:rsidRPr="008A2298">
              <w:rPr>
                <w:b/>
                <w:i/>
              </w:rPr>
              <w:t>, valamint azon kritériumok meghatározására, amelyek meghatározzák, hogy mi minősül médiaorgánumnak, szemben más olyan platformokkal, amelyek célja nem a tájékoztatás</w:t>
            </w:r>
            <w:r w:rsidRPr="008A2298">
              <w:t xml:space="preserve">; felhívja a tagállamokat, hogy javítsák az állami hirdetések elosztásának átláthatóságát; felhívja a Bizottságot, hogy biztosítsa a tagállamok számára az EMFA átültetéséhez szükséges segítséget; </w:t>
            </w:r>
            <w:r w:rsidRPr="008A2298">
              <w:rPr>
                <w:b/>
                <w:i/>
              </w:rPr>
              <w:t>üdvözli az átláthatóság, a pártatlanság és az ellenőrizhetőség biztosítása érdekében a tulajdonviszonyokra és a reklámberuházásokra vonatkozó nyilvános információkat tartalmazó médianyilvántartás létrehozására irányuló nemzeti szintű kezdeményezéseket;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r>
            <w:r w:rsidRPr="008A2298">
              <w:rPr>
                <w:b/>
                <w:i/>
              </w:rPr>
              <w:t>üdvözli</w:t>
            </w:r>
            <w:r w:rsidRPr="008A2298">
              <w:t xml:space="preserve"> az olyan kezdeményezéseket, mint a tömegtájékoztatás szabadságáról szóló európai rendelet</w:t>
            </w:r>
            <w:r w:rsidRPr="008A2298">
              <w:rPr>
                <w:vertAlign w:val="superscript"/>
              </w:rPr>
              <w:t>39</w:t>
            </w:r>
            <w:r w:rsidRPr="008A2298">
              <w:rPr>
                <w:b/>
                <w:i/>
              </w:rPr>
              <w:t xml:space="preserve"> (EMFA), és felszólít annak gyors végrehajtására;</w:t>
            </w:r>
            <w:r w:rsidRPr="008A2298">
              <w:t xml:space="preserve"> </w:t>
            </w:r>
            <w:r w:rsidRPr="008A2298">
              <w:rPr>
                <w:b/>
                <w:i/>
              </w:rPr>
              <w:t>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r>
            <w:r w:rsidRPr="008A2298">
              <w:rPr>
                <w:b/>
                <w:i/>
              </w:rPr>
              <w:t>tudomásul veszi</w:t>
            </w:r>
            <w:r w:rsidRPr="008A2298">
              <w:t xml:space="preserve"> az olyan kezdeményezéseket, mint a tömegtájékoztatás szabadságáról szóló európai rendelet</w:t>
            </w:r>
            <w:r w:rsidRPr="008A2298">
              <w:rPr>
                <w:vertAlign w:val="superscript"/>
              </w:rPr>
              <w:t>39</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Alessandro Zan, Fabienne Keller, Lucia Yar,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w:t>
            </w:r>
            <w:r w:rsidRPr="008A2298">
              <w:rPr>
                <w:b/>
                <w:i/>
              </w:rPr>
              <w:t xml:space="preserve">tagállamokat, hogy vezessenek be konkrét rendelkezéseket a média tulajdonviszonyainak átláthatóságára és a </w:t>
            </w:r>
            <w:r w:rsidRPr="008A2298">
              <w:rPr>
                <w:b/>
                <w:i/>
              </w:rPr>
              <w:lastRenderedPageBreak/>
              <w:t xml:space="preserve">közszolgálati média független működésére vonatkozóan; felhívja a </w:t>
            </w:r>
            <w:r w:rsidRPr="008A2298">
              <w:t>Bizottságot, hogy biztosítsa a tagállamok számára az EMFA átültetéséhez szükséges segítséget;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Romana Tomc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szükséges segítséget; </w:t>
            </w:r>
            <w:r w:rsidRPr="008A2298">
              <w:rPr>
                <w:b/>
                <w:i/>
              </w:rPr>
              <w:t>felszólítja a tagállamokat, hogy az EMFA jogszabályaikba való átültetése előtt ne fogadjanak el nemzeti jogszabályokat;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w:t>
            </w:r>
            <w:r w:rsidRPr="008A2298">
              <w:lastRenderedPageBreak/>
              <w:t>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lastRenderedPageBreak/>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w:t>
            </w:r>
            <w:r w:rsidRPr="008A2298">
              <w:lastRenderedPageBreak/>
              <w:t>2024.4.17., ELI: http://data.europa.eu/eli/reg/2024/1083/oj).</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András László</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r>
            <w:r w:rsidRPr="008A2298">
              <w:rPr>
                <w:b/>
                <w:i/>
              </w:rPr>
              <w:t>üdvözli</w:t>
            </w:r>
            <w:r w:rsidRPr="008A2298">
              <w:t xml:space="preserve"> az olyan </w:t>
            </w:r>
            <w:r w:rsidRPr="008A2298">
              <w:rPr>
                <w:b/>
                <w:i/>
              </w:rPr>
              <w:t>kezdeményezéseket</w:t>
            </w:r>
            <w:r w:rsidRPr="008A2298">
              <w:t xml:space="preserve">, mint a tömegtájékoztatás szabadságáról szóló európai </w:t>
            </w:r>
            <w:r w:rsidRPr="008A2298">
              <w:rPr>
                <w:b/>
                <w:i/>
              </w:rPr>
              <w:t>rendelet</w:t>
            </w:r>
            <w:r w:rsidRPr="008A2298">
              <w:rPr>
                <w:b/>
                <w:i/>
                <w:vertAlign w:val="superscript"/>
              </w:rPr>
              <w:t>39</w:t>
            </w:r>
            <w:r w:rsidRPr="008A2298">
              <w:t xml:space="preserve"> (EMFA), </w:t>
            </w:r>
            <w:r w:rsidRPr="008A2298">
              <w:rPr>
                <w:b/>
                <w:i/>
              </w:rPr>
              <w:t>és felszólít annak gyors végrehajtására; felhívja a tagállamokat</w:t>
            </w:r>
            <w:r w:rsidRPr="008A2298">
              <w:t xml:space="preserve">, hogy </w:t>
            </w:r>
            <w:r w:rsidRPr="008A2298">
              <w:rPr>
                <w:b/>
                <w:i/>
              </w:rPr>
              <w:t>javítsák</w:t>
            </w:r>
            <w:r w:rsidRPr="008A2298">
              <w:t xml:space="preserve"> az </w:t>
            </w:r>
            <w:r w:rsidRPr="008A2298">
              <w:rPr>
                <w:b/>
                <w:i/>
              </w:rPr>
              <w:t>állami hirdetések elosztásának átláthatóságát; felhívja a Bizottságot, hogy biztosítsa</w:t>
            </w:r>
            <w:r w:rsidRPr="008A2298">
              <w:t xml:space="preserve"> a tagállamok </w:t>
            </w:r>
            <w:r w:rsidRPr="008A2298">
              <w:rPr>
                <w:b/>
                <w:i/>
              </w:rPr>
              <w:t>számára az EMFA átültetéséhez szükséges segítséget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r>
            <w:r w:rsidRPr="008A2298">
              <w:rPr>
                <w:b/>
                <w:i/>
              </w:rPr>
              <w:t>aggodalmát fejezi ki</w:t>
            </w:r>
            <w:r w:rsidRPr="008A2298">
              <w:t xml:space="preserve"> az olyan </w:t>
            </w:r>
            <w:r w:rsidRPr="008A2298">
              <w:rPr>
                <w:b/>
                <w:i/>
              </w:rPr>
              <w:t>kezdeményezések miatt</w:t>
            </w:r>
            <w:r w:rsidRPr="008A2298">
              <w:t xml:space="preserve">, mint a tömegtájékoztatás szabadságáról szóló európai </w:t>
            </w:r>
            <w:r w:rsidRPr="008A2298">
              <w:rPr>
                <w:b/>
                <w:i/>
              </w:rPr>
              <w:t>jogszabály</w:t>
            </w:r>
            <w:r w:rsidRPr="008A2298">
              <w:t xml:space="preserve"> (EMFA)</w:t>
            </w:r>
            <w:r w:rsidRPr="008A2298">
              <w:rPr>
                <w:b/>
                <w:i/>
                <w:vertAlign w:val="superscript"/>
              </w:rPr>
              <w:t>39</w:t>
            </w:r>
            <w:r w:rsidRPr="008A2298">
              <w:t xml:space="preserve">, </w:t>
            </w:r>
            <w:r w:rsidRPr="008A2298">
              <w:rPr>
                <w:b/>
                <w:i/>
              </w:rPr>
              <w:t>amely a brüsszeli elit újabb kísérlete arra</w:t>
            </w:r>
            <w:r w:rsidRPr="008A2298">
              <w:t xml:space="preserve">, hogy </w:t>
            </w:r>
            <w:r w:rsidRPr="008A2298">
              <w:rPr>
                <w:b/>
                <w:i/>
              </w:rPr>
              <w:t>cenzúrázza</w:t>
            </w:r>
            <w:r w:rsidRPr="008A2298">
              <w:t xml:space="preserve"> az </w:t>
            </w:r>
            <w:r w:rsidRPr="008A2298">
              <w:rPr>
                <w:b/>
                <w:i/>
              </w:rPr>
              <w:t>ellenvéleményeket és beavatkozzon</w:t>
            </w:r>
            <w:r w:rsidRPr="008A2298">
              <w:t xml:space="preserve"> a tagállamok </w:t>
            </w:r>
            <w:r w:rsidRPr="008A2298">
              <w:rPr>
                <w:b/>
                <w:i/>
              </w:rPr>
              <w:t>szuverenitásába</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 xml:space="preserve">üdvözli az olyan </w:t>
            </w:r>
            <w:r w:rsidRPr="008A2298">
              <w:lastRenderedPageBreak/>
              <w:t>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w:t>
            </w:r>
            <w:r w:rsidRPr="008A2298">
              <w:rPr>
                <w:b/>
                <w:i/>
              </w:rPr>
              <w:t>felhívja</w:t>
            </w:r>
            <w:r w:rsidRPr="008A2298">
              <w:t xml:space="preserve"> a </w:t>
            </w:r>
            <w:r w:rsidRPr="008A2298">
              <w:rPr>
                <w:b/>
                <w:i/>
              </w:rPr>
              <w:t>Bizottságot, hogy biztosítsa</w:t>
            </w:r>
            <w:r w:rsidRPr="008A2298">
              <w:t xml:space="preserve"> a </w:t>
            </w:r>
            <w:r w:rsidRPr="008A2298">
              <w:rPr>
                <w:b/>
                <w:i/>
              </w:rPr>
              <w:t>tagállamok számára az EMFA átültetéséhez szükséges segítséget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lastRenderedPageBreak/>
              <w:t>8.</w:t>
            </w:r>
            <w:r w:rsidRPr="008A2298">
              <w:tab/>
              <w:t xml:space="preserve">üdvözli az olyan </w:t>
            </w:r>
            <w:r w:rsidRPr="008A2298">
              <w:lastRenderedPageBreak/>
              <w:t>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w:t>
            </w:r>
            <w:r w:rsidRPr="008A2298">
              <w:rPr>
                <w:b/>
                <w:i/>
              </w:rPr>
              <w:t>javasolja, hogy</w:t>
            </w:r>
            <w:r w:rsidRPr="008A2298">
              <w:t xml:space="preserve"> a </w:t>
            </w:r>
            <w:r w:rsidRPr="008A2298">
              <w:rPr>
                <w:b/>
                <w:i/>
              </w:rPr>
              <w:t>nemzeti hatóságok teljes mértékben használják ki ezeket az erőforrásokat</w:t>
            </w:r>
            <w:r w:rsidRPr="008A2298">
              <w:t xml:space="preserve"> a </w:t>
            </w:r>
            <w:r w:rsidRPr="008A2298">
              <w:rPr>
                <w:b/>
                <w:i/>
              </w:rPr>
              <w:t>jogilag megalapozott, következetes és hatékony végrehajtás biztosítása érdekében</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r>
            <w:r w:rsidRPr="008A2298">
              <w:rPr>
                <w:b/>
                <w:i/>
              </w:rPr>
              <w:t>üdvözli</w:t>
            </w:r>
            <w:r w:rsidRPr="008A2298">
              <w:t xml:space="preserve"> az olyan </w:t>
            </w:r>
            <w:r w:rsidRPr="008A2298">
              <w:rPr>
                <w:b/>
                <w:i/>
              </w:rPr>
              <w:t>kezdeményezéseket</w:t>
            </w:r>
            <w:r w:rsidRPr="008A2298">
              <w:t xml:space="preserve">, mint </w:t>
            </w:r>
            <w:r w:rsidRPr="008A2298">
              <w:rPr>
                <w:b/>
                <w:i/>
              </w:rPr>
              <w:t>a</w:t>
            </w:r>
            <w:r w:rsidRPr="008A2298">
              <w:t xml:space="preserve"> tömegtájékoztatás szabadságáról szóló </w:t>
            </w:r>
            <w:r w:rsidRPr="008A2298">
              <w:rPr>
                <w:b/>
                <w:i/>
              </w:rPr>
              <w:t>európai rendelet</w:t>
            </w:r>
            <w:r w:rsidRPr="008A2298">
              <w:rPr>
                <w:vertAlign w:val="superscript"/>
              </w:rPr>
              <w:t>39</w:t>
            </w:r>
            <w:r w:rsidRPr="008A2298">
              <w:t xml:space="preserve"> (EMFA)</w:t>
            </w:r>
            <w:r w:rsidRPr="008A2298">
              <w:rPr>
                <w:b/>
                <w:i/>
              </w:rPr>
              <w:t>,</w:t>
            </w:r>
            <w:r w:rsidRPr="008A2298">
              <w:t xml:space="preserve"> és </w:t>
            </w:r>
            <w:r w:rsidRPr="008A2298">
              <w:rPr>
                <w:b/>
                <w:i/>
              </w:rPr>
              <w:t>felszólít annak gyors végrehajtására</w:t>
            </w:r>
            <w:r w:rsidRPr="008A2298">
              <w:t xml:space="preserve">; felhívja a tagállamokat, hogy javítsák az állami hirdetések elosztásának átláthatóságát; felhívja a Bizottságot, hogy </w:t>
            </w:r>
            <w:r w:rsidRPr="008A2298">
              <w:rPr>
                <w:b/>
                <w:i/>
              </w:rPr>
              <w:t>biztosítsa a tagállamok számára az EMFA átültetéséhez szükséges segítséget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r>
            <w:r w:rsidRPr="008A2298">
              <w:rPr>
                <w:b/>
                <w:i/>
              </w:rPr>
              <w:t>megjegyzi, hogy</w:t>
            </w:r>
            <w:r w:rsidRPr="008A2298">
              <w:t xml:space="preserve"> az olyan </w:t>
            </w:r>
            <w:r w:rsidRPr="008A2298">
              <w:rPr>
                <w:b/>
                <w:i/>
              </w:rPr>
              <w:t>kezdeményezések</w:t>
            </w:r>
            <w:r w:rsidRPr="008A2298">
              <w:t xml:space="preserve">, mint </w:t>
            </w:r>
            <w:r w:rsidRPr="008A2298">
              <w:rPr>
                <w:b/>
                <w:i/>
              </w:rPr>
              <w:t>az európai</w:t>
            </w:r>
            <w:r w:rsidRPr="008A2298">
              <w:t xml:space="preserve"> tömegtájékoztatás szabadságáról szóló </w:t>
            </w:r>
            <w:r w:rsidRPr="008A2298">
              <w:rPr>
                <w:b/>
                <w:i/>
              </w:rPr>
              <w:t>jogszabály</w:t>
            </w:r>
            <w:r w:rsidRPr="008A2298">
              <w:rPr>
                <w:vertAlign w:val="superscript"/>
              </w:rPr>
              <w:t>39</w:t>
            </w:r>
            <w:r w:rsidRPr="008A2298">
              <w:t xml:space="preserve"> (EMFA)</w:t>
            </w:r>
            <w:r w:rsidRPr="008A2298">
              <w:rPr>
                <w:b/>
                <w:i/>
              </w:rPr>
              <w:t xml:space="preserve"> nem biztosítják a tájékoztatáshoz való jog</w:t>
            </w:r>
            <w:r w:rsidRPr="008A2298">
              <w:t xml:space="preserve"> és </w:t>
            </w:r>
            <w:r w:rsidRPr="008A2298">
              <w:rPr>
                <w:b/>
                <w:i/>
              </w:rPr>
              <w:t>a véleménynyilvánítás szabadságának megfelelő szintű védelmét</w:t>
            </w:r>
            <w:r w:rsidRPr="008A2298">
              <w:t>; felhívja a tagállamokat, hogy javítsák az állami hirdetések elosztásának átláthatóságát</w:t>
            </w:r>
            <w:r w:rsidRPr="008A2298">
              <w:rPr>
                <w:b/>
                <w:i/>
              </w:rPr>
              <w:t xml:space="preserve"> és tisztességességét</w:t>
            </w:r>
            <w:r w:rsidRPr="008A2298">
              <w:t xml:space="preserve">; felhívja a Bizottságot, hogy </w:t>
            </w:r>
            <w:r w:rsidRPr="008A2298">
              <w:rPr>
                <w:b/>
                <w:i/>
              </w:rPr>
              <w:t>nyújtson be javaslatokat e problémák orvoslására</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w:t>
            </w:r>
            <w:r w:rsidRPr="008A2298">
              <w:lastRenderedPageBreak/>
              <w:t>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lastRenderedPageBreak/>
              <w:t>39</w:t>
            </w:r>
            <w:r w:rsidRPr="008A2298">
              <w:t xml:space="preserve"> Az Európai Parlament és a Tanács (EU) </w:t>
            </w:r>
            <w:r w:rsidRPr="008A2298">
              <w:lastRenderedPageBreak/>
              <w:t>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w:t>
            </w:r>
            <w:r w:rsidRPr="008A2298">
              <w:rPr>
                <w:b/>
                <w:i/>
              </w:rPr>
              <w:t xml:space="preserve">és végrehajtásának nyomon követéséhez </w:t>
            </w:r>
            <w:r w:rsidRPr="008A2298">
              <w:t>szükséges segítséget;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 xml:space="preserve">Moritz Körner, Malik Azmani, Dainius Žalimas, Lucia Yar, Fabienne Keller, Sophie </w:t>
      </w:r>
      <w:r w:rsidRPr="008A2298">
        <w:lastRenderedPageBreak/>
        <w:t>Wilmès, Raquel García Hermida-Van Der Walle, Abir Al-Sahlani, Veronika Cifrová Ostrihoňová,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állami hirdetések elosztásának átláthatóságát; felhívja a Bizottságot, hogy biztosítsa a tagállamok számára az EMFA átültetéséhez szükséges segítséget;</w:t>
            </w:r>
          </w:p>
        </w:tc>
        <w:tc>
          <w:tcPr>
            <w:tcW w:w="4876" w:type="dxa"/>
            <w:tcBorders>
              <w:top w:val="nil"/>
              <w:left w:val="nil"/>
              <w:bottom w:val="nil"/>
              <w:right w:val="nil"/>
            </w:tcBorders>
          </w:tcPr>
          <w:p w:rsidR="00085AC1" w:rsidRPr="008A2298" w:rsidRDefault="00085AC1" w:rsidP="00875E96">
            <w:pPr>
              <w:pStyle w:val="Normal6a"/>
            </w:pPr>
            <w:r w:rsidRPr="008A2298">
              <w:t>8.</w:t>
            </w:r>
            <w:r w:rsidRPr="008A2298">
              <w:tab/>
              <w:t>üdvözli az olyan kezdeményezéseket, mint a tömegtájékoztatás szabadságáról szóló európai rendelet</w:t>
            </w:r>
            <w:r w:rsidRPr="008A2298">
              <w:rPr>
                <w:vertAlign w:val="superscript"/>
              </w:rPr>
              <w:t>39</w:t>
            </w:r>
            <w:r w:rsidRPr="008A2298">
              <w:t xml:space="preserve"> (EMFA), és felszólít annak gyors végrehajtására; felhívja a tagállamokat, hogy javítsák az </w:t>
            </w:r>
            <w:r w:rsidRPr="008A2298">
              <w:rPr>
                <w:b/>
                <w:i/>
              </w:rPr>
              <w:t xml:space="preserve">online és offline </w:t>
            </w:r>
            <w:r w:rsidRPr="008A2298">
              <w:t>állami hirdetések elosztásának átláthatóságát; felhívja a Bizottságot, hogy biztosítsa a tagállamok számára az EMFA átültetéséhez szükséges segítséget;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39</w:t>
            </w:r>
            <w:r w:rsidRPr="008A2298">
              <w:t xml:space="preserve"> 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http://data.europa.eu/eli/reg/2024/1083/oj).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Giuseppe Antoci, 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8a.</w:t>
            </w:r>
            <w:r w:rsidRPr="008A2298">
              <w:tab/>
            </w:r>
            <w:r w:rsidRPr="008A2298">
              <w:rPr>
                <w:b/>
                <w:i/>
              </w:rPr>
              <w:t xml:space="preserve">úgy véli, hogy az olasz kormánynak a büntetőeljárási törvénykönyv reformjára irányuló jogalkotási kezdeményezései, amelyek az újságírók bírósági dokumentumokhoz való hozzáférésére és telefonjaik lehallgatására vonatkoznak, aláássák a média szabadságát és indokolatlanul </w:t>
            </w:r>
            <w:r w:rsidRPr="008A2298">
              <w:rPr>
                <w:b/>
                <w:i/>
              </w:rPr>
              <w:lastRenderedPageBreak/>
              <w:t>korlátozzák az információszabadságot; elítéli az (EU) 2016/343 irányelv önkényesen tág értelmezését, amelyet az olasz kormány a reformok indokolására használt; megjegyzi, hogy a Bizottság jelezte ezt a kérdést az Olaszországról szóló országfejezetben; felhívja a Bizottságot, hogy szorosan kövesse nyomon a törvénynek a véleménynyilvánítás és a tájékozódás szabadságára mint az Európai Unió Alapjogi Chartájának 11. cikke által védett értékekre gyakorolt hatásait Olaszországban;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299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Juan Fernando López Aguilar, Nacho Sánchez Amor, Javier Moreno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8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8 a.</w:t>
            </w:r>
            <w:r w:rsidRPr="008A2298">
              <w:tab/>
            </w:r>
            <w:r w:rsidRPr="008A2298">
              <w:rPr>
                <w:b/>
                <w:i/>
              </w:rPr>
              <w:t>elismeri, hogy a polgárok észlelik a félretájékoztatás és a dezinformáció okozta demokráciaerózió jeleit, és hogy a hamis információk közösségi médián keresztül történő terjesztése a jogállamiság, az alapvető jogok és értékek európai eszméjének gyengüléséhez vezethet;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9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9.</w:t>
            </w:r>
            <w:r w:rsidRPr="008A2298">
              <w:tab/>
              <w:t xml:space="preserve">felhívja a tagállamokat, hogy maradéktalanul hajtsák végre a közéleti </w:t>
            </w:r>
            <w:r w:rsidRPr="008A2298">
              <w:lastRenderedPageBreak/>
              <w:t>részvételt akadályozó stratégiai perek elleni irányelvet</w:t>
            </w:r>
            <w:r w:rsidRPr="008A2298">
              <w:rPr>
                <w:vertAlign w:val="superscript"/>
              </w:rPr>
              <w:t>40</w:t>
            </w:r>
            <w:r w:rsidRPr="008A2298">
              <w:rPr>
                <w:b/>
                <w:i/>
              </w:rPr>
              <w:t>, és a közéletben részt vevő újságíróknak és emberijog-védőknek a nyilvánvalóan megalapozatlan vagy visszaélésszerű bírósági eljárásokkal („közéleti részvételt akadályozó stratégiai perekkel”) szembeni védelméről szóló, 2022. április 27-i (EU) 2022/758 bizottsági ajánlást</w:t>
            </w:r>
            <w:r w:rsidRPr="008A2298">
              <w:rPr>
                <w:b/>
                <w:i/>
                <w:vertAlign w:val="superscript"/>
              </w:rPr>
              <w:t>41</w:t>
            </w:r>
            <w:r w:rsidRPr="008A2298">
              <w:rPr>
                <w:b/>
                <w:i/>
              </w:rPr>
              <w:t>, továbbá az újságírók védelme és a kockázatokkal szembesülők támogatása érdekében fogadjanak el a közéleti részvételt akadályozó stratégiai perek megakadályozását célzó nemzeti intézkedéseket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lastRenderedPageBreak/>
              <w:t>9.</w:t>
            </w:r>
            <w:r w:rsidRPr="008A2298">
              <w:tab/>
              <w:t xml:space="preserve">felhívja a tagállamokat, hogy maradéktalanul hajtsák végre a közéleti </w:t>
            </w:r>
            <w:r w:rsidRPr="008A2298">
              <w:lastRenderedPageBreak/>
              <w:t>részvételt akadályozó stratégiai perek elleni irányelvet</w:t>
            </w:r>
            <w:r w:rsidRPr="008A2298">
              <w:rPr>
                <w:vertAlign w:val="superscript"/>
              </w:rPr>
              <w:t>40</w:t>
            </w:r>
            <w:r w:rsidRPr="008A2298">
              <w:t>;</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40</w:t>
            </w:r>
            <w:r w:rsidRPr="008A2298">
              <w:t xml:space="preserve"> 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http://data.europa.eu/eli/dir/2024/1069/oj).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40</w:t>
            </w:r>
            <w:r w:rsidRPr="008A2298">
              <w:t xml:space="preserve"> 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http://data.europa.eu/eli/dir/2024/1069/oj).</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41 HL L 138., 2022.5.17., 30. o., ELI: http://data.europa.eu/eli/reco/2022/758/oj.</w:t>
            </w:r>
          </w:p>
        </w:tc>
        <w:tc>
          <w:tcPr>
            <w:tcW w:w="4876" w:type="dxa"/>
            <w:tcBorders>
              <w:top w:val="nil"/>
              <w:left w:val="nil"/>
              <w:bottom w:val="nil"/>
              <w:right w:val="nil"/>
            </w:tcBorders>
          </w:tcPr>
          <w:p w:rsidR="00085AC1" w:rsidRPr="008A2298" w:rsidRDefault="00085AC1" w:rsidP="00875E96"/>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9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9.</w:t>
            </w:r>
            <w:r w:rsidRPr="008A2298">
              <w:tab/>
              <w:t>felhívja a tagállamokat, hogy maradéktalanul hajtsák végre a közéleti részvételt akadályozó stratégiai perek elleni irányelvet</w:t>
            </w:r>
            <w:r w:rsidRPr="008A2298">
              <w:rPr>
                <w:vertAlign w:val="superscript"/>
              </w:rPr>
              <w:t>40</w:t>
            </w:r>
            <w:r w:rsidRPr="008A2298">
              <w:t xml:space="preserve">, és a közéletben részt vevő újságíróknak és emberijog-védőknek a nyilvánvalóan megalapozatlan vagy </w:t>
            </w:r>
            <w:r w:rsidRPr="008A2298">
              <w:lastRenderedPageBreak/>
              <w:t>visszaélésszerű bírósági eljárásokkal („közéleti részvételt akadályozó stratégiai perekkel”) szembeni védelméről szóló, 2022. április 27-i (EU) 2022/758 bizottsági ajánlást</w:t>
            </w:r>
            <w:r w:rsidRPr="008A2298">
              <w:rPr>
                <w:vertAlign w:val="superscript"/>
              </w:rPr>
              <w:t>41</w:t>
            </w:r>
            <w:r w:rsidRPr="008A2298">
              <w:t xml:space="preserve">, továbbá az újságírók védelme és a </w:t>
            </w:r>
            <w:r w:rsidRPr="008A2298">
              <w:rPr>
                <w:b/>
                <w:i/>
              </w:rPr>
              <w:t>kockázatokkal</w:t>
            </w:r>
            <w:r w:rsidRPr="008A2298">
              <w:t xml:space="preserve"> szembesülők támogatása érdekében fogadjanak el a közéleti részvételt akadályozó stratégiai perek megakadályozását célzó nemzeti intézkedéseket;</w:t>
            </w:r>
          </w:p>
        </w:tc>
        <w:tc>
          <w:tcPr>
            <w:tcW w:w="4876" w:type="dxa"/>
            <w:tcBorders>
              <w:top w:val="nil"/>
              <w:left w:val="nil"/>
              <w:bottom w:val="nil"/>
              <w:right w:val="nil"/>
            </w:tcBorders>
          </w:tcPr>
          <w:p w:rsidR="00085AC1" w:rsidRPr="008A2298" w:rsidRDefault="00085AC1" w:rsidP="00875E96">
            <w:pPr>
              <w:pStyle w:val="Normal6a"/>
            </w:pPr>
            <w:r w:rsidRPr="008A2298">
              <w:lastRenderedPageBreak/>
              <w:t>9.</w:t>
            </w:r>
            <w:r w:rsidRPr="008A2298">
              <w:tab/>
              <w:t xml:space="preserve">felhívja a tagállamokat, hogy maradéktalanul hajtsák végre a közéleti részvételt akadályozó stratégiai perek elleni irányelvet40, és a közéletben részt vevő újságíróknak és emberijog-védőknek a nyilvánvalóan megalapozatlan vagy </w:t>
            </w:r>
            <w:r w:rsidRPr="008A2298">
              <w:lastRenderedPageBreak/>
              <w:t xml:space="preserve">visszaélésszerű bírósági eljárásokkal („közéleti részvételt akadályozó stratégiai perekkel”) szembeni védelméről szóló, 2022. április 27-i (EU) 2022/758 bizottsági ajánlást41, továbbá az újságírók védelme és a </w:t>
            </w:r>
            <w:r w:rsidRPr="008A2298">
              <w:rPr>
                <w:b/>
                <w:i/>
              </w:rPr>
              <w:t>szakmájuk gyakorlása során megfélemlítéssel, rágalmazással és korlátozással</w:t>
            </w:r>
            <w:r w:rsidRPr="008A2298">
              <w:t xml:space="preserve"> szembesülők támogatása érdekében fogadjanak el a közéleti részvételt akadályozó stratégiai perek megakadályozását célzó nemzeti intézkedéseket; </w:t>
            </w:r>
            <w:r w:rsidRPr="008A2298">
              <w:rPr>
                <w:b/>
                <w:i/>
              </w:rPr>
              <w:t>javasolja a tagállamoknak, hogy az irányelv átültetésekor terjesszék ki az irányelv alkalmazását a nemzeti esetekre is, mivel a közéleti részvételt akadályozó stratégiai perek többsége nemzeti szinten történik;</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40</w:t>
            </w:r>
            <w:r w:rsidRPr="008A2298">
              <w:t xml:space="preserve"> 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http://data.europa.eu/eli/dir/2024/1069/oj).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40</w:t>
            </w:r>
            <w:r w:rsidRPr="008A2298">
              <w:t xml:space="preserve"> 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http://data.europa.eu/eli/dir/2024/1069/oj).</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41</w:t>
            </w:r>
            <w:r w:rsidRPr="008A2298">
              <w:t xml:space="preserve"> HL L 138., 2022.5.17., 30. o., ELI: http://data.europa.eu/eli/reco/2022/758/oj.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41</w:t>
            </w:r>
            <w:r w:rsidRPr="008A2298">
              <w:t xml:space="preserve"> HL L 138., 2022.5.17., 30. o., ELI: http://data.europa.eu/eli/reco/2022/758/oj.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9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9.</w:t>
            </w:r>
            <w:r w:rsidRPr="008A2298">
              <w:tab/>
              <w:t>felhívja a tagállamokat, hogy maradéktalanul hajtsák végre a közéleti részvételt akadályozó stratégiai perek elleni irányelvet</w:t>
            </w:r>
            <w:r w:rsidRPr="008A2298">
              <w:rPr>
                <w:vertAlign w:val="superscript"/>
              </w:rPr>
              <w:t>40</w:t>
            </w:r>
            <w:r w:rsidRPr="008A2298">
              <w:t xml:space="preserve">, és a közéletben részt vevő újságíróknak és emberijog-védőknek a nyilvánvalóan megalapozatlan vagy visszaélésszerű bírósági eljárásokkal </w:t>
            </w:r>
            <w:r w:rsidRPr="008A2298">
              <w:lastRenderedPageBreak/>
              <w:t>(„közéleti részvételt akadályozó stratégiai perekkel”) szembeni védelméről szóló, 2022. április 27-i (EU) 2022/758 bizottsági ajánlást</w:t>
            </w:r>
            <w:r w:rsidRPr="008A2298">
              <w:rPr>
                <w:vertAlign w:val="superscript"/>
              </w:rPr>
              <w:t>41</w:t>
            </w:r>
            <w:r w:rsidRPr="008A2298">
              <w:t>, továbbá az újságírók védelme és a kockázatokkal szembesülők támogatása érdekében fogadjanak el a közéleti részvételt akadályozó stratégiai perek megakadályozását célzó nemzeti intézkedéseket;</w:t>
            </w:r>
          </w:p>
        </w:tc>
        <w:tc>
          <w:tcPr>
            <w:tcW w:w="4876" w:type="dxa"/>
            <w:tcBorders>
              <w:top w:val="nil"/>
              <w:left w:val="nil"/>
              <w:bottom w:val="nil"/>
              <w:right w:val="nil"/>
            </w:tcBorders>
          </w:tcPr>
          <w:p w:rsidR="00085AC1" w:rsidRPr="008A2298" w:rsidRDefault="00085AC1" w:rsidP="00875E96">
            <w:pPr>
              <w:pStyle w:val="Normal6a"/>
            </w:pPr>
            <w:r w:rsidRPr="008A2298">
              <w:lastRenderedPageBreak/>
              <w:t>9.</w:t>
            </w:r>
            <w:r w:rsidRPr="008A2298">
              <w:tab/>
              <w:t>felhívja a tagállamokat, hogy maradéktalanul hajtsák végre a közéleti részvételt akadályozó stratégiai perek elleni irányelvet</w:t>
            </w:r>
            <w:r w:rsidRPr="008A2298">
              <w:rPr>
                <w:vertAlign w:val="superscript"/>
              </w:rPr>
              <w:t>40</w:t>
            </w:r>
            <w:r w:rsidRPr="008A2298">
              <w:t xml:space="preserve">, és a közéletben részt vevő újságíróknak és emberijog-védőknek a nyilvánvalóan megalapozatlan vagy visszaélésszerű bírósági eljárásokkal </w:t>
            </w:r>
            <w:r w:rsidRPr="008A2298">
              <w:lastRenderedPageBreak/>
              <w:t>(„közéleti részvételt akadályozó stratégiai perekkel”) szembeni védelméről szóló, 2022. április 27-i (EU) 2022/758 bizottsági ajánlást</w:t>
            </w:r>
            <w:r w:rsidRPr="008A2298">
              <w:rPr>
                <w:vertAlign w:val="superscript"/>
              </w:rPr>
              <w:t>41</w:t>
            </w:r>
            <w:r w:rsidRPr="008A2298">
              <w:t xml:space="preserve">, továbbá az újságírók védelme és a kockázatokkal szembesülők támogatása érdekében fogadjanak el a közéleti részvételt akadályozó stratégiai perek megakadályozását célzó nemzeti intézkedéseket; </w:t>
            </w:r>
            <w:r w:rsidRPr="008A2298">
              <w:rPr>
                <w:b/>
                <w:i/>
              </w:rPr>
              <w:t>felszólítja a Bizottságot, hogy terjesszen elő javaslatokat a jelenlegi irányelv hatálya alá nem tartozó, közéleti részvételt akadályozó stratégiai perek kezelésére;</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_________________</w:t>
            </w:r>
          </w:p>
        </w:tc>
        <w:tc>
          <w:tcPr>
            <w:tcW w:w="4876" w:type="dxa"/>
            <w:tcBorders>
              <w:top w:val="nil"/>
              <w:left w:val="nil"/>
              <w:bottom w:val="nil"/>
              <w:right w:val="nil"/>
            </w:tcBorders>
          </w:tcPr>
          <w:p w:rsidR="00085AC1" w:rsidRPr="008A2298" w:rsidRDefault="00085AC1" w:rsidP="00875E96">
            <w:pPr>
              <w:pStyle w:val="Normal6a"/>
            </w:pPr>
            <w:r w:rsidRPr="008A2298">
              <w:rPr>
                <w:b/>
                <w:i/>
              </w:rPr>
              <w:t>_________________</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40</w:t>
            </w:r>
            <w:r w:rsidRPr="008A2298">
              <w:t xml:space="preserve"> 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http://data.europa.eu/eli/dir/2024/1069/oj).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40</w:t>
            </w:r>
            <w:r w:rsidRPr="008A2298">
              <w:t xml:space="preserve"> 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http://data.europa.eu/eli/dir/2024/1069/oj).</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41</w:t>
            </w:r>
            <w:r w:rsidRPr="008A2298">
              <w:t xml:space="preserve"> HL L 138., 2022.5.17., 30. o., ELI: http://data.europa.eu/eli/reco/2022/758/oj.</w:t>
            </w:r>
          </w:p>
        </w:tc>
        <w:tc>
          <w:tcPr>
            <w:tcW w:w="4876" w:type="dxa"/>
            <w:tcBorders>
              <w:top w:val="nil"/>
              <w:left w:val="nil"/>
              <w:bottom w:val="nil"/>
              <w:right w:val="nil"/>
            </w:tcBorders>
          </w:tcPr>
          <w:p w:rsidR="00085AC1" w:rsidRPr="008A2298" w:rsidRDefault="00085AC1" w:rsidP="00875E96">
            <w:pPr>
              <w:pStyle w:val="Normal6a"/>
            </w:pPr>
            <w:r w:rsidRPr="008A2298">
              <w:rPr>
                <w:vertAlign w:val="superscript"/>
              </w:rPr>
              <w:t>41</w:t>
            </w:r>
            <w:r w:rsidRPr="008A2298">
              <w:t xml:space="preserve"> HL L 138., 2022.5.17., 30. o., ELI: http://data.europa.eu/eli/reco/2022/758/oj.</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9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9 a.</w:t>
            </w:r>
            <w:r w:rsidRPr="008A2298">
              <w:tab/>
            </w:r>
            <w:r w:rsidRPr="008A2298">
              <w:rPr>
                <w:b/>
                <w:i/>
              </w:rPr>
              <w:t xml:space="preserve">mély aggodalmát fejezi ki az újságírók elleni támadások növekvő száma miatt, amelyek aránytalanul befolyásolják a női újságírókat; kiemeli, hogy a fenyegetések leggyakoribb formái közé tartoznak a szóbeli támadások, az online zaklatás, valamint a közösségi médián és az e-mailen keresztüli megfélemlítés; mély aggodalmát fejezi ki a jogi fenyegetések, többek között a közéleti részvételt akadályozó stratégiai perek, </w:t>
            </w:r>
            <w:r w:rsidRPr="008A2298">
              <w:rPr>
                <w:b/>
                <w:i/>
              </w:rPr>
              <w:lastRenderedPageBreak/>
              <w:t>valamint a fenyegető zaklatás és a személyes zaklatás előfordulása miatt; felhívja a Bizottságot és a tagállamokat, hogy biztosítsák a zaklatás elleni intézkedések hatékony végrehajtását, és vonják felelősségre a digitális platformokat az ilyen fenyegetések terjedésének lehetővé tételéért;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Alessandro Zan, Fabienne Keller, Lucia Yar, Irena Joveva,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9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9 a.</w:t>
            </w:r>
            <w:r w:rsidRPr="008A2298">
              <w:tab/>
            </w:r>
            <w:r w:rsidRPr="008A2298">
              <w:rPr>
                <w:b/>
                <w:i/>
              </w:rPr>
              <w:t>aggodalmát fejezi ki az újságírók biztonságát érintő kockázatok miatt, beleértve egyes tagállamokban a digitális biztonságukat és munkakörülményeiket;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9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9 b.</w:t>
            </w:r>
            <w:r w:rsidRPr="008A2298">
              <w:tab/>
            </w:r>
            <w:r w:rsidRPr="008A2298">
              <w:rPr>
                <w:b/>
                <w:i/>
              </w:rPr>
              <w:t xml:space="preserve">elítéli az újságírók elleni célzott gyűlöletkampányok terjedését a közösségi médiában, beleértve azokat az eseteket is, amikor az ilyen támadások fizetett hirdetések voltak; felszólítja a digitális platformokat, hogy tegyenek azonnali lépéseket a saját közösségi normáiknak és az európai jogszabályoknak, többek között </w:t>
            </w:r>
            <w:r w:rsidRPr="008A2298">
              <w:rPr>
                <w:b/>
                <w:i/>
              </w:rPr>
              <w:lastRenderedPageBreak/>
              <w:t>a digitális szolgáltatásokról szóló jogszabálynak való megfelelés biztosítása révén;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Zan, Cecilia Strada, Sandro Ruotolo, Pina Picierno, Marco Tarquinio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biztosítását; </w:t>
            </w:r>
            <w:r w:rsidRPr="008A2298">
              <w:rPr>
                <w:b/>
                <w:i/>
              </w:rPr>
              <w:t>aggodalmát fejezi ki az olasz közszolgálati médiát, a RAI-t érintő folyamatos kormányzati és politikai beavatkozás, valamint ennek a média függetlenségére gyakorolt negatív hatása miatt, amint azt a Bizottság már megállapította; elítéli a tömegtájékoztatás szabadságának csökkenését Olaszországban; elítéli az újságírókkal szembeni nyomásgyakorlást és az állítólagos cenzúrával kapcsolatos eseteket, valamint az új „par condicio” szabályokat, amelyek elősegítik a jelenlegi kormányzó pártok láthatóságát a médiában;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Nicolas Bay</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lastRenderedPageBreak/>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w:t>
            </w:r>
            <w:r w:rsidRPr="008A2298">
              <w:rPr>
                <w:b/>
                <w:i/>
              </w:rPr>
              <w:t>, akadályozzák meg a médiatulajdon koncentrációját és küzdjenek a dezinformáció ellen, különösen szilárd jogszabályok és független szabályozók révén</w:t>
            </w:r>
            <w:r w:rsidRPr="008A2298">
              <w:t>;</w:t>
            </w:r>
            <w:r w:rsidRPr="008A2298">
              <w:rPr>
                <w:b/>
                <w:i/>
              </w:rPr>
              <w:t xml:space="preserve">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w:t>
            </w:r>
            <w:r w:rsidRPr="008A2298">
              <w:rPr>
                <w:b/>
                <w:i/>
              </w:rPr>
              <w:t> </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308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w:t>
            </w:r>
            <w:r w:rsidRPr="008A2298">
              <w:rPr>
                <w:b/>
                <w:i/>
              </w:rPr>
              <w:t>megjegyzi, hogy a független hatóságok vezetőinek jelenlegi kinevezési rendszere nem működik, és a kormányzati politika végrehajtásának eszközévé teszi őket;</w:t>
            </w:r>
            <w:r w:rsidRPr="008A2298">
              <w:t xml:space="preserve"> hangsúlyozza a független, stabil közszolgálati műsorszolgáltatás demokratikus jelentőségét és a közszolgálati média finanszírozásának biztosítását;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309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w:t>
            </w:r>
            <w:r w:rsidRPr="008A2298">
              <w:rPr>
                <w:b/>
                <w:i/>
              </w:rPr>
              <w:t xml:space="preserve"> és küzdjenek</w:t>
            </w:r>
            <w:r w:rsidRPr="008A2298">
              <w:t xml:space="preserve"> a </w:t>
            </w:r>
            <w:r w:rsidRPr="008A2298">
              <w:rPr>
                <w:b/>
                <w:i/>
              </w:rPr>
              <w:t>dezinformáció ellen, különösen</w:t>
            </w:r>
            <w:r w:rsidRPr="008A2298">
              <w:t xml:space="preserve"> szilárd jogszabályok és független szabályozók révén; hangsúlyozza a független, </w:t>
            </w:r>
            <w:r w:rsidRPr="008A2298">
              <w:rPr>
                <w:b/>
                <w:i/>
              </w:rPr>
              <w:t>stabil közszolgálati műsorszolgáltatás</w:t>
            </w:r>
            <w:r w:rsidRPr="008A2298">
              <w:t xml:space="preserve"> demokratikus jelentőségét és a </w:t>
            </w:r>
            <w:r w:rsidRPr="008A2298">
              <w:rPr>
                <w:b/>
                <w:i/>
              </w:rPr>
              <w:t>közszolgálati média finanszírozásának biztosítását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w:t>
            </w:r>
            <w:r w:rsidRPr="008A2298">
              <w:rPr>
                <w:b/>
                <w:i/>
              </w:rPr>
              <w:t>, támogassák</w:t>
            </w:r>
            <w:r w:rsidRPr="008A2298">
              <w:t xml:space="preserve"> a </w:t>
            </w:r>
            <w:r w:rsidRPr="008A2298">
              <w:rPr>
                <w:b/>
                <w:i/>
              </w:rPr>
              <w:t>szerkesztői függetlenséget és a médiatulajdon átláthatóságát</w:t>
            </w:r>
            <w:r w:rsidRPr="008A2298">
              <w:t xml:space="preserve"> szilárd jogszabályok és független szabályozók révén; hangsúlyozza a független</w:t>
            </w:r>
            <w:r w:rsidRPr="008A2298">
              <w:rPr>
                <w:b/>
                <w:i/>
              </w:rPr>
              <w:t xml:space="preserve"> média</w:t>
            </w:r>
            <w:r w:rsidRPr="008A2298">
              <w:t xml:space="preserve">, </w:t>
            </w:r>
            <w:r w:rsidRPr="008A2298">
              <w:rPr>
                <w:b/>
                <w:i/>
              </w:rPr>
              <w:t>valamint az állami és nem állami külföldi szereplők propagandaműveletei elleni küzdelemre való felkészültség</w:t>
            </w:r>
            <w:r w:rsidRPr="008A2298">
              <w:t xml:space="preserve"> demokratikus jelentőségét</w:t>
            </w:r>
            <w:r w:rsidRPr="008A2298">
              <w:rPr>
                <w:b/>
                <w:i/>
              </w:rPr>
              <w:t>; felszólítja az uniós intézményeket</w:t>
            </w:r>
            <w:r w:rsidRPr="008A2298">
              <w:t xml:space="preserve"> és a </w:t>
            </w:r>
            <w:r w:rsidRPr="008A2298">
              <w:rPr>
                <w:b/>
                <w:i/>
              </w:rPr>
              <w:t>tagállamokat, hogy vessenek véget a médiaszolgáltatóknak nyújtott finanszírozásnak és támogatásoknak</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a független</w:t>
            </w:r>
            <w:r w:rsidRPr="008A2298">
              <w:rPr>
                <w:b/>
                <w:i/>
              </w:rPr>
              <w:t>,</w:t>
            </w:r>
            <w:r w:rsidRPr="008A2298">
              <w:t xml:space="preserve"> stabil közszolgálati műsorszolgáltatás demokratikus jelentőségét</w:t>
            </w:r>
            <w:r w:rsidRPr="008A2298">
              <w:rPr>
                <w:b/>
                <w:i/>
              </w:rPr>
              <w:t xml:space="preserve"> és</w:t>
            </w:r>
            <w:r w:rsidRPr="008A2298">
              <w:t xml:space="preserve"> a közszolgálati </w:t>
            </w:r>
            <w:r w:rsidRPr="008A2298">
              <w:rPr>
                <w:b/>
                <w:i/>
              </w:rPr>
              <w:t>média finanszírozásának biztosítását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w:t>
            </w:r>
            <w:r w:rsidRPr="008A2298">
              <w:rPr>
                <w:b/>
                <w:i/>
              </w:rPr>
              <w:t xml:space="preserve">és támogassák </w:t>
            </w:r>
            <w:r w:rsidRPr="008A2298">
              <w:t>a tömegtájékoztatás szabadságát és sokszínűségét, akadályozzák meg a médiatulajdon koncentrációját és küzdjenek a dezinformáció ellen, különösen szilárd jogszabályok és független szabályozók révén; hangsúlyozza a független</w:t>
            </w:r>
            <w:r w:rsidRPr="008A2298">
              <w:rPr>
                <w:b/>
                <w:i/>
              </w:rPr>
              <w:t xml:space="preserve"> és</w:t>
            </w:r>
            <w:r w:rsidRPr="008A2298">
              <w:t xml:space="preserve"> stabil közszolgálati műsorszolgáltatás </w:t>
            </w:r>
            <w:r w:rsidRPr="008A2298">
              <w:rPr>
                <w:b/>
                <w:i/>
              </w:rPr>
              <w:t xml:space="preserve">és szabályozók </w:t>
            </w:r>
            <w:r w:rsidRPr="008A2298">
              <w:t>demokratikus jelentőségét</w:t>
            </w:r>
            <w:r w:rsidRPr="008A2298">
              <w:rPr>
                <w:b/>
                <w:i/>
              </w:rPr>
              <w:t>; felhívja továbbá a tagállamokat, hogy</w:t>
            </w:r>
            <w:r w:rsidRPr="008A2298">
              <w:t xml:space="preserve"> a közszolgálati </w:t>
            </w:r>
            <w:r w:rsidRPr="008A2298">
              <w:rPr>
                <w:b/>
                <w:i/>
              </w:rPr>
              <w:t xml:space="preserve">médiára vonatkozó átlátható és objektív kritériumok alapján </w:t>
            </w:r>
            <w:r w:rsidRPr="008A2298">
              <w:rPr>
                <w:b/>
                <w:i/>
              </w:rPr>
              <w:lastRenderedPageBreak/>
              <w:t>biztosítsanak megfelelő, fenntartható és kiszámítható finanszírozást</w:t>
            </w:r>
            <w:r w:rsidRPr="008A2298">
              <w: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Mary Khan, Christine Anderson, Milan Uhrík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w:t>
            </w:r>
            <w:r w:rsidRPr="008A2298">
              <w:rPr>
                <w:b/>
                <w:i/>
              </w:rPr>
              <w:t>, akadályozzák meg a médiatulajdon koncentrációját és küzdjenek a dezinformáció ellen</w:t>
            </w:r>
            <w:r w:rsidRPr="008A2298">
              <w:t xml:space="preserve">, </w:t>
            </w:r>
            <w:r w:rsidRPr="008A2298">
              <w:rPr>
                <w:b/>
                <w:i/>
              </w:rPr>
              <w:t>különösen szilárd jogszabályok és független szabályozók révén; hangsúlyozza</w:t>
            </w:r>
            <w:r w:rsidRPr="008A2298">
              <w:t xml:space="preserve"> a </w:t>
            </w:r>
            <w:r w:rsidRPr="008A2298">
              <w:rPr>
                <w:b/>
                <w:i/>
              </w:rPr>
              <w:t>független, stabil közszolgálati műsorszolgáltatás demokratikus jelentőségét és a közszolgálati média finanszírozásának biztosítását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w:t>
            </w:r>
            <w:r w:rsidRPr="008A2298">
              <w:rPr>
                <w:b/>
                <w:i/>
              </w:rPr>
              <w:t>; aggodalmát fejezi ki amiatt, hogy egyes államilag finanszírozott műsorszolgáltatók</w:t>
            </w:r>
            <w:r w:rsidRPr="008A2298">
              <w:t xml:space="preserve">, </w:t>
            </w:r>
            <w:r w:rsidRPr="008A2298">
              <w:rPr>
                <w:b/>
                <w:i/>
              </w:rPr>
              <w:t>például</w:t>
            </w:r>
            <w:r w:rsidRPr="008A2298">
              <w:t xml:space="preserve"> a </w:t>
            </w:r>
            <w:r w:rsidRPr="008A2298">
              <w:rPr>
                <w:b/>
                <w:i/>
              </w:rPr>
              <w:t>németországi ARD egyértelmű politikai elfogultságot mutatnak</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Javier Zarzalejos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w:t>
            </w:r>
            <w:r w:rsidRPr="008A2298">
              <w:rPr>
                <w:b/>
                <w:i/>
              </w:rPr>
              <w:t>küzdjenek</w:t>
            </w:r>
            <w:r w:rsidRPr="008A2298">
              <w:t xml:space="preserve"> a </w:t>
            </w:r>
            <w:r w:rsidRPr="008A2298">
              <w:rPr>
                <w:b/>
                <w:i/>
              </w:rPr>
              <w:t xml:space="preserve">dezinformáció ellen, különösen szilárd jogszabályok és független szabályozók révén; hangsúlyozza a független, stabil </w:t>
            </w:r>
            <w:r w:rsidRPr="008A2298">
              <w:t xml:space="preserve">közszolgálati műsorszolgáltatás </w:t>
            </w:r>
            <w:r w:rsidRPr="008A2298">
              <w:rPr>
                <w:b/>
                <w:i/>
              </w:rPr>
              <w:t>demokratikus jelentőségét és</w:t>
            </w:r>
            <w:r w:rsidRPr="008A2298">
              <w:t xml:space="preserve"> a </w:t>
            </w:r>
            <w:r w:rsidRPr="008A2298">
              <w:rPr>
                <w:b/>
                <w:i/>
              </w:rPr>
              <w:lastRenderedPageBreak/>
              <w:t>közszolgálati média finanszírozásának biztosítását</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lastRenderedPageBreak/>
              <w:t>10.</w:t>
            </w:r>
            <w:r w:rsidRPr="008A2298">
              <w:tab/>
              <w:t xml:space="preserve">sürgeti a tagállamokat, hogy védjék meg a tömegtájékoztatás szabadságát és sokszínűségét, akadályozzák meg a médiatulajdon koncentrációját és </w:t>
            </w:r>
            <w:r w:rsidRPr="008A2298">
              <w:rPr>
                <w:b/>
                <w:i/>
              </w:rPr>
              <w:t>biztosítsák</w:t>
            </w:r>
            <w:r w:rsidRPr="008A2298">
              <w:t xml:space="preserve"> a közszolgálati műsorszolgáltatás </w:t>
            </w:r>
            <w:r w:rsidRPr="008A2298">
              <w:rPr>
                <w:b/>
                <w:i/>
              </w:rPr>
              <w:t>függetlenségét</w:t>
            </w:r>
            <w:r w:rsidRPr="008A2298">
              <w:t xml:space="preserve"> a </w:t>
            </w:r>
            <w:r w:rsidRPr="008A2298">
              <w:rPr>
                <w:b/>
                <w:i/>
              </w:rPr>
              <w:t>politikai beavatkozással szemben</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w:t>
            </w:r>
            <w:r w:rsidRPr="008A2298">
              <w:rPr>
                <w:b/>
                <w:i/>
              </w:rPr>
              <w:t>Különös éberségre szólít fel a harmadik országok tulajdonában lévő, eszközként használt televíziós hálózatokkal szemben;</w:t>
            </w:r>
            <w:r w:rsidRPr="008A2298">
              <w:t xml:space="preserve"> hangsúlyozza a független, stabil közszolgálati műsorszolgáltatás demokratikus jelentőségét és a közszolgálati média finanszírozásának biztosítását;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Tomáš Zdechovský</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w:t>
            </w:r>
            <w:r w:rsidRPr="008A2298">
              <w:lastRenderedPageBreak/>
              <w:t>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lastRenderedPageBreak/>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w:t>
            </w:r>
            <w:r w:rsidRPr="008A2298">
              <w:rPr>
                <w:b/>
                <w:i/>
              </w:rPr>
              <w:t xml:space="preserve">ösztönzi a </w:t>
            </w:r>
            <w:r w:rsidRPr="008A2298">
              <w:rPr>
                <w:b/>
                <w:i/>
              </w:rPr>
              <w:lastRenderedPageBreak/>
              <w:t>média tulajdonviszonyainak teljes átláthatóságát;</w:t>
            </w:r>
            <w:r w:rsidRPr="008A2298">
              <w:t xml:space="preserve"> hangsúlyozza a független, stabil közszolgálati műsorszolgáltatás demokratikus jelentőségét és a közszolgálati média finanszírozásának biztosítását;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Alessandro Zan, Fabienne Keller, Lucia Yar, Irena Joveva, Isabel Wiseler-Lima</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w:t>
            </w:r>
            <w:r w:rsidRPr="008A2298">
              <w:rPr>
                <w:b/>
                <w:i/>
              </w:rPr>
              <w:t>, védjék meg a szerkesztői függetlenséget</w:t>
            </w:r>
            <w:r w:rsidRPr="008A2298">
              <w:t xml:space="preserve"> és küzdjenek a dezinformáció ellen, különösen szilárd jogszabályok és független szabályozók révén; hangsúlyozza a független, stabil közszolgálati műsorszolgáltatás demokratikus jelentőségét és a közszolgálati média finanszírozásának biztosítását;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Raquel García Hermida-Van Der Walle, Fabienne Keller, Sophie Wilmès, Moritz Körner, Abir Al-Sahlani, Sigrid Friis, Lucia Yar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w:t>
            </w:r>
            <w:r w:rsidRPr="008A2298">
              <w:lastRenderedPageBreak/>
              <w:t>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lastRenderedPageBreak/>
              <w:t>10.</w:t>
            </w:r>
            <w:r w:rsidRPr="008A2298">
              <w:tab/>
              <w:t xml:space="preserve">sürgeti a tagállamokat, hogy védjék </w:t>
            </w:r>
            <w:r w:rsidRPr="008A2298">
              <w:lastRenderedPageBreak/>
              <w:t xml:space="preserve">meg a tömegtájékoztatás szabadságát és sokszínűségét, akadályozzák meg a médiatulajdon koncentrációját és küzdjenek a dezinformáció ellen, különösen szilárd jogszabályok és független szabályozók révén; hangsúlyozza a független, stabil közszolgálati műsorszolgáltatás demokratikus jelentőségét és a közszolgálati média finanszírozásának </w:t>
            </w:r>
            <w:r w:rsidRPr="008A2298">
              <w:rPr>
                <w:b/>
                <w:i/>
              </w:rPr>
              <w:t xml:space="preserve">és költségvetési stabilitásának </w:t>
            </w:r>
            <w:r w:rsidRPr="008A2298">
              <w:t>biztosítását;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Sebastian Tynkkynen</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w:t>
            </w:r>
            <w:r w:rsidRPr="008A2298">
              <w:rPr>
                <w:b/>
                <w:i/>
              </w:rPr>
              <w:t>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és független szabályozók révén; </w:t>
            </w:r>
            <w:r w:rsidRPr="008A2298">
              <w:rPr>
                <w:b/>
                <w:i/>
              </w:rPr>
              <w:t>hangsúlyozza, hogy a dezinformáció elleni küzdelem nem vezethet cenzúrához, és nem akadályozhatja a különböző politikai nézetek kifejezését;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{FI}</w:t>
      </w:r>
      <w:r w:rsidRPr="008A2298">
        <w:t>fi</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r>
            <w:r w:rsidRPr="008A2298">
              <w:rPr>
                <w:b/>
                <w:i/>
              </w:rPr>
              <w:t>sürgeti</w:t>
            </w:r>
            <w:r w:rsidRPr="008A2298">
              <w:t xml:space="preserve"> a tagállamokat, hogy védjék </w:t>
            </w:r>
            <w:r w:rsidRPr="008A2298">
              <w:lastRenderedPageBreak/>
              <w:t xml:space="preserve">meg a tömegtájékoztatás szabadságát és sokszínűségét, akadályozzák meg a médiatulajdon koncentrációját és küzdjenek a </w:t>
            </w:r>
            <w:r w:rsidRPr="008A2298">
              <w:rPr>
                <w:b/>
                <w:i/>
              </w:rPr>
              <w:t>dezinformáció</w:t>
            </w:r>
            <w:r w:rsidRPr="008A2298">
              <w:t xml:space="preserve"> ellen</w:t>
            </w:r>
            <w:r w:rsidRPr="008A2298">
              <w:rPr>
                <w:b/>
                <w:i/>
              </w:rPr>
              <w:t>, különösen szilárd jogszabályok és független szabályozók révén</w:t>
            </w:r>
            <w:r w:rsidRPr="008A2298">
              <w:t>;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lastRenderedPageBreak/>
              <w:t>10.</w:t>
            </w:r>
            <w:r w:rsidRPr="008A2298">
              <w:tab/>
            </w:r>
            <w:r w:rsidRPr="008A2298">
              <w:rPr>
                <w:b/>
                <w:i/>
              </w:rPr>
              <w:t>felszólítja</w:t>
            </w:r>
            <w:r w:rsidRPr="008A2298">
              <w:t xml:space="preserve"> a tagállamokat, hogy </w:t>
            </w:r>
            <w:r w:rsidRPr="008A2298">
              <w:lastRenderedPageBreak/>
              <w:t xml:space="preserve">védjék meg a tömegtájékoztatás szabadságát és sokszínűségét, akadályozzák meg a médiatulajdon koncentrációját és küzdjenek a </w:t>
            </w:r>
            <w:r w:rsidRPr="008A2298">
              <w:rPr>
                <w:b/>
                <w:i/>
              </w:rPr>
              <w:t>cenzúra</w:t>
            </w:r>
            <w:r w:rsidRPr="008A2298">
              <w:t xml:space="preserve"> ellen</w:t>
            </w:r>
            <w:r w:rsidRPr="008A2298">
              <w:rPr>
                <w:b/>
                <w:i/>
              </w:rPr>
              <w:t xml:space="preserve"> és a véleménynyilvánítás szabadságába való indokolatlan beavatkozás ellen</w:t>
            </w:r>
            <w:r w:rsidRPr="008A2298">
              <w:t>; hangsúlyozza a független, stabil közszolgálati műsorszolgáltatás demokratikus jelentőségét és a közszolgálati média finanszírozásának biztosítását;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319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Romana Tomc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10.</w:t>
            </w:r>
            <w:r w:rsidRPr="008A2298">
              <w:tab/>
              <w:t xml:space="preserve">sürgeti a tagállamokat, hogy védjék meg a tömegtájékoztatás szabadságát és sokszínűségét, akadályozzák meg a médiatulajdon koncentrációját és küzdjenek a dezinformáció ellen, különösen szilárd jogszabályok </w:t>
            </w:r>
            <w:r w:rsidRPr="008A2298">
              <w:rPr>
                <w:b/>
                <w:i/>
              </w:rPr>
              <w:t xml:space="preserve">és független szabályozók </w:t>
            </w:r>
            <w:r w:rsidRPr="008A2298">
              <w:t>révén; hangsúlyozza a független, stabil közszolgálati műsorszolgáltatás demokratikus jelentőségét és a közszolgálati média finanszírozásának biztosítását;</w:t>
            </w:r>
          </w:p>
        </w:tc>
        <w:tc>
          <w:tcPr>
            <w:tcW w:w="4876" w:type="dxa"/>
            <w:tcBorders>
              <w:top w:val="nil"/>
              <w:left w:val="nil"/>
              <w:bottom w:val="nil"/>
              <w:right w:val="nil"/>
            </w:tcBorders>
          </w:tcPr>
          <w:p w:rsidR="00085AC1" w:rsidRPr="008A2298" w:rsidRDefault="00085AC1" w:rsidP="00875E96">
            <w:pPr>
              <w:pStyle w:val="Normal6a"/>
            </w:pPr>
            <w:r w:rsidRPr="008A2298">
              <w:t>10.</w:t>
            </w:r>
            <w:r w:rsidRPr="008A2298">
              <w:tab/>
              <w:t>sürgeti a tagállamokat, hogy védjék meg a tömegtájékoztatás szabadságát és sokszínűségét, akadályozzák meg a médiatulajdon koncentrációját és küzdjenek a dezinformáció ellen, különösen szilárd jogszabályok révén; hangsúlyozza a független, stabil közszolgálati műsorszolgáltatás demokratikus jelentőségét és a közszolgálati média finanszírozásának biztosítását;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Zan, Cecilia Strada, Sandro Ruotolo, Pina Picierno, Marco Tarquinio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a.</w:t>
            </w:r>
            <w:r w:rsidRPr="008A2298">
              <w:tab/>
            </w:r>
            <w:r w:rsidRPr="008A2298">
              <w:rPr>
                <w:b/>
                <w:i/>
              </w:rPr>
              <w:t xml:space="preserve">megjegyzi, hogy Olaszországban romlik az újságírók helyzete, beleértve a </w:t>
            </w:r>
            <w:r w:rsidRPr="008A2298">
              <w:rPr>
                <w:b/>
                <w:i/>
              </w:rPr>
              <w:lastRenderedPageBreak/>
              <w:t>közéleti részvételt akadályozó stratégiai perek növekvő számát és a politikai szereplők általi jogi megfélemlítést; sajnálja, hogy az újságírók egyre nagyobb nehézségekkel szembesülnek az információszerzés és a dokumentumokhoz való hozzáférés tekintetében Olaszországban; megállapítja, hogy nem történt előrelépés a rágalmazási szabályok reformja terén, és megfigyelhető az a tendencia, hogy az újságírókkal szemben visszaélnek az igazságszolgáltatási eszközökkel és egyéb elővigyázatossági eljárásokkal, ami sérti a sajtószabadságot;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Emma Rafowicz, Chloé Ridel, Krzysztof Śmiszek, Hannes Heide</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a.</w:t>
            </w:r>
            <w:r w:rsidRPr="008A2298">
              <w:tab/>
            </w:r>
            <w:r w:rsidRPr="008A2298">
              <w:rPr>
                <w:b/>
                <w:i/>
              </w:rPr>
              <w:t>aggodalommal állapítja meg, hogy Franciaországban fenyegetések érik a médiapluralizmust és a média szabadságát; különösen a közszolgálati audiovizuális ágazat reformjáról szóló törvénytervezet révén, amelynek célja, hogy a francia kormány egyesítse az összes állami audiovizuális testületet, hangsúlyozza, hogy a – mind az állami, mind a magánszereplők általi – médiakoncentráció veszélyezteti a politikai és ideológiai nyomástól független, megbízható, objektív információkhoz való hozzáférést;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Chloé Ridel, Emma Rafowicz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lastRenderedPageBreak/>
        <w:t>&lt;Article&gt;</w:t>
      </w:r>
      <w:r w:rsidRPr="008A2298">
        <w:t>10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a.</w:t>
            </w:r>
            <w:r w:rsidRPr="008A2298">
              <w:tab/>
            </w:r>
            <w:r w:rsidRPr="008A2298">
              <w:rPr>
                <w:b/>
                <w:i/>
              </w:rPr>
              <w:t>megállapítja, hogy a média tulajdonviszonyainak átláthatóságával kapcsolatban korábban jelzett kihívások továbbra is fennállnak Bulgáriában, Csehországban, Franciaországban, Hollandiában és Cipruson; felhívja a tagállamokat, hogy teljes mértékben hajtsák végre a média tulajdonviszonyainak átláthatóságára vonatkozó uniós normákat, többek között átfogó és nyilvánosan hozzáférhető tulajdonosi nyilvántartások létrehozásával;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Marco Tarquinio, Alessandro Zan, Damien Carême, Mélissa Camara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a.</w:t>
            </w:r>
            <w:r w:rsidRPr="008A2298">
              <w:tab/>
            </w:r>
            <w:r w:rsidRPr="008A2298">
              <w:rPr>
                <w:b/>
                <w:i/>
              </w:rPr>
              <w:t>elítéli a rasszista és idegengyűlölő gyűlöletbeszéd terjedését, többek között a hagyományos és a közösségi médiában, mivel ez komoly fenyegetést jelent a demokráciára és a jogállamiságra nézve; felszólít a médiaszabályozások szigorúbb érvényesítésére a rasszista narratíva elleni küzdelem és a sokszínű és inkluzív médiakörnyezet megőrzése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Sandro Ruotolo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a.</w:t>
            </w:r>
            <w:r w:rsidRPr="008A2298">
              <w:tab/>
            </w:r>
            <w:r w:rsidRPr="008A2298">
              <w:rPr>
                <w:b/>
                <w:i/>
              </w:rPr>
              <w:t>megjegyzi, a Bizottság megállapítja, hogy Magyarországon, Szlovéniában, Horvátországban, Bulgáriában, Lengyelországban és Görögországban továbbra is aggályos a szabályozók függetlensége és pártatlansága;</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Raquel García Hermida-Van Der Walle, Abir Al-Sahlani, 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a.</w:t>
            </w:r>
            <w:r w:rsidRPr="008A2298">
              <w:tab/>
            </w:r>
            <w:r w:rsidRPr="008A2298">
              <w:rPr>
                <w:b/>
                <w:i/>
              </w:rPr>
              <w:t>javasolja egy külön a tömegtájékoztatás szabadságával foglalkozó uniós alap létrehozását, amely támogatja a független újságírást és a helyi médiaorgánumokat;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Zan, Cecilia Strada, Sandro Ruotolo, Pina Picierno, Marco Tarquinio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10 b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10 b.</w:t>
            </w:r>
            <w:r w:rsidRPr="008A2298">
              <w:tab/>
            </w:r>
            <w:r w:rsidRPr="008A2298">
              <w:rPr>
                <w:b/>
                <w:i/>
              </w:rPr>
              <w:t xml:space="preserve">mély aggodalmát fejezi ki az olaszországi újságírók és aktivisták, illetve más európai polgárok ellen a közelmúltban jogellenesen alkalmazott kémprogramok miatt; megjegyzi, hogy a sajtószabadság az uniós tagállamokban a jogállamiság fenntartásának egyik legfontosabb pillére; határozottan elítél a kémprogramok kormányok általi </w:t>
            </w:r>
            <w:r w:rsidRPr="008A2298">
              <w:rPr>
                <w:b/>
                <w:i/>
              </w:rPr>
              <w:lastRenderedPageBreak/>
              <w:t>jogellenes használatával összefüggő minden cselekményt, amelynek célja a sajtószabadság, az egyéni jogok és az alapvető szabadságjogok ellenőrzése, megfigyelése és korlátozása;</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Romana Tomc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a média működésébe való politikai beavatkozást, és nagyobb erőfeszítéseket sürget az újságírók biztonságának és védelmének biztosítása érdekében; </w:t>
            </w:r>
            <w:r w:rsidRPr="008A2298">
              <w:rPr>
                <w:b/>
                <w:i/>
              </w:rPr>
              <w:t>hangsúlyozza, hogy a prominens közéleti személyiségeknek és politikusoknak – köztük a kormányok tagjainak – jó példával kell elöl járniuk, és tiszteletteljes, civilizált nyilvános vitát kell biztosítaniuk, amely mentes a megfélemlítéstől, a támadásoktól, a sértegetésektől és a zaklatástól; e tekintetben elítéli a szlovén miniszterelnök arra vonatkozó nyilatkozatait, hogy megtisztítják a közszolgálati műsorszolgáltatót és a rendőrséget egy adott politikai párt tagjaitól;</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lastRenderedPageBreak/>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a média működésébe való politikai beavatkozást, és nagyobb erőfeszítéseket sürget az újságírók biztonságának és védelmének biztosítása érdekében; </w:t>
            </w:r>
            <w:r w:rsidRPr="008A2298">
              <w:rPr>
                <w:b/>
                <w:i/>
              </w:rPr>
              <w:t>különösen úgy véli, hogy az európai normákkal összeegyeztethetetlen a közszolgálati média jogellenes és erőszakos elfoglalása Lengyelországban, ami titkosszolgálati módszerek alkalmazásával és valamennyi törvény és norma Donald Tusk kormánya általi megsértésével jár együtt, és felszólít e határozatok visszavonására, a vonatkozó jogkövetkezmények levonására és az okozott károk helyreállítására;</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329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w:t>
            </w:r>
            <w:r w:rsidRPr="008A2298">
              <w:rPr>
                <w:b/>
                <w:i/>
              </w:rPr>
              <w:t>, valamint a sajtószabadság védelme</w:t>
            </w:r>
            <w:r w:rsidRPr="008A2298">
              <w:t xml:space="preserve"> érdekében; </w:t>
            </w:r>
            <w:r w:rsidRPr="008A2298">
              <w:rPr>
                <w:b/>
                <w:i/>
              </w:rPr>
              <w:t>kéri, hogy a büntetőjogban vezessenek be különleges súlyosbító körülményeket az újságírókkal szemben elkövetett bűncselekményekre vonatkozóan, amennyiben az ilyen cselekményeket szakmai tevékenységük okán vagy azzal összefüggésben végzik;</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330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Marieke Ehlers, Jorge Buxadé Villalba, Tom Vandendriessche,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a média működésébe való politikai beavatkozást, és nagyobb erőfeszítéseket sürget az újságírók biztonságának és védelmének biztosítása érdekében; </w:t>
            </w:r>
            <w:r w:rsidRPr="008A2298">
              <w:rPr>
                <w:b/>
                <w:i/>
              </w:rPr>
              <w:t>ezért felszólítja az EU-t, hogy a média függetlenségének védelme érdekében szüntesse meg a médiaműveletek uniós költségvetésből történő finanszírozását;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Sebastian Tynkkynen</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w:t>
            </w:r>
            <w:r w:rsidRPr="008A2298">
              <w:rPr>
                <w:b/>
                <w:i/>
              </w:rPr>
              <w:t>; hangsúlyozza, hogy a közszolgálati műsorszolgáltatók által készített anyagoknak valóban pártatlanoknak kell lenniük, és egyetlen politikai irányzat javára sem lehetnek elfogultak;</w:t>
            </w:r>
            <w:r w:rsidRPr="008A2298">
              <w:t xml:space="preserve"> nagyobb erőfeszítéseket sürget az újságírók biztonságának és védelmének biztosítása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{FI}</w:t>
      </w:r>
      <w:r w:rsidRPr="008A2298">
        <w:t>fi</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lastRenderedPageBreak/>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a média működésébe való politikai beavatkozást, és </w:t>
            </w:r>
            <w:r w:rsidRPr="008A2298">
              <w:rPr>
                <w:b/>
                <w:i/>
              </w:rPr>
              <w:t>nagyobb erőfeszítéseket sürget</w:t>
            </w:r>
            <w:r w:rsidRPr="008A2298">
              <w:t xml:space="preserve"> az újságírók biztonságának és védelmének </w:t>
            </w:r>
            <w:r w:rsidRPr="008A2298">
              <w:rPr>
                <w:b/>
                <w:i/>
              </w:rPr>
              <w:t>biztosítása érdekében</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a média működésébe való politikai beavatkozást, és </w:t>
            </w:r>
            <w:r w:rsidRPr="008A2298">
              <w:rPr>
                <w:b/>
                <w:i/>
              </w:rPr>
              <w:t>felszólítja a Bizottságot és a tagállamokat az újságírók, különösen</w:t>
            </w:r>
            <w:r w:rsidRPr="008A2298">
              <w:t xml:space="preserve"> az </w:t>
            </w:r>
            <w:r w:rsidRPr="008A2298">
              <w:rPr>
                <w:b/>
                <w:i/>
              </w:rPr>
              <w:t xml:space="preserve">oknyomozó </w:t>
            </w:r>
            <w:r w:rsidRPr="008A2298">
              <w:t xml:space="preserve">újságírók biztonságának és védelmének </w:t>
            </w:r>
            <w:r w:rsidRPr="008A2298">
              <w:rPr>
                <w:b/>
                <w:i/>
              </w:rPr>
              <w:t>biztosítására</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Wiseler-Lima, 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a média működésébe való politikai beavatkozást, és nagyobb erőfeszítéseket sürget az újságírók </w:t>
            </w:r>
            <w:r w:rsidRPr="008A2298">
              <w:rPr>
                <w:b/>
                <w:i/>
              </w:rPr>
              <w:t xml:space="preserve">és a különösen kiszolgáltatott tényellenőrzők </w:t>
            </w:r>
            <w:r w:rsidRPr="008A2298">
              <w:t>biztonságának és védelmének biztosítása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határozottan elítéli az állami ellenőrzést és a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w:t>
            </w:r>
            <w:r w:rsidRPr="008A2298">
              <w:rPr>
                <w:b/>
                <w:i/>
              </w:rPr>
              <w:t xml:space="preserve">a cenzúrát és </w:t>
            </w:r>
            <w:r w:rsidRPr="008A2298">
              <w:t>az állami ellenőrzést és a média működésébe való politikai beavatkozást, és nagyobb erőfeszítéseket sürget az újságírók biztonságának és védelmének biztosítása érdekében;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w:t>
            </w:r>
            <w:r w:rsidRPr="008A2298">
              <w:rPr>
                <w:b/>
                <w:i/>
              </w:rPr>
              <w:t>a</w:t>
            </w:r>
            <w:r w:rsidRPr="008A2298">
              <w:t xml:space="preserve"> média működésébe való politikai beavatkozást, és nagyobb erőfeszítéseket sürget az újságírók biztonságának és védelmének biztosítása érdekében;</w:t>
            </w:r>
          </w:p>
        </w:tc>
        <w:tc>
          <w:tcPr>
            <w:tcW w:w="4876" w:type="dxa"/>
            <w:tcBorders>
              <w:top w:val="nil"/>
              <w:left w:val="nil"/>
              <w:bottom w:val="nil"/>
              <w:right w:val="nil"/>
            </w:tcBorders>
          </w:tcPr>
          <w:p w:rsidR="00085AC1" w:rsidRPr="008A2298" w:rsidRDefault="00085AC1" w:rsidP="00875E96">
            <w:pPr>
              <w:pStyle w:val="Normal6a"/>
            </w:pPr>
            <w:r w:rsidRPr="008A2298">
              <w:t>11.</w:t>
            </w:r>
            <w:r w:rsidRPr="008A2298">
              <w:tab/>
              <w:t xml:space="preserve">határozottan elítéli az állami ellenőrzést és </w:t>
            </w:r>
            <w:r w:rsidRPr="008A2298">
              <w:rPr>
                <w:b/>
                <w:i/>
              </w:rPr>
              <w:t>az újságírói etikát tiszteletben tartó</w:t>
            </w:r>
            <w:r w:rsidRPr="008A2298">
              <w:t xml:space="preserve"> média működésébe való politikai beavatkozást, és nagyobb erőfeszítéseket sürget az újságírók biztonságának és védelmének biztosítása érdekében;</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11a.</w:t>
            </w:r>
            <w:r w:rsidRPr="008A2298">
              <w:tab/>
            </w:r>
            <w:r w:rsidRPr="008A2298">
              <w:rPr>
                <w:b/>
                <w:i/>
              </w:rPr>
              <w:t xml:space="preserve">aggodalmát fejezi ki az ellenzéki médiaorgánumok – különösen a „Telewizja Republika” televíziós csatorna – Tusk-kormány általi, sajtókonferenciákról való, a nemzetközi normákkal ellentétes kizárásával kapcsolatban, valamint az információhoz való hozzáférés és a kormány elszámoltathatóságának ezzel összefüggő korlátozása miatt; különösen elítéli, hogy a legnagyobb televíziós hírcsatorna („Telewizja Republika”) számára nem engedték, hogy részt vegyen a közelmúltbeli lengyelországi áradásokkal kapcsolatos vészhelyzeti sajtókonferenciákon, mivel ez nemcsak az információkhoz való hozzáférés jogának </w:t>
            </w:r>
            <w:r w:rsidRPr="008A2298">
              <w:rPr>
                <w:b/>
                <w:i/>
              </w:rPr>
              <w:lastRenderedPageBreak/>
              <w:t>megsértését jelentette, hanem a társadalom egyes rétegeinek biztonságát is hátrányosan érintette; elítéli a Tusk-kormány arra irányuló lépéseit, hogy nyomást gyakoroljon az állami és magánvállalatokra annak érdekében, hogy elálljanak az ellenzéki médiaorgánumokkal kötött hirdetési szerződésektől;</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 Ana Catarina Mendes, Moritz Körner, 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mély aggodalmát fejezi ki amiatt, hogy több tagállamban visszaélnek a megfigyelési technológiákkal, többek között a kémszoftverekkel, különösen ha újságírókkal, ellenzéki szereplőkkel, civil társadalmi szereplőkkel és emberijog-védőkkel szemben alkalmazzák ezeket; hangsúlyozza, hogy az ilyen technológiák önkényes vagy jogellenes használata komoly fenyegetést jelent az alapvető jogokra, a demokratikus kormányzásra és az igazságszolgáltatás függetlenségére nézve; felhívja a Bizottságot, hogy hajtsa végre az Európai Parlament PEGA vizsgálóbizottságának ajánlásait, különös tekintettel a politikai indíttatású megfigyelés tilalmára;</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Veronika Cifrová Ostrihoňová</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felszólítja a Bizottságot, hogy elemezze a közösségimédia-platformok hatását a médiaágazat gazdasági életképességére és demokratikus fenntarthatóságára; hangsúlyozza aggodalmát, hogy az algoritmusok által felerősített tartalomterjedés, a reklámbevételek átrendeződése és a platformvezérelt tartalomterjesztés alááshatja a független újságírást és a médiapluralizmust; felszólítja a Bizottságot annak vizsgálatára, hogy a digitális platformok milyen mértékben járulnak hozzá a piaci egyensúlyhiányhoz, a médiaorgánumok pénzügyi bizonytalanságához és a dezinformáció terjedéséhez;</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339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sürgeti a tagállamokat annak biztosítására, hogy az ártatlanság vélelméről szóló (EU) 2016/343 irányelv átültetése ne vezessen korlátozásokhoz a közérdekű ügyekről – többek között az igazságügyi vizsgálatokról – szóló bejelentéshez és a nyilvánosság tájékoztatásához való jog tekintetében, amelyekről az irányelv nem rendelkezik; felhívja a tagállamokat, hogy vizsgálják felül és szükség esetén módosítsák azokat a hatályos nemzeti rendelkezéseket, amelyek korlátozhatják az újságírói szabadságokat;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határozottan elítéli a jogi tartalmak cenzúrázására vagy a politikai diskurzus ellenőrzésére irányuló kísérleteket a közösségi médiában; felhívja a Bizottságot, hogy a tartalommoderálás előmozdításának és a nem független tényellenőrzők alkalmazásának megszüntetése érdekében haladéktalanul nyújtson be javaslatot a digitális szolgáltatásokról szóló jelenlegi jogszabály hatályon kívül helyezésére és felváltására egy olyan új rendelettel, amely előmozdítja a véleménynyilvánítás szabadságát és a tájékoztatáshoz fűződő jogot;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hangsúlyozza, hogy sürgősen foglalkozni kell a jobboldali média politikai ellenfelek és mindazok elhallgattatása céljából történő felhasználásával, akik szembeszállnak a hatalmon lévőkkel, bevándorlóellenes és rasszista retorikát alkalmaznak, és politikai haszonszerzés céljából szándékosan hamis vagy félrevezető információkat gyártanak;</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Daniel Freund, Diana Riba i Giner</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hangsúlyozza, hogy az információszabadság és a közérdekű információkhoz való hozzáférés nemcsak alapvető jog, hanem az állam átláthatóságának egyik alapvető garanciája is;</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Malik Azmani, Dainius Žalimas, Lucia Yar, Fabienne Keller, Sophie Wilmès, Raquel García Hermida-Van Der Walle, Abir Al-Sahlani, Veronika Cifrová Ostrihoňová, 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kiemeli, hogy a médiaszabályozókat megfelelő jogi biztosítékokkal kell védeni függetlenségük, elegendő költségvetési forrásaik és annak biztosítása érdekében, és hogy ne legyenek politikai nyomásnak kitéve;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Romana Tomc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elítéli a szlovén kormányt, amely új médiatörvényt fogadott el, amelynek célja, hogy a bírói hatásköröket felügyelőkre ruházza át, és amely megalapozza az állami finanszírozás átpolitizált elosztását;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3 alcím</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Civil társadalmi szervezetek</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Alessandro Zan, Fabienne Keller, Lucia Yar,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11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11 a.</w:t>
            </w:r>
            <w:r w:rsidRPr="008A2298">
              <w:tab/>
            </w:r>
            <w:r w:rsidRPr="008A2298">
              <w:rPr>
                <w:b/>
                <w:i/>
              </w:rPr>
              <w:t>felhívja a tagállamokat, hogy hozzanak létre egy olyan keretet, amely garantálja az emberek számára az információk keresésének, fogadásának és közlésének szabadságát, és hogy biztosítsák, hogy a digitális szolgáltatásokról szóló rendeletben előírt nemzeti koordinátorok teljes mértékben be tudják tölteni szerepüket az európai szintű információcsere és együttműködés elősegítésében;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12.</w:t>
            </w:r>
            <w:r w:rsidRPr="008A2298">
              <w:tab/>
            </w:r>
            <w:r w:rsidRPr="008A2298">
              <w:rPr>
                <w:b/>
                <w:i/>
              </w:rPr>
              <w:t>egyetért a Bizottság azon értékelésével, hogy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Nicolas Bay</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12.</w:t>
            </w:r>
            <w:r w:rsidRPr="008A2298">
              <w:tab/>
            </w:r>
            <w:r w:rsidRPr="008A2298">
              <w:rPr>
                <w:b/>
                <w:i/>
              </w:rPr>
              <w:t>egyetért a Bizottság azon értékelésével, hogy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349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Michał Wawrykiewicz, Cecilia Strada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lastRenderedPageBreak/>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t>egyetért a Bizottság azon értékelésével, hogy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t>egyetért a Bizottság azon értékelésével, hogy a civil társadalmi szervezetek és az emberijog-védők alapvető fontosságúak a hatalmi egyensúly szempontjából</w:t>
            </w:r>
            <w:r w:rsidRPr="008A2298">
              <w:rPr>
                <w:b/>
                <w:i/>
              </w:rPr>
              <w:t>, mivel a jogsértésekkel szemben éberen őrzik a jogállamiságot, és aktívan hozzájárulnak az Unió alapértékeinek előmozdításához és védelméhez;</w:t>
            </w:r>
            <w:r w:rsidRPr="008A2298">
              <w:t xml:space="preserve"> </w:t>
            </w:r>
            <w:r w:rsidRPr="008A2298">
              <w:rPr>
                <w:b/>
                <w:i/>
              </w:rPr>
              <w:t>emlékeztet arra, hogy ebben az összefüggésben a Bizottság sürgette a tagállamokat, hogy teremtsenek olyan környezetet, amely elősegíti e szervezetek és az emberijog-védők munkáját; sürgeti a Bizottságot, hogy tegyen lépéseket a civil társadalmi szervezetek védelmének megerősítése, az aktivisták védelme és az annak biztosítására irányuló erőfeszítések folytatása érdekében, hogy garantálják az emberi jogi tevékenységek előmozdításához szükséges feltételeket;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András László</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egyetért</w:t>
            </w:r>
            <w:r w:rsidRPr="008A2298">
              <w:t xml:space="preserve"> a Bizottság azon </w:t>
            </w:r>
            <w:r w:rsidRPr="008A2298">
              <w:rPr>
                <w:b/>
                <w:i/>
              </w:rPr>
              <w:t>értékelésével</w:t>
            </w:r>
            <w:r w:rsidRPr="008A2298">
              <w:t>, hogy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rendkívül aggódik</w:t>
            </w:r>
            <w:r w:rsidRPr="008A2298">
              <w:t xml:space="preserve"> a Bizottság azon </w:t>
            </w:r>
            <w:r w:rsidRPr="008A2298">
              <w:rPr>
                <w:b/>
                <w:i/>
              </w:rPr>
              <w:t>értékelése miatt</w:t>
            </w:r>
            <w:r w:rsidRPr="008A2298">
              <w:t xml:space="preserve">, hogy a </w:t>
            </w:r>
            <w:r w:rsidRPr="008A2298">
              <w:rPr>
                <w:b/>
                <w:i/>
              </w:rPr>
              <w:t xml:space="preserve">Soros György Nyílt Társadalom Alapítványai által támogatott </w:t>
            </w:r>
            <w:r w:rsidRPr="008A2298">
              <w:t xml:space="preserve">civil társadalmi szervezetek és az emberijog-védők alapvető fontosságúak a hatalmi egyensúly szempontjából; </w:t>
            </w:r>
            <w:r w:rsidRPr="008A2298">
              <w:rPr>
                <w:b/>
                <w:i/>
              </w:rPr>
              <w:t>felhívja a Bizottságot, hogy követelje meg a teljes átláthatóságot azoktól a nem kormányzati szervezetektől, amelyekkel a Bizottság együttműködik;</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lastRenderedPageBreak/>
        <w:t>&lt;Amend&gt;</w:t>
      </w:r>
      <w:r w:rsidRPr="008A2298">
        <w:t>Módosítás</w:t>
      </w:r>
      <w:r w:rsidRPr="008A2298">
        <w:tab/>
      </w:r>
      <w:r w:rsidRPr="008A2298">
        <w:tab/>
      </w:r>
      <w:r w:rsidRPr="008A2298">
        <w:rPr>
          <w:rStyle w:val="HideTWBExt"/>
          <w:b w:val="0"/>
        </w:rPr>
        <w:t>&lt;NumAm&gt;</w:t>
      </w:r>
      <w:r w:rsidRPr="008A2298">
        <w:t>351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Moritz Körner, Hilde Vautmans, Nikola Minchev, Veronika Cifrová Ostrihoňová, Chloé Ridel, Abir Al-Sahlani, Fabienne Keller, Lucia Yar, Irena Joveva, Isabel Wiseler-Lima, Daniel Freund</w:t>
      </w:r>
      <w:r w:rsidRPr="008A2298">
        <w:rPr>
          <w:rStyle w:val="HideTWBExt"/>
          <w:b w:val="0"/>
        </w:rPr>
        <w:t>&lt;/Members&gt;</w:t>
      </w:r>
    </w:p>
    <w:p w:rsidR="00085AC1" w:rsidRPr="008A2298" w:rsidRDefault="00085AC1" w:rsidP="00085AC1">
      <w:r w:rsidRPr="008A2298">
        <w:rPr>
          <w:rStyle w:val="HideTWBExt"/>
        </w:rPr>
        <w:t>&lt;AuNomDe&gt;</w:t>
      </w:r>
      <w:r w:rsidRPr="008A2298">
        <w:rPr>
          <w:rStyle w:val="HideTWBInt"/>
          <w:color w:val="auto"/>
        </w:rPr>
        <w:t>{LIBE}</w:t>
      </w:r>
      <w:r w:rsidRPr="008A2298">
        <w:t>az Állampolgári Jogi, Bel- és Igazságügyi Bizottság nevében</w:t>
      </w:r>
      <w:r w:rsidRPr="008A2298">
        <w:rPr>
          <w:rStyle w:val="HideTWBExt"/>
        </w:rPr>
        <w:t>&lt;/AuNomDe&gt;</w:t>
      </w:r>
    </w:p>
    <w:p w:rsidR="00085AC1" w:rsidRPr="008A2298" w:rsidRDefault="00085AC1" w:rsidP="00085AC1">
      <w:pPr>
        <w:pStyle w:val="NormalBold"/>
      </w:pPr>
      <w:r w:rsidRPr="008A2298">
        <w:rPr>
          <w:rStyle w:val="HideTWBExt"/>
          <w:b w:val="0"/>
        </w:rPr>
        <w:t>&lt;Members&gt;</w:t>
      </w:r>
      <w:r w:rsidRPr="008A2298">
        <w:t>Sophie Wilmès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t>egyetért a Bizottság azon értékelésével, hogy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t>egyetért a Bizottság azon értékelésével, hogy a civil társadalmi szervezetek</w:t>
            </w:r>
            <w:r w:rsidRPr="008A2298">
              <w:rPr>
                <w:b/>
                <w:i/>
              </w:rPr>
              <w:t>, a független hatóságok, az ombudsmanok</w:t>
            </w:r>
            <w:r w:rsidRPr="008A2298">
              <w:t xml:space="preserve"> és az emberijog-védők alapvető fontosságúak a hatalmi egyensúly szempontjából; </w:t>
            </w:r>
            <w:r w:rsidRPr="008A2298">
              <w:rPr>
                <w:b/>
                <w:i/>
              </w:rPr>
              <w:t>emlékeztet arra, hogy számukra biztonságos, segítő és támogató környezetre van szükség;</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egyetért a Bizottság azon értékelésével, hogy</w:t>
            </w:r>
            <w:r w:rsidRPr="008A2298">
              <w:t xml:space="preserve">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t>a civil társadalmi szervezetek és az emberijog-védők alapvető fontosságúak a hatalmi egyensúly szempontjából</w:t>
            </w:r>
            <w:r w:rsidRPr="008A2298">
              <w:rPr>
                <w:b/>
                <w:i/>
              </w:rPr>
              <w:t>, amennyiben valóban függetlenek és a tagállamok polgárainak érdekeit képviselik;</w:t>
            </w:r>
            <w:r w:rsidRPr="008A2298">
              <w:t xml:space="preserve"> </w:t>
            </w:r>
            <w:r w:rsidRPr="008A2298">
              <w:rPr>
                <w:b/>
                <w:i/>
              </w:rPr>
              <w:t>hangsúlyozza e tekintetben a finanszírozásuk átláthatóságának és a külföldi szervezetek megfelelő feltüntetésének szükségességét;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lastRenderedPageBreak/>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egyetért</w:t>
            </w:r>
            <w:r w:rsidRPr="008A2298">
              <w:t xml:space="preserve"> a Bizottság azon </w:t>
            </w:r>
            <w:r w:rsidRPr="008A2298">
              <w:rPr>
                <w:b/>
                <w:i/>
              </w:rPr>
              <w:t>értékelésével</w:t>
            </w:r>
            <w:r w:rsidRPr="008A2298">
              <w:t xml:space="preserve">, hogy a civil társadalmi szervezetek és az emberijog-védők alapvető fontosságúak a </w:t>
            </w:r>
            <w:r w:rsidRPr="008A2298">
              <w:rPr>
                <w:b/>
                <w:i/>
              </w:rPr>
              <w:t>hatalmi egyensúly</w:t>
            </w:r>
            <w:r w:rsidRPr="008A2298">
              <w:t xml:space="preserve"> szempontjából;</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hangsúlyozza</w:t>
            </w:r>
            <w:r w:rsidRPr="008A2298">
              <w:t xml:space="preserve"> a Bizottság azon </w:t>
            </w:r>
            <w:r w:rsidRPr="008A2298">
              <w:rPr>
                <w:b/>
                <w:i/>
              </w:rPr>
              <w:t>értékelését</w:t>
            </w:r>
            <w:r w:rsidRPr="008A2298">
              <w:t xml:space="preserve">, hogy a civil társadalmi szervezetek és az emberijog-védők alapvető fontosságúak a </w:t>
            </w:r>
            <w:r w:rsidRPr="008A2298">
              <w:rPr>
                <w:b/>
                <w:i/>
              </w:rPr>
              <w:t>demokrácia megfelelő működésének</w:t>
            </w:r>
            <w:r w:rsidRPr="008A2298">
              <w:t xml:space="preserve"> szempontjából; </w:t>
            </w:r>
            <w:r w:rsidRPr="008A2298">
              <w:rPr>
                <w:b/>
                <w:i/>
              </w:rPr>
              <w:t>sajnálatát fejezi ki amiatt, hogy az uniós intézmények erőltetik a liberális és baloldali szervezetek támogatását, ezzel túllépik hatásköreiket és ideológiai vitákban állást foglalnak;</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t>egyetért a Bizottság azon értékelésével, hogy a civil társadalmi szervezetek és az emberijog-védők alapvető fontosságúak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t>egyetért a Bizottság azon értékelésével, hogy a civil társadalmi szervezetek és az emberijog-védők alapvető fontosságúak a hatalmi egyensúly</w:t>
            </w:r>
            <w:r w:rsidRPr="008A2298">
              <w:rPr>
                <w:b/>
                <w:i/>
              </w:rPr>
              <w:t>, valamint az alapértékek védelme</w:t>
            </w:r>
            <w:r w:rsidRPr="008A2298">
              <w:t xml:space="preserve"> szempontjából</w:t>
            </w:r>
            <w:r w:rsidRPr="008A2298">
              <w:rPr>
                <w:b/>
                <w:i/>
              </w:rPr>
              <w:t>, amelyek az EU sarokkövét képzik</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Romana Tomc</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t xml:space="preserve">egyetért a Bizottság azon </w:t>
            </w:r>
            <w:r w:rsidRPr="008A2298">
              <w:lastRenderedPageBreak/>
              <w:t xml:space="preserve">értékelésével, hogy a civil társadalmi szervezetek és az emberijog-védők </w:t>
            </w:r>
            <w:r w:rsidRPr="008A2298">
              <w:rPr>
                <w:b/>
                <w:i/>
              </w:rPr>
              <w:t>alapvető fontosságúak</w:t>
            </w:r>
            <w:r w:rsidRPr="008A2298">
              <w:t xml:space="preserve"> a hatalmi egyensúly szempontjából;</w:t>
            </w:r>
          </w:p>
        </w:tc>
        <w:tc>
          <w:tcPr>
            <w:tcW w:w="4876" w:type="dxa"/>
            <w:tcBorders>
              <w:top w:val="nil"/>
              <w:left w:val="nil"/>
              <w:bottom w:val="nil"/>
              <w:right w:val="nil"/>
            </w:tcBorders>
          </w:tcPr>
          <w:p w:rsidR="00085AC1" w:rsidRPr="008A2298" w:rsidRDefault="00085AC1" w:rsidP="00875E96">
            <w:pPr>
              <w:pStyle w:val="Normal6a"/>
            </w:pPr>
            <w:r w:rsidRPr="008A2298">
              <w:lastRenderedPageBreak/>
              <w:t>12.</w:t>
            </w:r>
            <w:r w:rsidRPr="008A2298">
              <w:tab/>
              <w:t xml:space="preserve">egyetért a Bizottság azon </w:t>
            </w:r>
            <w:r w:rsidRPr="008A2298">
              <w:lastRenderedPageBreak/>
              <w:t xml:space="preserve">értékelésével, hogy a civil társadalmi szervezetek és az emberijog-védők </w:t>
            </w:r>
            <w:r w:rsidRPr="008A2298">
              <w:rPr>
                <w:b/>
                <w:i/>
              </w:rPr>
              <w:t>fontosak</w:t>
            </w:r>
            <w:r w:rsidRPr="008A2298">
              <w:t xml:space="preserve"> a hatalmi egyensúly szempontjából;</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egyetért</w:t>
            </w:r>
            <w:r w:rsidRPr="008A2298">
              <w:t xml:space="preserve"> a Bizottság azon </w:t>
            </w:r>
            <w:r w:rsidRPr="008A2298">
              <w:rPr>
                <w:b/>
                <w:i/>
              </w:rPr>
              <w:t>értékelésével</w:t>
            </w:r>
            <w:r w:rsidRPr="008A2298">
              <w:t xml:space="preserve">, hogy a civil társadalmi szervezetek és az emberijog-védők </w:t>
            </w:r>
            <w:r w:rsidRPr="008A2298">
              <w:rPr>
                <w:b/>
                <w:i/>
              </w:rPr>
              <w:t>alapvető fontosságúak</w:t>
            </w:r>
            <w:r w:rsidRPr="008A2298">
              <w:t xml:space="preserve"> a hatalmi </w:t>
            </w:r>
            <w:r w:rsidRPr="008A2298">
              <w:rPr>
                <w:b/>
                <w:i/>
              </w:rPr>
              <w:t>egyensúly szempontjából</w:t>
            </w:r>
            <w:r w:rsidRPr="008A2298">
              <w:t>;</w:t>
            </w:r>
          </w:p>
        </w:tc>
        <w:tc>
          <w:tcPr>
            <w:tcW w:w="4876" w:type="dxa"/>
            <w:tcBorders>
              <w:top w:val="nil"/>
              <w:left w:val="nil"/>
              <w:bottom w:val="nil"/>
              <w:right w:val="nil"/>
            </w:tcBorders>
          </w:tcPr>
          <w:p w:rsidR="00085AC1" w:rsidRPr="008A2298" w:rsidRDefault="00085AC1" w:rsidP="00875E96">
            <w:pPr>
              <w:pStyle w:val="Normal6a"/>
            </w:pPr>
            <w:r w:rsidRPr="008A2298">
              <w:t>12.</w:t>
            </w:r>
            <w:r w:rsidRPr="008A2298">
              <w:tab/>
            </w:r>
            <w:r w:rsidRPr="008A2298">
              <w:rPr>
                <w:b/>
                <w:i/>
              </w:rPr>
              <w:t>elismeri</w:t>
            </w:r>
            <w:r w:rsidRPr="008A2298">
              <w:t xml:space="preserve"> a Bizottság azon </w:t>
            </w:r>
            <w:r w:rsidRPr="008A2298">
              <w:rPr>
                <w:b/>
                <w:i/>
              </w:rPr>
              <w:t>értékelését</w:t>
            </w:r>
            <w:r w:rsidRPr="008A2298">
              <w:t xml:space="preserve">, hogy a civil társadalmi szervezetek és az emberijog-védők </w:t>
            </w:r>
            <w:r w:rsidRPr="008A2298">
              <w:rPr>
                <w:b/>
                <w:i/>
              </w:rPr>
              <w:t>hatást gyakorolnak</w:t>
            </w:r>
            <w:r w:rsidRPr="008A2298">
              <w:t xml:space="preserve"> a hatalmi </w:t>
            </w:r>
            <w:r w:rsidRPr="008A2298">
              <w:rPr>
                <w:b/>
                <w:i/>
              </w:rPr>
              <w:t>egyensúlyra</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357</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Alessandro Zan, Cecilia Strada, Sandro Ruotolo, Pina Picierno, Marco Tarquinio</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12 a.</w:t>
            </w:r>
            <w:r w:rsidRPr="008A2298">
              <w:tab/>
            </w:r>
            <w:r w:rsidRPr="008A2298">
              <w:rPr>
                <w:b/>
                <w:i/>
              </w:rPr>
              <w:t xml:space="preserve">mély aggodalmát fejezi ki az olaszországi civil társadalom előtt álló kihívások miatt; kiemeli az Európa Tanács, az OECD és az ENSZ által a közbiztonságról szóló olasz törvénytervezettel, valamint a jogi védelem és az emberi jogok ebből következő megszüntetésével kapcsolatban megfogalmazott kritikákat; súlyos aggodalmának ad hangot amiatt, hogy e törvénytervezet a szabadsághoz és biztonsághoz való jog, az önkényes fogva tartás tilalma, a szabad mozgáshoz való jog, a tisztességes eljáráshoz való jog, a magánélet tiszteletben tartásához való jog, </w:t>
            </w:r>
            <w:r w:rsidRPr="008A2298">
              <w:rPr>
                <w:b/>
                <w:i/>
              </w:rPr>
              <w:lastRenderedPageBreak/>
              <w:t>a véleménynyilvánítás szabadsága, a gyülekezési és egyesülési szabadság, valamint az alapvető jogok korlátozását vonja maga után;</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358</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Mariusz Kamiński, Joachim Stanisław Brudziński, Jadwiga Wiśniewska, Maciej Wąsik, Jacek Ozdoba</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12a.</w:t>
            </w:r>
            <w:r w:rsidRPr="008A2298">
              <w:tab/>
            </w:r>
            <w:r w:rsidRPr="008A2298">
              <w:rPr>
                <w:b/>
                <w:i/>
              </w:rPr>
              <w:t>mélységes tiltakozását fejezi ki azon szervezetek Bizottság és ügynökségei általi finanszírozása ellen, amelyek feladata a többi uniós intézmény, köztük az Európai Parlament álláspontjának befolyásolása; ezt elfogadhatatlannak tartja, felhívja a Bizottságot, hogy tegyen közzé részletes jelentést erről a témáról, és javasolja, hogy az Európai Számvevőszék végezzen ellenőrzéseket ezen a területen; úgy véli, hogy a Bizottságnak és a többi uniós intézménynek nincs lehetősége arra, hogy finanszírozást vagy más támogatási formákat különítsen el bármilyen ideológiai intézkedésre, beleértve az uniós intézmények és a tagállamok befolyásolására irányuló intézkedéseket is;</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{PL}</w:t>
      </w:r>
      <w:r w:rsidRPr="008A2298">
        <w:t>pl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359</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Isabel Serra Sánchez, Ana Catarina Mendes</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12 a.</w:t>
            </w:r>
            <w:r w:rsidRPr="008A2298">
              <w:tab/>
            </w:r>
            <w:r w:rsidRPr="008A2298">
              <w:rPr>
                <w:b/>
                <w:i/>
              </w:rPr>
              <w:t xml:space="preserve">mély aggodalmát fejezi ki az </w:t>
            </w:r>
            <w:r w:rsidRPr="008A2298">
              <w:rPr>
                <w:b/>
                <w:i/>
              </w:rPr>
              <w:lastRenderedPageBreak/>
              <w:t>éghajlati aktivizmus több uniós tagállamban tapasztalható fokozódó üldözése és bűncselekménnyé nyilvánítása miatt; elítéli, hogy az éghajlati aktivistákat „bűnszervezetek” tagjainak minősítették, valamint elítéli a terrorizmus és a szervezett bűnözés elleni törvényekkel való visszaélést a békés tiltakozó mozgalmak elnyomása céljából; kiemeli, hogy az ilyen intézkedések nemcsak a békés gyülekezéshez és a véleménynyilvánítás szabadságához való alapvető jogot sértik, hanem elrettentő hatással is járnak, amely visszafogja a polgári szerepvállalást és a demokratikus részvételt; felhívja a tagállamokat, hogy tartózkodjanak az éghajlat-politikai aktivistákkal szembeni aránytalan jogi fellépésektől;</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360</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Mary Khan, Christine Anderson, Milan Uhrík, Ewa Zajączkowska-Hernik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12 a.</w:t>
            </w:r>
            <w:r w:rsidRPr="008A2298">
              <w:tab/>
            </w:r>
            <w:r w:rsidRPr="008A2298">
              <w:rPr>
                <w:b/>
                <w:i/>
              </w:rPr>
              <w:t>aggodalmát fejezi ki a nem kormányzati szervezetek uniós költségvetésből történő egyre növekvő finanszírozása miatt; hangsúlyozza, hogy ellentmondásos a nem kormányzati szervezet fogalma, ha valamely kormány finanszírozza; felszólít az uniós költségvetésből a nem kormányzati szervezeteknek nyújtott valamennyi kifizetés alapos felülvizsgálatára, különös tekintettel Timmerman volt biztos Lobby-Loop elnevezésű programjára, amelynek keretében a Bizottság olyan nem kormányzati szervezeteket finanszíroz, amelyek európai parlamenti képviselőknél lobbiznak azért, hogy kiálljanak a Bizottság javaslatai mellett;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lastRenderedPageBreak/>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361</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12 a bekezdés (új)</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p>
        </w:tc>
        <w:tc>
          <w:tcPr>
            <w:tcW w:w="4876" w:type="dxa"/>
            <w:tcBorders>
              <w:top w:val="nil"/>
              <w:left w:val="nil"/>
              <w:bottom w:val="nil"/>
              <w:right w:val="nil"/>
            </w:tcBorders>
          </w:tcPr>
          <w:p w:rsidR="00085AC1" w:rsidRPr="008A2298" w:rsidRDefault="00085AC1" w:rsidP="00875E96">
            <w:pPr>
              <w:pStyle w:val="Normal6a"/>
            </w:pPr>
            <w:r w:rsidRPr="008A2298">
              <w:rPr>
                <w:b/>
                <w:i/>
              </w:rPr>
              <w:t>12 a.</w:t>
            </w:r>
            <w:r w:rsidRPr="008A2298">
              <w:tab/>
            </w:r>
            <w:r w:rsidRPr="008A2298">
              <w:rPr>
                <w:b/>
                <w:i/>
              </w:rPr>
              <w:t>elítéli, hogy a civil társadalmi szervezeteket és az emberijog-védőket harmadik országbeli állami és nem állami szereplők külpolitikai programjainak végrehajtására használják fel; hangsúlyozza, hogy a Bizottságnak az új politikák kialakításakor nem szabad külföldi finanszírozású szervezetekre támaszkodnia, mivel célkitűzéseik nem feltétlenül igazodnak az EU célkitűzéseihez;</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362</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Nicolas Bay</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13.</w:t>
            </w:r>
            <w:r w:rsidRPr="008A2298">
              <w:tab/>
            </w:r>
            <w:r w:rsidRPr="008A2298">
              <w:rPr>
                <w:b/>
                <w:i/>
              </w:rPr>
              <w:t>aggodalmát fejezi ki azon növekvő tendencia miatt, hogy a civil társadalmi szervezetek és az emberijog-védők további jogi korlátozásokkal, a finanszírozás hiányával és támadásokkal szembesülnek; felszólít egy, a civil társadalmat segítő és támogató keretrendszer kidolgozására, és megismétli a közéleti részvételt akadályozó stratégiai perek elleni irányelv és az (EU) 2022/758 bizottsági ajánlás elfogadásának fontosságát a civil társadalmi szervezetek védelme érdekében; úgy véli, hogy a Bizottságnak és a tagállamoknak bővíteniük kell a civil társadalmi szervezetek finanszírozását;</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{FR}</w:t>
      </w:r>
      <w:r w:rsidRPr="008A2298">
        <w:t>fr</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363</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Emmanuel Fragkos, Geadis Geadi, Galato Alexandraki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13.</w:t>
            </w:r>
            <w:r w:rsidRPr="008A2298">
              <w:tab/>
            </w:r>
            <w:r w:rsidRPr="008A2298">
              <w:rPr>
                <w:b/>
                <w:i/>
              </w:rPr>
              <w:t>aggodalmát fejezi ki azon növekvő tendencia miatt, hogy a civil társadalmi szervezetek és az emberijog-védők további jogi korlátozásokkal, a finanszírozás hiányával és támadásokkal szembesülnek; felszólít egy, a civil társadalmat segítő és támogató keretrendszer kidolgozására, és megismétli a közéleti részvételt akadályozó stratégiai perek elleni irányelv és az (EU) 2022/758 bizottsági ajánlás elfogadásának fontosságát a civil társadalmi szervezetek védelme érdekében; úgy véli, hogy a Bizottságnak és a tagállamoknak bővíteniük kell a civil társadalmi szervezetek finanszírozását;</w:t>
            </w:r>
          </w:p>
        </w:tc>
        <w:tc>
          <w:tcPr>
            <w:tcW w:w="4876" w:type="dxa"/>
            <w:tcBorders>
              <w:top w:val="nil"/>
              <w:left w:val="nil"/>
              <w:bottom w:val="nil"/>
              <w:right w:val="nil"/>
            </w:tcBorders>
          </w:tcPr>
          <w:p w:rsidR="00085AC1" w:rsidRPr="008A2298" w:rsidRDefault="00085AC1" w:rsidP="00875E96">
            <w:pPr>
              <w:pStyle w:val="Normal6a"/>
            </w:pPr>
            <w:r w:rsidRPr="008A2298">
              <w:rPr>
                <w:b/>
                <w:i/>
              </w:rPr>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{EL}</w:t>
      </w:r>
      <w:r w:rsidRPr="008A2298">
        <w:t>el</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364</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Jorge Buxadé Villalba, Marieke Ehlers, Malika Sorel, Fabrice Leggeri</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rPr>
                <w:b/>
                <w:i/>
              </w:rPr>
              <w:t>13.</w:t>
            </w:r>
            <w:r w:rsidRPr="008A2298">
              <w:tab/>
            </w:r>
            <w:r w:rsidRPr="008A2298">
              <w:rPr>
                <w:b/>
                <w:i/>
              </w:rPr>
              <w:t xml:space="preserve">aggodalmát fejezi ki azon növekvő tendencia miatt, hogy a civil társadalmi szervezetek és az emberijog-védők további jogi korlátozásokkal, a finanszírozás hiányával és támadásokkal szembesülnek; felszólít egy, a civil társadalmat segítő és támogató keretrendszer kidolgozására, és megismétli a közéleti részvételt akadályozó stratégiai perek elleni irányelv és az (EU) 2022/758 bizottsági ajánlás elfogadásának </w:t>
            </w:r>
            <w:r w:rsidRPr="008A2298">
              <w:rPr>
                <w:b/>
                <w:i/>
              </w:rPr>
              <w:lastRenderedPageBreak/>
              <w:t>fontosságát a civil társadalmi szervezetek védelme érdekében; úgy véli, hogy a Bizottságnak és a tagállamoknak bővíteniük kell a civil társadalmi szervezetek finanszírozását;</w:t>
            </w:r>
          </w:p>
        </w:tc>
        <w:tc>
          <w:tcPr>
            <w:tcW w:w="4876" w:type="dxa"/>
            <w:tcBorders>
              <w:top w:val="nil"/>
              <w:left w:val="nil"/>
              <w:bottom w:val="nil"/>
              <w:right w:val="nil"/>
            </w:tcBorders>
          </w:tcPr>
          <w:p w:rsidR="00085AC1" w:rsidRPr="008A2298" w:rsidRDefault="00085AC1" w:rsidP="00875E96">
            <w:pPr>
              <w:pStyle w:val="Normal6a"/>
            </w:pPr>
            <w:r w:rsidRPr="008A2298">
              <w:rPr>
                <w:b/>
                <w:i/>
              </w:rPr>
              <w:lastRenderedPageBreak/>
              <w:t>törölve</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365</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Erik Kaliňák</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13.</w:t>
            </w:r>
            <w:r w:rsidRPr="008A2298">
              <w:tab/>
              <w:t xml:space="preserve">aggodalmát fejezi ki azon növekvő tendencia miatt, hogy </w:t>
            </w:r>
            <w:r w:rsidRPr="008A2298">
              <w:rPr>
                <w:b/>
                <w:i/>
              </w:rPr>
              <w:t>a civil társadalmi szervezetek és az emberijog-védők további jogi korlátozásokkal, a finanszírozás hiányával és támadásokkal szembesülnek; felszólít egy, a civil társadalmat segítő és támogató keretrendszer kidolgozására, és megismétli a közéleti részvételt akadályozó stratégiai perek elleni irányelv és az (EU) 2022/758 bizottsági ajánlás elfogadásának fontosságát a civil társadalmi szervezetek védelme érdekében; úgy véli, hogy a Bizottságnak és a tagállamoknak bővíteniük kell a civil társadalmi szervezetek finanszírozását;</w:t>
            </w:r>
          </w:p>
        </w:tc>
        <w:tc>
          <w:tcPr>
            <w:tcW w:w="4876" w:type="dxa"/>
            <w:tcBorders>
              <w:top w:val="nil"/>
              <w:left w:val="nil"/>
              <w:bottom w:val="nil"/>
              <w:right w:val="nil"/>
            </w:tcBorders>
          </w:tcPr>
          <w:p w:rsidR="00085AC1" w:rsidRPr="008A2298" w:rsidRDefault="00085AC1" w:rsidP="00875E96">
            <w:pPr>
              <w:pStyle w:val="Normal6a"/>
            </w:pPr>
            <w:r w:rsidRPr="008A2298">
              <w:t>13.</w:t>
            </w:r>
            <w:r w:rsidRPr="008A2298">
              <w:tab/>
              <w:t xml:space="preserve">aggodalmát fejezi ki azon növekvő tendencia miatt, hogy </w:t>
            </w:r>
            <w:r w:rsidRPr="008A2298">
              <w:rPr>
                <w:b/>
                <w:i/>
              </w:rPr>
              <w:t>visszaélésszerűen felhasználják</w:t>
            </w:r>
            <w:r w:rsidRPr="008A2298">
              <w:t xml:space="preserve"> a civil </w:t>
            </w:r>
            <w:r w:rsidRPr="008A2298">
              <w:rPr>
                <w:b/>
                <w:i/>
              </w:rPr>
              <w:t>társadalmi szervezeteket</w:t>
            </w:r>
            <w:r w:rsidRPr="008A2298">
              <w:t xml:space="preserve"> és az </w:t>
            </w:r>
            <w:r w:rsidRPr="008A2298">
              <w:rPr>
                <w:b/>
                <w:i/>
              </w:rPr>
              <w:t>emberijog-védőket</w:t>
            </w:r>
            <w:r w:rsidRPr="008A2298">
              <w:t xml:space="preserve"> a </w:t>
            </w:r>
            <w:r w:rsidRPr="008A2298">
              <w:rPr>
                <w:b/>
                <w:i/>
              </w:rPr>
              <w:t>jogszerűen megválasztott kormányok elleni küzdelem eszközeként</w:t>
            </w:r>
            <w:r w:rsidRPr="008A2298">
              <w:t>;</w:t>
            </w:r>
          </w:p>
        </w:tc>
      </w:tr>
    </w:tbl>
    <w:p w:rsidR="00085AC1" w:rsidRPr="008A2298" w:rsidRDefault="00085AC1" w:rsidP="00085AC1">
      <w:pPr>
        <w:pStyle w:val="AmOrLang"/>
      </w:pPr>
      <w:r w:rsidRPr="008A2298">
        <w:t xml:space="preserve">Or. </w:t>
      </w:r>
      <w:r w:rsidRPr="008A2298">
        <w:rPr>
          <w:rStyle w:val="HideTWBExt"/>
        </w:rPr>
        <w:t>&lt;Original&gt;</w:t>
      </w:r>
      <w:r w:rsidRPr="008A2298">
        <w:rPr>
          <w:rStyle w:val="HideTWBInt"/>
        </w:rPr>
        <w:t>{SK}</w:t>
      </w:r>
      <w:r w:rsidRPr="008A2298">
        <w:t>sk</w:t>
      </w:r>
      <w:r w:rsidRPr="008A2298">
        <w:rPr>
          <w:rStyle w:val="HideTWBExt"/>
        </w:rPr>
        <w:t>&lt;/Original&gt;</w:t>
      </w:r>
    </w:p>
    <w:p w:rsidR="00085AC1" w:rsidRPr="008A2298" w:rsidRDefault="00085AC1" w:rsidP="00085AC1">
      <w:r w:rsidRPr="008A2298">
        <w:rPr>
          <w:rStyle w:val="HideTWBExt"/>
        </w:rPr>
        <w:t>&lt;/Amend&gt;</w:t>
      </w:r>
    </w:p>
    <w:p w:rsidR="00085AC1" w:rsidRPr="008A2298" w:rsidRDefault="00085AC1" w:rsidP="00085AC1">
      <w:pPr>
        <w:pStyle w:val="AmNumberTabs"/>
      </w:pPr>
      <w:r w:rsidRPr="008A2298">
        <w:rPr>
          <w:rStyle w:val="HideTWBExt"/>
          <w:b w:val="0"/>
        </w:rPr>
        <w:t>&lt;Amend&gt;</w:t>
      </w:r>
      <w:r w:rsidRPr="008A2298">
        <w:t>Módosítás</w:t>
      </w:r>
      <w:r w:rsidRPr="008A2298">
        <w:tab/>
      </w:r>
      <w:r w:rsidRPr="008A2298">
        <w:tab/>
      </w:r>
      <w:r w:rsidRPr="008A2298">
        <w:rPr>
          <w:rStyle w:val="HideTWBExt"/>
          <w:b w:val="0"/>
        </w:rPr>
        <w:t>&lt;NumAm&gt;</w:t>
      </w:r>
      <w:r w:rsidRPr="008A2298">
        <w:t>366</w:t>
      </w:r>
      <w:r w:rsidRPr="008A2298">
        <w:rPr>
          <w:rStyle w:val="HideTWBExt"/>
          <w:b w:val="0"/>
        </w:rPr>
        <w:t>&lt;/NumAm&gt;</w:t>
      </w:r>
    </w:p>
    <w:p w:rsidR="00085AC1" w:rsidRPr="008A2298" w:rsidRDefault="00085AC1" w:rsidP="00085AC1">
      <w:pPr>
        <w:pStyle w:val="NormalBold"/>
      </w:pPr>
      <w:r w:rsidRPr="008A2298">
        <w:rPr>
          <w:rStyle w:val="HideTWBExt"/>
          <w:b w:val="0"/>
        </w:rPr>
        <w:t>&lt;RepeatBlock-By&gt;&lt;Members&gt;</w:t>
      </w:r>
      <w:r w:rsidRPr="008A2298">
        <w:t>Michał Wawrykiewicz</w:t>
      </w:r>
      <w:r w:rsidRPr="008A2298">
        <w:rPr>
          <w:rStyle w:val="HideTWBExt"/>
          <w:b w:val="0"/>
        </w:rPr>
        <w:t>&lt;/Members&gt;</w:t>
      </w:r>
    </w:p>
    <w:p w:rsidR="00085AC1" w:rsidRPr="008A2298" w:rsidRDefault="00085AC1" w:rsidP="00085AC1">
      <w:pPr>
        <w:pStyle w:val="NormalBold"/>
      </w:pPr>
      <w:r w:rsidRPr="008A2298">
        <w:rPr>
          <w:rStyle w:val="HideTWBExt"/>
          <w:b w:val="0"/>
        </w:rPr>
        <w:t>&lt;/RepeatBlock-By&gt;</w:t>
      </w:r>
    </w:p>
    <w:p w:rsidR="00085AC1" w:rsidRPr="008A2298" w:rsidRDefault="00085AC1" w:rsidP="00085AC1">
      <w:pPr>
        <w:pStyle w:val="NormalBold"/>
      </w:pPr>
      <w:r w:rsidRPr="008A2298">
        <w:rPr>
          <w:rStyle w:val="HideTWBExt"/>
          <w:b w:val="0"/>
        </w:rPr>
        <w:t>&lt;DocAmend&gt;</w:t>
      </w:r>
      <w:r w:rsidRPr="008A2298">
        <w:t>Állásfoglalásra irányuló indítvány</w:t>
      </w:r>
      <w:r w:rsidRPr="008A2298">
        <w:rPr>
          <w:rStyle w:val="HideTWBExt"/>
          <w:b w:val="0"/>
        </w:rPr>
        <w:t>&lt;/DocAmend&gt;</w:t>
      </w:r>
    </w:p>
    <w:p w:rsidR="00085AC1" w:rsidRPr="008A2298" w:rsidRDefault="00085AC1" w:rsidP="00085AC1">
      <w:pPr>
        <w:pStyle w:val="NormalBold"/>
      </w:pPr>
      <w:r w:rsidRPr="008A2298">
        <w:rPr>
          <w:rStyle w:val="HideTWBExt"/>
          <w:b w:val="0"/>
        </w:rPr>
        <w:t>&lt;Article&gt;</w:t>
      </w:r>
      <w:r w:rsidRPr="008A2298">
        <w:t>13 bekezdés</w:t>
      </w:r>
      <w:r w:rsidRPr="008A22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AC1" w:rsidRPr="008A2298" w:rsidTr="00875E96">
        <w:trPr>
          <w:trHeight w:hRule="exact" w:val="240"/>
          <w:jc w:val="center"/>
        </w:trPr>
        <w:tc>
          <w:tcPr>
            <w:tcW w:w="9752" w:type="dxa"/>
            <w:gridSpan w:val="2"/>
            <w:tcBorders>
              <w:top w:val="nil"/>
              <w:left w:val="nil"/>
              <w:bottom w:val="nil"/>
              <w:right w:val="nil"/>
            </w:tcBorders>
          </w:tcPr>
          <w:p w:rsidR="00085AC1" w:rsidRPr="008A2298" w:rsidRDefault="00085AC1" w:rsidP="00875E96"/>
        </w:tc>
      </w:tr>
      <w:tr w:rsidR="00085AC1" w:rsidRPr="008A2298" w:rsidTr="00875E96">
        <w:trPr>
          <w:trHeight w:val="240"/>
          <w:jc w:val="center"/>
        </w:trPr>
        <w:tc>
          <w:tcPr>
            <w:tcW w:w="4876" w:type="dxa"/>
            <w:tcBorders>
              <w:top w:val="nil"/>
              <w:left w:val="nil"/>
              <w:bottom w:val="nil"/>
              <w:right w:val="nil"/>
            </w:tcBorders>
          </w:tcPr>
          <w:p w:rsidR="00085AC1" w:rsidRPr="008A2298" w:rsidRDefault="00085AC1" w:rsidP="00875E96">
            <w:pPr>
              <w:pStyle w:val="AmColumnHeading"/>
            </w:pPr>
            <w:r w:rsidRPr="008A2298">
              <w:t>Állásfoglalásra irányuló indítvány</w:t>
            </w:r>
          </w:p>
        </w:tc>
        <w:tc>
          <w:tcPr>
            <w:tcW w:w="4876" w:type="dxa"/>
            <w:tcBorders>
              <w:top w:val="nil"/>
              <w:left w:val="nil"/>
              <w:bottom w:val="nil"/>
              <w:right w:val="nil"/>
            </w:tcBorders>
          </w:tcPr>
          <w:p w:rsidR="00085AC1" w:rsidRPr="008A2298" w:rsidRDefault="00085AC1" w:rsidP="00875E96">
            <w:pPr>
              <w:pStyle w:val="AmColumnHeading"/>
            </w:pPr>
            <w:r w:rsidRPr="008A2298">
              <w:t>Módosítás</w:t>
            </w:r>
          </w:p>
        </w:tc>
      </w:tr>
      <w:tr w:rsidR="00085AC1" w:rsidRPr="008A2298" w:rsidTr="00875E96">
        <w:trPr>
          <w:jc w:val="center"/>
        </w:trPr>
        <w:tc>
          <w:tcPr>
            <w:tcW w:w="4876" w:type="dxa"/>
            <w:tcBorders>
              <w:top w:val="nil"/>
              <w:left w:val="nil"/>
              <w:bottom w:val="nil"/>
              <w:right w:val="nil"/>
            </w:tcBorders>
          </w:tcPr>
          <w:p w:rsidR="00085AC1" w:rsidRPr="008A2298" w:rsidRDefault="00085AC1" w:rsidP="00875E96">
            <w:pPr>
              <w:pStyle w:val="Normal6a"/>
            </w:pPr>
            <w:r w:rsidRPr="008A2298">
              <w:t>13.</w:t>
            </w:r>
            <w:r w:rsidRPr="008A2298">
              <w:tab/>
              <w:t xml:space="preserve">aggodalmát fejezi ki azon növekvő tendencia miatt, hogy a civil társadalmi szervezetek és az emberijog-védők további jogi korlátozásokkal, a finanszírozás </w:t>
            </w:r>
            <w:r w:rsidRPr="008A2298">
              <w:lastRenderedPageBreak/>
              <w:t>hiányával és támadásokkal szembesülnek; felszólít egy, a civil társadalmat segítő és támogató keretrendszer kidolgozására, és megismétli a közéleti részvételt akadályozó stratégiai perek elleni irányelv és az (EU) 2022/758 bizottsági ajánlás elfogadásának fontosságát a civil társadalmi szervezetek védelme érdekében; úgy véli, hogy a Bizottságnak és a tagállamoknak bővíteniük kell a civil társadalmi szervezetek finanszírozását;</w:t>
            </w:r>
          </w:p>
        </w:tc>
        <w:tc>
          <w:tcPr>
            <w:tcW w:w="4876" w:type="dxa"/>
            <w:tcBorders>
              <w:top w:val="nil"/>
              <w:left w:val="nil"/>
              <w:bottom w:val="nil"/>
              <w:right w:val="nil"/>
            </w:tcBorders>
          </w:tcPr>
          <w:p w:rsidR="00085AC1" w:rsidRPr="008A2298" w:rsidRDefault="00085AC1" w:rsidP="00875E96">
            <w:pPr>
              <w:pStyle w:val="Normal6a"/>
            </w:pPr>
            <w:r w:rsidRPr="008A2298">
              <w:lastRenderedPageBreak/>
              <w:t>13.</w:t>
            </w:r>
            <w:r w:rsidRPr="008A2298">
              <w:tab/>
              <w:t xml:space="preserve">aggodalmát fejezi ki azon növekvő tendencia miatt, hogy a civil társadalmi szervezetek és az emberijog-védők további jogi korlátozásokkal, a finanszírozás </w:t>
            </w:r>
            <w:r w:rsidRPr="008A2298">
              <w:lastRenderedPageBreak/>
              <w:t>hiányával és támadásokkal szembesülnek; felszólít egy, a civil társadalmat segítő és támogató keretrendszer kidolgozására, és megismétli a közéleti részvételt akadályozó stratégiai perek elleni irányelv és az (EU) 2022/758 bizottsági ajánlás elfogadásának fontosságát a civil társadalmi szervezetek védelme érdekében; úgy véli, hogy a Bizottságnak és a tagállamoknak bővíteniük kell a civil társadalmi szervezetek finanszírozását</w:t>
            </w:r>
            <w:r w:rsidRPr="008A2298">
              <w:rPr>
                <w:b/>
                <w:bCs/>
                <w:i/>
                <w:iCs/>
              </w:rPr>
              <w:t>, biztosítva számukra, hogy a demokratikus értékek és a jogállamiság kulcsfontosságú védelmezőiként szabadon és függetlenül működhessenek</w:t>
            </w:r>
            <w:r w:rsidRPr="008A2298">
              <w:t>;</w:t>
            </w:r>
          </w:p>
        </w:tc>
      </w:tr>
    </w:tbl>
    <w:p w:rsidR="00085AC1" w:rsidRPr="008A2298" w:rsidRDefault="00085AC1" w:rsidP="00085AC1">
      <w:pPr>
        <w:pStyle w:val="AmOrLang"/>
      </w:pPr>
      <w:r w:rsidRPr="008A2298">
        <w:lastRenderedPageBreak/>
        <w:t xml:space="preserve">Or. </w:t>
      </w:r>
      <w:r w:rsidRPr="008A2298">
        <w:rPr>
          <w:rStyle w:val="HideTWBExt"/>
        </w:rPr>
        <w:t>&lt;Original&gt;</w:t>
      </w:r>
      <w:r w:rsidRPr="008A2298">
        <w:rPr>
          <w:rStyle w:val="HideTWBInt"/>
        </w:rPr>
        <w:t>{EN}</w:t>
      </w:r>
      <w:r w:rsidRPr="008A2298">
        <w:t>en</w:t>
      </w:r>
      <w:r w:rsidRPr="008A2298">
        <w:rPr>
          <w:rStyle w:val="HideTWBExt"/>
        </w:rPr>
        <w:t>&lt;/Original&gt;</w:t>
      </w:r>
    </w:p>
    <w:p w:rsidR="00085AC1" w:rsidRPr="008A2298" w:rsidRDefault="00085AC1" w:rsidP="00085AC1">
      <w:r w:rsidRPr="008A2298">
        <w:rPr>
          <w:rStyle w:val="HideTWBExt"/>
        </w:rPr>
        <w:t>&lt;/Amend&gt;&lt;/RepeatBlock-Amend&gt;</w:t>
      </w:r>
    </w:p>
    <w:p w:rsidR="00085AC1" w:rsidRPr="008A2298" w:rsidRDefault="00085AC1" w:rsidP="00DD1D01"/>
    <w:sectPr w:rsidR="00085AC1" w:rsidRPr="008A2298" w:rsidSect="008A2298">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code="9"/>
      <w:pgMar w:top="1134" w:right="1418" w:bottom="1418" w:left="1418"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A2298" w:rsidRDefault="00B81B67">
      <w:r w:rsidRPr="008A2298">
        <w:separator/>
      </w:r>
    </w:p>
  </w:endnote>
  <w:endnote w:type="continuationSeparator" w:id="0">
    <w:p w:rsidR="00000000" w:rsidRPr="008A2298" w:rsidRDefault="00B81B67">
      <w:r w:rsidRPr="008A2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298" w:rsidRPr="008A2298" w:rsidRDefault="008A2298" w:rsidP="008A2298">
    <w:pPr>
      <w:pStyle w:val="EPFooter"/>
    </w:pPr>
    <w:r w:rsidRPr="008A2298">
      <w:t>PE</w:t>
    </w:r>
    <w:r w:rsidRPr="008A2298">
      <w:rPr>
        <w:rStyle w:val="HideTWBExt"/>
      </w:rPr>
      <w:t>&lt;NoPE&gt;</w:t>
    </w:r>
    <w:r w:rsidRPr="008A2298">
      <w:t>768.144</w:t>
    </w:r>
    <w:r w:rsidRPr="008A2298">
      <w:rPr>
        <w:rStyle w:val="HideTWBExt"/>
      </w:rPr>
      <w:t>&lt;/NoPE&gt;&lt;Version&gt;</w:t>
    </w:r>
    <w:r w:rsidRPr="008A2298">
      <w:t>v01-00</w:t>
    </w:r>
    <w:r w:rsidRPr="008A2298">
      <w:rPr>
        <w:rStyle w:val="HideTWBExt"/>
      </w:rPr>
      <w:t>&lt;/Version&gt;</w:t>
    </w:r>
    <w:r w:rsidRPr="008A2298">
      <w:tab/>
    </w:r>
    <w:r w:rsidRPr="008A2298">
      <w:fldChar w:fldCharType="begin"/>
    </w:r>
    <w:r w:rsidRPr="008A2298">
      <w:instrText xml:space="preserve"> PAGE  \* MERGEFORMAT </w:instrText>
    </w:r>
    <w:r w:rsidRPr="008A2298">
      <w:fldChar w:fldCharType="separate"/>
    </w:r>
    <w:r w:rsidR="00B81B67">
      <w:rPr>
        <w:noProof/>
      </w:rPr>
      <w:t>90</w:t>
    </w:r>
    <w:r w:rsidRPr="008A2298">
      <w:fldChar w:fldCharType="end"/>
    </w:r>
    <w:r w:rsidRPr="008A2298">
      <w:t>/</w:t>
    </w:r>
    <w:fldSimple w:instr=" NUMPAGES  \* MERGEFORMAT ">
      <w:r w:rsidR="00B81B67">
        <w:rPr>
          <w:noProof/>
        </w:rPr>
        <w:t>195</w:t>
      </w:r>
    </w:fldSimple>
    <w:r w:rsidRPr="008A2298">
      <w:tab/>
    </w:r>
    <w:r w:rsidRPr="008A2298">
      <w:rPr>
        <w:rStyle w:val="HideTWBExt"/>
      </w:rPr>
      <w:t>&lt;PathFdR&gt;</w:t>
    </w:r>
    <w:r w:rsidRPr="008A2298">
      <w:t>AM\1314503HU.docx</w:t>
    </w:r>
    <w:r w:rsidRPr="008A2298">
      <w:rPr>
        <w:rStyle w:val="HideTWBExt"/>
      </w:rPr>
      <w:t>&lt;/PathFdR&gt;</w:t>
    </w:r>
  </w:p>
  <w:p w:rsidR="00D95527" w:rsidRPr="008A2298" w:rsidRDefault="008A2298" w:rsidP="008A2298">
    <w:pPr>
      <w:pStyle w:val="EPFooter2"/>
    </w:pPr>
    <w:r w:rsidRPr="008A2298">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298" w:rsidRPr="008A2298" w:rsidRDefault="008A2298" w:rsidP="008A2298">
    <w:pPr>
      <w:pStyle w:val="EPFooter"/>
    </w:pPr>
    <w:r w:rsidRPr="008A2298">
      <w:rPr>
        <w:rStyle w:val="HideTWBExt"/>
      </w:rPr>
      <w:t>&lt;PathFdR&gt;</w:t>
    </w:r>
    <w:r w:rsidRPr="008A2298">
      <w:t>AM\1314503HU.docx</w:t>
    </w:r>
    <w:r w:rsidRPr="008A2298">
      <w:rPr>
        <w:rStyle w:val="HideTWBExt"/>
      </w:rPr>
      <w:t>&lt;/PathFdR&gt;</w:t>
    </w:r>
    <w:r w:rsidRPr="008A2298">
      <w:tab/>
    </w:r>
    <w:r w:rsidRPr="008A2298">
      <w:fldChar w:fldCharType="begin"/>
    </w:r>
    <w:r w:rsidRPr="008A2298">
      <w:instrText xml:space="preserve"> PAGE  \* MERGEFORMAT </w:instrText>
    </w:r>
    <w:r w:rsidRPr="008A2298">
      <w:fldChar w:fldCharType="separate"/>
    </w:r>
    <w:r w:rsidR="00B81B67">
      <w:rPr>
        <w:noProof/>
      </w:rPr>
      <w:t>91</w:t>
    </w:r>
    <w:r w:rsidRPr="008A2298">
      <w:fldChar w:fldCharType="end"/>
    </w:r>
    <w:r w:rsidRPr="008A2298">
      <w:t>/</w:t>
    </w:r>
    <w:fldSimple w:instr=" NUMPAGES  \* MERGEFORMAT ">
      <w:r w:rsidR="00B81B67">
        <w:rPr>
          <w:noProof/>
        </w:rPr>
        <w:t>195</w:t>
      </w:r>
    </w:fldSimple>
    <w:r w:rsidRPr="008A2298">
      <w:tab/>
      <w:t>PE</w:t>
    </w:r>
    <w:r w:rsidRPr="008A2298">
      <w:rPr>
        <w:rStyle w:val="HideTWBExt"/>
      </w:rPr>
      <w:t>&lt;NoPE&gt;</w:t>
    </w:r>
    <w:r w:rsidRPr="008A2298">
      <w:t>768.144</w:t>
    </w:r>
    <w:r w:rsidRPr="008A2298">
      <w:rPr>
        <w:rStyle w:val="HideTWBExt"/>
      </w:rPr>
      <w:t>&lt;/NoPE&gt;&lt;Version&gt;</w:t>
    </w:r>
    <w:r w:rsidRPr="008A2298">
      <w:t>v01-00</w:t>
    </w:r>
    <w:r w:rsidRPr="008A2298">
      <w:rPr>
        <w:rStyle w:val="HideTWBExt"/>
      </w:rPr>
      <w:t>&lt;/Version&gt;</w:t>
    </w:r>
  </w:p>
  <w:p w:rsidR="00D95527" w:rsidRPr="008A2298" w:rsidRDefault="008A2298" w:rsidP="008A2298">
    <w:pPr>
      <w:pStyle w:val="EPFooter2"/>
    </w:pPr>
    <w:r w:rsidRPr="008A2298">
      <w:tab/>
    </w:r>
    <w:r w:rsidRPr="008A2298">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298" w:rsidRPr="008A2298" w:rsidRDefault="008A2298" w:rsidP="008A2298">
    <w:pPr>
      <w:pStyle w:val="EPFooter"/>
    </w:pPr>
    <w:r w:rsidRPr="008A2298">
      <w:rPr>
        <w:rStyle w:val="HideTWBExt"/>
      </w:rPr>
      <w:t>&lt;PathFdR&gt;</w:t>
    </w:r>
    <w:r w:rsidRPr="008A2298">
      <w:t>AM\1314503HU.docx</w:t>
    </w:r>
    <w:r w:rsidRPr="008A2298">
      <w:rPr>
        <w:rStyle w:val="HideTWBExt"/>
      </w:rPr>
      <w:t>&lt;/PathFdR&gt;</w:t>
    </w:r>
    <w:r w:rsidRPr="008A2298">
      <w:tab/>
    </w:r>
    <w:r w:rsidRPr="008A2298">
      <w:tab/>
      <w:t>PE</w:t>
    </w:r>
    <w:r w:rsidRPr="008A2298">
      <w:rPr>
        <w:rStyle w:val="HideTWBExt"/>
      </w:rPr>
      <w:t>&lt;NoPE&gt;</w:t>
    </w:r>
    <w:r w:rsidRPr="008A2298">
      <w:t>768.144</w:t>
    </w:r>
    <w:r w:rsidRPr="008A2298">
      <w:rPr>
        <w:rStyle w:val="HideTWBExt"/>
      </w:rPr>
      <w:t>&lt;/NoPE&gt;&lt;Version&gt;</w:t>
    </w:r>
    <w:r w:rsidRPr="008A2298">
      <w:t>v01-00</w:t>
    </w:r>
    <w:r w:rsidRPr="008A2298">
      <w:rPr>
        <w:rStyle w:val="HideTWBExt"/>
      </w:rPr>
      <w:t>&lt;/Version&gt;</w:t>
    </w:r>
  </w:p>
  <w:p w:rsidR="00E93ED6" w:rsidRPr="008A2298" w:rsidRDefault="008A2298" w:rsidP="008A2298">
    <w:pPr>
      <w:pStyle w:val="EPFooter2"/>
    </w:pPr>
    <w:r w:rsidRPr="008A2298">
      <w:t>HU</w:t>
    </w:r>
    <w:r w:rsidRPr="008A2298">
      <w:tab/>
    </w:r>
    <w:r w:rsidRPr="008A2298">
      <w:rPr>
        <w:b w:val="0"/>
        <w:i/>
        <w:color w:val="C0C0C0"/>
        <w:sz w:val="22"/>
      </w:rPr>
      <w:t>Egyesülve a sokféleségben</w:t>
    </w:r>
    <w:r w:rsidRPr="008A2298">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A2298" w:rsidRDefault="00B81B67">
      <w:r w:rsidRPr="008A2298">
        <w:separator/>
      </w:r>
    </w:p>
  </w:footnote>
  <w:footnote w:type="continuationSeparator" w:id="0">
    <w:p w:rsidR="00000000" w:rsidRPr="008A2298" w:rsidRDefault="00B81B67">
      <w:r w:rsidRPr="008A22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B67" w:rsidRDefault="00B81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B67" w:rsidRDefault="00B81B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B67" w:rsidRDefault="00B81B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rSubDir" w:val="1314"/>
    <w:docVar w:name="TXTLANGUE" w:val="HU"/>
    <w:docVar w:name="TXTLANGUEMIN" w:val="hu"/>
    <w:docVar w:name="TXTNRPE" w:val="768.144"/>
    <w:docVar w:name="TXTPEorAP" w:val="PE"/>
    <w:docVar w:name="TXTROUTE" w:val="AM\1314503HU.docx"/>
    <w:docVar w:name="TXTVERSION" w:val="01-00"/>
  </w:docVars>
  <w:rsids>
    <w:rsidRoot w:val="00000FB0"/>
    <w:rsid w:val="00000FB0"/>
    <w:rsid w:val="00006052"/>
    <w:rsid w:val="00036199"/>
    <w:rsid w:val="00085AC1"/>
    <w:rsid w:val="000B3765"/>
    <w:rsid w:val="001C553B"/>
    <w:rsid w:val="001F0314"/>
    <w:rsid w:val="002C30FA"/>
    <w:rsid w:val="002C4375"/>
    <w:rsid w:val="00306F80"/>
    <w:rsid w:val="00351DF4"/>
    <w:rsid w:val="005719D6"/>
    <w:rsid w:val="005D7B22"/>
    <w:rsid w:val="00655845"/>
    <w:rsid w:val="00664292"/>
    <w:rsid w:val="006F06C2"/>
    <w:rsid w:val="00763C99"/>
    <w:rsid w:val="00773D44"/>
    <w:rsid w:val="0080223F"/>
    <w:rsid w:val="008A2298"/>
    <w:rsid w:val="009324B9"/>
    <w:rsid w:val="009E76B7"/>
    <w:rsid w:val="00A60152"/>
    <w:rsid w:val="00B81B67"/>
    <w:rsid w:val="00BF40B7"/>
    <w:rsid w:val="00C0762D"/>
    <w:rsid w:val="00C215C0"/>
    <w:rsid w:val="00CF051B"/>
    <w:rsid w:val="00D00EBD"/>
    <w:rsid w:val="00D1454C"/>
    <w:rsid w:val="00D33ACA"/>
    <w:rsid w:val="00D95527"/>
    <w:rsid w:val="00DC1887"/>
    <w:rsid w:val="00DD1D01"/>
    <w:rsid w:val="00E314AE"/>
    <w:rsid w:val="00E93ED6"/>
    <w:rsid w:val="00FE3EF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B72B1"/>
  <w15:chartTrackingRefBased/>
  <w15:docId w15:val="{25FA9F70-2253-44DE-AFC8-C1A6FE6E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B22"/>
    <w:rPr>
      <w:sz w:val="24"/>
    </w:rPr>
  </w:style>
  <w:style w:type="paragraph" w:styleId="Heading1">
    <w:name w:val="heading 1"/>
    <w:basedOn w:val="Normal"/>
    <w:next w:val="Normal"/>
    <w:link w:val="Heading1Char"/>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rsid w:val="00655845"/>
    <w:rPr>
      <w:rFonts w:ascii="Arial" w:hAnsi="Arial" w:cs="Arial"/>
      <w:noProof/>
      <w:vanish/>
      <w:color w:val="000080"/>
      <w:sz w:val="20"/>
    </w:rPr>
  </w:style>
  <w:style w:type="character" w:customStyle="1" w:styleId="HideTWBInt">
    <w:name w:val="HideTWBInt"/>
    <w:rsid w:val="00655845"/>
    <w:rPr>
      <w:rFonts w:ascii="Arial" w:hAnsi="Arial" w:cs="Arial"/>
      <w:noProof/>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2C30FA"/>
    <w:pPr>
      <w:spacing w:after="240"/>
    </w:pPr>
  </w:style>
  <w:style w:type="paragraph" w:customStyle="1" w:styleId="EPName">
    <w:name w:val="EPName"/>
    <w:basedOn w:val="Normal"/>
    <w:rsid w:val="00DD1D01"/>
    <w:pPr>
      <w:widowControl w:val="0"/>
      <w:spacing w:before="80" w:after="80"/>
    </w:pPr>
    <w:rPr>
      <w:rFonts w:ascii="Arial Narrow" w:eastAsia="Arial" w:hAnsi="Arial Narrow" w:cs="Arial"/>
      <w:b/>
      <w:sz w:val="32"/>
      <w:szCs w:val="24"/>
      <w:lang w:eastAsia="en-US"/>
    </w:rPr>
  </w:style>
  <w:style w:type="paragraph" w:customStyle="1" w:styleId="CoverNormal24a">
    <w:name w:val="CoverNormal24a"/>
    <w:basedOn w:val="Normal"/>
    <w:rsid w:val="00DD1D01"/>
    <w:pPr>
      <w:widowControl w:val="0"/>
      <w:spacing w:after="480"/>
      <w:ind w:left="1416"/>
    </w:pPr>
    <w:rPr>
      <w:szCs w:val="24"/>
      <w:lang w:eastAsia="en-US"/>
    </w:rPr>
  </w:style>
  <w:style w:type="paragraph" w:customStyle="1" w:styleId="CoverNormal">
    <w:name w:val="CoverNormal"/>
    <w:basedOn w:val="Normal"/>
    <w:rsid w:val="00DD1D01"/>
    <w:pPr>
      <w:widowControl w:val="0"/>
      <w:ind w:left="1418"/>
    </w:pPr>
    <w:rPr>
      <w:szCs w:val="24"/>
      <w:lang w:eastAsia="en-US"/>
    </w:rPr>
  </w:style>
  <w:style w:type="paragraph" w:customStyle="1" w:styleId="CoverReference">
    <w:name w:val="CoverReference"/>
    <w:basedOn w:val="Normal"/>
    <w:rsid w:val="00DD1D01"/>
    <w:pPr>
      <w:widowControl w:val="0"/>
      <w:spacing w:before="1080"/>
      <w:jc w:val="right"/>
    </w:pPr>
    <w:rPr>
      <w:rFonts w:ascii="Arial" w:eastAsia="Arial" w:hAnsi="Arial" w:cs="Arial"/>
      <w:b/>
      <w:szCs w:val="24"/>
      <w:lang w:eastAsia="en-US"/>
    </w:rPr>
  </w:style>
  <w:style w:type="paragraph" w:customStyle="1" w:styleId="CoverDocType">
    <w:name w:val="CoverDocType"/>
    <w:basedOn w:val="Normal"/>
    <w:rsid w:val="00DD1D01"/>
    <w:pPr>
      <w:widowControl w:val="0"/>
      <w:ind w:left="1418"/>
    </w:pPr>
    <w:rPr>
      <w:rFonts w:ascii="Arial" w:hAnsi="Arial"/>
      <w:b/>
      <w:sz w:val="48"/>
      <w:szCs w:val="24"/>
      <w:lang w:eastAsia="en-US"/>
    </w:rPr>
  </w:style>
  <w:style w:type="paragraph" w:customStyle="1" w:styleId="CoverDate">
    <w:name w:val="CoverDate"/>
    <w:basedOn w:val="Normal"/>
    <w:rsid w:val="00DD1D01"/>
    <w:pPr>
      <w:widowControl w:val="0"/>
      <w:spacing w:before="240" w:after="1200"/>
    </w:pPr>
    <w:rPr>
      <w:szCs w:val="24"/>
      <w:lang w:eastAsia="en-US"/>
    </w:rPr>
  </w:style>
  <w:style w:type="paragraph" w:customStyle="1" w:styleId="CoverDocType24a">
    <w:name w:val="CoverDocType24a"/>
    <w:basedOn w:val="Normal"/>
    <w:rsid w:val="00DD1D01"/>
    <w:pPr>
      <w:widowControl w:val="0"/>
      <w:spacing w:after="480"/>
      <w:ind w:left="1416"/>
    </w:pPr>
    <w:rPr>
      <w:rFonts w:ascii="Arial" w:eastAsia="Arial" w:hAnsi="Arial" w:cs="Arial"/>
      <w:b/>
      <w:sz w:val="48"/>
      <w:szCs w:val="24"/>
      <w:lang w:eastAsia="en-US"/>
    </w:rPr>
  </w:style>
  <w:style w:type="paragraph" w:customStyle="1" w:styleId="CoverBold">
    <w:name w:val="CoverBold"/>
    <w:basedOn w:val="Normal"/>
    <w:rsid w:val="00DD1D01"/>
    <w:pPr>
      <w:widowControl w:val="0"/>
      <w:ind w:left="1416"/>
    </w:pPr>
    <w:rPr>
      <w:b/>
      <w:szCs w:val="24"/>
      <w:lang w:eastAsia="en-US"/>
    </w:rPr>
  </w:style>
  <w:style w:type="paragraph" w:customStyle="1" w:styleId="EPBody">
    <w:name w:val="EPBody"/>
    <w:basedOn w:val="Normal"/>
    <w:rsid w:val="00DD1D01"/>
    <w:pPr>
      <w:widowControl w:val="0"/>
      <w:jc w:val="center"/>
    </w:pPr>
    <w:rPr>
      <w:rFonts w:ascii="Arial" w:eastAsia="Arial" w:hAnsi="Arial" w:cs="Arial"/>
      <w:i/>
      <w:sz w:val="22"/>
      <w:szCs w:val="24"/>
      <w:lang w:eastAsia="en-US"/>
    </w:rPr>
  </w:style>
  <w:style w:type="paragraph" w:customStyle="1" w:styleId="LineTop">
    <w:name w:val="LineTop"/>
    <w:basedOn w:val="Normal"/>
    <w:next w:val="Normal"/>
    <w:rsid w:val="00DD1D01"/>
    <w:pPr>
      <w:widowControl w:val="0"/>
      <w:pBdr>
        <w:top w:val="single" w:sz="4" w:space="1" w:color="000000"/>
      </w:pBdr>
      <w:jc w:val="center"/>
    </w:pPr>
    <w:rPr>
      <w:rFonts w:ascii="Arial" w:eastAsia="Arial" w:hAnsi="Arial" w:cs="Arial"/>
      <w:sz w:val="16"/>
      <w:szCs w:val="24"/>
      <w:lang w:eastAsia="en-US"/>
    </w:rPr>
  </w:style>
  <w:style w:type="paragraph" w:customStyle="1" w:styleId="LineBottom">
    <w:name w:val="LineBottom"/>
    <w:basedOn w:val="Normal"/>
    <w:next w:val="Normal"/>
    <w:rsid w:val="00DD1D01"/>
    <w:pPr>
      <w:widowControl w:val="0"/>
      <w:pBdr>
        <w:bottom w:val="single" w:sz="4" w:space="1" w:color="000000"/>
      </w:pBdr>
      <w:spacing w:after="240"/>
      <w:jc w:val="center"/>
    </w:pPr>
    <w:rPr>
      <w:rFonts w:ascii="Arial" w:eastAsia="Arial" w:hAnsi="Arial" w:cs="Arial"/>
      <w:sz w:val="16"/>
      <w:szCs w:val="24"/>
      <w:lang w:eastAsia="en-US"/>
    </w:rPr>
  </w:style>
  <w:style w:type="paragraph" w:customStyle="1" w:styleId="EPTerm">
    <w:name w:val="EPTerm"/>
    <w:basedOn w:val="Normal"/>
    <w:next w:val="Normal"/>
    <w:rsid w:val="00DD1D01"/>
    <w:pPr>
      <w:widowControl w:val="0"/>
      <w:spacing w:after="80"/>
    </w:pPr>
    <w:rPr>
      <w:rFonts w:ascii="Arial" w:eastAsia="Arial" w:hAnsi="Arial" w:cs="Arial"/>
      <w:sz w:val="20"/>
      <w:szCs w:val="24"/>
      <w:lang w:eastAsia="en-US"/>
    </w:rPr>
  </w:style>
  <w:style w:type="paragraph" w:customStyle="1" w:styleId="EPLogo">
    <w:name w:val="EPLogo"/>
    <w:basedOn w:val="Normal"/>
    <w:rsid w:val="00DD1D01"/>
    <w:pPr>
      <w:widowControl w:val="0"/>
      <w:jc w:val="right"/>
    </w:pPr>
    <w:rPr>
      <w:szCs w:val="24"/>
      <w:lang w:eastAsia="en-US"/>
    </w:rPr>
  </w:style>
  <w:style w:type="paragraph" w:customStyle="1" w:styleId="NormalBold">
    <w:name w:val="NormalBold"/>
    <w:basedOn w:val="Normal"/>
    <w:rsid w:val="00DD1D01"/>
    <w:pPr>
      <w:widowControl w:val="0"/>
    </w:pPr>
    <w:rPr>
      <w:b/>
      <w:szCs w:val="24"/>
      <w:lang w:eastAsia="en-US"/>
    </w:rPr>
  </w:style>
  <w:style w:type="paragraph" w:customStyle="1" w:styleId="AmOrLang">
    <w:name w:val="AmOrLang"/>
    <w:basedOn w:val="Normal"/>
    <w:rsid w:val="00DD1D01"/>
    <w:pPr>
      <w:widowControl w:val="0"/>
      <w:spacing w:before="240" w:after="240"/>
      <w:jc w:val="right"/>
    </w:pPr>
    <w:rPr>
      <w:szCs w:val="24"/>
      <w:lang w:eastAsia="en-US"/>
    </w:rPr>
  </w:style>
  <w:style w:type="paragraph" w:customStyle="1" w:styleId="Normal6a">
    <w:name w:val="Normal6a"/>
    <w:basedOn w:val="Normal"/>
    <w:rsid w:val="00DD1D01"/>
    <w:pPr>
      <w:widowControl w:val="0"/>
      <w:spacing w:after="120"/>
    </w:pPr>
    <w:rPr>
      <w:szCs w:val="24"/>
      <w:lang w:eastAsia="en-US"/>
    </w:rPr>
  </w:style>
  <w:style w:type="paragraph" w:customStyle="1" w:styleId="AmColumnHeading">
    <w:name w:val="AmColumnHeading"/>
    <w:basedOn w:val="Normal"/>
    <w:rsid w:val="00DD1D01"/>
    <w:pPr>
      <w:widowControl w:val="0"/>
      <w:spacing w:after="240"/>
      <w:jc w:val="center"/>
    </w:pPr>
    <w:rPr>
      <w:i/>
      <w:szCs w:val="24"/>
      <w:lang w:eastAsia="en-US"/>
    </w:rPr>
  </w:style>
  <w:style w:type="paragraph" w:customStyle="1" w:styleId="AmNumberTabs">
    <w:name w:val="AmNumberTabs"/>
    <w:basedOn w:val="Normal"/>
    <w:rsid w:val="00DD1D01"/>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AmCrossRef">
    <w:name w:val="AmCrossRef"/>
    <w:basedOn w:val="Normal"/>
    <w:rsid w:val="00DD1D01"/>
    <w:pPr>
      <w:widowControl w:val="0"/>
      <w:spacing w:before="240" w:after="240"/>
      <w:jc w:val="center"/>
    </w:pPr>
    <w:rPr>
      <w:i/>
      <w:szCs w:val="24"/>
      <w:lang w:eastAsia="en-US"/>
    </w:rPr>
  </w:style>
  <w:style w:type="character" w:customStyle="1" w:styleId="EPFooter2Motto">
    <w:name w:val="EPFooter2Motto"/>
    <w:rsid w:val="00DD1D01"/>
    <w:rPr>
      <w:rFonts w:ascii="Arial" w:hAnsi="Arial"/>
      <w:b/>
      <w:i/>
      <w:color w:val="C0C0C0"/>
      <w:sz w:val="22"/>
    </w:rPr>
  </w:style>
  <w:style w:type="paragraph" w:customStyle="1" w:styleId="EPFooterLandscape">
    <w:name w:val="EPFooterLandscape"/>
    <w:rsid w:val="00DD1D01"/>
    <w:pPr>
      <w:widowControl w:val="0"/>
      <w:tabs>
        <w:tab w:val="center" w:pos="6800"/>
        <w:tab w:val="right" w:pos="15020"/>
      </w:tabs>
    </w:pPr>
    <w:rPr>
      <w:sz w:val="22"/>
      <w:lang w:eastAsia="en-US"/>
    </w:rPr>
  </w:style>
  <w:style w:type="paragraph" w:customStyle="1" w:styleId="Normal0">
    <w:name w:val="Normal0"/>
    <w:basedOn w:val="Normal"/>
    <w:rsid w:val="00DD1D01"/>
    <w:pPr>
      <w:widowControl w:val="0"/>
    </w:pPr>
    <w:rPr>
      <w:sz w:val="0"/>
      <w:szCs w:val="24"/>
      <w:lang w:eastAsia="en-US"/>
    </w:rPr>
  </w:style>
  <w:style w:type="paragraph" w:customStyle="1" w:styleId="EPFooter2Landscape">
    <w:name w:val="EPFooter2Landscape"/>
    <w:rsid w:val="00DD1D01"/>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DD1D01"/>
    <w:rPr>
      <w:rFonts w:ascii="Arial" w:hAnsi="Arial"/>
      <w:b w:val="0"/>
      <w:i/>
      <w:color w:val="AEAAAA"/>
      <w:sz w:val="22"/>
      <w:shd w:val="pct50" w:color="auto" w:fill="auto"/>
    </w:rPr>
  </w:style>
  <w:style w:type="paragraph" w:customStyle="1" w:styleId="PMissingStyle">
    <w:name w:val="P_MissingStyle"/>
    <w:basedOn w:val="Normal"/>
    <w:rsid w:val="00DD1D01"/>
    <w:pPr>
      <w:widowControl w:val="0"/>
    </w:pPr>
    <w:rPr>
      <w:color w:val="FFFFFF"/>
      <w:szCs w:val="24"/>
      <w:shd w:val="clear" w:color="000000" w:fill="000000"/>
      <w:lang w:eastAsia="en-US"/>
    </w:rPr>
  </w:style>
  <w:style w:type="character" w:customStyle="1" w:styleId="CMissingStyle">
    <w:name w:val="C_MissingStyle"/>
    <w:rsid w:val="00DD1D01"/>
    <w:rPr>
      <w:color w:val="FFFFFF"/>
      <w:sz w:val="22"/>
      <w:shd w:val="clear" w:color="000000" w:fill="000000"/>
    </w:rPr>
  </w:style>
  <w:style w:type="paragraph" w:customStyle="1" w:styleId="Normal12a">
    <w:name w:val="Normal12a"/>
    <w:basedOn w:val="Normal"/>
    <w:rsid w:val="00DD1D01"/>
    <w:pPr>
      <w:widowControl w:val="0"/>
      <w:spacing w:after="240"/>
    </w:pPr>
    <w:rPr>
      <w:szCs w:val="24"/>
      <w:lang w:eastAsia="en-US"/>
    </w:rPr>
  </w:style>
  <w:style w:type="paragraph" w:styleId="Header">
    <w:name w:val="header"/>
    <w:basedOn w:val="Normal"/>
    <w:link w:val="HeaderChar"/>
    <w:rsid w:val="00DD1D01"/>
    <w:pPr>
      <w:widowControl w:val="0"/>
      <w:tabs>
        <w:tab w:val="center" w:pos="4513"/>
        <w:tab w:val="right" w:pos="9026"/>
      </w:tabs>
    </w:pPr>
    <w:rPr>
      <w:szCs w:val="24"/>
      <w:lang w:eastAsia="en-US"/>
    </w:rPr>
  </w:style>
  <w:style w:type="character" w:customStyle="1" w:styleId="HeaderChar">
    <w:name w:val="Header Char"/>
    <w:basedOn w:val="DefaultParagraphFont"/>
    <w:link w:val="Header"/>
    <w:rsid w:val="00DD1D01"/>
    <w:rPr>
      <w:sz w:val="24"/>
      <w:szCs w:val="24"/>
      <w:lang w:val="hu-HU" w:eastAsia="en-US"/>
    </w:rPr>
  </w:style>
  <w:style w:type="paragraph" w:styleId="Footer">
    <w:name w:val="footer"/>
    <w:basedOn w:val="Normal"/>
    <w:link w:val="FooterChar"/>
    <w:rsid w:val="00DD1D01"/>
    <w:pPr>
      <w:widowControl w:val="0"/>
      <w:tabs>
        <w:tab w:val="center" w:pos="4513"/>
        <w:tab w:val="right" w:pos="9026"/>
      </w:tabs>
    </w:pPr>
    <w:rPr>
      <w:szCs w:val="24"/>
      <w:lang w:eastAsia="en-US"/>
    </w:rPr>
  </w:style>
  <w:style w:type="character" w:customStyle="1" w:styleId="FooterChar">
    <w:name w:val="Footer Char"/>
    <w:basedOn w:val="DefaultParagraphFont"/>
    <w:link w:val="Footer"/>
    <w:rsid w:val="00DD1D01"/>
    <w:rPr>
      <w:sz w:val="24"/>
      <w:szCs w:val="24"/>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okor\AppData\Local\Temp\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0</TotalTime>
  <Pages>195</Pages>
  <Words>31065</Words>
  <Characters>228298</Characters>
  <Application>Microsoft Office Word</Application>
  <DocSecurity>0</DocSecurity>
  <Lines>9670</Lines>
  <Paragraphs>3525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2025-03-21T11:21:00Z</dcterms:created>
  <dcterms:modified xsi:type="dcterms:W3CDTF">2025-03-21T11:21:00Z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1314503</vt:lpwstr>
  </property>
  <property fmtid="{D5CDD505-2E9C-101B-9397-08002B2CF9AE}" pid="4" name="&lt;Model&gt;">
    <vt:lpwstr>AM_Com_NonLegReport</vt:lpwstr>
  </property>
  <property fmtid="{D5CDD505-2E9C-101B-9397-08002B2CF9AE}" pid="5" name="&lt;ModelCod&gt;">
    <vt:lpwstr/>
  </property>
  <property fmtid="{D5CDD505-2E9C-101B-9397-08002B2CF9AE}" pid="6" name="&lt;ModelTra&gt;">
    <vt:lpwstr/>
  </property>
  <property fmtid="{D5CDD505-2E9C-101B-9397-08002B2CF9AE}" pid="7" name="&lt;Type&gt;">
    <vt:lpwstr>AM</vt:lpwstr>
  </property>
  <property fmtid="{D5CDD505-2E9C-101B-9397-08002B2CF9AE}" pid="8" name="SDLStudio">
    <vt:lpwstr/>
  </property>
  <property fmtid="{D5CDD505-2E9C-101B-9397-08002B2CF9AE}" pid="9" name="LastEdited with">
    <vt:lpwstr>10.0.1 Build [20250114]</vt:lpwstr>
  </property>
  <property fmtid="{D5CDD505-2E9C-101B-9397-08002B2CF9AE}" pid="10" name="FooterPath">
    <vt:lpwstr>AM\1314503HU.docx</vt:lpwstr>
  </property>
  <property fmtid="{D5CDD505-2E9C-101B-9397-08002B2CF9AE}" pid="11" name="PE number">
    <vt:lpwstr>768.144</vt:lpwstr>
  </property>
  <property fmtid="{D5CDD505-2E9C-101B-9397-08002B2CF9AE}" pid="12" name="Bookout">
    <vt:lpwstr>OK - 2025/03/21 12:21</vt:lpwstr>
  </property>
</Properties>
</file>