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273277" w:rsidTr="008836EF">
        <w:trPr>
          <w:trHeight w:hRule="exact" w:val="1418"/>
        </w:trPr>
        <w:tc>
          <w:tcPr>
            <w:tcW w:w="6804" w:type="dxa"/>
            <w:shd w:val="clear" w:color="auto" w:fill="auto"/>
            <w:vAlign w:val="center"/>
          </w:tcPr>
          <w:p w:rsidR="005E5FA1" w:rsidRPr="00273277" w:rsidRDefault="00273277" w:rsidP="008836EF">
            <w:pPr>
              <w:pStyle w:val="EPName"/>
            </w:pPr>
            <w:r w:rsidRPr="00273277">
              <w:t>Evropski parlament</w:t>
            </w:r>
          </w:p>
          <w:p w:rsidR="005E5FA1" w:rsidRPr="00601F95" w:rsidRDefault="00601F95" w:rsidP="00601F95">
            <w:pPr>
              <w:pStyle w:val="EPTerm"/>
            </w:pPr>
            <w:r>
              <w:t>2024-2029</w:t>
            </w:r>
          </w:p>
        </w:tc>
        <w:tc>
          <w:tcPr>
            <w:tcW w:w="2268" w:type="dxa"/>
            <w:shd w:val="clear" w:color="auto" w:fill="auto"/>
          </w:tcPr>
          <w:p w:rsidR="005E5FA1" w:rsidRPr="00273277" w:rsidRDefault="005E5FA1" w:rsidP="008836EF">
            <w:pPr>
              <w:pStyle w:val="EPLogo"/>
            </w:pPr>
            <w:r w:rsidRPr="00273277">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F4E9D" w:rsidRPr="00273277" w:rsidRDefault="00CF4E9D" w:rsidP="00CF4E9D">
      <w:pPr>
        <w:pStyle w:val="LineTop"/>
      </w:pPr>
    </w:p>
    <w:p w:rsidR="00CF4E9D" w:rsidRPr="00273277" w:rsidRDefault="00CF4E9D" w:rsidP="00CF4E9D">
      <w:pPr>
        <w:pStyle w:val="EPBody"/>
      </w:pPr>
      <w:r w:rsidRPr="00273277">
        <w:rPr>
          <w:rStyle w:val="HideTWBExt"/>
        </w:rPr>
        <w:t>&lt;</w:t>
      </w:r>
      <w:r w:rsidRPr="00273277">
        <w:rPr>
          <w:rStyle w:val="HideTWBExt"/>
          <w:i w:val="0"/>
        </w:rPr>
        <w:t>Commission</w:t>
      </w:r>
      <w:r w:rsidRPr="00273277">
        <w:rPr>
          <w:rStyle w:val="HideTWBExt"/>
        </w:rPr>
        <w:t>&gt;</w:t>
      </w:r>
      <w:r w:rsidR="00601F95" w:rsidRPr="00601F95">
        <w:rPr>
          <w:rStyle w:val="HideTWBInt"/>
        </w:rPr>
        <w:t>{LIBE}</w:t>
      </w:r>
      <w:r w:rsidR="00601F95">
        <w:t>Odbor za državljanske svoboščine, pravosodje in notranje zadeve</w:t>
      </w:r>
      <w:r w:rsidRPr="00273277">
        <w:rPr>
          <w:rStyle w:val="HideTWBExt"/>
        </w:rPr>
        <w:t>&lt;/</w:t>
      </w:r>
      <w:r w:rsidRPr="00273277">
        <w:rPr>
          <w:rStyle w:val="HideTWBExt"/>
          <w:i w:val="0"/>
        </w:rPr>
        <w:t>Commission</w:t>
      </w:r>
      <w:r w:rsidRPr="00273277">
        <w:rPr>
          <w:rStyle w:val="HideTWBExt"/>
        </w:rPr>
        <w:t>&gt;</w:t>
      </w:r>
    </w:p>
    <w:p w:rsidR="00CF4E9D" w:rsidRPr="00273277" w:rsidRDefault="00CF4E9D" w:rsidP="00CF4E9D">
      <w:pPr>
        <w:pStyle w:val="LineBottom"/>
      </w:pPr>
    </w:p>
    <w:p w:rsidR="00794E41" w:rsidRPr="00273277" w:rsidRDefault="00794E41" w:rsidP="00794E41">
      <w:pPr>
        <w:pStyle w:val="CoverReference"/>
      </w:pPr>
      <w:r w:rsidRPr="00273277">
        <w:rPr>
          <w:rStyle w:val="HideTWBExt"/>
          <w:b w:val="0"/>
        </w:rPr>
        <w:t>&lt;RefProc&gt;</w:t>
      </w:r>
      <w:r w:rsidR="00601F95" w:rsidRPr="00601F95">
        <w:t>2024/2078</w:t>
      </w:r>
      <w:r w:rsidRPr="00273277">
        <w:rPr>
          <w:rStyle w:val="HideTWBExt"/>
          <w:b w:val="0"/>
        </w:rPr>
        <w:t>&lt;/RefProc&gt;&lt;RefTypeProc&gt;</w:t>
      </w:r>
      <w:r w:rsidR="00273277" w:rsidRPr="00273277">
        <w:t>(</w:t>
      </w:r>
      <w:r w:rsidR="00601F95">
        <w:t>INI</w:t>
      </w:r>
      <w:r w:rsidR="00273277" w:rsidRPr="00273277">
        <w:t>)</w:t>
      </w:r>
      <w:r w:rsidRPr="00273277">
        <w:rPr>
          <w:rStyle w:val="HideTWBExt"/>
          <w:b w:val="0"/>
        </w:rPr>
        <w:t>&lt;/RefTypeProc&gt;</w:t>
      </w:r>
    </w:p>
    <w:p w:rsidR="00794E41" w:rsidRPr="00273277" w:rsidRDefault="00794E41" w:rsidP="00794E41">
      <w:pPr>
        <w:pStyle w:val="CoverDate"/>
      </w:pPr>
      <w:r w:rsidRPr="00273277">
        <w:rPr>
          <w:rStyle w:val="HideTWBExt"/>
        </w:rPr>
        <w:t>&lt;Date&gt;</w:t>
      </w:r>
      <w:r w:rsidR="00601F95" w:rsidRPr="00601F95">
        <w:rPr>
          <w:rStyle w:val="HideTWBInt"/>
        </w:rPr>
        <w:t>{19/02/2025}</w:t>
      </w:r>
      <w:r w:rsidR="00601F95">
        <w:t>19.2.2025</w:t>
      </w:r>
      <w:r w:rsidRPr="00273277">
        <w:rPr>
          <w:rStyle w:val="HideTWBExt"/>
        </w:rPr>
        <w:t>&lt;/Date&gt;</w:t>
      </w:r>
    </w:p>
    <w:p w:rsidR="00794E41" w:rsidRPr="00273277" w:rsidRDefault="00794E41" w:rsidP="00794E41">
      <w:pPr>
        <w:pStyle w:val="CoverDocType"/>
      </w:pPr>
      <w:r w:rsidRPr="00273277">
        <w:rPr>
          <w:rStyle w:val="HideTWBExt"/>
          <w:b w:val="0"/>
        </w:rPr>
        <w:t>&lt;TypeAM&gt;</w:t>
      </w:r>
      <w:r w:rsidR="00601F95">
        <w:t>PREDLOGI SPREMEMB</w:t>
      </w:r>
      <w:r w:rsidRPr="00273277">
        <w:rPr>
          <w:rStyle w:val="HideTWBExt"/>
          <w:b w:val="0"/>
        </w:rPr>
        <w:t>&lt;/TypeAM&gt;</w:t>
      </w:r>
    </w:p>
    <w:p w:rsidR="00794E41" w:rsidRPr="00273277" w:rsidRDefault="00794E41" w:rsidP="00794E41">
      <w:pPr>
        <w:pStyle w:val="CoverDocType24a"/>
      </w:pPr>
      <w:r w:rsidRPr="00273277">
        <w:rPr>
          <w:rStyle w:val="HideTWBExt"/>
          <w:b w:val="0"/>
        </w:rPr>
        <w:t>&lt;RangeAM&gt;</w:t>
      </w:r>
      <w:r w:rsidR="00601F95" w:rsidRPr="00601F95">
        <w:t>1</w:t>
      </w:r>
      <w:r w:rsidR="00601F95">
        <w:t xml:space="preserve"> - </w:t>
      </w:r>
      <w:r w:rsidR="00601F95" w:rsidRPr="00601F95">
        <w:t>366</w:t>
      </w:r>
      <w:r w:rsidRPr="00273277">
        <w:rPr>
          <w:rStyle w:val="HideTWBExt"/>
          <w:b w:val="0"/>
        </w:rPr>
        <w:t>&lt;/RangeAM&gt;</w:t>
      </w:r>
    </w:p>
    <w:p w:rsidR="00794E41" w:rsidRPr="00273277" w:rsidRDefault="00794E41" w:rsidP="007B1846">
      <w:pPr>
        <w:pStyle w:val="CoverBold"/>
      </w:pPr>
      <w:r w:rsidRPr="00273277">
        <w:rPr>
          <w:rStyle w:val="HideTWBExt"/>
          <w:b w:val="0"/>
        </w:rPr>
        <w:t>&lt;TitreType&gt;</w:t>
      </w:r>
      <w:r w:rsidR="00273277" w:rsidRPr="00273277">
        <w:t>Osnutek poročila</w:t>
      </w:r>
      <w:r w:rsidRPr="00273277">
        <w:rPr>
          <w:rStyle w:val="HideTWBExt"/>
          <w:b w:val="0"/>
        </w:rPr>
        <w:t>&lt;/TitreType&gt;</w:t>
      </w:r>
    </w:p>
    <w:p w:rsidR="00601F95" w:rsidRPr="00BF159C" w:rsidRDefault="00601F95" w:rsidP="00601F95">
      <w:pPr>
        <w:pStyle w:val="CoverBold"/>
        <w:rPr>
          <w:lang w:val="sv-SE"/>
        </w:rPr>
      </w:pPr>
      <w:r w:rsidRPr="00BF159C">
        <w:rPr>
          <w:rStyle w:val="HideTWBExt"/>
          <w:b w:val="0"/>
          <w:lang w:val="sv-SE"/>
        </w:rPr>
        <w:t>&lt;Rapporteur&gt;</w:t>
      </w:r>
      <w:r w:rsidRPr="00BF159C">
        <w:rPr>
          <w:lang w:val="sv-SE"/>
        </w:rPr>
        <w:t>Ana Catarina Mendes</w:t>
      </w:r>
      <w:r w:rsidRPr="00BF159C">
        <w:rPr>
          <w:rStyle w:val="HideTWBExt"/>
          <w:b w:val="0"/>
          <w:lang w:val="sv-SE"/>
        </w:rPr>
        <w:t>&lt;/Rapporteur&gt;</w:t>
      </w:r>
    </w:p>
    <w:p w:rsidR="00601F95" w:rsidRPr="00444926" w:rsidRDefault="00601F95" w:rsidP="00601F95">
      <w:pPr>
        <w:pStyle w:val="CoverNormal24a"/>
      </w:pPr>
      <w:r w:rsidRPr="00444926">
        <w:rPr>
          <w:rStyle w:val="HideTWBExt"/>
        </w:rPr>
        <w:t>&lt;DocRefPE&gt;</w:t>
      </w:r>
      <w:r w:rsidRPr="00444926">
        <w:t>(PE767.867v01-00)</w:t>
      </w:r>
      <w:r w:rsidRPr="00444926">
        <w:rPr>
          <w:rStyle w:val="HideTWBExt"/>
        </w:rPr>
        <w:t>&lt;/DocRefPE&gt;</w:t>
      </w:r>
    </w:p>
    <w:p w:rsidR="00601F95" w:rsidRPr="00444926" w:rsidRDefault="00601F95" w:rsidP="00601F95">
      <w:pPr>
        <w:pStyle w:val="CoverNormal"/>
      </w:pPr>
      <w:r w:rsidRPr="00444926">
        <w:rPr>
          <w:rStyle w:val="HideTWBExt"/>
        </w:rPr>
        <w:t>&lt;Titre&gt;</w:t>
      </w:r>
      <w:r w:rsidR="00130C87" w:rsidRPr="00130C87">
        <w:rPr>
          <w:szCs w:val="24"/>
          <w:shd w:val="clear" w:color="auto" w:fill="FFFFFF"/>
        </w:rPr>
        <w:t>Poročilo Komisije o stanju pravne države za leto 2024</w:t>
      </w:r>
      <w:r w:rsidRPr="00444926">
        <w:rPr>
          <w:rStyle w:val="HideTWBExt"/>
        </w:rPr>
        <w:t>&lt;/Titre&gt;</w:t>
      </w:r>
    </w:p>
    <w:p w:rsidR="00601F95" w:rsidRPr="00444926" w:rsidRDefault="00601F95" w:rsidP="00601F95">
      <w:pPr>
        <w:pStyle w:val="CoverNormal24a"/>
      </w:pPr>
      <w:r w:rsidRPr="00444926">
        <w:rPr>
          <w:rStyle w:val="HideTWBExt"/>
        </w:rPr>
        <w:t>&lt;DocRef&gt;</w:t>
      </w:r>
      <w:r w:rsidRPr="00444926">
        <w:t>(2024/2078(INI))</w:t>
      </w:r>
      <w:r w:rsidRPr="00444926">
        <w:rPr>
          <w:rStyle w:val="HideTWBExt"/>
        </w:rPr>
        <w:t>&lt;/DocRef&gt;</w:t>
      </w:r>
    </w:p>
    <w:p w:rsidR="00794E41" w:rsidRPr="00273277" w:rsidRDefault="00794E41" w:rsidP="008B040A">
      <w:pPr>
        <w:widowControl/>
        <w:tabs>
          <w:tab w:val="center" w:pos="4677"/>
        </w:tabs>
      </w:pPr>
      <w:r w:rsidRPr="00273277">
        <w:br w:type="page"/>
      </w:r>
      <w:r w:rsidR="00273277" w:rsidRPr="00273277">
        <w:lastRenderedPageBreak/>
        <w:t>AM_Com_NonLegReport</w:t>
      </w:r>
    </w:p>
    <w:p w:rsidR="00F931B6" w:rsidRPr="00444926" w:rsidRDefault="00794E41" w:rsidP="00F931B6">
      <w:pPr>
        <w:pStyle w:val="AmNumberTabs"/>
      </w:pPr>
      <w:r w:rsidRPr="00273277">
        <w:br w:type="page"/>
      </w:r>
      <w:r w:rsidR="00F931B6" w:rsidRPr="00F931B6">
        <w:rPr>
          <w:rStyle w:val="HideTWBExt"/>
          <w:b w:val="0"/>
        </w:rPr>
        <w:lastRenderedPageBreak/>
        <w:t>&lt;RepeatBlock-Amend&gt;</w:t>
      </w:r>
      <w:r w:rsidR="00F931B6">
        <w:rPr>
          <w:rStyle w:val="HideTWBExt"/>
          <w:b w:val="0"/>
        </w:rPr>
        <w:t>&lt;Amend&gt;</w:t>
      </w:r>
      <w:r w:rsidR="00F931B6">
        <w:t>Predlog spremembe</w:t>
      </w:r>
      <w:r w:rsidR="00F931B6">
        <w:tab/>
      </w:r>
      <w:r w:rsidR="00F931B6">
        <w:tab/>
      </w:r>
      <w:r w:rsidR="00F931B6">
        <w:rPr>
          <w:rStyle w:val="HideTWBExt"/>
          <w:b w:val="0"/>
        </w:rPr>
        <w:t>&lt;NumAm&gt;</w:t>
      </w:r>
      <w:r w:rsidR="00F931B6">
        <w:t>1</w:t>
      </w:r>
      <w:r w:rsidR="00F931B6">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w:t>
            </w:r>
            <w:r>
              <w:tab/>
              <w:t>ob upoštevanju Pogodbe o Evropski uniji (PEU), zlasti člena </w:t>
            </w:r>
            <w:r>
              <w:rPr>
                <w:b/>
                <w:i/>
              </w:rPr>
              <w:t xml:space="preserve">2, člena 3(1), člena 3(3), drugi pododstavek, člena 4(3), ter členov 5, 6, </w:t>
            </w:r>
            <w:r>
              <w:t>7,</w:t>
            </w:r>
            <w:r>
              <w:rPr>
                <w:b/>
                <w:i/>
              </w:rPr>
              <w:t xml:space="preserve"> 11, 19 in 49,</w:t>
            </w:r>
          </w:p>
        </w:tc>
        <w:tc>
          <w:tcPr>
            <w:tcW w:w="4876" w:type="dxa"/>
            <w:tcBorders>
              <w:top w:val="nil"/>
              <w:left w:val="nil"/>
              <w:bottom w:val="nil"/>
              <w:right w:val="nil"/>
            </w:tcBorders>
          </w:tcPr>
          <w:p w:rsidR="00F931B6" w:rsidRPr="00444926" w:rsidRDefault="00F931B6" w:rsidP="007C04AE">
            <w:pPr>
              <w:pStyle w:val="Normal6a"/>
            </w:pPr>
            <w:r>
              <w:t>–</w:t>
            </w:r>
            <w:r>
              <w:tab/>
              <w:t>ob upoštevanju Pogodbe o Evropski uniji (PEU), zlasti člena 7,</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ustav držav članic ter raznolikih nacionalnih političnih sistemov in sistemov upravljanja;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Pogodbe o delovanju Evropske unije (PDEU), zlasti njenih členov, ki zadevajo spoštovanje, zaščito in spodbujanje demokracije, pravne države in temeljnih pravic v Uniji, vključno s členi 70, 258, 259, 260, 263, 265 in 267,</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4</w:t>
      </w:r>
      <w:r>
        <w:rPr>
          <w:rStyle w:val="HideTWBExt"/>
          <w:b w:val="0"/>
        </w:rPr>
        <w:t>&lt;/NumAm&gt;</w:t>
      </w:r>
    </w:p>
    <w:p w:rsidR="00F931B6" w:rsidRPr="00444926" w:rsidRDefault="00F931B6" w:rsidP="00F931B6">
      <w:pPr>
        <w:pStyle w:val="NormalBold"/>
      </w:pPr>
      <w:r>
        <w:rPr>
          <w:rStyle w:val="HideTWBExt"/>
          <w:b w:val="0"/>
        </w:rPr>
        <w:t>&lt;RepeatBlock-By&gt;&lt;Members&gt;</w:t>
      </w:r>
      <w:r>
        <w:t xml:space="preserve">Emmanuel Fragkos, </w:t>
      </w:r>
      <w:r w:rsidR="007C04AE">
        <w:t>Jeadis Jeadi (Geadis Geadi)</w:t>
      </w:r>
      <w:r>
        <w:t xml:space="preserve">, </w:t>
      </w:r>
      <w:r w:rsidR="007C04AE">
        <w:t>Galato Aleksandraki (Galato Alexandraki)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w:t>
            </w:r>
            <w:r>
              <w:tab/>
              <w:t>ob upoštevanju Pogodbe o delovanju Evropske unije (PDEU), zlasti njenih členov, ki zadevajo spoštovanje, zaščito in spodbujanje demokracije, pravne države in temeljnih pravic v Uniji, vključno s členi 70, 258, 259, 260, 263, 265 in 267,</w:t>
            </w:r>
          </w:p>
        </w:tc>
        <w:tc>
          <w:tcPr>
            <w:tcW w:w="4876" w:type="dxa"/>
            <w:tcBorders>
              <w:top w:val="nil"/>
              <w:left w:val="nil"/>
              <w:bottom w:val="nil"/>
              <w:right w:val="nil"/>
            </w:tcBorders>
          </w:tcPr>
          <w:p w:rsidR="00F931B6" w:rsidRPr="00444926" w:rsidRDefault="00F931B6" w:rsidP="007C04AE">
            <w:pPr>
              <w:pStyle w:val="Normal6a"/>
            </w:pPr>
            <w:r>
              <w:t>–</w:t>
            </w:r>
            <w:r>
              <w:tab/>
              <w:t xml:space="preserve">ob upoštevanju Pogodbe o delovanju Evropske unije (PDEU), zlasti njenih členov, ki zadevajo spoštovanje, zaščito in spodbujanje demokracije, pravne države in temeljnih pravic v Uniji, vključno s členi 70, </w:t>
            </w:r>
            <w:r>
              <w:rPr>
                <w:b/>
                <w:i/>
              </w:rPr>
              <w:t xml:space="preserve">174, </w:t>
            </w:r>
            <w:r>
              <w:t>258, 259, 260, 263, 265 in 267,</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{EL}</w:t>
      </w:r>
      <w:r w:rsidRPr="00444926">
        <w:t>el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5</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Listine Evropske unije o temeljnih pravicah (v nadaljnjem besedilu: Listina),</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6</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sodne prakse Sodišča Evropske unije,</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7</w:t>
      </w:r>
      <w:r>
        <w:rPr>
          <w:rStyle w:val="HideTWBExt"/>
          <w:b w:val="0"/>
        </w:rPr>
        <w:t>&lt;/NumAm&gt;</w:t>
      </w:r>
    </w:p>
    <w:p w:rsidR="00F931B6" w:rsidRPr="00444926" w:rsidRDefault="00F931B6" w:rsidP="00F931B6">
      <w:pPr>
        <w:pStyle w:val="NormalBold"/>
      </w:pPr>
      <w:r>
        <w:rPr>
          <w:rStyle w:val="HideTWBExt"/>
          <w:b w:val="0"/>
        </w:rPr>
        <w:t>&lt;RepeatBlock-By&gt;&lt;Members&gt;</w:t>
      </w:r>
      <w:r>
        <w:t>Daniel Freund</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Uredbe (EU, Euratom) 2024/2509 Evropskega parlamenta in Sveta z dne 23. septembra 2024 o finančnih pravilih, ki se uporabljajo za splošni proračun Unije (prenovitev) (finančna uredba), in zlasti člena 6(3) uredbe,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8</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w:t>
            </w:r>
            <w:r>
              <w:tab/>
              <w:t>ob upoštevanju Uredbe</w:t>
            </w:r>
            <w:r>
              <w:rPr>
                <w:b/>
                <w:i/>
              </w:rPr>
              <w:t> </w:t>
            </w:r>
            <w:r>
              <w:t>(EU, Euratom) 2020/2092 Evropskega parlamenta in Sveta z dne 16. decembra 2020 o splošnem režimu pogojenosti za zaščito proračuna Unije</w:t>
            </w:r>
            <w:r>
              <w:rPr>
                <w:vertAlign w:val="superscript"/>
              </w:rPr>
              <w:t>1</w:t>
            </w:r>
            <w:r>
              <w:rPr>
                <w:b/>
                <w:i/>
              </w:rPr>
              <w:t xml:space="preserve"> (v nadaljnjem besedilu: uredba o pogojenosti s pravno državo)</w:t>
            </w:r>
            <w:r>
              <w:t>,</w:t>
            </w:r>
          </w:p>
        </w:tc>
        <w:tc>
          <w:tcPr>
            <w:tcW w:w="4876" w:type="dxa"/>
            <w:tcBorders>
              <w:top w:val="nil"/>
              <w:left w:val="nil"/>
              <w:bottom w:val="nil"/>
              <w:right w:val="nil"/>
            </w:tcBorders>
          </w:tcPr>
          <w:p w:rsidR="00F931B6" w:rsidRPr="00444926" w:rsidRDefault="00F931B6" w:rsidP="007C04AE">
            <w:pPr>
              <w:pStyle w:val="Normal6a"/>
            </w:pPr>
            <w:r>
              <w:t>–</w:t>
            </w:r>
            <w:r>
              <w:tab/>
              <w:t>ob upoštevanju Uredbe</w:t>
            </w:r>
            <w:r>
              <w:rPr>
                <w:b/>
                <w:i/>
              </w:rPr>
              <w:t xml:space="preserve"> </w:t>
            </w:r>
            <w:r>
              <w:t>(EU, Euratom) 2020/2092 Evropskega parlamenta in Sveta z dne 16. decembra 2020 o splošnem režimu pogojenosti za zaščito proračuna Unije</w:t>
            </w:r>
            <w:r>
              <w:rPr>
                <w:vertAlign w:val="superscript"/>
              </w:rPr>
              <w:t>1</w:t>
            </w:r>
            <w: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vertAlign w:val="superscript"/>
              </w:rPr>
              <w:t>1</w:t>
            </w:r>
            <w:r>
              <w:t xml:space="preserve"> UL L 433, 22.12.2020, str. 1, ELI: http://data.europa.eu/eli/reg/2020/2092/oj.</w:t>
            </w:r>
          </w:p>
        </w:tc>
        <w:tc>
          <w:tcPr>
            <w:tcW w:w="4876" w:type="dxa"/>
            <w:tcBorders>
              <w:top w:val="nil"/>
              <w:left w:val="nil"/>
              <w:bottom w:val="nil"/>
              <w:right w:val="nil"/>
            </w:tcBorders>
          </w:tcPr>
          <w:p w:rsidR="00F931B6" w:rsidRPr="00BF159C" w:rsidRDefault="00F931B6" w:rsidP="007C04AE">
            <w:pPr>
              <w:pStyle w:val="Normal6a"/>
            </w:pPr>
            <w:r>
              <w:rPr>
                <w:vertAlign w:val="superscript"/>
              </w:rPr>
              <w:t>1</w:t>
            </w:r>
            <w:r>
              <w:t xml:space="preserve"> UL L 433, 22.12.2020, str. 1, ELI: http://data.europa.eu/eli/reg/2020/2092/oj.</w:t>
            </w:r>
          </w:p>
        </w:tc>
      </w:tr>
    </w:tbl>
    <w:p w:rsidR="00F931B6" w:rsidRPr="00275B53" w:rsidRDefault="00F931B6" w:rsidP="00F931B6">
      <w:pPr>
        <w:pStyle w:val="AmOrLang"/>
      </w:pPr>
      <w:r w:rsidRPr="00275B53">
        <w:t xml:space="preserve">Or. </w:t>
      </w:r>
      <w:r w:rsidRPr="00275B53">
        <w:rPr>
          <w:rStyle w:val="HideTWBExt"/>
        </w:rPr>
        <w:t>&lt;Original&gt;</w:t>
      </w:r>
      <w:r w:rsidRPr="00275B53">
        <w:rPr>
          <w:rStyle w:val="HideTWBInt"/>
        </w:rPr>
        <w:t>{PL}</w:t>
      </w:r>
      <w:r w:rsidRPr="00275B53">
        <w:t>pl</w:t>
      </w:r>
      <w:r w:rsidRPr="00275B53">
        <w:rPr>
          <w:rStyle w:val="HideTWBExt"/>
        </w:rPr>
        <w:t>&lt;/Original&gt;</w:t>
      </w:r>
    </w:p>
    <w:p w:rsidR="00F931B6" w:rsidRPr="00BF159C" w:rsidRDefault="00F931B6" w:rsidP="00F931B6">
      <w:r w:rsidRPr="00275B53">
        <w:rPr>
          <w:rStyle w:val="HideTWBExt"/>
        </w:rPr>
        <w:t>&lt;/Amend&gt;</w:t>
      </w:r>
    </w:p>
    <w:p w:rsidR="00F931B6" w:rsidRPr="00BF159C" w:rsidRDefault="00F931B6" w:rsidP="00F931B6">
      <w:pPr>
        <w:pStyle w:val="AmNumberTabs"/>
      </w:pPr>
      <w:r w:rsidRPr="00275B53">
        <w:rPr>
          <w:rStyle w:val="HideTWBExt"/>
          <w:b w:val="0"/>
        </w:rPr>
        <w:t>&lt;Amend&gt;</w:t>
      </w:r>
      <w:r>
        <w:t>Predlog spremembe</w:t>
      </w:r>
      <w:r>
        <w:tab/>
      </w:r>
      <w:r>
        <w:tab/>
      </w:r>
      <w:r w:rsidRPr="00275B53">
        <w:rPr>
          <w:rStyle w:val="HideTWBExt"/>
          <w:b w:val="0"/>
        </w:rPr>
        <w:t>&lt;NumAm&gt;</w:t>
      </w:r>
      <w:r>
        <w:t>9</w:t>
      </w:r>
      <w:r w:rsidRPr="00275B53">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Pr>
                <w:b/>
                <w:i/>
                <w:vertAlign w:val="superscript"/>
              </w:rPr>
              <w:t>2</w:t>
            </w:r>
            <w:r>
              <w:rPr>
                <w:b/>
                <w:i/>
              </w:rPr>
              <w:t xml:space="preserve"> (v nadaljnjem besedilu: uredba o skupnih določbah),</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i/>
                <w:vertAlign w:val="superscript"/>
              </w:rPr>
              <w:t>2</w:t>
            </w:r>
            <w:r>
              <w:rPr>
                <w:b/>
                <w:i/>
              </w:rPr>
              <w:t xml:space="preserve"> UL L 231, 30.6.2021, str. 159, ELI: http://data.europa.eu/eli/reg/2021/1060/oj.</w:t>
            </w:r>
          </w:p>
        </w:tc>
        <w:tc>
          <w:tcPr>
            <w:tcW w:w="4876" w:type="dxa"/>
            <w:tcBorders>
              <w:top w:val="nil"/>
              <w:left w:val="nil"/>
              <w:bottom w:val="nil"/>
              <w:right w:val="nil"/>
            </w:tcBorders>
          </w:tcPr>
          <w:p w:rsidR="00F931B6" w:rsidRPr="00275B53" w:rsidRDefault="00F931B6" w:rsidP="007C04AE">
            <w:pPr>
              <w:rPr>
                <w:lang w:val="pl-PL"/>
              </w:rPr>
            </w:pPr>
          </w:p>
        </w:tc>
      </w:tr>
    </w:tbl>
    <w:p w:rsidR="00F931B6" w:rsidRPr="00275B53" w:rsidRDefault="00F931B6" w:rsidP="00F931B6">
      <w:pPr>
        <w:pStyle w:val="AmOrLang"/>
      </w:pPr>
      <w:r w:rsidRPr="00275B53">
        <w:t xml:space="preserve">Or. </w:t>
      </w:r>
      <w:r w:rsidRPr="00275B53">
        <w:rPr>
          <w:rStyle w:val="HideTWBExt"/>
        </w:rPr>
        <w:t>&lt;Original&gt;</w:t>
      </w:r>
      <w:r w:rsidRPr="00275B53">
        <w:rPr>
          <w:rStyle w:val="HideTWBInt"/>
        </w:rPr>
        <w:t>{PL}</w:t>
      </w:r>
      <w:r w:rsidRPr="00275B53">
        <w:t>pl</w:t>
      </w:r>
      <w:r w:rsidRPr="00275B53">
        <w:rPr>
          <w:rStyle w:val="HideTWBExt"/>
        </w:rPr>
        <w:t>&lt;/Original&gt;</w:t>
      </w:r>
    </w:p>
    <w:p w:rsidR="00F931B6" w:rsidRPr="00BF159C" w:rsidRDefault="00F931B6" w:rsidP="00F931B6">
      <w:r w:rsidRPr="00275B53">
        <w:rPr>
          <w:rStyle w:val="HideTWBExt"/>
        </w:rPr>
        <w:t>&lt;/Amend&gt;</w:t>
      </w:r>
    </w:p>
    <w:p w:rsidR="00F931B6" w:rsidRPr="00BF159C" w:rsidRDefault="00F931B6" w:rsidP="00F931B6">
      <w:pPr>
        <w:pStyle w:val="AmNumberTabs"/>
      </w:pPr>
      <w:r w:rsidRPr="00275B53">
        <w:rPr>
          <w:rStyle w:val="HideTWBExt"/>
          <w:b w:val="0"/>
        </w:rPr>
        <w:t>&lt;Amend&gt;</w:t>
      </w:r>
      <w:r>
        <w:t>Predlog spremembe</w:t>
      </w:r>
      <w:r>
        <w:tab/>
      </w:r>
      <w:r>
        <w:tab/>
      </w:r>
      <w:r w:rsidRPr="00275B53">
        <w:rPr>
          <w:rStyle w:val="HideTWBExt"/>
          <w:b w:val="0"/>
        </w:rPr>
        <w:t>&lt;NumAm&gt;</w:t>
      </w:r>
      <w:r>
        <w:t>10</w:t>
      </w:r>
      <w:r w:rsidRPr="00275B53">
        <w:rPr>
          <w:rStyle w:val="HideTWBExt"/>
          <w:b w:val="0"/>
        </w:rPr>
        <w:t>&lt;/NumAm&gt;</w:t>
      </w:r>
    </w:p>
    <w:p w:rsidR="00F931B6" w:rsidRPr="00BF159C" w:rsidRDefault="00F931B6" w:rsidP="00F931B6">
      <w:pPr>
        <w:pStyle w:val="NormalBold"/>
      </w:pPr>
      <w:r w:rsidRPr="00275B53">
        <w:rPr>
          <w:rStyle w:val="HideTWBExt"/>
          <w:b w:val="0"/>
        </w:rPr>
        <w:t>&lt;RepeatBlock-By&gt;&lt;Members&gt;</w:t>
      </w:r>
      <w:r>
        <w:t>Erik Kaliňák</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Pr>
                <w:b/>
                <w:i/>
                <w:vertAlign w:val="superscript"/>
              </w:rPr>
              <w:t>2</w:t>
            </w:r>
            <w:r>
              <w:rPr>
                <w:b/>
                <w:i/>
              </w:rPr>
              <w:t xml:space="preserve"> (v nadaljnjem besedilu: uredba o skupnih določbah),</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2</w:t>
            </w:r>
            <w:r>
              <w:rPr>
                <w:b/>
                <w:bCs/>
                <w:i/>
                <w:iCs/>
              </w:rPr>
              <w:t xml:space="preserve"> UL L 231, 30.6.2021, str. 159, ELI:</w:t>
            </w:r>
            <w:r>
              <w:rPr>
                <w:b/>
                <w:i/>
              </w:rPr>
              <w:t xml:space="preserve"> http://data.europa.eu/eli/reg/2021/1060/oj.</w:t>
            </w:r>
          </w:p>
        </w:tc>
        <w:tc>
          <w:tcPr>
            <w:tcW w:w="4876" w:type="dxa"/>
            <w:tcBorders>
              <w:top w:val="nil"/>
              <w:left w:val="nil"/>
              <w:bottom w:val="nil"/>
              <w:right w:val="nil"/>
            </w:tcBorders>
          </w:tcPr>
          <w:p w:rsidR="00F931B6" w:rsidRPr="00275B53" w:rsidRDefault="00F931B6" w:rsidP="007C04AE">
            <w:pPr>
              <w:rPr>
                <w:lang w:val="pl-PL"/>
              </w:rPr>
            </w:pPr>
          </w:p>
        </w:tc>
      </w:tr>
    </w:tbl>
    <w:p w:rsidR="00F931B6" w:rsidRPr="00275B53" w:rsidRDefault="00F931B6" w:rsidP="00F931B6">
      <w:pPr>
        <w:pStyle w:val="AmOrLang"/>
      </w:pPr>
      <w:r w:rsidRPr="00275B53">
        <w:t xml:space="preserve">Or. </w:t>
      </w:r>
      <w:r w:rsidRPr="00275B53">
        <w:rPr>
          <w:rStyle w:val="HideTWBExt"/>
        </w:rPr>
        <w:t>&lt;Original&gt;</w:t>
      </w:r>
      <w:r w:rsidRPr="00275B53">
        <w:rPr>
          <w:rStyle w:val="HideTWBInt"/>
        </w:rPr>
        <w:t>{SK}</w:t>
      </w:r>
      <w:r w:rsidRPr="00275B53">
        <w:t>sk</w:t>
      </w:r>
      <w:r w:rsidRPr="00275B53">
        <w:rPr>
          <w:rStyle w:val="HideTWBExt"/>
        </w:rPr>
        <w:t>&lt;/Original&gt;</w:t>
      </w:r>
    </w:p>
    <w:p w:rsidR="00F931B6" w:rsidRPr="00BF159C" w:rsidRDefault="00F931B6" w:rsidP="00F931B6">
      <w:r w:rsidRPr="00275B53">
        <w:rPr>
          <w:rStyle w:val="HideTWBExt"/>
        </w:rPr>
        <w:t>&lt;/Amend&gt;</w:t>
      </w:r>
    </w:p>
    <w:p w:rsidR="00F931B6" w:rsidRPr="00BF159C" w:rsidRDefault="00F931B6" w:rsidP="00F931B6">
      <w:pPr>
        <w:pStyle w:val="AmNumberTabs"/>
      </w:pPr>
      <w:r w:rsidRPr="00275B53">
        <w:rPr>
          <w:rStyle w:val="HideTWBExt"/>
          <w:b w:val="0"/>
        </w:rPr>
        <w:t>&lt;Amend&gt;</w:t>
      </w:r>
      <w:r>
        <w:t>Predlog spremembe</w:t>
      </w:r>
      <w:r>
        <w:tab/>
      </w:r>
      <w:r>
        <w:tab/>
      </w:r>
      <w:r w:rsidRPr="00275B53">
        <w:rPr>
          <w:rStyle w:val="HideTWBExt"/>
          <w:b w:val="0"/>
        </w:rPr>
        <w:t>&lt;NumAm&gt;</w:t>
      </w:r>
      <w:r>
        <w:t>11</w:t>
      </w:r>
      <w:r w:rsidRPr="00275B53">
        <w:rPr>
          <w:rStyle w:val="HideTWBExt"/>
          <w:b w:val="0"/>
        </w:rPr>
        <w:t>&lt;/NumAm&gt;</w:t>
      </w:r>
    </w:p>
    <w:p w:rsidR="00F931B6" w:rsidRPr="00BF159C" w:rsidRDefault="00F931B6" w:rsidP="00F931B6">
      <w:pPr>
        <w:pStyle w:val="NormalBold"/>
      </w:pPr>
      <w:r w:rsidRPr="00275B53">
        <w:rPr>
          <w:rStyle w:val="HideTWBExt"/>
          <w:b w:val="0"/>
        </w:rPr>
        <w:t>&lt;RepeatBlock-By&gt;&lt;Members&gt;</w:t>
      </w:r>
      <w:r>
        <w:t xml:space="preserve">Emmanuel Fragkos, </w:t>
      </w:r>
      <w:r w:rsidR="007C04AE">
        <w:t>Jeadis Jeadi (Geadis Geadi)</w:t>
      </w:r>
      <w:r>
        <w:t xml:space="preserve">, </w:t>
      </w:r>
      <w:r w:rsidR="007C04AE">
        <w:t>Galato Aleksandraki (Galato Alexandraki)</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BF159C" w:rsidRDefault="00F931B6" w:rsidP="00F931B6">
      <w:pPr>
        <w:pStyle w:val="NormalBold"/>
      </w:pPr>
      <w:r w:rsidRPr="00275B53">
        <w:rPr>
          <w:rStyle w:val="HideTWBExt"/>
          <w:b w:val="0"/>
        </w:rPr>
        <w:t>&lt;DocAmend&gt;</w:t>
      </w:r>
      <w:r>
        <w:t>Predlog resolucije</w:t>
      </w:r>
      <w:r w:rsidRPr="00275B53">
        <w:rPr>
          <w:rStyle w:val="HideTWBExt"/>
          <w:b w:val="0"/>
        </w:rPr>
        <w:t>&lt;/DocAmend&gt;</w:t>
      </w:r>
    </w:p>
    <w:p w:rsidR="00F931B6" w:rsidRPr="00444926" w:rsidRDefault="00F931B6" w:rsidP="00F931B6">
      <w:pPr>
        <w:pStyle w:val="NormalBold"/>
      </w:pPr>
      <w:r>
        <w:rPr>
          <w:rStyle w:val="HideTWBExt"/>
          <w:b w:val="0"/>
        </w:rPr>
        <w:t>&lt;Article&gt;</w:t>
      </w:r>
      <w:r>
        <w:t>Navedba sklicevanja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w:t>
            </w:r>
            <w:r>
              <w:tab/>
              <w:t xml:space="preserve">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w:t>
            </w:r>
            <w:r>
              <w:rPr>
                <w:b/>
                <w:i/>
              </w:rPr>
              <w:t xml:space="preserve">azil, migracije in vključevanje, Sklad za </w:t>
            </w:r>
            <w:r>
              <w:t>notranjo varnost in Instrument za finančno podporo za upravljanje meja in vizumsko politiko</w:t>
            </w:r>
            <w:r>
              <w:rPr>
                <w:vertAlign w:val="superscript"/>
              </w:rPr>
              <w:t>2</w:t>
            </w:r>
            <w:r>
              <w:t xml:space="preserve"> (v nadaljnjem besedilu: uredba o skupnih določbah),</w:t>
            </w:r>
          </w:p>
        </w:tc>
        <w:tc>
          <w:tcPr>
            <w:tcW w:w="4876" w:type="dxa"/>
            <w:tcBorders>
              <w:top w:val="nil"/>
              <w:left w:val="nil"/>
              <w:bottom w:val="nil"/>
              <w:right w:val="nil"/>
            </w:tcBorders>
          </w:tcPr>
          <w:p w:rsidR="00F931B6" w:rsidRPr="00444926" w:rsidRDefault="00F931B6" w:rsidP="007C04AE">
            <w:pPr>
              <w:pStyle w:val="Normal6a"/>
            </w:pPr>
            <w:r>
              <w:t>–</w:t>
            </w:r>
            <w:r>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notranjo varnost in Instrument za finančno podporo za upravljanje meja in vizumsko politiko</w:t>
            </w:r>
            <w:r>
              <w:rPr>
                <w:vertAlign w:val="superscript"/>
              </w:rPr>
              <w:t>2</w:t>
            </w:r>
            <w:r>
              <w:t xml:space="preserve"> (v nadaljnjem besedilu: uredba o skupnih določbah),</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vertAlign w:val="superscript"/>
              </w:rPr>
              <w:t>2</w:t>
            </w:r>
            <w:r>
              <w:t xml:space="preserve"> UL L 231, 30.6.2021, str. 159, ELI: http://data.europa.eu/eli/reg/2021/1060/oj.</w:t>
            </w:r>
          </w:p>
        </w:tc>
        <w:tc>
          <w:tcPr>
            <w:tcW w:w="4876" w:type="dxa"/>
            <w:tcBorders>
              <w:top w:val="nil"/>
              <w:left w:val="nil"/>
              <w:bottom w:val="nil"/>
              <w:right w:val="nil"/>
            </w:tcBorders>
          </w:tcPr>
          <w:p w:rsidR="00F931B6" w:rsidRPr="00BF159C" w:rsidRDefault="00F931B6" w:rsidP="007C04AE">
            <w:pPr>
              <w:pStyle w:val="Normal6a"/>
            </w:pPr>
            <w:r>
              <w:rPr>
                <w:vertAlign w:val="superscript"/>
              </w:rPr>
              <w:t>2</w:t>
            </w:r>
            <w:r>
              <w:t xml:space="preserve"> UL L 231, 30.6.2021, str. 159, ELI: http://data.europa.eu/eli/reg/2021/1060/oj.</w:t>
            </w:r>
          </w:p>
        </w:tc>
      </w:tr>
    </w:tbl>
    <w:p w:rsidR="00F931B6" w:rsidRPr="00275B53" w:rsidRDefault="00F931B6" w:rsidP="00F931B6">
      <w:pPr>
        <w:pStyle w:val="AmOrLang"/>
      </w:pPr>
      <w:r w:rsidRPr="00275B53">
        <w:t xml:space="preserve">Or. </w:t>
      </w:r>
      <w:r w:rsidRPr="00275B53">
        <w:rPr>
          <w:rStyle w:val="HideTWBExt"/>
        </w:rPr>
        <w:t>&lt;Original&gt;</w:t>
      </w:r>
      <w:r w:rsidRPr="00275B53">
        <w:rPr>
          <w:rStyle w:val="HideTWBInt"/>
        </w:rPr>
        <w:t>{EL}</w:t>
      </w:r>
      <w:r w:rsidRPr="00275B53">
        <w:t>el</w:t>
      </w:r>
      <w:r w:rsidRPr="00275B53">
        <w:rPr>
          <w:rStyle w:val="HideTWBExt"/>
        </w:rPr>
        <w:t>&lt;/Original&gt;</w:t>
      </w:r>
    </w:p>
    <w:p w:rsidR="00F931B6" w:rsidRPr="00BF159C" w:rsidRDefault="00F931B6" w:rsidP="00F931B6">
      <w:r w:rsidRPr="00275B53">
        <w:rPr>
          <w:rStyle w:val="HideTWBExt"/>
        </w:rPr>
        <w:t>&lt;/Amend&gt;</w:t>
      </w:r>
    </w:p>
    <w:p w:rsidR="00F931B6" w:rsidRPr="00BF159C" w:rsidRDefault="00F931B6" w:rsidP="00F931B6">
      <w:pPr>
        <w:pStyle w:val="AmNumberTabs"/>
      </w:pPr>
      <w:r w:rsidRPr="00275B53">
        <w:rPr>
          <w:rStyle w:val="HideTWBExt"/>
          <w:b w:val="0"/>
        </w:rPr>
        <w:t>&lt;Amend&gt;</w:t>
      </w:r>
      <w:r>
        <w:t>Predlog spremembe</w:t>
      </w:r>
      <w:r>
        <w:tab/>
      </w:r>
      <w:r>
        <w:tab/>
      </w:r>
      <w:r w:rsidRPr="00275B53">
        <w:rPr>
          <w:rStyle w:val="HideTWBExt"/>
          <w:b w:val="0"/>
        </w:rPr>
        <w:t>&lt;NumAm&gt;</w:t>
      </w:r>
      <w:r>
        <w:t>12</w:t>
      </w:r>
      <w:r w:rsidRPr="00275B53">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Uredbe (EU) 2021/692 Evropskega parlamenta in Sveta z dne 28. aprila 2021 o vzpostavitvi programa Državljani, enakost, pravice in vrednote ter razveljavitvi Uredbe (EU) št. 1381/2013 Evropskega parlamenta in Sveta in Uredbe Sveta (EU) št. 390/2014</w:t>
            </w:r>
            <w:r>
              <w:rPr>
                <w:b/>
                <w:i/>
                <w:vertAlign w:val="superscript"/>
              </w:rPr>
              <w:t>3</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w:t>
            </w:r>
            <w:r>
              <w:rPr>
                <w:b/>
                <w:bCs/>
                <w:i/>
                <w:iCs/>
              </w:rPr>
              <w:t xml:space="preserve"> UL L 156, 5.5.2021, str. 1., ELI:</w:t>
            </w:r>
            <w:r>
              <w:rPr>
                <w:b/>
                <w:i/>
              </w:rPr>
              <w:t xml:space="preserve"> http://data.europa.eu/eli/reg/2021/692/oj.</w:t>
            </w:r>
          </w:p>
        </w:tc>
        <w:tc>
          <w:tcPr>
            <w:tcW w:w="4876" w:type="dxa"/>
            <w:tcBorders>
              <w:top w:val="nil"/>
              <w:left w:val="nil"/>
              <w:bottom w:val="nil"/>
              <w:right w:val="nil"/>
            </w:tcBorders>
          </w:tcPr>
          <w:p w:rsidR="00F931B6" w:rsidRPr="00275B53" w:rsidRDefault="00F931B6" w:rsidP="007C04AE">
            <w:pPr>
              <w:rPr>
                <w:lang w:val="pl-PL"/>
              </w:rPr>
            </w:pPr>
          </w:p>
        </w:tc>
      </w:tr>
    </w:tbl>
    <w:p w:rsidR="00F931B6" w:rsidRPr="00275B53" w:rsidRDefault="00F931B6" w:rsidP="00F931B6">
      <w:pPr>
        <w:pStyle w:val="AmOrLang"/>
      </w:pPr>
      <w:r w:rsidRPr="00275B53">
        <w:t xml:space="preserve">Or. </w:t>
      </w:r>
      <w:r w:rsidRPr="00275B53">
        <w:rPr>
          <w:rStyle w:val="HideTWBExt"/>
        </w:rPr>
        <w:t>&lt;Original&gt;</w:t>
      </w:r>
      <w:r w:rsidRPr="00275B53">
        <w:rPr>
          <w:rStyle w:val="HideTWBInt"/>
        </w:rPr>
        <w:t>{PL}</w:t>
      </w:r>
      <w:r w:rsidRPr="00275B53">
        <w:t>pl</w:t>
      </w:r>
      <w:r w:rsidRPr="00275B53">
        <w:rPr>
          <w:rStyle w:val="HideTWBExt"/>
        </w:rPr>
        <w:t>&lt;/Original&gt;</w:t>
      </w:r>
    </w:p>
    <w:p w:rsidR="00F931B6" w:rsidRPr="00BF159C" w:rsidRDefault="00F931B6" w:rsidP="00F931B6">
      <w:r w:rsidRPr="00275B53">
        <w:rPr>
          <w:rStyle w:val="HideTWBExt"/>
        </w:rPr>
        <w:t>&lt;/Amend&gt;</w:t>
      </w:r>
    </w:p>
    <w:p w:rsidR="00F931B6" w:rsidRPr="00BF159C" w:rsidRDefault="00F931B6" w:rsidP="00F931B6">
      <w:pPr>
        <w:pStyle w:val="AmNumberTabs"/>
      </w:pPr>
      <w:r w:rsidRPr="00275B53">
        <w:rPr>
          <w:rStyle w:val="HideTWBExt"/>
          <w:b w:val="0"/>
        </w:rPr>
        <w:t>&lt;Amend&gt;</w:t>
      </w:r>
      <w:r>
        <w:t>Predlog spremembe</w:t>
      </w:r>
      <w:r>
        <w:tab/>
      </w:r>
      <w:r>
        <w:tab/>
      </w:r>
      <w:r w:rsidRPr="00275B53">
        <w:rPr>
          <w:rStyle w:val="HideTWBExt"/>
          <w:b w:val="0"/>
        </w:rPr>
        <w:t>&lt;NumAm&gt;</w:t>
      </w:r>
      <w:r>
        <w:t>13</w:t>
      </w:r>
      <w:r w:rsidRPr="00275B53">
        <w:rPr>
          <w:rStyle w:val="HideTWBExt"/>
          <w:b w:val="0"/>
        </w:rPr>
        <w:t>&lt;/NumAm&gt;</w:t>
      </w:r>
    </w:p>
    <w:p w:rsidR="00F931B6" w:rsidRPr="00BF159C" w:rsidRDefault="00F931B6" w:rsidP="00F931B6">
      <w:pPr>
        <w:pStyle w:val="NormalBold"/>
      </w:pPr>
      <w:r w:rsidRPr="00275B53">
        <w:rPr>
          <w:rStyle w:val="HideTWBExt"/>
          <w:b w:val="0"/>
        </w:rPr>
        <w:t>&lt;RepeatBlock-By&gt;&lt;Members&gt;</w:t>
      </w:r>
      <w:r>
        <w:t>Erik Kaliňák</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Uredbe (EU) 2021/692 Evropskega parlamenta in Sveta z dne 28. aprila 2021 o vzpostavitvi programa Državljani, enakost, pravice in vrednote ter razveljavitvi Uredbe (EU) št. 1381/2013 Evropskega parlamenta in Sveta in Uredbe Sveta (EU) št. 390/2014</w:t>
            </w:r>
            <w:r>
              <w:rPr>
                <w:b/>
                <w:i/>
                <w:vertAlign w:val="superscript"/>
              </w:rPr>
              <w:t>3</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w:t>
            </w:r>
            <w:r>
              <w:rPr>
                <w:b/>
                <w:bCs/>
                <w:i/>
                <w:iCs/>
              </w:rPr>
              <w:t xml:space="preserve"> UL L 156, 5.5.2021, str. 1., ELI:</w:t>
            </w:r>
            <w:r>
              <w:rPr>
                <w:b/>
                <w:i/>
              </w:rPr>
              <w:t xml:space="preserve"> http://data.europa.eu/eli/reg/2021/692/oj.</w:t>
            </w:r>
          </w:p>
        </w:tc>
        <w:tc>
          <w:tcPr>
            <w:tcW w:w="4876" w:type="dxa"/>
            <w:tcBorders>
              <w:top w:val="nil"/>
              <w:left w:val="nil"/>
              <w:bottom w:val="nil"/>
              <w:right w:val="nil"/>
            </w:tcBorders>
          </w:tcPr>
          <w:p w:rsidR="00F931B6" w:rsidRPr="00275B53" w:rsidRDefault="00F931B6" w:rsidP="007C04AE">
            <w:pPr>
              <w:rPr>
                <w:lang w:val="pl-PL"/>
              </w:rPr>
            </w:pPr>
          </w:p>
        </w:tc>
      </w:tr>
    </w:tbl>
    <w:p w:rsidR="00F931B6" w:rsidRPr="00275B53" w:rsidRDefault="00F931B6" w:rsidP="00F931B6">
      <w:pPr>
        <w:pStyle w:val="AmOrLang"/>
      </w:pPr>
      <w:r w:rsidRPr="00275B53">
        <w:t xml:space="preserve">Or. </w:t>
      </w:r>
      <w:r w:rsidRPr="00275B53">
        <w:rPr>
          <w:rStyle w:val="HideTWBExt"/>
        </w:rPr>
        <w:t>&lt;Original&gt;</w:t>
      </w:r>
      <w:r w:rsidRPr="00275B53">
        <w:rPr>
          <w:rStyle w:val="HideTWBInt"/>
        </w:rPr>
        <w:t>{SK}</w:t>
      </w:r>
      <w:r w:rsidRPr="00275B53">
        <w:t>sk</w:t>
      </w:r>
      <w:r w:rsidRPr="00275B53">
        <w:rPr>
          <w:rStyle w:val="HideTWBExt"/>
        </w:rPr>
        <w:t>&lt;/Original&gt;</w:t>
      </w:r>
    </w:p>
    <w:p w:rsidR="00F931B6" w:rsidRPr="00BF159C" w:rsidRDefault="00F931B6" w:rsidP="00F931B6">
      <w:r w:rsidRPr="00275B53">
        <w:rPr>
          <w:rStyle w:val="HideTWBExt"/>
        </w:rPr>
        <w:t>&lt;/Amend&gt;</w:t>
      </w:r>
    </w:p>
    <w:p w:rsidR="00F931B6" w:rsidRPr="00BF159C" w:rsidRDefault="00F931B6" w:rsidP="00F931B6">
      <w:pPr>
        <w:pStyle w:val="AmNumberTabs"/>
      </w:pPr>
      <w:r w:rsidRPr="00275B53">
        <w:rPr>
          <w:rStyle w:val="HideTWBExt"/>
          <w:b w:val="0"/>
        </w:rPr>
        <w:t>&lt;Amend&gt;</w:t>
      </w:r>
      <w:r>
        <w:t>Predlog spremembe</w:t>
      </w:r>
      <w:r>
        <w:tab/>
      </w:r>
      <w:r>
        <w:tab/>
      </w:r>
      <w:r w:rsidRPr="00275B53">
        <w:rPr>
          <w:rStyle w:val="HideTWBExt"/>
          <w:b w:val="0"/>
        </w:rPr>
        <w:t>&lt;NumAm&gt;</w:t>
      </w:r>
      <w:r>
        <w:t>14</w:t>
      </w:r>
      <w:r w:rsidRPr="00275B53">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8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Konvencije proti mučenju in drugim krutim, nečloveškim ali poniževalnim kaznim ali ravnanju, ki jo je generalna skupščina Združenih narodov sprejela 10. decembra 1984, in njenih poznejših protokolov,</w:t>
            </w:r>
          </w:p>
        </w:tc>
      </w:tr>
    </w:tbl>
    <w:p w:rsidR="00F931B6" w:rsidRPr="00275B53" w:rsidRDefault="00F931B6" w:rsidP="00F931B6">
      <w:pPr>
        <w:pStyle w:val="AmOrLang"/>
      </w:pPr>
      <w:r w:rsidRPr="00275B53">
        <w:t xml:space="preserve">Or. </w:t>
      </w:r>
      <w:r w:rsidRPr="00275B53">
        <w:rPr>
          <w:rStyle w:val="HideTWBExt"/>
        </w:rPr>
        <w:t>&lt;Original&gt;</w:t>
      </w:r>
      <w:r w:rsidRPr="00275B53">
        <w:rPr>
          <w:rStyle w:val="HideTWBInt"/>
        </w:rPr>
        <w:t>{PL}</w:t>
      </w:r>
      <w:r w:rsidRPr="00275B53">
        <w:t>pl</w:t>
      </w:r>
      <w:r w:rsidRPr="00275B53">
        <w:rPr>
          <w:rStyle w:val="HideTWBExt"/>
        </w:rPr>
        <w:t>&lt;/Original&gt;</w:t>
      </w:r>
    </w:p>
    <w:p w:rsidR="00F931B6" w:rsidRPr="00BF159C" w:rsidRDefault="00F931B6" w:rsidP="00F931B6">
      <w:r w:rsidRPr="00275B53">
        <w:rPr>
          <w:rStyle w:val="HideTWBExt"/>
        </w:rPr>
        <w:t>&lt;/Amend&gt;</w:t>
      </w:r>
    </w:p>
    <w:p w:rsidR="00F931B6" w:rsidRPr="00BF159C" w:rsidRDefault="00F931B6" w:rsidP="00F931B6">
      <w:pPr>
        <w:pStyle w:val="AmNumberTabs"/>
      </w:pPr>
      <w:r w:rsidRPr="00275B53">
        <w:rPr>
          <w:rStyle w:val="HideTWBExt"/>
          <w:b w:val="0"/>
        </w:rPr>
        <w:t>&lt;Amend&gt;</w:t>
      </w:r>
      <w:r>
        <w:t>Predlog spremembe</w:t>
      </w:r>
      <w:r>
        <w:tab/>
      </w:r>
      <w:r>
        <w:tab/>
      </w:r>
      <w:r w:rsidRPr="00275B53">
        <w:rPr>
          <w:rStyle w:val="HideTWBExt"/>
          <w:b w:val="0"/>
        </w:rPr>
        <w:t>&lt;NumAm&gt;</w:t>
      </w:r>
      <w:r>
        <w:t>15</w:t>
      </w:r>
      <w:r w:rsidRPr="00275B53">
        <w:rPr>
          <w:rStyle w:val="HideTWBExt"/>
          <w:b w:val="0"/>
        </w:rPr>
        <w:t>&lt;/NumAm&gt;</w:t>
      </w:r>
    </w:p>
    <w:p w:rsidR="00F931B6" w:rsidRPr="00BF159C" w:rsidRDefault="00F931B6" w:rsidP="00F931B6">
      <w:pPr>
        <w:pStyle w:val="NormalBold"/>
      </w:pPr>
      <w:r w:rsidRPr="00275B53">
        <w:rPr>
          <w:rStyle w:val="HideTWBExt"/>
          <w:b w:val="0"/>
        </w:rPr>
        <w:t>&lt;RepeatBlock-By&gt;&lt;Members&gt;</w:t>
      </w:r>
      <w:r>
        <w:t>Erik Kaliňák</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Splošne deklaracije človekovih pravic,</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16</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instrumentov Združenih narodov o varstvu človekovih pravic in temeljnih svoboščin ter priporočil in poročil splošnega rednega pregleda Združenih narodov, pa tudi sodne prakse organov Združenih narodov za spremljanje pogodb in posebnih postopkov Sveta za človekove pravice,</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17</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instrumentov Združenih narodov o varstvu človekovih pravic in temeljnih svoboščin ter priporočil in poročil splošnega rednega pregleda Združenih narodov, pa tudi sodne prakse organov Združenih narodov za spremljanje pogodb in posebnih postopkov Sveta za človekove pravice,</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18</w:t>
      </w:r>
      <w:r>
        <w:rPr>
          <w:rStyle w:val="HideTWBExt"/>
          <w:b w:val="0"/>
        </w:rPr>
        <w:t>&lt;/NumAm&gt;</w:t>
      </w:r>
    </w:p>
    <w:p w:rsidR="00F931B6" w:rsidRPr="00444926" w:rsidRDefault="00F931B6" w:rsidP="00F931B6">
      <w:pPr>
        <w:pStyle w:val="NormalBold"/>
      </w:pPr>
      <w:r>
        <w:rPr>
          <w:rStyle w:val="HideTWBExt"/>
          <w:b w:val="0"/>
        </w:rPr>
        <w:t>&lt;RepeatBlock-By&gt;&lt;Members&gt;</w:t>
      </w:r>
      <w:r>
        <w:t>Loránt Vincze</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w:t>
            </w:r>
            <w:r>
              <w:tab/>
              <w:t xml:space="preserve">ob upoštevanju instrumentov Združenih narodov </w:t>
            </w:r>
            <w:r>
              <w:rPr>
                <w:b/>
                <w:i/>
              </w:rPr>
              <w:t>o varstvu</w:t>
            </w:r>
            <w:r>
              <w:t xml:space="preserve"> človekovih pravic in temeljnih svoboščin ter priporočil in poročil splošnega rednega pregleda Združenih narodov, pa tudi sodne prakse organov Združenih narodov za spremljanje pogodb in posebnih postopkov Sveta za človekove pravice,</w:t>
            </w:r>
          </w:p>
        </w:tc>
        <w:tc>
          <w:tcPr>
            <w:tcW w:w="4876" w:type="dxa"/>
            <w:tcBorders>
              <w:top w:val="nil"/>
              <w:left w:val="nil"/>
              <w:bottom w:val="nil"/>
              <w:right w:val="nil"/>
            </w:tcBorders>
          </w:tcPr>
          <w:p w:rsidR="00F931B6" w:rsidRPr="00444926" w:rsidRDefault="00F931B6" w:rsidP="007C04AE">
            <w:pPr>
              <w:pStyle w:val="Normal6a"/>
            </w:pPr>
            <w:r>
              <w:t>–</w:t>
            </w:r>
            <w:r>
              <w:tab/>
              <w:t xml:space="preserve">ob upoštevanju instrumentov Združenih narodov </w:t>
            </w:r>
            <w:r>
              <w:rPr>
                <w:b/>
                <w:i/>
              </w:rPr>
              <w:t>na področju varstva</w:t>
            </w:r>
            <w:r>
              <w:t xml:space="preserve"> človekovih pravic in temeljnih svoboščin</w:t>
            </w:r>
            <w:r>
              <w:rPr>
                <w:b/>
                <w:i/>
              </w:rPr>
              <w:t>, zlasti Splošne deklaracije človekovih pravic, Mednarodnega pakta o državljanskih in političnih pravicah, Konvencije o odpravi vseh oblik rasne diskriminacije, Konvencije o odpravi vseh oblik diskriminacije žensk in Konvencije o pravicah invalidov, Deklaracije o pravicah oseb, ki pripadajo narodnim ali etničnim, verskim in jezikovnim manjšinam, ter priporočil, podanih v okviru foruma Združenih narodov o manjšinskih vprašanjih,</w:t>
            </w:r>
            <w:r>
              <w:t xml:space="preserve"> ter priporočil in poročil splošnega rednega pregleda Združenih narodov, pa tudi sodne prakse organov Združenih narodov za spremljanje pogodb in posebnih postopkov Sveta za človekove pravice,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19</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Evropske konvencije o človekovih pravicah, Evropske socialne listine, sodne prakse Evropskega sodišča za človekove pravice in Evropskega odbora za socialne pravice, konvencij, priporočil, resolucij ter mnenj in poročil Parlamentarne skupščine, Sveta ministrov, komisarja za človekove pravice, Evropske komisije za boj proti rasizmu in nestrpnosti, usmerjevalnega odbora za boj proti diskriminaciji, raznolikost in vključenost, Beneške komisije ter drugih organov Sveta Evrope,</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20</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Evropske konvencije o človekovih pravicah, Evropske socialne listine, sodne prakse Evropskega sodišča za človekove pravice in Evropskega odbora za socialne pravice, konvencij, priporočil, resolucij ter mnenj in poročil Parlamentarne skupščine, Sveta ministrov, komisarja za človekove pravice, Evropske komisije za boj proti rasizmu in nestrpnosti, usmerjevalnega odbora za boj proti diskriminaciji, raznolikost in vključenost, Beneške komisije ter drugih organov Sveta Evrope,</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21</w:t>
      </w:r>
      <w:r>
        <w:rPr>
          <w:rStyle w:val="HideTWBExt"/>
          <w:b w:val="0"/>
        </w:rPr>
        <w:t>&lt;/NumAm&gt;</w:t>
      </w:r>
    </w:p>
    <w:p w:rsidR="00F931B6" w:rsidRPr="00444926" w:rsidRDefault="00F931B6" w:rsidP="00F931B6">
      <w:pPr>
        <w:pStyle w:val="NormalBold"/>
      </w:pPr>
      <w:r>
        <w:rPr>
          <w:rStyle w:val="HideTWBExt"/>
          <w:b w:val="0"/>
        </w:rPr>
        <w:t>&lt;RepeatBlock-By&gt;&lt;Members&gt;</w:t>
      </w:r>
      <w:r>
        <w:t>Daniel Freund</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w:t>
            </w:r>
            <w:r>
              <w:tab/>
              <w:t xml:space="preserve">ob upoštevanju Evropske konvencije o človekovih pravicah, Evropske socialne listine, sodne prakse Evropskega sodišča za človekove pravice in Evropskega odbora za socialne pravice, konvencij, priporočil, resolucij ter mnenj in poročil Parlamentarne skupščine, </w:t>
            </w:r>
            <w:r>
              <w:rPr>
                <w:b/>
                <w:i/>
              </w:rPr>
              <w:t>Sveta</w:t>
            </w:r>
            <w:r>
              <w:t xml:space="preserve"> ministrov, komisarja za človekove pravice, Evropske komisije za boj proti rasizmu in nestrpnosti, usmerjevalnega odbora za boj proti diskriminaciji, raznolikost in vključenost, Beneške komisije ter drugih organov Sveta Evrope,</w:t>
            </w:r>
          </w:p>
        </w:tc>
        <w:tc>
          <w:tcPr>
            <w:tcW w:w="4876" w:type="dxa"/>
            <w:tcBorders>
              <w:top w:val="nil"/>
              <w:left w:val="nil"/>
              <w:bottom w:val="nil"/>
              <w:right w:val="nil"/>
            </w:tcBorders>
          </w:tcPr>
          <w:p w:rsidR="00F931B6" w:rsidRPr="00444926" w:rsidRDefault="00F931B6" w:rsidP="007C04AE">
            <w:pPr>
              <w:pStyle w:val="Normal6a"/>
            </w:pPr>
            <w:r>
              <w:t>–</w:t>
            </w:r>
            <w:r>
              <w:tab/>
              <w:t xml:space="preserve">ob upoštevanju Evropske konvencije o človekovih pravicah, Evropske socialne listine, sodne prakse Evropskega sodišča za človekove pravice </w:t>
            </w:r>
            <w:r>
              <w:rPr>
                <w:b/>
                <w:i/>
              </w:rPr>
              <w:t xml:space="preserve">(ESČP) </w:t>
            </w:r>
            <w:r>
              <w:t xml:space="preserve">in Evropskega odbora za socialne pravice, konvencij, priporočil, resolucij ter mnenj in poročil Parlamentarne skupščine, </w:t>
            </w:r>
            <w:r>
              <w:rPr>
                <w:b/>
                <w:bCs/>
                <w:i/>
                <w:iCs/>
              </w:rPr>
              <w:t>Odbora</w:t>
            </w:r>
            <w:r>
              <w:t xml:space="preserve"> ministrov, komisarja za človekove pravice, Evropske komisije za boj proti rasizmu in nestrpnosti, usmerjevalnega odbora za boj proti diskriminaciji, raznolikost in vključenost, Beneške komisije ter drugih organov Sveta Evrope,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Default="00F931B6" w:rsidP="00F931B6">
      <w:pPr>
        <w:pStyle w:val="AmNumberTabs"/>
      </w:pPr>
      <w:r>
        <w:rPr>
          <w:rStyle w:val="HideTWBExt"/>
        </w:rPr>
        <w:t>&lt;Amend&gt;</w:t>
      </w:r>
      <w:r>
        <w:t>Predlog spremembe</w:t>
      </w:r>
      <w:r>
        <w:tab/>
      </w:r>
      <w:r>
        <w:tab/>
      </w:r>
      <w:r>
        <w:rPr>
          <w:rStyle w:val="HideTWBExt"/>
        </w:rPr>
        <w:t>&lt;NumAm&gt;</w:t>
      </w:r>
      <w:r>
        <w:t>22</w:t>
      </w:r>
      <w:r>
        <w:rPr>
          <w:rStyle w:val="HideTWBExt"/>
        </w:rPr>
        <w:t>&lt;/NumAm&gt;</w:t>
      </w:r>
    </w:p>
    <w:p w:rsidR="00F931B6" w:rsidRDefault="00F931B6" w:rsidP="00F931B6">
      <w:pPr>
        <w:pStyle w:val="NormalBold"/>
      </w:pPr>
      <w:r>
        <w:rPr>
          <w:rStyle w:val="HideTWBExt"/>
          <w:b w:val="0"/>
        </w:rPr>
        <w:t>&lt;RepeatBlock-By&gt;&lt;Members&gt;</w:t>
      </w:r>
      <w:r>
        <w:t>Paolo Inselvini</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Navedba sklicevanja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b/>
                <w:i/>
              </w:rPr>
              <w:t>–</w:t>
            </w:r>
            <w:r>
              <w:tab/>
            </w:r>
            <w:r>
              <w:rPr>
                <w:b/>
                <w:i/>
              </w:rPr>
              <w:t>ob upoštevanju Konvencije Sveta Evrope o preprečevanju nasilja nad ženskami in nasilja v družini ter o boju proti njima,</w:t>
            </w:r>
          </w:p>
        </w:tc>
        <w:tc>
          <w:tcPr>
            <w:tcW w:w="4876" w:type="dxa"/>
            <w:tcBorders>
              <w:top w:val="nil"/>
              <w:left w:val="nil"/>
              <w:bottom w:val="nil"/>
              <w:right w:val="nil"/>
            </w:tcBorders>
          </w:tcPr>
          <w:p w:rsidR="00F931B6" w:rsidRDefault="00F931B6" w:rsidP="007C04AE">
            <w:pPr>
              <w:pStyle w:val="Normal6a"/>
            </w:pPr>
            <w:r>
              <w:rPr>
                <w:b/>
                <w:i/>
              </w:rPr>
              <w:t>črtano</w:t>
            </w:r>
          </w:p>
        </w:tc>
      </w:tr>
    </w:tbl>
    <w:p w:rsidR="00F931B6" w:rsidRDefault="00F931B6" w:rsidP="00F931B6">
      <w:pPr>
        <w:pStyle w:val="AmOrLang"/>
      </w:pPr>
      <w:r>
        <w:t xml:space="preserve">Or. </w:t>
      </w:r>
      <w:r>
        <w:rPr>
          <w:rStyle w:val="HideTWBExt"/>
        </w:rPr>
        <w:t>&lt;Original&gt;</w:t>
      </w:r>
      <w:r>
        <w:rPr>
          <w:rStyle w:val="HideTWBInt"/>
        </w:rPr>
        <w:t>{IT}</w:t>
      </w:r>
      <w:r>
        <w:t>it</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23</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Konvencije Sveta Evrope o preprečevanju nasilja nad ženskami in nasilja v družini ter o boju proti njima,</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24</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Konvencije Sveta Evrope o preprečevanju nasilja nad ženskami in nasilja v družini ter o boju proti njima,</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25</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Konvencije Sveta Evrope o preprečevanju nasilja nad ženskami in nasilja v družini ter o boju proti njima,</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26</w:t>
      </w:r>
      <w:r>
        <w:rPr>
          <w:rStyle w:val="HideTWBExt"/>
          <w:b w:val="0"/>
        </w:rPr>
        <w:t>&lt;/NumAm&gt;</w:t>
      </w:r>
    </w:p>
    <w:p w:rsidR="00F931B6" w:rsidRPr="00444926" w:rsidRDefault="00F931B6" w:rsidP="00F931B6">
      <w:pPr>
        <w:pStyle w:val="NormalBold"/>
      </w:pPr>
      <w:r>
        <w:rPr>
          <w:rStyle w:val="HideTWBExt"/>
          <w:b w:val="0"/>
        </w:rPr>
        <w:t>&lt;RepeatBlock-By&gt;&lt;Members&gt;</w:t>
      </w:r>
      <w:r>
        <w:t>Loránt Vincze</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Evropske listine Sveta Evrope o regionalnih ali manjšinskih jezikih in njegove Okvirne konvencije za varstvo narodnih manjšin,</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27</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memoranduma o soglasju med Svetom Evrope in Evropsko unijo z dne 23. maja 2007 in sklepov Sveta z dne 30. januarja 2023 o prednostnih nalogah EU pri sodelovanju s Svetom Evrope v obdobju 2023–2024,</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28</w:t>
      </w:r>
      <w:r>
        <w:rPr>
          <w:rStyle w:val="HideTWBExt"/>
          <w:b w:val="0"/>
        </w:rPr>
        <w:t>&lt;/NumAm&gt;</w:t>
      </w:r>
    </w:p>
    <w:p w:rsidR="00F931B6" w:rsidRPr="00BF159C" w:rsidRDefault="00F931B6" w:rsidP="00F931B6">
      <w:pPr>
        <w:pStyle w:val="NormalBold"/>
      </w:pPr>
      <w:r>
        <w:rPr>
          <w:rStyle w:val="HideTWBExt"/>
          <w:b w:val="0"/>
          <w:lang w:val="pl-PL"/>
        </w:rPr>
        <w:t>&lt;RepeatBlock-By&gt;&lt;Members&gt;</w:t>
      </w:r>
      <w:r>
        <w:t>Mariusz Kamiński, Joachim Stanisław Brudziński, Jadwiga Wiśniewska, Maciej Wąsik, Jacek Ozdoba</w:t>
      </w:r>
      <w:r>
        <w:rPr>
          <w:rStyle w:val="HideTWBExt"/>
          <w:b w:val="0"/>
          <w:lang w:val="pl-PL"/>
        </w:rPr>
        <w:t>&lt;/Members&gt;</w:t>
      </w:r>
    </w:p>
    <w:p w:rsidR="00F931B6" w:rsidRPr="00BF159C" w:rsidRDefault="00F931B6" w:rsidP="00F931B6">
      <w:pPr>
        <w:pStyle w:val="NormalBold"/>
      </w:pPr>
      <w:r>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memoranduma o soglasju med Svetom Evrope in Evropsko unijo z dne 23. maja 2007 in sklepov Sveta z dne 30. januarja 2023 o prednostnih nalogah EU pri sodelovanju s Svetom Evrope v obdobju 2023–2024,</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29</w:t>
      </w:r>
      <w:r>
        <w:rPr>
          <w:rStyle w:val="HideTWBExt"/>
          <w:b w:val="0"/>
        </w:rPr>
        <w:t>&lt;/NumAm&gt;</w:t>
      </w:r>
    </w:p>
    <w:p w:rsidR="00F931B6" w:rsidRPr="00444926" w:rsidRDefault="00F931B6" w:rsidP="00F931B6">
      <w:pPr>
        <w:pStyle w:val="NormalBold"/>
      </w:pPr>
      <w:r>
        <w:rPr>
          <w:rStyle w:val="HideTWBExt"/>
          <w:b w:val="0"/>
        </w:rPr>
        <w:t>&lt;RepeatBlock-By&gt;&lt;Members&gt;</w:t>
      </w:r>
      <w:r>
        <w:t>Daniel Freund</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w:t>
            </w:r>
            <w:r>
              <w:tab/>
              <w:t>ob upoštevanju memoranduma o soglasju med Svetom Evrope in Evropsko unijo z dne 23. maja 2007 in sklepov Sveta z dne</w:t>
            </w:r>
            <w:r>
              <w:rPr>
                <w:b/>
                <w:i/>
              </w:rPr>
              <w:t xml:space="preserve"> 30</w:t>
            </w:r>
            <w:r>
              <w:t>.</w:t>
            </w:r>
            <w:r>
              <w:rPr>
                <w:b/>
                <w:i/>
              </w:rPr>
              <w:t xml:space="preserve"> januarja</w:t>
            </w:r>
            <w:r>
              <w:t> </w:t>
            </w:r>
            <w:r>
              <w:rPr>
                <w:b/>
                <w:i/>
              </w:rPr>
              <w:t>2023</w:t>
            </w:r>
            <w:r>
              <w:t xml:space="preserve"> o prednostnih nalogah EU pri sodelovanju s Svetom Evrope v obdobju </w:t>
            </w:r>
            <w:r>
              <w:rPr>
                <w:b/>
                <w:i/>
              </w:rPr>
              <w:t>2023</w:t>
            </w:r>
            <w:r>
              <w:t>–</w:t>
            </w:r>
            <w:r>
              <w:rPr>
                <w:b/>
                <w:i/>
              </w:rPr>
              <w:t>2024</w:t>
            </w:r>
            <w:r>
              <w:t>,</w:t>
            </w:r>
          </w:p>
        </w:tc>
        <w:tc>
          <w:tcPr>
            <w:tcW w:w="4876" w:type="dxa"/>
            <w:tcBorders>
              <w:top w:val="nil"/>
              <w:left w:val="nil"/>
              <w:bottom w:val="nil"/>
              <w:right w:val="nil"/>
            </w:tcBorders>
          </w:tcPr>
          <w:p w:rsidR="00F931B6" w:rsidRPr="00444926" w:rsidRDefault="00F931B6" w:rsidP="007C04AE">
            <w:pPr>
              <w:pStyle w:val="Normal6a"/>
            </w:pPr>
            <w:r>
              <w:t>–</w:t>
            </w:r>
            <w:r>
              <w:tab/>
              <w:t>ob upoštevanju memoranduma o soglasju med Svetom Evrope in Evropsko unijo z dne 23. maja 2007 in sklepov Sveta z dne</w:t>
            </w:r>
            <w:r>
              <w:rPr>
                <w:b/>
                <w:i/>
              </w:rPr>
              <w:t> 17</w:t>
            </w:r>
            <w:r>
              <w:t>.</w:t>
            </w:r>
            <w:r>
              <w:rPr>
                <w:b/>
                <w:i/>
              </w:rPr>
              <w:t> decembra</w:t>
            </w:r>
            <w:r>
              <w:t> </w:t>
            </w:r>
            <w:r>
              <w:rPr>
                <w:b/>
                <w:i/>
              </w:rPr>
              <w:t>2024</w:t>
            </w:r>
            <w:r>
              <w:t xml:space="preserve"> o prednostnih nalogah EU pri sodelovanju s Svetom Evrope v obdobju </w:t>
            </w:r>
            <w:r>
              <w:rPr>
                <w:b/>
                <w:i/>
              </w:rPr>
              <w:t>2025</w:t>
            </w:r>
            <w:r>
              <w:t>–</w:t>
            </w:r>
            <w:r>
              <w:rPr>
                <w:b/>
                <w:i/>
              </w:rPr>
              <w:t>2026</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30</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obrazloženega predloga sklepa Sveta z dne 20. decembra 2017 o ugotovitvi očitnega tveganja hujše kršitve načela pravne države v Republiki Poljski (COM(2017)0835), ki ga je Komisija izdala v skladu s členom 7(1) PEU,</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31</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obrazloženega predloga sklepa Sveta z dne 20. decembra 2017 o ugotovitvi očitnega tveganja hujše kršitve načela pravne države v Republiki Poljski (COM(2017)0835), ki ga je Komisija izdala v skladu s členom 7(1) PEU,</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32</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obrazloženega predloga sklepa Sveta z dne 20. decembra 2017 o ugotovitvi očitnega tveganja hujše kršitve načela pravne države v Republiki Poljski (COM(2017)0835), ki ga je Komisija izdala v skladu s členom 7(1) PEU,</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33</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obrazloženega predloga sklepa Sveta z dne 20. decembra 2017 o ugotovitvi očitnega tveganja hujše kršitve načela pravne države v Republiki Poljski (COM(2017)0835), ki ga je Komisija izdala v skladu s členom 7(1) PEU,</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34</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25. oktobra 2016 s priporočili Komisiji o uvedbi mehanizma EU za demokracijo, pravno državo in temeljne pravice</w:t>
            </w:r>
            <w:r>
              <w:rPr>
                <w:b/>
                <w:i/>
                <w:vertAlign w:val="superscript"/>
              </w:rPr>
              <w:t>4</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4</w:t>
            </w:r>
            <w:r>
              <w:rPr>
                <w:b/>
                <w:bCs/>
                <w:i/>
                <w:iCs/>
              </w:rPr>
              <w:t xml:space="preserve"> UL C 215, 30.6.2007, str. 162.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35</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25. oktobra 2016 s priporočili Komisiji o uvedbi mehanizma EU za demokracijo, pravno državo in temeljne pravice</w:t>
            </w:r>
            <w:r>
              <w:rPr>
                <w:b/>
                <w:i/>
                <w:vertAlign w:val="superscript"/>
              </w:rPr>
              <w:t>4</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4</w:t>
            </w:r>
            <w:r>
              <w:rPr>
                <w:b/>
                <w:bCs/>
                <w:i/>
                <w:iCs/>
              </w:rPr>
              <w:t xml:space="preserve"> UL C 215, 19.6.2018, str. 162.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36</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 marca 2018 o sklepu Komisije o uporabi člena 7(1) PEU glede razmer na Poljskem</w:t>
            </w:r>
            <w:r>
              <w:rPr>
                <w:b/>
                <w:i/>
                <w:vertAlign w:val="superscript"/>
              </w:rPr>
              <w:t>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5</w:t>
            </w:r>
            <w:r>
              <w:rPr>
                <w:b/>
                <w:bCs/>
                <w:i/>
                <w:iCs/>
              </w:rPr>
              <w:t xml:space="preserve"> UL C 129, 5.4.2019, str. 13.</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37</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 marca 2018 o sklepu Komisije o uporabi člena 7(1) PEU glede razmer na Poljskem</w:t>
            </w:r>
            <w:r>
              <w:rPr>
                <w:b/>
                <w:i/>
                <w:vertAlign w:val="superscript"/>
              </w:rPr>
              <w:t>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5 UL C 129, 5.4.2019, str. 13.</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38</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 marca 2018 o sklepu Komisije o uporabi člena 7(1) PEU glede razmer na Poljskem</w:t>
            </w:r>
            <w:r>
              <w:rPr>
                <w:b/>
                <w:i/>
                <w:vertAlign w:val="superscript"/>
              </w:rPr>
              <w:t>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5</w:t>
            </w:r>
            <w:r>
              <w:rPr>
                <w:b/>
                <w:i/>
              </w:rPr>
              <w:t xml:space="preserve"> UL C 129, 5.4.2019, str. 13.</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39</w:t>
      </w:r>
      <w:r>
        <w:rPr>
          <w:rStyle w:val="HideTWBExt"/>
          <w:b w:val="0"/>
        </w:rPr>
        <w:t>&lt;/NumAm&gt;</w:t>
      </w:r>
    </w:p>
    <w:p w:rsidR="00F931B6" w:rsidRPr="00BF159C" w:rsidRDefault="00F931B6" w:rsidP="00F931B6">
      <w:pPr>
        <w:pStyle w:val="NormalBold"/>
      </w:pPr>
      <w:r>
        <w:rPr>
          <w:rStyle w:val="HideTWBExt"/>
          <w:b w:val="0"/>
          <w:lang w:val="pl-PL"/>
        </w:rPr>
        <w:t>&lt;RepeatBlock-By&gt;&lt;Members&gt;</w:t>
      </w:r>
      <w:r>
        <w:t>Mary Khan, Milan Uhrík, Ewa Zajączkowska-Hernik</w:t>
      </w:r>
      <w:r>
        <w:rPr>
          <w:rStyle w:val="HideTWBExt"/>
          <w:b w:val="0"/>
          <w:lang w:val="pl-PL"/>
        </w:rPr>
        <w:t>&lt;/Members&gt;</w:t>
      </w:r>
    </w:p>
    <w:p w:rsidR="00F931B6" w:rsidRPr="00BF159C" w:rsidRDefault="00F931B6" w:rsidP="00F931B6">
      <w:pPr>
        <w:pStyle w:val="NormalBold"/>
      </w:pPr>
      <w:r>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 marca 2018 o sklepu Komisije o uporabi člena 7(1) PEU glede razmer na Poljskem</w:t>
            </w:r>
            <w:r>
              <w:rPr>
                <w:b/>
                <w:i/>
                <w:vertAlign w:val="superscript"/>
              </w:rPr>
              <w:t>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5 UL C 129, 5.4.2019, str. 13.</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40</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 marca 2018 o sklepu Komisije o uporabi člena 7(1) PEU glede razmer na Poljskem</w:t>
            </w:r>
            <w:r>
              <w:rPr>
                <w:b/>
                <w:i/>
                <w:vertAlign w:val="superscript"/>
              </w:rPr>
              <w:t>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5</w:t>
            </w:r>
            <w:r>
              <w:rPr>
                <w:b/>
                <w:bCs/>
                <w:i/>
                <w:iCs/>
              </w:rPr>
              <w:t xml:space="preserve"> UL C 129, 5.4.2019, str. 13.</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41</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da je Evropska komisija 29. maja 2024 sporočila, da je končala postopek iz člena 7 proti Poljski, in sicer po tem, ko je ta država sprejela ukrepe za ponovno vzpostavitev skladnosti s standardi EU na področju pravne države,</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42</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Loránt Vincze</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7. februarja 2018 o varstvu in nediskriminaciji manjšin v državah članicah EU</w:t>
            </w:r>
            <w:r>
              <w:rPr>
                <w:b/>
                <w:i/>
                <w:vertAlign w:val="superscript"/>
              </w:rPr>
              <w:t>5a</w:t>
            </w:r>
            <w:r>
              <w:rPr>
                <w:b/>
                <w:i/>
              </w:rPr>
              <w:t>,</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i/>
              </w:rPr>
              <w:t>5a UL C 463, 21.12.2018, str. 21.</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43</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19. aprila 2018 o potrebi po oblikovanju instrumenta za evropske vrednote za podporo organizacijam civilne družbe, ki spodbujajo temeljne vrednote v Evropski uniji na lokalni in nacionalni ravni</w:t>
            </w:r>
            <w:r>
              <w:rPr>
                <w:b/>
                <w:i/>
                <w:vertAlign w:val="superscript"/>
              </w:rPr>
              <w:t>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 xml:space="preserve">6 </w:t>
            </w:r>
            <w:r>
              <w:rPr>
                <w:b/>
                <w:bCs/>
                <w:i/>
                <w:iCs/>
              </w:rPr>
              <w:t>UL C 390, 18.11.2019, str. 117.</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44</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19. aprila 2018 o potrebi po oblikovanju instrumenta za evropske vrednote za podporo organizacijam civilne družbe, ki spodbujajo temeljne vrednote v Evropski uniji na lokalni in nacionalni ravni</w:t>
            </w:r>
            <w:r>
              <w:rPr>
                <w:b/>
                <w:i/>
                <w:vertAlign w:val="superscript"/>
              </w:rPr>
              <w:t>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 xml:space="preserve">6 </w:t>
            </w:r>
            <w:r>
              <w:rPr>
                <w:b/>
                <w:bCs/>
                <w:i/>
                <w:iCs/>
              </w:rPr>
              <w:t>UL C 390, 18.11.2019, str. 117.</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45</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19. aprila 2018 o potrebi po oblikovanju instrumenta za evropske vrednote za podporo organizacijam civilne družbe, ki spodbujajo temeljne vrednote v Evropski uniji na lokalni in nacionalni ravni</w:t>
            </w:r>
            <w:r>
              <w:rPr>
                <w:b/>
                <w:i/>
                <w:vertAlign w:val="superscript"/>
              </w:rPr>
              <w:t>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6</w:t>
            </w:r>
            <w:r>
              <w:rPr>
                <w:b/>
                <w:i/>
              </w:rPr>
              <w:t xml:space="preserve"> UL C 390, 18.11.2019, str. 117.</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46</w:t>
      </w:r>
      <w:r>
        <w:rPr>
          <w:rStyle w:val="HideTWBExt"/>
          <w:b w:val="0"/>
        </w:rPr>
        <w:t>&lt;/NumAm&gt;</w:t>
      </w:r>
    </w:p>
    <w:p w:rsidR="00F931B6" w:rsidRPr="00BF159C" w:rsidRDefault="00F931B6" w:rsidP="00F931B6">
      <w:pPr>
        <w:pStyle w:val="NormalBold"/>
      </w:pPr>
      <w:r>
        <w:rPr>
          <w:rStyle w:val="HideTWBExt"/>
          <w:b w:val="0"/>
          <w:lang w:val="pl-PL"/>
        </w:rPr>
        <w:t>&lt;RepeatBlock-By&gt;&lt;Members&gt;</w:t>
      </w:r>
      <w:r>
        <w:t>Mary Khan, Milan Uhrík, Ewa Zajączkowska-Hernik</w:t>
      </w:r>
      <w:r>
        <w:rPr>
          <w:rStyle w:val="HideTWBExt"/>
          <w:b w:val="0"/>
          <w:lang w:val="pl-PL"/>
        </w:rPr>
        <w:t>&lt;/Members&gt;</w:t>
      </w:r>
    </w:p>
    <w:p w:rsidR="00F931B6" w:rsidRPr="00BF159C" w:rsidRDefault="00F931B6" w:rsidP="00F931B6">
      <w:pPr>
        <w:pStyle w:val="NormalBold"/>
      </w:pPr>
      <w:r>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19. aprila 2018 o potrebi po oblikovanju instrumenta za evropske vrednote za podporo organizacijam civilne družbe, ki spodbujajo temeljne vrednote v Evropski uniji na lokalni in nacionalni ravni</w:t>
            </w:r>
            <w:r>
              <w:rPr>
                <w:b/>
                <w:i/>
                <w:vertAlign w:val="superscript"/>
              </w:rPr>
              <w:t>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6</w:t>
            </w:r>
            <w:r>
              <w:rPr>
                <w:b/>
                <w:i/>
              </w:rPr>
              <w:t xml:space="preserve"> UL C 390, 18.11.2019, str. 117.</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47</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12. septembra 2018 o predlogu, s katerim se Svet poziva, naj v skladu s členom 7(1) Pogodbe o Evropski uniji ugotovi obstoj očitnega tveganja, da bi Madžarska lahko huje kršila temeljne vrednote Unije</w:t>
            </w:r>
            <w:r>
              <w:rPr>
                <w:b/>
                <w:i/>
                <w:vertAlign w:val="superscript"/>
              </w:rPr>
              <w:t>7</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7</w:t>
            </w:r>
            <w:r>
              <w:rPr>
                <w:b/>
                <w:bCs/>
                <w:i/>
                <w:iCs/>
              </w:rPr>
              <w:t xml:space="preserve"> UL C 433, 23.12.2019, str. 66.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48</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12. septembra 2018 o predlogu, s katerim se Svet poziva, naj v skladu s členom 7(1) Pogodbe o Evropski uniji ugotovi obstoj očitnega tveganja, da bi Madžarska lahko huje kršila temeljne vrednote Unije</w:t>
            </w:r>
            <w:r>
              <w:rPr>
                <w:b/>
                <w:i/>
                <w:vertAlign w:val="superscript"/>
              </w:rPr>
              <w:t>7</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7</w:t>
            </w:r>
            <w:r>
              <w:rPr>
                <w:b/>
                <w:i/>
              </w:rPr>
              <w:t xml:space="preserve"> UL C 433, 23.12.2019, str. 66.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49</w:t>
      </w:r>
      <w:r>
        <w:rPr>
          <w:rStyle w:val="HideTWBExt"/>
          <w:b w:val="0"/>
        </w:rPr>
        <w:t>&lt;/NumAm&gt;</w:t>
      </w:r>
    </w:p>
    <w:p w:rsidR="00F931B6" w:rsidRPr="00BF159C" w:rsidRDefault="00F931B6" w:rsidP="00F931B6">
      <w:pPr>
        <w:pStyle w:val="NormalBold"/>
      </w:pPr>
      <w:r>
        <w:rPr>
          <w:rStyle w:val="HideTWBExt"/>
          <w:b w:val="0"/>
          <w:lang w:val="pl-PL"/>
        </w:rPr>
        <w:t>&lt;RepeatBlock-By&gt;&lt;Members&gt;</w:t>
      </w:r>
      <w:r>
        <w:t>Mary Khan, Milan Uhrík, Ewa Zajączkowska-Hernik</w:t>
      </w:r>
      <w:r>
        <w:rPr>
          <w:rStyle w:val="HideTWBExt"/>
          <w:b w:val="0"/>
          <w:lang w:val="pl-PL"/>
        </w:rPr>
        <w:t>&lt;/Members&gt;</w:t>
      </w:r>
    </w:p>
    <w:p w:rsidR="00F931B6" w:rsidRPr="00BF159C" w:rsidRDefault="00F931B6" w:rsidP="00F931B6">
      <w:pPr>
        <w:pStyle w:val="NormalBold"/>
      </w:pPr>
      <w:r>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12. septembra 2018 o predlogu, s katerim se Svet poziva, naj v skladu s členom 7(1) Pogodbe o Evropski uniji ugotovi obstoj očitnega tveganja, da bi Madžarska lahko huje kršila temeljne vrednote Unije</w:t>
            </w:r>
            <w:r>
              <w:rPr>
                <w:b/>
                <w:i/>
                <w:vertAlign w:val="superscript"/>
              </w:rPr>
              <w:t>7</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7</w:t>
            </w:r>
            <w:r>
              <w:rPr>
                <w:b/>
                <w:i/>
              </w:rPr>
              <w:t xml:space="preserve"> UL C 433, 23.12.2019, str. 66.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50</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12. septembra 2018 o predlogu, s katerim se Svet poziva, naj v skladu s členom 7(1) Pogodbe o Evropski uniji ugotovi obstoj očitnega tveganja, da bi Madžarska lahko huje kršila temeljne vrednote Unije</w:t>
            </w:r>
            <w:r>
              <w:rPr>
                <w:b/>
                <w:i/>
                <w:vertAlign w:val="superscript"/>
              </w:rPr>
              <w:t>7</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7</w:t>
            </w:r>
            <w:r>
              <w:rPr>
                <w:b/>
                <w:bCs/>
                <w:i/>
                <w:iCs/>
              </w:rPr>
              <w:t xml:space="preserve"> UL C 433, 23.12.2019, str. 66.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51</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13. novembra 2018 o minimalnih standardih za manjšine v EU</w:t>
            </w:r>
            <w:r>
              <w:rPr>
                <w:b/>
                <w:i/>
                <w:vertAlign w:val="superscript"/>
              </w:rPr>
              <w:t>8</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8</w:t>
            </w:r>
            <w:r>
              <w:rPr>
                <w:b/>
                <w:bCs/>
                <w:i/>
                <w:iCs/>
              </w:rPr>
              <w:t xml:space="preserve"> UL C 363, 28.10.2020, str. 13.</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52</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14. novembra 2018 o potrebi po celovitem mehanizmu EU za zaščito demokracije, pravne države in temeljnih pravic</w:t>
            </w:r>
            <w:r>
              <w:rPr>
                <w:b/>
                <w:i/>
                <w:vertAlign w:val="superscript"/>
              </w:rPr>
              <w:t>9</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9</w:t>
            </w:r>
            <w:r>
              <w:rPr>
                <w:b/>
                <w:bCs/>
                <w:i/>
                <w:iCs/>
              </w:rPr>
              <w:t xml:space="preserve"> UL C 363, 28.10.2020, str. 45.</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53</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14. novembra 2018 o potrebi po celovitem mehanizmu EU za zaščito demokracije, pravne države in temeljnih pravic</w:t>
            </w:r>
            <w:r>
              <w:rPr>
                <w:b/>
                <w:i/>
                <w:vertAlign w:val="superscript"/>
              </w:rPr>
              <w:t>9</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9</w:t>
            </w:r>
            <w:r>
              <w:rPr>
                <w:b/>
                <w:i/>
              </w:rPr>
              <w:t xml:space="preserve"> UL C 363, 28.10.2020, str. 45.</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54</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14. novembra 2018 o potrebi po celovitem mehanizmu EU za zaščito demokracije, pravne države in temeljnih pravic</w:t>
            </w:r>
            <w:r>
              <w:rPr>
                <w:b/>
                <w:i/>
                <w:vertAlign w:val="superscript"/>
              </w:rPr>
              <w:t>9</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9</w:t>
            </w:r>
            <w:r>
              <w:rPr>
                <w:b/>
                <w:bCs/>
                <w:i/>
                <w:iCs/>
              </w:rPr>
              <w:t xml:space="preserve"> UL C 363, 28.10.2020, str. 45.</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55</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20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sporočila Komisije z dne 6. decembra 2023 z naslovom Ni prostora za sovraštvo: Evropa, združena proti sovraštvu (COM(2023)0051),</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56</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7. oktobra 2020 o uvedbi mehanizma EU za demokracijo, pravno državo in temeljne pravice</w:t>
            </w:r>
            <w:r>
              <w:rPr>
                <w:b/>
                <w:i/>
                <w:vertAlign w:val="superscript"/>
              </w:rPr>
              <w:t>10</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10</w:t>
            </w:r>
            <w:r>
              <w:rPr>
                <w:b/>
                <w:bCs/>
                <w:i/>
                <w:iCs/>
              </w:rPr>
              <w:t xml:space="preserve"> UL C 395, 29.9.2021, str. 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57</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7. oktobra 2020 o uvedbi mehanizma EU za demokracijo, pravno državo in temeljne pravice</w:t>
            </w:r>
            <w:r>
              <w:rPr>
                <w:b/>
                <w:i/>
                <w:vertAlign w:val="superscript"/>
              </w:rPr>
              <w:t>10</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10</w:t>
            </w:r>
            <w:r>
              <w:rPr>
                <w:b/>
                <w:i/>
              </w:rPr>
              <w:t xml:space="preserve"> UL C 395, 29.9.2021, str. 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58</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7. oktobra 2020 o uvedbi mehanizma EU za demokracijo, pravno državo in temeljne pravice</w:t>
            </w:r>
            <w:r>
              <w:rPr>
                <w:b/>
                <w:i/>
                <w:vertAlign w:val="superscript"/>
              </w:rPr>
              <w:t>10</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10</w:t>
            </w:r>
            <w:r>
              <w:rPr>
                <w:b/>
                <w:bCs/>
                <w:i/>
                <w:iCs/>
              </w:rPr>
              <w:t xml:space="preserve"> UL C 395, 29.9.2021, str. 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59</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13. novembra 2020 o vplivu ukrepov proti COVID-19 na demokracijo, pravno državo in temeljne pravice</w:t>
            </w:r>
            <w:r>
              <w:rPr>
                <w:b/>
                <w:i/>
                <w:vertAlign w:val="superscript"/>
              </w:rPr>
              <w:t>11</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11</w:t>
            </w:r>
            <w:r>
              <w:rPr>
                <w:b/>
                <w:bCs/>
                <w:i/>
                <w:iCs/>
              </w:rPr>
              <w:t xml:space="preserve"> UL C 415, 13.10.2021, str. 36.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60</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13. novembra 2020 o vplivu ukrepov proti COVID-19 na demokracijo, pravno državo in temeljne pravice</w:t>
            </w:r>
            <w:r>
              <w:rPr>
                <w:b/>
                <w:i/>
                <w:vertAlign w:val="superscript"/>
              </w:rPr>
              <w:t>11</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11</w:t>
            </w:r>
            <w:r>
              <w:rPr>
                <w:b/>
                <w:i/>
              </w:rPr>
              <w:t xml:space="preserve"> UL C 415, 13.10.2021, str. 36.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61</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17. decembra 2020 o evropski državljanski pobudi Zaščita manjšin – milijon podpisov za raznolikost Evrope</w:t>
            </w:r>
            <w:r>
              <w:rPr>
                <w:b/>
                <w:i/>
                <w:vertAlign w:val="superscript"/>
              </w:rPr>
              <w:t>12</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12</w:t>
            </w:r>
            <w:r>
              <w:rPr>
                <w:b/>
                <w:bCs/>
                <w:i/>
                <w:iCs/>
              </w:rPr>
              <w:t xml:space="preserve"> UL C 445, 29.10.2021, str. 70.</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62</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17. decembra 2020 o evropski državljanski pobudi Zaščita manjšin – milijon podpisov za raznolikost Evrope</w:t>
            </w:r>
            <w:r>
              <w:rPr>
                <w:b/>
                <w:i/>
                <w:vertAlign w:val="superscript"/>
              </w:rPr>
              <w:t>12</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12</w:t>
            </w:r>
            <w:r>
              <w:rPr>
                <w:b/>
                <w:bCs/>
                <w:i/>
                <w:iCs/>
              </w:rPr>
              <w:t xml:space="preserve"> UL C 445, 29.10.2021, str. 70.</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63</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10. junija 2021 o stanju pravne države v Evropski uniji in uporabi uredbe (EU, Euratom) 2020/2092 o pogojenosti</w:t>
            </w:r>
            <w:r>
              <w:rPr>
                <w:b/>
                <w:i/>
                <w:vertAlign w:val="superscript"/>
              </w:rPr>
              <w:t>13</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13</w:t>
            </w:r>
            <w:r>
              <w:rPr>
                <w:b/>
                <w:bCs/>
                <w:i/>
                <w:iCs/>
              </w:rPr>
              <w:t xml:space="preserve"> UL C 67, 8.2.2022, str. 86.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64</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10. junija 2021 o stanju pravne države v Evropski uniji in uporabi uredbe (EU, Euratom) 2020/2092 o pogojenosti</w:t>
            </w:r>
            <w:r>
              <w:rPr>
                <w:b/>
                <w:i/>
                <w:vertAlign w:val="superscript"/>
              </w:rPr>
              <w:t>13</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13</w:t>
            </w:r>
            <w:r>
              <w:rPr>
                <w:b/>
                <w:i/>
              </w:rPr>
              <w:t xml:space="preserve"> UL C 67, 8.2.2022, str. 86.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65</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10. junija 2021 o stanju pravne države v Evropski uniji in uporabi uredbe (EU, Euratom) 2020/2092 o pogojenosti</w:t>
            </w:r>
            <w:r>
              <w:rPr>
                <w:b/>
                <w:i/>
                <w:vertAlign w:val="superscript"/>
              </w:rPr>
              <w:t>13</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13</w:t>
            </w:r>
            <w:r>
              <w:rPr>
                <w:b/>
                <w:bCs/>
                <w:i/>
                <w:iCs/>
              </w:rPr>
              <w:t xml:space="preserve"> UL C 67, 8.2.2022, str. 86.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66</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24. junija 2021 o poročilu Komisije o stanju pravne države za leto 2020</w:t>
            </w:r>
            <w:r>
              <w:rPr>
                <w:b/>
                <w:i/>
                <w:vertAlign w:val="superscript"/>
              </w:rPr>
              <w:t>14</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14</w:t>
            </w:r>
            <w:r>
              <w:t xml:space="preserve"> </w:t>
            </w:r>
            <w:r>
              <w:rPr>
                <w:b/>
                <w:i/>
              </w:rPr>
              <w:t>UL C 81, 18.2.2022, str. 27.</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67</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24. junija 2021 o poročilu Komisije o stanju pravne države za leto 2020</w:t>
            </w:r>
            <w:r>
              <w:rPr>
                <w:b/>
                <w:i/>
                <w:vertAlign w:val="superscript"/>
              </w:rPr>
              <w:t>14</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14</w:t>
            </w:r>
            <w:r>
              <w:rPr>
                <w:b/>
                <w:i/>
              </w:rPr>
              <w:t xml:space="preserve"> UL C 81, 18.2.2022, str. 27.</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68</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24. junija 2021 o poročilu Komisije o stanju pravne države za leto 2020</w:t>
            </w:r>
            <w:r>
              <w:rPr>
                <w:b/>
                <w:i/>
                <w:vertAlign w:val="superscript"/>
              </w:rPr>
              <w:t>14</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14</w:t>
            </w:r>
            <w:r>
              <w:t xml:space="preserve"> </w:t>
            </w:r>
            <w:r>
              <w:rPr>
                <w:b/>
                <w:i/>
              </w:rPr>
              <w:t>UL C 81, 18.2.2022, str. 27.</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69</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8. julija 2021 o oblikovanju smernic za uporabo splošnega režima pogojenosti za zaščito proračuna Unije</w:t>
            </w:r>
            <w:r>
              <w:rPr>
                <w:b/>
                <w:i/>
                <w:vertAlign w:val="superscript"/>
              </w:rPr>
              <w:t>15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15</w:t>
            </w:r>
            <w:r>
              <w:t xml:space="preserve"> </w:t>
            </w:r>
            <w:r>
              <w:rPr>
                <w:b/>
                <w:i/>
              </w:rPr>
              <w:t>UL C 99, 1.3.2022, str. 146.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70</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8. julija 2021 o oblikovanju smernic za uporabo splošnega režima pogojenosti za zaščito proračuna Unije</w:t>
            </w:r>
            <w:r>
              <w:rPr>
                <w:b/>
                <w:i/>
                <w:vertAlign w:val="superscript"/>
              </w:rPr>
              <w:t>15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15</w:t>
            </w:r>
            <w:r>
              <w:rPr>
                <w:b/>
                <w:i/>
              </w:rPr>
              <w:t xml:space="preserve"> UL C 99, 1.3.2022, str. 146.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71</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8. julija 2021 o oblikovanju smernic za uporabo splošnega režima pogojenosti za zaščito proračuna Unije</w:t>
            </w:r>
            <w:r>
              <w:rPr>
                <w:b/>
                <w:i/>
                <w:vertAlign w:val="superscript"/>
              </w:rPr>
              <w:t>15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15</w:t>
            </w:r>
            <w:r>
              <w:t xml:space="preserve"> </w:t>
            </w:r>
            <w:r>
              <w:rPr>
                <w:b/>
                <w:i/>
              </w:rPr>
              <w:t>UL C 99, 1.3.2022, str. 146.</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72</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16. septembra 2021 s priporočili Komisiji o opredelitvi nasilja na podlagi spola kot novega področja kriminala, vključenega na seznam iz člena 83(1) PDEU</w:t>
            </w:r>
            <w:r>
              <w:rPr>
                <w:b/>
                <w:i/>
                <w:vertAlign w:val="superscript"/>
              </w:rPr>
              <w:t>16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16</w:t>
            </w:r>
            <w:r>
              <w:rPr>
                <w:b/>
                <w:bCs/>
                <w:i/>
                <w:iCs/>
              </w:rPr>
              <w:t xml:space="preserve"> UL C 117, 11.3.2022, str. 88.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73</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16. septembra 2021 s priporočili Komisiji o opredelitvi nasilja na podlagi spola kot novega področja kriminala, vključenega na seznam iz člena 83(1) PDEU</w:t>
            </w:r>
            <w:r>
              <w:rPr>
                <w:b/>
                <w:i/>
                <w:vertAlign w:val="superscript"/>
              </w:rPr>
              <w:t>16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16</w:t>
            </w:r>
            <w:r>
              <w:rPr>
                <w:b/>
                <w:i/>
              </w:rPr>
              <w:t xml:space="preserve"> UL C 117, 11.3.2022, str. 88.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74</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16. septembra 2021 s priporočili Komisiji o opredelitvi nasilja na podlagi spola kot novega področja kriminala, vključenega na seznam iz člena 83(1) PDEU</w:t>
            </w:r>
            <w:r>
              <w:rPr>
                <w:b/>
                <w:i/>
                <w:vertAlign w:val="superscript"/>
              </w:rPr>
              <w:t>16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16</w:t>
            </w:r>
            <w:r>
              <w:rPr>
                <w:b/>
                <w:bCs/>
                <w:i/>
                <w:iCs/>
              </w:rPr>
              <w:t xml:space="preserve"> UL C 117, 11.3.2022, str. 88.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75</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11. novembra 2021 o krepitvi demokracije ter svobode in pluralnosti medijev v EU: zloraba civilnopravnih in kazenskopravnih ukrepov za utišanje novinarjev, nevladnih organizacij in civilne družbe</w:t>
            </w:r>
            <w:r>
              <w:rPr>
                <w:b/>
                <w:i/>
                <w:vertAlign w:val="superscript"/>
              </w:rPr>
              <w:t>17</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17</w:t>
            </w:r>
            <w:r>
              <w:t xml:space="preserve"> </w:t>
            </w:r>
            <w:r>
              <w:rPr>
                <w:b/>
                <w:bCs/>
                <w:i/>
                <w:iCs/>
              </w:rPr>
              <w:t>UL C 205, 20.5.2022, str. 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76</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11. novembra 2021 o krepitvi demokracije ter svobode in pluralnosti medijev v EU: zloraba civilnopravnih in kazenskopravnih ukrepov za utišanje novinarjev, nevladnih organizacij in civilne družbe</w:t>
            </w:r>
            <w:r>
              <w:rPr>
                <w:b/>
                <w:i/>
                <w:vertAlign w:val="superscript"/>
              </w:rPr>
              <w:t>17</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17</w:t>
            </w:r>
            <w:r>
              <w:rPr>
                <w:b/>
                <w:i/>
              </w:rPr>
              <w:t xml:space="preserve"> UL C 205, 20.5.2022, str. 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77</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29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15. decembra 2021 o ovrednotenju ukrepov za preprečevanje korupcije, nepravilne porabe ter poneverbe evropskih in nacionalnih javnih sredstev v primeru skladov za izredne razmere in na področjih porabe, povezanih s kriznimi razmerami</w:t>
            </w:r>
            <w:r>
              <w:rPr>
                <w:b/>
                <w:i/>
                <w:vertAlign w:val="superscript"/>
              </w:rPr>
              <w:t>18</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18</w:t>
            </w:r>
            <w:r>
              <w:t xml:space="preserve"> </w:t>
            </w:r>
            <w:r>
              <w:rPr>
                <w:b/>
                <w:i/>
              </w:rPr>
              <w:t>UL C 251, 30.6.2022, str. 48.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78</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upoštevanje svoje resolucije z dne 8. marca 2022 o krčenju prostora za civilno družbo v Evropi</w:t>
            </w:r>
            <w:r>
              <w:rPr>
                <w:b/>
                <w:i/>
                <w:vertAlign w:val="superscript"/>
              </w:rPr>
              <w:t>19</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19</w:t>
            </w:r>
            <w:r>
              <w:t xml:space="preserve"> </w:t>
            </w:r>
            <w:r>
              <w:rPr>
                <w:b/>
                <w:i/>
              </w:rPr>
              <w:t>UL C 347, 9.9.2022, str. 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79</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upoštevanje svoje resolucije z dne 8. marca 2022 o krčenju prostora za civilno družbo v Evropi</w:t>
            </w:r>
            <w:r>
              <w:rPr>
                <w:b/>
                <w:i/>
                <w:vertAlign w:val="superscript"/>
              </w:rPr>
              <w:t>19</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19</w:t>
            </w:r>
            <w:r>
              <w:rPr>
                <w:b/>
                <w:i/>
              </w:rPr>
              <w:t xml:space="preserve"> UL C 347, 9.9.2022, str. 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80</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10. marca 2022 o pravni državi in posledicah sodbe Sodišča Evropske unije</w:t>
            </w:r>
            <w:r>
              <w:rPr>
                <w:b/>
                <w:i/>
                <w:vertAlign w:val="superscript"/>
              </w:rPr>
              <w:t>20</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20</w:t>
            </w:r>
            <w:r>
              <w:t xml:space="preserve"> </w:t>
            </w:r>
            <w:r>
              <w:rPr>
                <w:b/>
                <w:i/>
              </w:rPr>
              <w:t>UL C 347, 9.9.2022, str. 168.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81</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lang w:val="en-GB"/>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10. marca 2022 o pravni državi in posledicah sodbe Sodišča Evropske unije</w:t>
            </w:r>
            <w:r>
              <w:rPr>
                <w:b/>
                <w:i/>
                <w:vertAlign w:val="superscript"/>
              </w:rPr>
              <w:t>20</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20</w:t>
            </w:r>
            <w:r>
              <w:t xml:space="preserve"> </w:t>
            </w:r>
            <w:r>
              <w:rPr>
                <w:b/>
                <w:i/>
              </w:rPr>
              <w:t>UL C 347, 9.9.2022, str. 168.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82</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10. marca 2022 o pravni državi in posledicah sodbe Sodišča Evropske unije</w:t>
            </w:r>
            <w:r>
              <w:rPr>
                <w:b/>
                <w:i/>
                <w:vertAlign w:val="superscript"/>
              </w:rPr>
              <w:t>20</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20</w:t>
            </w:r>
            <w:r>
              <w:rPr>
                <w:b/>
                <w:i/>
              </w:rPr>
              <w:t xml:space="preserve"> UL C 347, 9.9.2022, str. 168.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83</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lang w:val="en-GB"/>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19. maja 2022 o poročilu Komisije o stanju pravne države za leto 2021</w:t>
            </w:r>
            <w:r>
              <w:rPr>
                <w:b/>
                <w:i/>
                <w:vertAlign w:val="superscript"/>
              </w:rPr>
              <w:t>21</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21</w:t>
            </w:r>
            <w:r>
              <w:t xml:space="preserve"> </w:t>
            </w:r>
            <w:r>
              <w:rPr>
                <w:b/>
                <w:i/>
              </w:rPr>
              <w:t>UL C 479, 16.12.2022, str. 18.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84</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19. maja 2022 o poročilu Komisije o stanju pravne države za leto 2021</w:t>
            </w:r>
            <w:r>
              <w:rPr>
                <w:b/>
                <w:i/>
                <w:vertAlign w:val="superscript"/>
              </w:rPr>
              <w:t>21</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sidRPr="00275B53">
              <w:rPr>
                <w:b/>
                <w:i/>
                <w:vertAlign w:val="superscript"/>
              </w:rPr>
              <w:t>21</w:t>
            </w:r>
            <w:r>
              <w:rPr>
                <w:b/>
                <w:i/>
              </w:rPr>
              <w:t xml:space="preserve"> UL C 479, 16.12.2022, str. 18.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85</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19. maja 2022 o poročilu Komisije o stanju pravne države za leto 2021</w:t>
            </w:r>
            <w:r>
              <w:rPr>
                <w:b/>
                <w:i/>
                <w:vertAlign w:val="superscript"/>
              </w:rPr>
              <w:t>21</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21</w:t>
            </w:r>
            <w:r>
              <w:rPr>
                <w:b/>
                <w:i/>
              </w:rPr>
              <w:t xml:space="preserve"> UL C 479, 16.12.2022, str. 18.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86</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lang w:val="en-GB"/>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9. junija 2022 o pravni državi in morebitni odobritvi poljskega načrta za okrevanje in odpornost (v okviru Mehanizma za okrevanje in odpornost)</w:t>
            </w:r>
            <w:r>
              <w:rPr>
                <w:b/>
                <w:i/>
                <w:vertAlign w:val="superscript"/>
              </w:rPr>
              <w:t>22</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22</w:t>
            </w:r>
            <w:r>
              <w:t xml:space="preserve"> </w:t>
            </w:r>
            <w:r>
              <w:rPr>
                <w:b/>
                <w:i/>
              </w:rPr>
              <w:t>UL C 493, 27.12.2022, str. 108.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87</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9. junija 2022 o pravni državi in morebitni odobritvi poljskega načrta za okrevanje in odpornost (v okviru Mehanizma za okrevanje in odpornost)</w:t>
            </w:r>
            <w:r>
              <w:rPr>
                <w:b/>
                <w:i/>
                <w:vertAlign w:val="superscript"/>
              </w:rPr>
              <w:t>22</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22</w:t>
            </w:r>
            <w:r>
              <w:rPr>
                <w:b/>
                <w:i/>
              </w:rPr>
              <w:t xml:space="preserve"> UL C 493, 27.12.2022, str. 108.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88</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9. junija 2022 o pravni državi in morebitni odobritvi poljskega načrta za okrevanje in odpornost (v okviru Mehanizma za okrevanje in odpornost)</w:t>
            </w:r>
            <w:r>
              <w:rPr>
                <w:b/>
                <w:i/>
                <w:vertAlign w:val="superscript"/>
              </w:rPr>
              <w:t>22</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22</w:t>
            </w:r>
            <w:r>
              <w:t xml:space="preserve"> </w:t>
            </w:r>
            <w:r>
              <w:rPr>
                <w:b/>
                <w:i/>
              </w:rPr>
              <w:t>UL C 493, 27.12.2022, str. 108.</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89</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15. septembra 2022 o razmerah na področju temeljnih pravic v Evropski uniji v letih 2020 in 2021</w:t>
            </w:r>
            <w:r>
              <w:rPr>
                <w:b/>
                <w:i/>
                <w:vertAlign w:val="superscript"/>
              </w:rPr>
              <w:t>23</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23</w:t>
            </w:r>
            <w:r>
              <w:t xml:space="preserve"> </w:t>
            </w:r>
            <w:r>
              <w:rPr>
                <w:b/>
                <w:i/>
              </w:rPr>
              <w:t>UL C 125, 5.4.2023, str. 80.</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90</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lang w:val="en-GB"/>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15. septembra 2022 o razmerah na področju temeljnih pravic v Evropski uniji v letih 2020 in 2021</w:t>
            </w:r>
            <w:r>
              <w:rPr>
                <w:b/>
                <w:i/>
                <w:vertAlign w:val="superscript"/>
              </w:rPr>
              <w:t>23</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23</w:t>
            </w:r>
            <w:r>
              <w:t xml:space="preserve"> </w:t>
            </w:r>
            <w:r>
              <w:rPr>
                <w:b/>
                <w:i/>
              </w:rPr>
              <w:t>UL C 125, 5.4.2023, str. 80.</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91</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15. septembra 2022 o razmerah na področju temeljnih pravic v Evropski uniji v letih 2020 in 2021</w:t>
            </w:r>
            <w:r>
              <w:rPr>
                <w:b/>
                <w:i/>
                <w:vertAlign w:val="superscript"/>
              </w:rPr>
              <w:t>23</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 xml:space="preserve">23 </w:t>
            </w:r>
            <w:r>
              <w:rPr>
                <w:b/>
                <w:i/>
              </w:rPr>
              <w:t>UL C 125, 5.4.2023, str. 80.</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92</w:t>
      </w:r>
      <w:r>
        <w:rPr>
          <w:rStyle w:val="HideTWBExt"/>
          <w:b w:val="0"/>
        </w:rPr>
        <w:t>&lt;/NumAm&gt;</w:t>
      </w:r>
    </w:p>
    <w:p w:rsidR="00F931B6" w:rsidRPr="00444926" w:rsidRDefault="00F931B6" w:rsidP="00F931B6">
      <w:pPr>
        <w:pStyle w:val="NormalBold"/>
      </w:pPr>
      <w:r>
        <w:rPr>
          <w:rStyle w:val="HideTWBExt"/>
          <w:b w:val="0"/>
        </w:rPr>
        <w:t>&lt;RepeatBlock-By&gt;&lt;Members&gt;</w:t>
      </w:r>
      <w:r>
        <w:t>Daniel Freund</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34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15. septembra 2022 o predlogu sklepa Sveta o ugotovitvi obstoja očitnega tveganja v skladu s členom 7(1) Pogodbe o Evropski uniji, da bi Madžarska lahko huje kršila temeljne vrednote Unije,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93</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20. oktobra 2022 o stanju pravne države na Malti pet let po umoru Daphne Caruana Galizia</w:t>
            </w:r>
            <w:r>
              <w:rPr>
                <w:b/>
                <w:i/>
                <w:vertAlign w:val="superscript"/>
              </w:rPr>
              <w:t>24</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24</w:t>
            </w:r>
            <w:r>
              <w:t xml:space="preserve"> </w:t>
            </w:r>
            <w:r>
              <w:rPr>
                <w:b/>
                <w:i/>
              </w:rPr>
              <w:t>UL C 149, 28.4.2023, str. 15.</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94</w:t>
      </w:r>
      <w:r>
        <w:rPr>
          <w:rStyle w:val="HideTWBExt"/>
          <w:b w:val="0"/>
        </w:rPr>
        <w:t>&lt;/NumAm&gt;</w:t>
      </w:r>
    </w:p>
    <w:p w:rsidR="00F931B6" w:rsidRPr="00444926" w:rsidRDefault="00F931B6" w:rsidP="00F931B6">
      <w:pPr>
        <w:pStyle w:val="NormalBold"/>
      </w:pPr>
      <w:r>
        <w:rPr>
          <w:rStyle w:val="HideTWBExt"/>
          <w:b w:val="0"/>
        </w:rPr>
        <w:t>&lt;RepeatBlock-By&gt;&lt;Members&gt;</w:t>
      </w:r>
      <w:r>
        <w:t xml:space="preserve">Emmanuel Fragkos, </w:t>
      </w:r>
      <w:r w:rsidR="007C04AE">
        <w:t>Jeadis Jeadi (Geadis Geadi)</w:t>
      </w:r>
      <w:r>
        <w:t xml:space="preserve">, </w:t>
      </w:r>
      <w:r w:rsidR="007C04AE">
        <w:t>Galato Aleksandraki (Galato Alexandraki)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20. oktobra 2022 o povečanju kaznivih dejanj iz sovraštva proti osebam LGBTIQ+ v Evropi in nedavnem homofobnem umoru na Slovaškem</w:t>
            </w:r>
            <w:r>
              <w:rPr>
                <w:b/>
                <w:i/>
                <w:vertAlign w:val="superscript"/>
              </w:rPr>
              <w:t>25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25</w:t>
            </w:r>
            <w:r>
              <w:rPr>
                <w:b/>
                <w:i/>
              </w:rPr>
              <w:t xml:space="preserve"> UL C 149, 28.4.2023, str. 22.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{EL}</w:t>
      </w:r>
      <w:r w:rsidRPr="00444926">
        <w:t>el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95</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20. oktobra 2022 o povečanju kaznivih dejanj iz sovraštva proti osebam LGBTIQ+ v Evropi in nedavnem homofobnem umoru na Slovaškem</w:t>
            </w:r>
            <w:r>
              <w:rPr>
                <w:b/>
                <w:i/>
                <w:vertAlign w:val="superscript"/>
              </w:rPr>
              <w:t>25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25</w:t>
            </w:r>
            <w:r>
              <w:rPr>
                <w:b/>
                <w:bCs/>
                <w:i/>
                <w:iCs/>
              </w:rPr>
              <w:t xml:space="preserve"> UL C 149, 28.4.2023, str. 22.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Default="00F931B6" w:rsidP="00F931B6">
      <w:pPr>
        <w:pStyle w:val="AmNumberTabs"/>
      </w:pPr>
      <w:r>
        <w:rPr>
          <w:rStyle w:val="HideTWBExt"/>
        </w:rPr>
        <w:t>&lt;Amend&gt;</w:t>
      </w:r>
      <w:r>
        <w:t>Predlog spremembe</w:t>
      </w:r>
      <w:r>
        <w:tab/>
      </w:r>
      <w:r>
        <w:tab/>
      </w:r>
      <w:r>
        <w:rPr>
          <w:rStyle w:val="HideTWBExt"/>
        </w:rPr>
        <w:t>&lt;NumAm&gt;</w:t>
      </w:r>
      <w:r>
        <w:t>96</w:t>
      </w:r>
      <w:r>
        <w:rPr>
          <w:rStyle w:val="HideTWBExt"/>
        </w:rPr>
        <w:t>&lt;/NumAm&gt;</w:t>
      </w:r>
    </w:p>
    <w:p w:rsidR="00F931B6" w:rsidRDefault="00F931B6" w:rsidP="00F931B6">
      <w:pPr>
        <w:pStyle w:val="NormalBold"/>
      </w:pPr>
      <w:r>
        <w:rPr>
          <w:rStyle w:val="HideTWBExt"/>
          <w:b w:val="0"/>
        </w:rPr>
        <w:t>&lt;RepeatBlock-By&gt;&lt;Members&gt;</w:t>
      </w:r>
      <w:r>
        <w:t>Paolo Inselvini</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Navedba sklicevanja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b/>
                <w:i/>
              </w:rPr>
              <w:t>–</w:t>
            </w:r>
            <w:r>
              <w:tab/>
            </w:r>
            <w:r>
              <w:rPr>
                <w:b/>
                <w:i/>
              </w:rPr>
              <w:t>ob upoštevanju svoje resolucije z dne 20. oktobra 2022 o povečanju kaznivih dejanj iz sovraštva proti osebam LGBTIQ+ v Evropi in nedavnem homofobnem umoru na Slovaškem</w:t>
            </w:r>
            <w:r>
              <w:rPr>
                <w:b/>
                <w:i/>
                <w:vertAlign w:val="superscript"/>
              </w:rPr>
              <w:t>25</w:t>
            </w:r>
            <w:r>
              <w:rPr>
                <w:b/>
                <w:i/>
              </w:rPr>
              <w:t>,</w:t>
            </w:r>
          </w:p>
        </w:tc>
        <w:tc>
          <w:tcPr>
            <w:tcW w:w="4876" w:type="dxa"/>
            <w:tcBorders>
              <w:top w:val="nil"/>
              <w:left w:val="nil"/>
              <w:bottom w:val="nil"/>
              <w:right w:val="nil"/>
            </w:tcBorders>
          </w:tcPr>
          <w:p w:rsidR="00F931B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b/>
                <w:i/>
              </w:rPr>
              <w:t>_________________</w:t>
            </w:r>
          </w:p>
        </w:tc>
        <w:tc>
          <w:tcPr>
            <w:tcW w:w="4876" w:type="dxa"/>
            <w:tcBorders>
              <w:top w:val="nil"/>
              <w:left w:val="nil"/>
              <w:bottom w:val="nil"/>
              <w:right w:val="nil"/>
            </w:tcBorders>
          </w:tcPr>
          <w:p w:rsidR="00F931B6" w:rsidRDefault="00F931B6" w:rsidP="007C04AE"/>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b/>
                <w:i/>
                <w:vertAlign w:val="superscript"/>
              </w:rPr>
              <w:t>25</w:t>
            </w:r>
            <w:r>
              <w:t xml:space="preserve"> </w:t>
            </w:r>
            <w:r>
              <w:rPr>
                <w:b/>
                <w:i/>
              </w:rPr>
              <w:t>UL C 149, 28.4.2023, str. 22.</w:t>
            </w:r>
          </w:p>
        </w:tc>
        <w:tc>
          <w:tcPr>
            <w:tcW w:w="4876" w:type="dxa"/>
            <w:tcBorders>
              <w:top w:val="nil"/>
              <w:left w:val="nil"/>
              <w:bottom w:val="nil"/>
              <w:right w:val="nil"/>
            </w:tcBorders>
          </w:tcPr>
          <w:p w:rsidR="00F931B6" w:rsidRDefault="00F931B6" w:rsidP="007C04AE"/>
        </w:tc>
      </w:tr>
    </w:tbl>
    <w:p w:rsidR="00F931B6" w:rsidRDefault="00F931B6" w:rsidP="00F931B6">
      <w:pPr>
        <w:pStyle w:val="AmOrLang"/>
      </w:pPr>
      <w:r>
        <w:t xml:space="preserve">Or. </w:t>
      </w:r>
      <w:r>
        <w:rPr>
          <w:rStyle w:val="HideTWBExt"/>
        </w:rPr>
        <w:t>&lt;Original&gt;</w:t>
      </w:r>
      <w:r>
        <w:rPr>
          <w:rStyle w:val="HideTWBInt"/>
        </w:rPr>
        <w:t>{IT}</w:t>
      </w:r>
      <w:r>
        <w:t>it</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97</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20. oktobra 2022 o povečanju kaznivih dejanj iz sovraštva proti osebam LGBTIQ+ v Evropi in nedavnem homofobnem umoru na Slovaškem</w:t>
            </w:r>
            <w:r>
              <w:rPr>
                <w:b/>
                <w:i/>
                <w:vertAlign w:val="superscript"/>
              </w:rPr>
              <w:t>25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25</w:t>
            </w:r>
            <w:r>
              <w:rPr>
                <w:b/>
                <w:i/>
              </w:rPr>
              <w:t xml:space="preserve"> UL C 149, 28.4.2023, str. 22.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98</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10. novembra 2022 o rasni pravičnosti, nediskriminaciji in boju proti rasizmu v EU</w:t>
            </w:r>
            <w:r>
              <w:rPr>
                <w:b/>
                <w:i/>
                <w:vertAlign w:val="superscript"/>
              </w:rPr>
              <w:t>26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26</w:t>
            </w:r>
            <w:r>
              <w:rPr>
                <w:b/>
                <w:bCs/>
                <w:i/>
                <w:iCs/>
              </w:rPr>
              <w:t xml:space="preserve"> UL C 161, 5.5.2023, str. 10.</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99</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10. novembra 2022 o rasni pravičnosti, nediskriminaciji in boju proti rasizmu v EU</w:t>
            </w:r>
            <w:r>
              <w:rPr>
                <w:b/>
                <w:i/>
                <w:vertAlign w:val="superscript"/>
              </w:rPr>
              <w:t>26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 xml:space="preserve">26 </w:t>
            </w:r>
            <w:r>
              <w:rPr>
                <w:b/>
                <w:i/>
              </w:rPr>
              <w:t>UL C 161, 5.5.2023, str. 10.</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100</w:t>
      </w:r>
      <w:r>
        <w:rPr>
          <w:rStyle w:val="HideTWBExt"/>
          <w:b w:val="0"/>
        </w:rPr>
        <w:t>&lt;/NumAm&gt;</w:t>
      </w:r>
    </w:p>
    <w:p w:rsidR="00F931B6" w:rsidRPr="00BF159C" w:rsidRDefault="00F931B6" w:rsidP="00F931B6">
      <w:pPr>
        <w:pStyle w:val="NormalBold"/>
      </w:pPr>
      <w:r w:rsidRPr="00275B53">
        <w:rPr>
          <w:rStyle w:val="HideTWBExt"/>
          <w:b w:val="0"/>
        </w:rPr>
        <w:t>&lt;RepeatBlock-By&gt;&lt;Members&gt;</w:t>
      </w:r>
      <w:r>
        <w:t>Mariusz Kamiński, Joachim Stanisław Brudziński, Jadwiga Wiśniewska, Maciej Wąsik, Jacek Ozdoba</w:t>
      </w:r>
      <w:r w:rsidRPr="00275B53">
        <w:rPr>
          <w:rStyle w:val="HideTWBExt"/>
          <w:b w:val="0"/>
        </w:rPr>
        <w:t>&lt;/Members&gt;</w:t>
      </w:r>
    </w:p>
    <w:p w:rsidR="00F931B6" w:rsidRPr="00BF159C" w:rsidRDefault="00F931B6" w:rsidP="00F931B6">
      <w:pPr>
        <w:pStyle w:val="NormalBold"/>
      </w:pPr>
      <w:r w:rsidRPr="00275B53">
        <w:rPr>
          <w:rStyle w:val="HideTWBExt"/>
          <w:b w:val="0"/>
          <w:lang w:val="en-GB"/>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24. novembra 2022 o oceni, kako Madžarska spoštuje pogoje pravne države v okviru uredbe o pogojenosti, in stanju glede madžarskega načrta za okrevanje in odpornost</w:t>
            </w:r>
            <w:r>
              <w:rPr>
                <w:b/>
                <w:i/>
                <w:vertAlign w:val="superscript"/>
              </w:rPr>
              <w:t>27</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27</w:t>
            </w:r>
            <w:r>
              <w:rPr>
                <w:b/>
                <w:bCs/>
                <w:i/>
                <w:iCs/>
              </w:rPr>
              <w:t xml:space="preserve"> UL C 167, 11.5.2023, str. 74.</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101</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24. novembra 2022 o oceni, kako Madžarska spoštuje pogoje pravne države v okviru uredbe o pogojenosti, in stanju glede madžarskega načrta za okrevanje in odpornost</w:t>
            </w:r>
            <w:r>
              <w:rPr>
                <w:b/>
                <w:i/>
                <w:vertAlign w:val="superscript"/>
              </w:rPr>
              <w:t>27</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27</w:t>
            </w:r>
            <w:r>
              <w:rPr>
                <w:b/>
                <w:bCs/>
                <w:i/>
                <w:iCs/>
              </w:rPr>
              <w:t xml:space="preserve"> UL C 167, 11.5.2023, str. 74.</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102</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24. novembra 2022 o oceni, kako Madžarska spoštuje pogoje pravne države v okviru uredbe o pogojenosti, in stanju glede madžarskega načrta za okrevanje in odpornost</w:t>
            </w:r>
            <w:r>
              <w:rPr>
                <w:b/>
                <w:i/>
                <w:vertAlign w:val="superscript"/>
              </w:rPr>
              <w:t>27</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 xml:space="preserve">27 </w:t>
            </w:r>
            <w:r>
              <w:rPr>
                <w:b/>
                <w:i/>
              </w:rPr>
              <w:t>UL C 167, 11.5.2023, str. 74.</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103</w:t>
      </w:r>
      <w:r>
        <w:rPr>
          <w:rStyle w:val="HideTWBExt"/>
          <w:b w:val="0"/>
        </w:rPr>
        <w:t>&lt;/NumAm&gt;</w:t>
      </w:r>
    </w:p>
    <w:p w:rsidR="00F931B6" w:rsidRPr="00BF159C" w:rsidRDefault="00F931B6" w:rsidP="00F931B6">
      <w:pPr>
        <w:pStyle w:val="NormalBold"/>
      </w:pPr>
      <w:r>
        <w:rPr>
          <w:rStyle w:val="HideTWBExt"/>
          <w:b w:val="0"/>
          <w:lang w:val="pl-PL"/>
        </w:rPr>
        <w:t>&lt;RepeatBlock-By&gt;&lt;Members&gt;</w:t>
      </w:r>
      <w:r>
        <w:t>Mariusz Kamiński, Joachim Stanisław Brudziński, Jadwiga Wiśniewska, Maciej Wąsik, Jacek Ozdoba</w:t>
      </w:r>
      <w:r>
        <w:rPr>
          <w:rStyle w:val="HideTWBExt"/>
          <w:b w:val="0"/>
          <w:lang w:val="pl-PL"/>
        </w:rPr>
        <w:t>&lt;/Members&gt;</w:t>
      </w:r>
    </w:p>
    <w:p w:rsidR="00F931B6" w:rsidRPr="00BF159C" w:rsidRDefault="00F931B6" w:rsidP="00F931B6">
      <w:pPr>
        <w:pStyle w:val="NormalBold"/>
      </w:pPr>
      <w:r>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30. marca 2023 o poročilu o stanju pravne države za leto 2022 – stanje pravne države v Evropski uniji</w:t>
            </w:r>
            <w:r>
              <w:rPr>
                <w:b/>
                <w:i/>
                <w:vertAlign w:val="superscript"/>
              </w:rPr>
              <w:t>28</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28</w:t>
            </w:r>
            <w:r>
              <w:rPr>
                <w:b/>
                <w:bCs/>
                <w:i/>
                <w:iCs/>
              </w:rPr>
              <w:t xml:space="preserve"> UL C 341, 27.9.2023, str. 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104</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30. marca 2023 o poročilu o stanju pravne države za leto 2022 – stanje pravne države v Evropski uniji</w:t>
            </w:r>
            <w:r>
              <w:rPr>
                <w:b/>
                <w:i/>
                <w:vertAlign w:val="superscript"/>
              </w:rPr>
              <w:t>28</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28</w:t>
            </w:r>
            <w:r>
              <w:rPr>
                <w:b/>
                <w:bCs/>
                <w:i/>
                <w:iCs/>
              </w:rPr>
              <w:t xml:space="preserve"> UL C 341, 27.9.2023, str. 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105</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30. marca 2023 o poročilu o stanju pravne države za leto 2022 – stanje pravne države v Evropski uniji</w:t>
            </w:r>
            <w:r>
              <w:rPr>
                <w:b/>
                <w:i/>
                <w:vertAlign w:val="superscript"/>
              </w:rPr>
              <w:t>28</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 xml:space="preserve">28 </w:t>
            </w:r>
            <w:r>
              <w:rPr>
                <w:b/>
                <w:i/>
              </w:rPr>
              <w:t>UL C 341, 27.9.2023, str. 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106</w:t>
      </w:r>
      <w:r>
        <w:rPr>
          <w:rStyle w:val="HideTWBExt"/>
          <w:b w:val="0"/>
        </w:rPr>
        <w:t>&lt;/NumAm&gt;</w:t>
      </w:r>
    </w:p>
    <w:p w:rsidR="00F931B6" w:rsidRPr="00444926" w:rsidRDefault="00F931B6" w:rsidP="00F931B6">
      <w:pPr>
        <w:pStyle w:val="NormalBold"/>
      </w:pPr>
      <w:r>
        <w:rPr>
          <w:rStyle w:val="HideTWBExt"/>
          <w:b w:val="0"/>
        </w:rPr>
        <w:t>&lt;RepeatBlock-By&gt;&lt;Members&gt;</w:t>
      </w:r>
      <w:r>
        <w:t>Loránt Vincze</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39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18. aprila 2023 o institucionalnih odnosih med Evropsko unijo in Svetom Evrope</w:t>
            </w:r>
            <w:r>
              <w:rPr>
                <w:b/>
                <w:i/>
                <w:vertAlign w:val="superscript"/>
              </w:rPr>
              <w:t>28a</w:t>
            </w:r>
            <w:r>
              <w:rPr>
                <w:b/>
                <w:i/>
              </w:rPr>
              <w:t>,</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i/>
                <w:vertAlign w:val="superscript"/>
              </w:rPr>
              <w:t>28a</w:t>
            </w:r>
            <w:r>
              <w:rPr>
                <w:b/>
                <w:i/>
              </w:rPr>
              <w:t xml:space="preserve"> UL C, C/2023/442, 1.12.2023.</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107</w:t>
      </w:r>
      <w:r>
        <w:rPr>
          <w:rStyle w:val="HideTWBExt"/>
          <w:b w:val="0"/>
        </w:rPr>
        <w:t>&lt;/NumAm&gt;</w:t>
      </w:r>
    </w:p>
    <w:p w:rsidR="00F931B6" w:rsidRPr="00BF159C" w:rsidRDefault="00F931B6" w:rsidP="00F931B6">
      <w:pPr>
        <w:pStyle w:val="NormalBold"/>
      </w:pPr>
      <w:r w:rsidRPr="00605988">
        <w:rPr>
          <w:rStyle w:val="HideTWBExt"/>
          <w:b w:val="0"/>
        </w:rPr>
        <w:t>&lt;RepeatBlock-By&gt;&lt;Members&gt;</w:t>
      </w:r>
      <w:r>
        <w:t>Mariusz Kamiński, Joachim Stanisław Brudziński, Jadwiga Wiśniewska, Maciej Wąsik, Jacek Ozdoba</w:t>
      </w:r>
      <w:r w:rsidRPr="00605988">
        <w:rPr>
          <w:rStyle w:val="HideTWBExt"/>
          <w:b w:val="0"/>
        </w:rPr>
        <w:t>&lt;/Members&gt;</w:t>
      </w:r>
    </w:p>
    <w:p w:rsidR="00F931B6" w:rsidRPr="00BF159C" w:rsidRDefault="00F931B6" w:rsidP="00F931B6">
      <w:pPr>
        <w:pStyle w:val="NormalBold"/>
      </w:pPr>
      <w:r w:rsidRPr="00605988">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28. februarja 2024 o poročilu Komisije o stanju pravne države za leto 2023</w:t>
            </w:r>
            <w:r>
              <w:rPr>
                <w:b/>
                <w:i/>
                <w:vertAlign w:val="superscript"/>
              </w:rPr>
              <w:t>29</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i/>
                <w:vertAlign w:val="superscript"/>
              </w:rPr>
              <w:t>29</w:t>
            </w:r>
            <w:r>
              <w:t xml:space="preserve"> </w:t>
            </w:r>
            <w:r>
              <w:rPr>
                <w:b/>
                <w:i/>
              </w:rPr>
              <w:t>UL C C/2024/6743, 26.11.2024, ELI: http://data.europa.eu/eli/C/2024/6743/oj.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BF159C" w:rsidRDefault="00F931B6" w:rsidP="00F931B6">
      <w:pPr>
        <w:pStyle w:val="AmOrLang"/>
        <w:rPr>
          <w:lang w:val="da-DK"/>
        </w:rPr>
      </w:pPr>
      <w:r w:rsidRPr="00BF159C">
        <w:rPr>
          <w:lang w:val="da-DK"/>
        </w:rPr>
        <w:t xml:space="preserve">Or. </w:t>
      </w:r>
      <w:r w:rsidRPr="00BF159C">
        <w:rPr>
          <w:rStyle w:val="HideTWBExt"/>
          <w:lang w:val="da-DK"/>
        </w:rPr>
        <w:t>&lt;Original&gt;</w:t>
      </w:r>
      <w:r w:rsidRPr="00BF159C">
        <w:rPr>
          <w:rStyle w:val="HideTWBInt"/>
          <w:lang w:val="da-DK"/>
        </w:rPr>
        <w:t>{PL}</w:t>
      </w:r>
      <w:r w:rsidRPr="00BF159C">
        <w:rPr>
          <w:lang w:val="da-DK"/>
        </w:rPr>
        <w:t>pl</w:t>
      </w:r>
      <w:r w:rsidRPr="00BF159C">
        <w:rPr>
          <w:rStyle w:val="HideTWBExt"/>
          <w:lang w:val="da-DK"/>
        </w:rPr>
        <w:t>&lt;/Original&gt;</w:t>
      </w:r>
    </w:p>
    <w:p w:rsidR="00F931B6" w:rsidRPr="00BF159C" w:rsidRDefault="00F931B6" w:rsidP="00F931B6">
      <w:r>
        <w:rPr>
          <w:rStyle w:val="HideTWBExt"/>
          <w:lang w:val="da-DK"/>
        </w:rPr>
        <w:t>&lt;/Amend&gt;</w:t>
      </w:r>
    </w:p>
    <w:p w:rsidR="00F931B6" w:rsidRPr="00BF159C" w:rsidRDefault="00F931B6" w:rsidP="00F931B6">
      <w:pPr>
        <w:pStyle w:val="AmNumberTabs"/>
      </w:pPr>
      <w:r>
        <w:rPr>
          <w:rStyle w:val="HideTWBExt"/>
          <w:b w:val="0"/>
          <w:lang w:val="da-DK"/>
        </w:rPr>
        <w:t>&lt;Amend&gt;</w:t>
      </w:r>
      <w:r>
        <w:t>Predlog spremembe</w:t>
      </w:r>
      <w:r>
        <w:tab/>
      </w:r>
      <w:r>
        <w:tab/>
      </w:r>
      <w:r>
        <w:rPr>
          <w:rStyle w:val="HideTWBExt"/>
          <w:b w:val="0"/>
          <w:lang w:val="da-DK"/>
        </w:rPr>
        <w:t>&lt;NumAm&gt;</w:t>
      </w:r>
      <w:r>
        <w:t>108</w:t>
      </w:r>
      <w:r>
        <w:rPr>
          <w:rStyle w:val="HideTWBExt"/>
          <w:b w:val="0"/>
          <w:lang w:val="da-DK"/>
        </w:rPr>
        <w:t>&lt;/NumAm&gt;</w:t>
      </w:r>
    </w:p>
    <w:p w:rsidR="00F931B6" w:rsidRPr="00BF159C" w:rsidRDefault="00F931B6" w:rsidP="00F931B6">
      <w:pPr>
        <w:pStyle w:val="NormalBold"/>
      </w:pPr>
      <w:r>
        <w:rPr>
          <w:rStyle w:val="HideTWBExt"/>
          <w:b w:val="0"/>
          <w:lang w:val="da-DK"/>
        </w:rPr>
        <w:t>&lt;RepeatBlock-By&gt;&lt;Members&gt;</w:t>
      </w:r>
      <w:r>
        <w:t>Erik Kaliňák</w:t>
      </w:r>
      <w:r>
        <w:rPr>
          <w:rStyle w:val="HideTWBExt"/>
          <w:b w:val="0"/>
          <w:lang w:val="da-DK"/>
        </w:rPr>
        <w:t>&lt;/Members&gt;</w:t>
      </w:r>
    </w:p>
    <w:p w:rsidR="00F931B6" w:rsidRPr="00BF159C" w:rsidRDefault="00F931B6" w:rsidP="00F931B6">
      <w:pPr>
        <w:pStyle w:val="NormalBold"/>
      </w:pPr>
      <w:r>
        <w:rPr>
          <w:rStyle w:val="HideTWBExt"/>
          <w:b w:val="0"/>
          <w:lang w:val="da-DK"/>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28. februarja 2024 o poročilu Komisije o stanju pravne države za leto 2023</w:t>
            </w:r>
            <w:r>
              <w:rPr>
                <w:b/>
                <w:i/>
                <w:vertAlign w:val="superscript"/>
              </w:rPr>
              <w:t>29</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i/>
                <w:vertAlign w:val="superscript"/>
              </w:rPr>
              <w:t>29</w:t>
            </w:r>
            <w:r>
              <w:t xml:space="preserve"> </w:t>
            </w:r>
            <w:r>
              <w:rPr>
                <w:b/>
                <w:i/>
              </w:rPr>
              <w:t>UL C, C/2024/6743, 26.11.2024, ELI: http://data.europa.eu/eli/C/2024/6743/oj.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109</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28. februarja 2024 o poročilu Komisije o stanju pravne države za leto 2023</w:t>
            </w:r>
            <w:r>
              <w:rPr>
                <w:b/>
                <w:i/>
                <w:vertAlign w:val="superscript"/>
              </w:rPr>
              <w:t>29</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i/>
                <w:vertAlign w:val="superscript"/>
              </w:rPr>
              <w:t>29</w:t>
            </w:r>
            <w:r>
              <w:t xml:space="preserve"> </w:t>
            </w:r>
            <w:r>
              <w:rPr>
                <w:b/>
                <w:i/>
              </w:rPr>
              <w:t>UL C, C/2024/6743, 26.11.2024, ELI: http://data.europa.eu/eli/C/2024/6743/oj.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110</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28. februarja 2024 o poročilu Komisije o stanju pravne države za leto 2023</w:t>
            </w:r>
            <w:r>
              <w:rPr>
                <w:b/>
                <w:i/>
                <w:vertAlign w:val="superscript"/>
              </w:rPr>
              <w:t>29</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i/>
                <w:vertAlign w:val="superscript"/>
              </w:rPr>
              <w:t>29</w:t>
            </w:r>
            <w:r>
              <w:rPr>
                <w:b/>
                <w:i/>
              </w:rPr>
              <w:t xml:space="preserve"> UL C, C/2024/6743, 26.11.2024, ELI: http://data.europa.eu/eli/C/2024/6743/oj.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BF159C" w:rsidRDefault="00F931B6" w:rsidP="00F931B6">
      <w:pPr>
        <w:pStyle w:val="AmOrLang"/>
        <w:rPr>
          <w:lang w:val="fi-FI"/>
        </w:rPr>
      </w:pPr>
      <w:r w:rsidRPr="00BF159C">
        <w:rPr>
          <w:lang w:val="fi-FI"/>
        </w:rPr>
        <w:t xml:space="preserve">Or. </w:t>
      </w:r>
      <w:r w:rsidRPr="00BF159C">
        <w:rPr>
          <w:rStyle w:val="HideTWBExt"/>
          <w:lang w:val="fi-FI"/>
        </w:rPr>
        <w:t>&lt;Original&gt;</w:t>
      </w:r>
      <w:r w:rsidRPr="00BF159C">
        <w:rPr>
          <w:rStyle w:val="HideTWBInt"/>
          <w:lang w:val="fi-FI"/>
        </w:rPr>
        <w:t>{EN}</w:t>
      </w:r>
      <w:r w:rsidRPr="00BF159C">
        <w:rPr>
          <w:lang w:val="fi-FI"/>
        </w:rPr>
        <w:t>en</w:t>
      </w:r>
      <w:r w:rsidRPr="00BF159C">
        <w:rPr>
          <w:rStyle w:val="HideTWBExt"/>
          <w:lang w:val="fi-FI"/>
        </w:rPr>
        <w:t>&lt;/Original&gt;</w:t>
      </w:r>
    </w:p>
    <w:p w:rsidR="00F931B6" w:rsidRPr="00BF159C" w:rsidRDefault="00F931B6" w:rsidP="00F931B6">
      <w:r>
        <w:rPr>
          <w:rStyle w:val="HideTWBExt"/>
          <w:lang w:val="fi-FI"/>
        </w:rPr>
        <w:t>&lt;/Amend&gt;</w:t>
      </w:r>
    </w:p>
    <w:p w:rsidR="00F931B6" w:rsidRPr="00BF159C" w:rsidRDefault="00F931B6" w:rsidP="00F931B6">
      <w:pPr>
        <w:pStyle w:val="AmNumberTabs"/>
      </w:pPr>
      <w:r w:rsidRPr="00605988">
        <w:rPr>
          <w:rStyle w:val="HideTWBExt"/>
          <w:b w:val="0"/>
        </w:rPr>
        <w:t>&lt;Amend&gt;</w:t>
      </w:r>
      <w:r>
        <w:t>Predlog spremembe</w:t>
      </w:r>
      <w:r>
        <w:tab/>
      </w:r>
      <w:r>
        <w:tab/>
      </w:r>
      <w:r w:rsidRPr="00605988">
        <w:rPr>
          <w:rStyle w:val="HideTWBExt"/>
          <w:b w:val="0"/>
        </w:rPr>
        <w:t>&lt;NumAm&gt;</w:t>
      </w:r>
      <w:r>
        <w:t>111</w:t>
      </w:r>
      <w:r w:rsidRPr="00605988">
        <w:rPr>
          <w:rStyle w:val="HideTWBExt"/>
          <w:b w:val="0"/>
        </w:rPr>
        <w:t>&lt;/NumAm&gt;</w:t>
      </w:r>
    </w:p>
    <w:p w:rsidR="00F931B6" w:rsidRPr="00BF159C" w:rsidRDefault="00F931B6" w:rsidP="00F931B6">
      <w:pPr>
        <w:pStyle w:val="NormalBold"/>
      </w:pPr>
      <w:r w:rsidRPr="00605988">
        <w:rPr>
          <w:rStyle w:val="HideTWBExt"/>
          <w:b w:val="0"/>
        </w:rPr>
        <w:t>&lt;RepeatBlock-By&gt;&lt;Members&gt;</w:t>
      </w:r>
      <w:r>
        <w:t>Mariusz Kamiński, Joachim Stanisław Brudziński, Jadwiga Wiśniewska, Maciej Wąsik, Jacek Ozdoba</w:t>
      </w:r>
      <w:r w:rsidRPr="00605988">
        <w:rPr>
          <w:rStyle w:val="HideTWBExt"/>
          <w:b w:val="0"/>
        </w:rPr>
        <w:t>&lt;/Members&gt;</w:t>
      </w:r>
    </w:p>
    <w:p w:rsidR="00F931B6" w:rsidRPr="00BF159C" w:rsidRDefault="00F931B6" w:rsidP="00F931B6">
      <w:pPr>
        <w:pStyle w:val="NormalBold"/>
      </w:pPr>
      <w:r w:rsidRPr="00605988">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 junija 2023 o kršitvah načela pravne države in temeljnih pravic na Madžarskem ter zamrznjenih sredstvih EU</w:t>
            </w:r>
            <w:r>
              <w:rPr>
                <w:b/>
                <w:i/>
                <w:vertAlign w:val="superscript"/>
              </w:rPr>
              <w:t>30</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30</w:t>
            </w:r>
            <w:r>
              <w:rPr>
                <w:b/>
                <w:bCs/>
                <w:i/>
                <w:iCs/>
              </w:rPr>
              <w:t xml:space="preserve"> UL C, C/2023/1223, 21.12.2023, ELI:</w:t>
            </w:r>
            <w:r>
              <w:rPr>
                <w:b/>
                <w:i/>
              </w:rPr>
              <w:t xml:space="preserve"> http://data.europa.eu/eli/C/2023/1223/oj.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BF159C" w:rsidRDefault="00F931B6" w:rsidP="00F931B6">
      <w:pPr>
        <w:pStyle w:val="AmOrLang"/>
        <w:rPr>
          <w:lang w:val="da-DK"/>
        </w:rPr>
      </w:pPr>
      <w:r w:rsidRPr="00BF159C">
        <w:rPr>
          <w:lang w:val="da-DK"/>
        </w:rPr>
        <w:t xml:space="preserve">Or. </w:t>
      </w:r>
      <w:r w:rsidRPr="00BF159C">
        <w:rPr>
          <w:rStyle w:val="HideTWBExt"/>
          <w:lang w:val="da-DK"/>
        </w:rPr>
        <w:t>&lt;Original&gt;</w:t>
      </w:r>
      <w:r w:rsidRPr="00BF159C">
        <w:rPr>
          <w:rStyle w:val="HideTWBInt"/>
          <w:lang w:val="da-DK"/>
        </w:rPr>
        <w:t>{PL}</w:t>
      </w:r>
      <w:r w:rsidRPr="00BF159C">
        <w:rPr>
          <w:lang w:val="da-DK"/>
        </w:rPr>
        <w:t>pl</w:t>
      </w:r>
      <w:r w:rsidRPr="00BF159C">
        <w:rPr>
          <w:rStyle w:val="HideTWBExt"/>
          <w:lang w:val="da-DK"/>
        </w:rPr>
        <w:t>&lt;/Original&gt;</w:t>
      </w:r>
    </w:p>
    <w:p w:rsidR="00F931B6" w:rsidRPr="00BF159C" w:rsidRDefault="00F931B6" w:rsidP="00F931B6">
      <w:r>
        <w:rPr>
          <w:rStyle w:val="HideTWBExt"/>
          <w:lang w:val="da-DK"/>
        </w:rPr>
        <w:t>&lt;/Amend&gt;</w:t>
      </w:r>
    </w:p>
    <w:p w:rsidR="00F931B6" w:rsidRPr="00BF159C" w:rsidRDefault="00F931B6" w:rsidP="00F931B6">
      <w:pPr>
        <w:pStyle w:val="AmNumberTabs"/>
      </w:pPr>
      <w:r>
        <w:rPr>
          <w:rStyle w:val="HideTWBExt"/>
          <w:b w:val="0"/>
          <w:lang w:val="da-DK"/>
        </w:rPr>
        <w:t>&lt;Amend&gt;</w:t>
      </w:r>
      <w:r>
        <w:t>Predlog spremembe</w:t>
      </w:r>
      <w:r>
        <w:tab/>
      </w:r>
      <w:r>
        <w:tab/>
      </w:r>
      <w:r>
        <w:rPr>
          <w:rStyle w:val="HideTWBExt"/>
          <w:b w:val="0"/>
          <w:lang w:val="da-DK"/>
        </w:rPr>
        <w:t>&lt;NumAm&gt;</w:t>
      </w:r>
      <w:r>
        <w:t>112</w:t>
      </w:r>
      <w:r>
        <w:rPr>
          <w:rStyle w:val="HideTWBExt"/>
          <w:b w:val="0"/>
          <w:lang w:val="da-DK"/>
        </w:rPr>
        <w:t>&lt;/NumAm&gt;</w:t>
      </w:r>
    </w:p>
    <w:p w:rsidR="00F931B6" w:rsidRPr="00BF159C" w:rsidRDefault="00F931B6" w:rsidP="00F931B6">
      <w:pPr>
        <w:pStyle w:val="NormalBold"/>
      </w:pPr>
      <w:r>
        <w:rPr>
          <w:rStyle w:val="HideTWBExt"/>
          <w:b w:val="0"/>
          <w:lang w:val="da-DK"/>
        </w:rPr>
        <w:t>&lt;RepeatBlock-By&gt;&lt;Members&gt;</w:t>
      </w:r>
      <w:r>
        <w:t>Erik Kaliňák</w:t>
      </w:r>
      <w:r>
        <w:rPr>
          <w:rStyle w:val="HideTWBExt"/>
          <w:b w:val="0"/>
          <w:lang w:val="da-DK"/>
        </w:rPr>
        <w:t>&lt;/Members&gt;</w:t>
      </w:r>
    </w:p>
    <w:p w:rsidR="00F931B6" w:rsidRPr="00BF159C" w:rsidRDefault="00F931B6" w:rsidP="00F931B6">
      <w:pPr>
        <w:pStyle w:val="NormalBold"/>
      </w:pPr>
      <w:r>
        <w:rPr>
          <w:rStyle w:val="HideTWBExt"/>
          <w:b w:val="0"/>
          <w:lang w:val="da-DK"/>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 junija 2023 o kršitvah načela pravne države in temeljnih pravic na Madžarskem ter zamrznjenih sredstvih EU</w:t>
            </w:r>
            <w:r>
              <w:rPr>
                <w:b/>
                <w:i/>
                <w:vertAlign w:val="superscript"/>
              </w:rPr>
              <w:t>30</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30</w:t>
            </w:r>
            <w:r>
              <w:rPr>
                <w:b/>
                <w:bCs/>
                <w:i/>
                <w:iCs/>
              </w:rPr>
              <w:t xml:space="preserve"> UL C, C/2023/1223, 21.12.2023, ELI:</w:t>
            </w:r>
            <w:r>
              <w:rPr>
                <w:b/>
                <w:i/>
              </w:rPr>
              <w:t xml:space="preserve"> http://data.europa.eu/eli/C/2023/1223/oj.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113</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 junija 2023 o kršitvah načela pravne države in temeljnih pravic na Madžarskem ter zamrznjenih sredstvih EU</w:t>
            </w:r>
            <w:r>
              <w:rPr>
                <w:b/>
                <w:i/>
                <w:vertAlign w:val="superscript"/>
              </w:rPr>
              <w:t>30</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i/>
                <w:vertAlign w:val="superscript"/>
              </w:rPr>
              <w:t>30</w:t>
            </w:r>
            <w:r>
              <w:rPr>
                <w:b/>
                <w:i/>
              </w:rPr>
              <w:t xml:space="preserve"> UL C, C/2023/1223, 21.12.2023, ELI: http://data.europa.eu/eli/C/2023/1223/oj.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114</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svojega priporočila z dne 15. junija 2023 Svetu in Komisiji o preiskavi domnevnih kršitev in nepravilnosti pri uporabi prava Unije, povezanih z uporabo programa Pegasus in podobne vohunske programske opreme za nadzor</w:t>
            </w:r>
            <w:r>
              <w:rPr>
                <w:b/>
                <w:i/>
                <w:vertAlign w:val="superscript"/>
              </w:rPr>
              <w:t>31</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31</w:t>
            </w:r>
            <w:r>
              <w:rPr>
                <w:b/>
                <w:bCs/>
                <w:i/>
                <w:iCs/>
              </w:rPr>
              <w:t xml:space="preserve"> UL C, C/2024/494, 23.1.2024, ELI:</w:t>
            </w:r>
            <w:r>
              <w:rPr>
                <w:b/>
                <w:i/>
              </w:rPr>
              <w:t xml:space="preserve"> http://data.europa.eu/eli/C/2024/494/oj.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BF159C" w:rsidRDefault="00F931B6" w:rsidP="00F931B6">
      <w:pPr>
        <w:pStyle w:val="AmOrLang"/>
        <w:rPr>
          <w:lang w:val="fi-FI"/>
        </w:rPr>
      </w:pPr>
      <w:r w:rsidRPr="00BF159C">
        <w:rPr>
          <w:lang w:val="fi-FI"/>
        </w:rPr>
        <w:t xml:space="preserve">Or. </w:t>
      </w:r>
      <w:r w:rsidRPr="00BF159C">
        <w:rPr>
          <w:rStyle w:val="HideTWBExt"/>
          <w:lang w:val="fi-FI"/>
        </w:rPr>
        <w:t>&lt;Original&gt;</w:t>
      </w:r>
      <w:r w:rsidRPr="00BF159C">
        <w:rPr>
          <w:rStyle w:val="HideTWBInt"/>
          <w:lang w:val="fi-FI"/>
        </w:rPr>
        <w:t>{SK}</w:t>
      </w:r>
      <w:r w:rsidRPr="00BF159C">
        <w:rPr>
          <w:lang w:val="fi-FI"/>
        </w:rPr>
        <w:t>sk</w:t>
      </w:r>
      <w:r w:rsidRPr="00BF159C">
        <w:rPr>
          <w:rStyle w:val="HideTWBExt"/>
          <w:lang w:val="fi-FI"/>
        </w:rPr>
        <w:t>&lt;/Original&gt;</w:t>
      </w:r>
    </w:p>
    <w:p w:rsidR="00F931B6" w:rsidRPr="00BF159C" w:rsidRDefault="00F931B6" w:rsidP="00F931B6">
      <w:r>
        <w:rPr>
          <w:rStyle w:val="HideTWBExt"/>
          <w:lang w:val="fi-FI"/>
        </w:rPr>
        <w:t>&lt;/Amend&gt;</w:t>
      </w:r>
    </w:p>
    <w:p w:rsidR="00F931B6" w:rsidRPr="00BF159C" w:rsidRDefault="00F931B6" w:rsidP="00F931B6">
      <w:pPr>
        <w:pStyle w:val="AmNumberTabs"/>
      </w:pPr>
      <w:r>
        <w:rPr>
          <w:rStyle w:val="HideTWBExt"/>
          <w:b w:val="0"/>
          <w:lang w:val="fi-FI"/>
        </w:rPr>
        <w:t>&lt;Amend&gt;</w:t>
      </w:r>
      <w:r>
        <w:t>Predlog spremembe</w:t>
      </w:r>
      <w:r>
        <w:tab/>
      </w:r>
      <w:r>
        <w:tab/>
      </w:r>
      <w:r>
        <w:rPr>
          <w:rStyle w:val="HideTWBExt"/>
          <w:b w:val="0"/>
          <w:lang w:val="fi-FI"/>
        </w:rPr>
        <w:t>&lt;NumAm&gt;</w:t>
      </w:r>
      <w:r>
        <w:t>115</w:t>
      </w:r>
      <w:r>
        <w:rPr>
          <w:rStyle w:val="HideTWBExt"/>
          <w:b w:val="0"/>
          <w:lang w:val="fi-FI"/>
        </w:rPr>
        <w:t>&lt;/NumAm&gt;</w:t>
      </w:r>
    </w:p>
    <w:p w:rsidR="00F931B6" w:rsidRPr="00BF159C" w:rsidRDefault="00F931B6" w:rsidP="00F931B6">
      <w:pPr>
        <w:pStyle w:val="NormalBold"/>
      </w:pPr>
      <w:r w:rsidRPr="00605988">
        <w:rPr>
          <w:rStyle w:val="HideTWBExt"/>
          <w:b w:val="0"/>
          <w:lang w:val="pl-PL"/>
        </w:rPr>
        <w:t>&lt;RepeatBlock-By&gt;&lt;Members&gt;</w:t>
      </w:r>
      <w:r>
        <w:t>Mariusz Kamiński, Joachim Stanisław Brudziński, Jadwiga Wiśniewska, Maciej Wąsik, Jacek Ozdoba</w:t>
      </w:r>
      <w:r w:rsidRPr="00605988">
        <w:rPr>
          <w:rStyle w:val="HideTWBExt"/>
          <w:b w:val="0"/>
          <w:lang w:val="pl-PL"/>
        </w:rPr>
        <w:t>&lt;/Members&gt;</w:t>
      </w:r>
    </w:p>
    <w:p w:rsidR="00F931B6" w:rsidRPr="00BF159C" w:rsidRDefault="00F931B6" w:rsidP="00F931B6">
      <w:pPr>
        <w:pStyle w:val="NormalBold"/>
      </w:pPr>
      <w:r w:rsidRPr="00605988">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svojega priporočila z dne 15. junija 2023 Svetu in Komisiji o preiskavi domnevnih kršitev in nepravilnosti pri uporabi prava Unije, povezanih z uporabo programa Pegasus in podobne vohunske programske opreme za nadzor</w:t>
            </w:r>
            <w:r>
              <w:rPr>
                <w:b/>
                <w:i/>
                <w:vertAlign w:val="superscript"/>
              </w:rPr>
              <w:t>31</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31</w:t>
            </w:r>
            <w:r>
              <w:rPr>
                <w:b/>
                <w:bCs/>
                <w:i/>
                <w:iCs/>
              </w:rPr>
              <w:t xml:space="preserve"> UL C, C/2024/494, 23.1.2024, ELI:</w:t>
            </w:r>
            <w:r>
              <w:rPr>
                <w:b/>
                <w:i/>
              </w:rPr>
              <w:t xml:space="preserve"> http://data.europa.eu/eli/C/2024/494/oj.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116</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svojega priporočila z dne 15. junija 2023 Svetu in Komisiji o preiskavi domnevnih kršitev in nepravilnosti pri uporabi prava Unije, povezanih z uporabo programa Pegasus in podobne vohunske programske opreme za nadzor</w:t>
            </w:r>
            <w:r>
              <w:rPr>
                <w:b/>
                <w:i/>
                <w:vertAlign w:val="superscript"/>
              </w:rPr>
              <w:t>31</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i/>
                <w:vertAlign w:val="superscript"/>
              </w:rPr>
              <w:t>31</w:t>
            </w:r>
            <w:r>
              <w:rPr>
                <w:b/>
                <w:i/>
              </w:rPr>
              <w:t xml:space="preserve"> UL C, C/2024/494, 23.1.2024, ELI: http://data.europa.eu/eli/C/2024/494/oj.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117</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11. julija 2023 o volilni zakonodaji, preiskovalnem odboru in pravni državi na Poljskem</w:t>
            </w:r>
            <w:r>
              <w:rPr>
                <w:b/>
                <w:i/>
                <w:vertAlign w:val="superscript"/>
              </w:rPr>
              <w:t>32</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i/>
                <w:vertAlign w:val="superscript"/>
              </w:rPr>
              <w:t>32</w:t>
            </w:r>
            <w:r>
              <w:rPr>
                <w:b/>
                <w:i/>
              </w:rPr>
              <w:t xml:space="preserve"> UL C, C/2024/3995, 17.7.2024, ELI: http://data.europa.eu/eli/C/2024/3995/oj.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118</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11. julija 2023 o volilni zakonodaji, preiskovalnem odboru in pravni državi na Poljskem</w:t>
            </w:r>
            <w:r>
              <w:rPr>
                <w:b/>
                <w:i/>
                <w:vertAlign w:val="superscript"/>
              </w:rPr>
              <w:t>32</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32</w:t>
            </w:r>
            <w:r>
              <w:rPr>
                <w:b/>
                <w:bCs/>
                <w:i/>
                <w:iCs/>
              </w:rPr>
              <w:t xml:space="preserve"> UL C, C/2024/3995, 17.7.2024, ELI:</w:t>
            </w:r>
            <w:r>
              <w:rPr>
                <w:b/>
                <w:i/>
              </w:rPr>
              <w:t xml:space="preserve"> http://data.europa.eu/eli/C/2024/3995/oj.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BF159C" w:rsidRDefault="00F931B6" w:rsidP="00F931B6">
      <w:pPr>
        <w:pStyle w:val="AmOrLang"/>
        <w:rPr>
          <w:lang w:val="fi-FI"/>
        </w:rPr>
      </w:pPr>
      <w:r w:rsidRPr="00BF159C">
        <w:rPr>
          <w:lang w:val="fi-FI"/>
        </w:rPr>
        <w:t xml:space="preserve">Or. </w:t>
      </w:r>
      <w:r w:rsidRPr="00BF159C">
        <w:rPr>
          <w:rStyle w:val="HideTWBExt"/>
          <w:lang w:val="fi-FI"/>
        </w:rPr>
        <w:t>&lt;Original&gt;</w:t>
      </w:r>
      <w:r w:rsidRPr="00BF159C">
        <w:rPr>
          <w:rStyle w:val="HideTWBInt"/>
          <w:lang w:val="fi-FI"/>
        </w:rPr>
        <w:t>{SK}</w:t>
      </w:r>
      <w:r w:rsidRPr="00BF159C">
        <w:rPr>
          <w:lang w:val="fi-FI"/>
        </w:rPr>
        <w:t>sk</w:t>
      </w:r>
      <w:r w:rsidRPr="00BF159C">
        <w:rPr>
          <w:rStyle w:val="HideTWBExt"/>
          <w:lang w:val="fi-FI"/>
        </w:rPr>
        <w:t>&lt;/Original&gt;</w:t>
      </w:r>
    </w:p>
    <w:p w:rsidR="00F931B6" w:rsidRPr="00BF159C" w:rsidRDefault="00F931B6" w:rsidP="00F931B6">
      <w:r>
        <w:rPr>
          <w:rStyle w:val="HideTWBExt"/>
          <w:lang w:val="fi-FI"/>
        </w:rPr>
        <w:t>&lt;/Amend&gt;</w:t>
      </w:r>
    </w:p>
    <w:p w:rsidR="00F931B6" w:rsidRPr="00BF159C" w:rsidRDefault="00F931B6" w:rsidP="00F931B6">
      <w:pPr>
        <w:pStyle w:val="AmNumberTabs"/>
      </w:pPr>
      <w:r>
        <w:rPr>
          <w:rStyle w:val="HideTWBExt"/>
          <w:b w:val="0"/>
          <w:lang w:val="fi-FI"/>
        </w:rPr>
        <w:t>&lt;Amend&gt;</w:t>
      </w:r>
      <w:r>
        <w:t>Predlog spremembe</w:t>
      </w:r>
      <w:r>
        <w:tab/>
      </w:r>
      <w:r>
        <w:tab/>
      </w:r>
      <w:r>
        <w:rPr>
          <w:rStyle w:val="HideTWBExt"/>
          <w:b w:val="0"/>
          <w:lang w:val="fi-FI"/>
        </w:rPr>
        <w:t>&lt;NumAm&gt;</w:t>
      </w:r>
      <w:r>
        <w:t>119</w:t>
      </w:r>
      <w:r>
        <w:rPr>
          <w:rStyle w:val="HideTWBExt"/>
          <w:b w:val="0"/>
          <w:lang w:val="fi-FI"/>
        </w:rPr>
        <w:t>&lt;/NumAm&gt;</w:t>
      </w:r>
    </w:p>
    <w:p w:rsidR="00F931B6" w:rsidRPr="00BF159C" w:rsidRDefault="00F931B6" w:rsidP="00F931B6">
      <w:pPr>
        <w:pStyle w:val="NormalBold"/>
      </w:pPr>
      <w:r w:rsidRPr="00605988">
        <w:rPr>
          <w:rStyle w:val="HideTWBExt"/>
          <w:b w:val="0"/>
          <w:lang w:val="pl-PL"/>
        </w:rPr>
        <w:t>&lt;RepeatBlock-By&gt;&lt;Members&gt;</w:t>
      </w:r>
      <w:r>
        <w:t>Mariusz Kamiński, Joachim Stanisław Brudziński, Jadwiga Wiśniewska, Maciej Wąsik, Jacek Ozdoba</w:t>
      </w:r>
      <w:r w:rsidRPr="00605988">
        <w:rPr>
          <w:rStyle w:val="HideTWBExt"/>
          <w:b w:val="0"/>
          <w:lang w:val="pl-PL"/>
        </w:rPr>
        <w:t>&lt;/Members&gt;</w:t>
      </w:r>
    </w:p>
    <w:p w:rsidR="00F931B6" w:rsidRPr="00BF159C" w:rsidRDefault="00F931B6" w:rsidP="00F931B6">
      <w:pPr>
        <w:pStyle w:val="NormalBold"/>
      </w:pPr>
      <w:r w:rsidRPr="00605988">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11. julija 2023 o volilni zakonodaji, preiskovalnem odboru in pravni državi na Poljskem</w:t>
            </w:r>
            <w:r>
              <w:rPr>
                <w:b/>
                <w:i/>
                <w:vertAlign w:val="superscript"/>
              </w:rPr>
              <w:t>32</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32</w:t>
            </w:r>
            <w:r>
              <w:rPr>
                <w:b/>
                <w:bCs/>
                <w:i/>
                <w:iCs/>
              </w:rPr>
              <w:t xml:space="preserve"> UL C, C/2024/3995, 17.7.2024, ELI:</w:t>
            </w:r>
            <w:r>
              <w:rPr>
                <w:b/>
                <w:i/>
              </w:rPr>
              <w:t xml:space="preserve"> http://data.europa.eu/eli/C/2024/3995/oj.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BF159C" w:rsidRDefault="00F931B6" w:rsidP="00F931B6">
      <w:pPr>
        <w:pStyle w:val="AmOrLang"/>
        <w:rPr>
          <w:lang w:val="fi-FI"/>
        </w:rPr>
      </w:pPr>
      <w:r w:rsidRPr="00BF159C">
        <w:rPr>
          <w:lang w:val="fi-FI"/>
        </w:rPr>
        <w:t xml:space="preserve">Or. </w:t>
      </w:r>
      <w:r w:rsidRPr="00BF159C">
        <w:rPr>
          <w:rStyle w:val="HideTWBExt"/>
          <w:lang w:val="fi-FI"/>
        </w:rPr>
        <w:t>&lt;Original&gt;</w:t>
      </w:r>
      <w:r w:rsidRPr="00BF159C">
        <w:rPr>
          <w:rStyle w:val="HideTWBInt"/>
          <w:lang w:val="fi-FI"/>
        </w:rPr>
        <w:t>{PL}</w:t>
      </w:r>
      <w:r w:rsidRPr="00BF159C">
        <w:rPr>
          <w:lang w:val="fi-FI"/>
        </w:rPr>
        <w:t>pl</w:t>
      </w:r>
      <w:r w:rsidRPr="00BF159C">
        <w:rPr>
          <w:rStyle w:val="HideTWBExt"/>
          <w:lang w:val="fi-FI"/>
        </w:rPr>
        <w:t>&lt;/Original&gt;</w:t>
      </w:r>
    </w:p>
    <w:p w:rsidR="00F931B6" w:rsidRPr="00BF159C" w:rsidRDefault="00F931B6" w:rsidP="00F931B6">
      <w:r>
        <w:rPr>
          <w:rStyle w:val="HideTWBExt"/>
          <w:lang w:val="fi-FI"/>
        </w:rPr>
        <w:t>&lt;/Amend&gt;</w:t>
      </w:r>
    </w:p>
    <w:p w:rsidR="00F931B6" w:rsidRPr="00BF159C" w:rsidRDefault="00F931B6" w:rsidP="00F931B6">
      <w:pPr>
        <w:pStyle w:val="AmNumberTabs"/>
      </w:pPr>
      <w:r>
        <w:rPr>
          <w:rStyle w:val="HideTWBExt"/>
          <w:b w:val="0"/>
          <w:lang w:val="fi-FI"/>
        </w:rPr>
        <w:t>&lt;Amend&gt;</w:t>
      </w:r>
      <w:r>
        <w:t>Predlog spremembe</w:t>
      </w:r>
      <w:r>
        <w:tab/>
      </w:r>
      <w:r>
        <w:tab/>
      </w:r>
      <w:r>
        <w:rPr>
          <w:rStyle w:val="HideTWBExt"/>
          <w:b w:val="0"/>
          <w:lang w:val="fi-FI"/>
        </w:rPr>
        <w:t>&lt;NumAm&gt;</w:t>
      </w:r>
      <w:r>
        <w:t>120</w:t>
      </w:r>
      <w:r>
        <w:rPr>
          <w:rStyle w:val="HideTWBExt"/>
          <w:b w:val="0"/>
          <w:lang w:val="fi-FI"/>
        </w:rPr>
        <w:t>&lt;/NumAm&gt;</w:t>
      </w:r>
    </w:p>
    <w:p w:rsidR="00F931B6" w:rsidRPr="00BF159C" w:rsidRDefault="00F931B6" w:rsidP="00F931B6">
      <w:pPr>
        <w:pStyle w:val="NormalBold"/>
      </w:pPr>
      <w:r>
        <w:rPr>
          <w:rStyle w:val="HideTWBExt"/>
          <w:b w:val="0"/>
          <w:lang w:val="fi-FI"/>
        </w:rPr>
        <w:t>&lt;RepeatBlock-By&gt;&lt;Members&gt;</w:t>
      </w:r>
      <w:r>
        <w:t>Emma Rafowicz, Birgit Sippel, Chloé Ridel, Krzysztof Śmiszek, Hannes Heide</w:t>
      </w:r>
      <w:r>
        <w:rPr>
          <w:rStyle w:val="HideTWBExt"/>
          <w:b w:val="0"/>
          <w:lang w:val="fi-FI"/>
        </w:rPr>
        <w:t>&lt;/Members&gt;</w:t>
      </w:r>
    </w:p>
    <w:p w:rsidR="00F931B6" w:rsidRPr="00BF159C" w:rsidRDefault="00F931B6" w:rsidP="00F931B6">
      <w:pPr>
        <w:pStyle w:val="NormalBold"/>
      </w:pPr>
      <w:r>
        <w:rPr>
          <w:rStyle w:val="HideTWBExt"/>
          <w:b w:val="0"/>
          <w:lang w:val="fi-FI"/>
        </w:rPr>
        <w:t>&lt;/RepeatBlock-By&gt;</w:t>
      </w:r>
    </w:p>
    <w:p w:rsidR="00F931B6" w:rsidRPr="00BF159C" w:rsidRDefault="00F931B6" w:rsidP="00F931B6">
      <w:pPr>
        <w:pStyle w:val="NormalBold"/>
      </w:pPr>
      <w:r>
        <w:rPr>
          <w:rStyle w:val="HideTWBExt"/>
          <w:b w:val="0"/>
          <w:lang w:val="fi-FI"/>
        </w:rPr>
        <w:t>&lt;DocAmend&gt;</w:t>
      </w:r>
      <w:r>
        <w:t>Predlog resolucije</w:t>
      </w:r>
      <w:r>
        <w:rPr>
          <w:rStyle w:val="HideTWBExt"/>
          <w:b w:val="0"/>
          <w:lang w:val="fi-FI"/>
        </w:rPr>
        <w:t>&lt;/DocAmend&gt;</w:t>
      </w:r>
    </w:p>
    <w:p w:rsidR="00F931B6" w:rsidRPr="00444926" w:rsidRDefault="00F931B6" w:rsidP="00F931B6">
      <w:pPr>
        <w:pStyle w:val="NormalBold"/>
      </w:pPr>
      <w:r>
        <w:rPr>
          <w:rStyle w:val="HideTWBExt"/>
          <w:b w:val="0"/>
        </w:rPr>
        <w:t>&lt;Article&gt;</w:t>
      </w:r>
      <w:r>
        <w:t>Navedba sklicevanja 43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mnenja francoske nacionalne posvetovalne komisije za človekove pravice z dne 20. junija 2024 o nadzoru javnega prostora</w:t>
            </w:r>
            <w:r>
              <w:rPr>
                <w:b/>
                <w:i/>
                <w:vertAlign w:val="superscript"/>
              </w:rPr>
              <w:t>1a</w:t>
            </w:r>
            <w:r>
              <w:rPr>
                <w:b/>
                <w:i/>
              </w:rPr>
              <w:t>,</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BF159C" w:rsidRDefault="00F931B6" w:rsidP="007C04AE">
            <w:pPr>
              <w:pStyle w:val="Normal6a"/>
            </w:pPr>
            <w:r>
              <w:rPr>
                <w:b/>
                <w:i/>
                <w:vertAlign w:val="superscript"/>
              </w:rPr>
              <w:t>1a</w:t>
            </w:r>
            <w:r>
              <w:rPr>
                <w:b/>
                <w:i/>
              </w:rPr>
              <w:t xml:space="preserve"> Francoska nacionalna posvetovalna komisija za človekove pravice, mnenje o nadzoru javnega prostora, 20. junij 2024.</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121</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19. oktobra 2023 o pravni državi na Malti šest let po umoru Daphne Caruana Galizia in nujni zaščiti novinarjev</w:t>
            </w:r>
            <w:r>
              <w:rPr>
                <w:b/>
                <w:i/>
                <w:vertAlign w:val="superscript"/>
              </w:rPr>
              <w:t>33</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33</w:t>
            </w:r>
            <w:r>
              <w:rPr>
                <w:b/>
                <w:bCs/>
                <w:i/>
                <w:iCs/>
              </w:rPr>
              <w:t xml:space="preserve"> UL C, C/2024/2656, 29.4.2024, ELI:</w:t>
            </w:r>
            <w:r>
              <w:rPr>
                <w:b/>
                <w:i/>
              </w:rPr>
              <w:t xml:space="preserve"> http://data.europa.eu/eli/C/2024/2656/oj.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BF159C" w:rsidRDefault="00F931B6" w:rsidP="00F931B6">
      <w:pPr>
        <w:pStyle w:val="AmOrLang"/>
        <w:rPr>
          <w:lang w:val="fi-FI"/>
        </w:rPr>
      </w:pPr>
      <w:r w:rsidRPr="00BF159C">
        <w:rPr>
          <w:lang w:val="fi-FI"/>
        </w:rPr>
        <w:t xml:space="preserve">Or. </w:t>
      </w:r>
      <w:r w:rsidRPr="00BF159C">
        <w:rPr>
          <w:rStyle w:val="HideTWBExt"/>
          <w:lang w:val="fi-FI"/>
        </w:rPr>
        <w:t>&lt;Original&gt;</w:t>
      </w:r>
      <w:r w:rsidRPr="00BF159C">
        <w:rPr>
          <w:rStyle w:val="HideTWBInt"/>
          <w:lang w:val="fi-FI"/>
        </w:rPr>
        <w:t>{SK}</w:t>
      </w:r>
      <w:r w:rsidRPr="00BF159C">
        <w:rPr>
          <w:lang w:val="fi-FI"/>
        </w:rPr>
        <w:t>sk</w:t>
      </w:r>
      <w:r w:rsidRPr="00BF159C">
        <w:rPr>
          <w:rStyle w:val="HideTWBExt"/>
          <w:lang w:val="fi-FI"/>
        </w:rPr>
        <w:t>&lt;/Original&gt;</w:t>
      </w:r>
    </w:p>
    <w:p w:rsidR="00F931B6" w:rsidRPr="00BF159C" w:rsidRDefault="00F931B6" w:rsidP="00F931B6">
      <w:r>
        <w:rPr>
          <w:rStyle w:val="HideTWBExt"/>
          <w:lang w:val="fi-FI"/>
        </w:rPr>
        <w:t>&lt;/Amend&gt;</w:t>
      </w:r>
    </w:p>
    <w:p w:rsidR="00F931B6" w:rsidRPr="00BF159C" w:rsidRDefault="00F931B6" w:rsidP="00F931B6">
      <w:pPr>
        <w:pStyle w:val="AmNumberTabs"/>
      </w:pPr>
      <w:r>
        <w:rPr>
          <w:rStyle w:val="HideTWBExt"/>
          <w:b w:val="0"/>
          <w:lang w:val="fi-FI"/>
        </w:rPr>
        <w:t>&lt;Amend&gt;</w:t>
      </w:r>
      <w:r>
        <w:t>Predlog spremembe</w:t>
      </w:r>
      <w:r>
        <w:tab/>
      </w:r>
      <w:r>
        <w:tab/>
      </w:r>
      <w:r>
        <w:rPr>
          <w:rStyle w:val="HideTWBExt"/>
          <w:b w:val="0"/>
          <w:lang w:val="fi-FI"/>
        </w:rPr>
        <w:t>&lt;NumAm&gt;</w:t>
      </w:r>
      <w:r>
        <w:t>122</w:t>
      </w:r>
      <w:r>
        <w:rPr>
          <w:rStyle w:val="HideTWBExt"/>
          <w:b w:val="0"/>
          <w:lang w:val="fi-FI"/>
        </w:rPr>
        <w:t>&lt;/NumAm&gt;</w:t>
      </w:r>
    </w:p>
    <w:p w:rsidR="00F931B6" w:rsidRPr="00BF159C" w:rsidRDefault="00F931B6" w:rsidP="00F931B6">
      <w:pPr>
        <w:pStyle w:val="NormalBold"/>
      </w:pPr>
      <w:r>
        <w:rPr>
          <w:rStyle w:val="HideTWBExt"/>
          <w:b w:val="0"/>
          <w:lang w:val="fi-FI"/>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lang w:val="fi-FI"/>
        </w:rPr>
        <w:t>&lt;/Members&gt;</w:t>
      </w:r>
    </w:p>
    <w:p w:rsidR="00F931B6" w:rsidRPr="00BF159C" w:rsidRDefault="00F931B6" w:rsidP="00F931B6">
      <w:pPr>
        <w:pStyle w:val="NormalBold"/>
      </w:pPr>
      <w:r>
        <w:rPr>
          <w:rStyle w:val="HideTWBExt"/>
          <w:b w:val="0"/>
          <w:lang w:val="fi-FI"/>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44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sporočila Komisije z dne 6. decembra 2023 z naslovom Ni prostora za sovraštvo: Evropa, združena proti sovraštvu (COM(2023)0051),</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123</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18. januarja 2024 o razmerah na področju temeljnih pravic v Evropski uniji – letno poročilo za leti 2022 in 2023</w:t>
            </w:r>
            <w:r>
              <w:rPr>
                <w:b/>
                <w:i/>
                <w:vertAlign w:val="superscript"/>
              </w:rPr>
              <w:t>34</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34</w:t>
            </w:r>
            <w:r>
              <w:rPr>
                <w:b/>
                <w:bCs/>
                <w:i/>
                <w:iCs/>
              </w:rPr>
              <w:t xml:space="preserve"> UL C, C/2024/5739, 17.10.2024, ELI:</w:t>
            </w:r>
            <w:r>
              <w:rPr>
                <w:b/>
                <w:i/>
              </w:rPr>
              <w:t xml:space="preserve"> http://data.europa.eu/eli/C/2024/5739/oj.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124</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18. januarja 2024 o razmerah na področju temeljnih pravic v Evropski uniji – letno poročilo za leti 2022 in 2023</w:t>
            </w:r>
            <w:r>
              <w:rPr>
                <w:b/>
                <w:i/>
                <w:vertAlign w:val="superscript"/>
              </w:rPr>
              <w:t>34</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i/>
                <w:vertAlign w:val="superscript"/>
              </w:rPr>
              <w:t xml:space="preserve">34 </w:t>
            </w:r>
            <w:r>
              <w:rPr>
                <w:b/>
                <w:i/>
              </w:rPr>
              <w:t>UL C, C/2024/5739, 17.10.2024, ELI: http://data.europa.eu/eli/C/2024/5739/oj.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BF159C" w:rsidRDefault="00F931B6" w:rsidP="00F931B6">
      <w:pPr>
        <w:pStyle w:val="AmOrLang"/>
        <w:rPr>
          <w:lang w:val="de-DE"/>
        </w:rPr>
      </w:pPr>
      <w:r w:rsidRPr="00BF159C">
        <w:rPr>
          <w:lang w:val="de-DE"/>
        </w:rPr>
        <w:t xml:space="preserve">Or. </w:t>
      </w:r>
      <w:r w:rsidRPr="00BF159C">
        <w:rPr>
          <w:rStyle w:val="HideTWBExt"/>
          <w:lang w:val="de-DE"/>
        </w:rPr>
        <w:t>&lt;Original&gt;</w:t>
      </w:r>
      <w:r w:rsidRPr="00BF159C">
        <w:rPr>
          <w:rStyle w:val="HideTWBInt"/>
          <w:lang w:val="de-DE"/>
        </w:rPr>
        <w:t>{EN}</w:t>
      </w:r>
      <w:r w:rsidRPr="00BF159C">
        <w:rPr>
          <w:lang w:val="de-DE"/>
        </w:rPr>
        <w:t>en</w:t>
      </w:r>
      <w:r w:rsidRPr="00BF159C">
        <w:rPr>
          <w:rStyle w:val="HideTWBExt"/>
          <w:lang w:val="de-DE"/>
        </w:rPr>
        <w:t>&lt;/Original&gt;</w:t>
      </w:r>
    </w:p>
    <w:p w:rsidR="00F931B6" w:rsidRPr="00BF159C" w:rsidRDefault="00F931B6" w:rsidP="00F931B6">
      <w:r>
        <w:rPr>
          <w:rStyle w:val="HideTWBExt"/>
          <w:lang w:val="de-DE"/>
        </w:rPr>
        <w:t>&lt;/Amend&gt;</w:t>
      </w:r>
    </w:p>
    <w:p w:rsidR="00F931B6" w:rsidRPr="00BF159C" w:rsidRDefault="00F931B6" w:rsidP="00F931B6">
      <w:pPr>
        <w:pStyle w:val="AmNumberTabs"/>
      </w:pPr>
      <w:r>
        <w:rPr>
          <w:rStyle w:val="HideTWBExt"/>
          <w:b w:val="0"/>
          <w:lang w:val="de-DE"/>
        </w:rPr>
        <w:t>&lt;Amend&gt;</w:t>
      </w:r>
      <w:r>
        <w:t>Predlog spremembe</w:t>
      </w:r>
      <w:r>
        <w:tab/>
      </w:r>
      <w:r>
        <w:tab/>
      </w:r>
      <w:r>
        <w:rPr>
          <w:rStyle w:val="HideTWBExt"/>
          <w:b w:val="0"/>
          <w:lang w:val="de-DE"/>
        </w:rPr>
        <w:t>&lt;NumAm&gt;</w:t>
      </w:r>
      <w:r>
        <w:t>125</w:t>
      </w:r>
      <w:r>
        <w:rPr>
          <w:rStyle w:val="HideTWBExt"/>
          <w:b w:val="0"/>
          <w:lang w:val="de-DE"/>
        </w:rPr>
        <w:t>&lt;/NumAm&gt;</w:t>
      </w:r>
    </w:p>
    <w:p w:rsidR="00F931B6" w:rsidRPr="00BF159C" w:rsidRDefault="00F931B6" w:rsidP="00F931B6">
      <w:pPr>
        <w:pStyle w:val="NormalBold"/>
      </w:pPr>
      <w:r>
        <w:rPr>
          <w:rStyle w:val="HideTWBExt"/>
          <w:b w:val="0"/>
          <w:lang w:val="de-DE"/>
        </w:rPr>
        <w:t>&lt;RepeatBlock-By&gt;&lt;Members&gt;</w:t>
      </w:r>
      <w:r>
        <w:t>Daniel Freund</w:t>
      </w:r>
      <w:r>
        <w:rPr>
          <w:rStyle w:val="HideTWBExt"/>
          <w:b w:val="0"/>
          <w:lang w:val="de-DE"/>
        </w:rPr>
        <w:t>&lt;/Members&gt;</w:t>
      </w:r>
    </w:p>
    <w:p w:rsidR="00F931B6" w:rsidRPr="00BF159C" w:rsidRDefault="00F931B6" w:rsidP="00F931B6">
      <w:pPr>
        <w:pStyle w:val="NormalBold"/>
      </w:pPr>
      <w:r>
        <w:rPr>
          <w:rStyle w:val="HideTWBExt"/>
          <w:b w:val="0"/>
          <w:lang w:val="de-DE"/>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24. aprila 2024 o tekočih zaslišanjih v skladu s členom 7(1) PEU glede okrepitve pravne države na Madžarskem in proračunskih posledic,</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126</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svoje resolucije z dne 18. januarja 2024 o vključitvi sovražnega govora in kaznivih dejanj iz sovraštva na evropski seznam kaznivih dejanj,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127</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resolucije št. 2262 (2019) parlamentarne skupščine Sveta Evrope z dne 24. januarja 2019 o spodbujanju pravic pripadnikov narodnih manjšin,</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128</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priporočil in poročil Urada za demokratične institucije in človekove pravice, Visokega komisarja za narodne manjšine, predstavnika za svobodo medijev in drugih organov Organizacije za varnost in sodelovanje v Evropi (OVSE) ter sodelovanja med EU in OVSE, kar zadeva demokratizacijo, vzpostavljanja institucij in človekove pravice, ter letnega poročila OVSE o zločinih iz sovraštva, v katerem so se sodelujoče države zavezale, da bodo sprejele zakonodajo, ki bo pri sankcijah upoštevala resnost kaznivih dejanj iz sovraštva, sprejele ukrepe za obravnavo nezadostnega prijavljanja ter uvedle ali nadalje razvile dejavnosti krepitve zmogljivosti za organe kazenskega pregona, tožilstva in sodne uradnike, da bodo preprečevali, preiskovali in preganjali kazniva dejanja iz sovraštva,</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129</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poročila preiskovalnega odbora PEGA in svojega priporočila z dne 15. junija 2023 Svetu in Komisiji o preiskavi domnevnih kršitev in nepravilnosti pri uporabi prava Unije, povezanih z uporabo programa Pegasus in podobne vohunske programske opreme za nadzor</w:t>
            </w:r>
            <w:r>
              <w:rPr>
                <w:b/>
                <w:i/>
                <w:vertAlign w:val="superscript"/>
              </w:rPr>
              <w:t>35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35</w:t>
            </w:r>
            <w:r>
              <w:rPr>
                <w:b/>
                <w:bCs/>
                <w:i/>
                <w:iCs/>
              </w:rPr>
              <w:t xml:space="preserve"> UL C, C/2024/494, 23.1.2024, ELI:</w:t>
            </w:r>
            <w:r>
              <w:rPr>
                <w:b/>
                <w:i/>
              </w:rPr>
              <w:t xml:space="preserve"> http://data.europa.eu/eli/C/2024/494/oj.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BF159C" w:rsidRDefault="00F931B6" w:rsidP="00F931B6">
      <w:pPr>
        <w:pStyle w:val="AmOrLang"/>
        <w:rPr>
          <w:lang w:val="fi-FI"/>
        </w:rPr>
      </w:pPr>
      <w:r w:rsidRPr="00BF159C">
        <w:rPr>
          <w:lang w:val="fi-FI"/>
        </w:rPr>
        <w:t xml:space="preserve">Or. </w:t>
      </w:r>
      <w:r w:rsidRPr="00BF159C">
        <w:rPr>
          <w:rStyle w:val="HideTWBExt"/>
          <w:lang w:val="fi-FI"/>
        </w:rPr>
        <w:t>&lt;Original&gt;</w:t>
      </w:r>
      <w:r w:rsidRPr="00BF159C">
        <w:rPr>
          <w:rStyle w:val="HideTWBInt"/>
          <w:lang w:val="fi-FI"/>
        </w:rPr>
        <w:t>{SK}</w:t>
      </w:r>
      <w:r w:rsidRPr="00BF159C">
        <w:rPr>
          <w:lang w:val="fi-FI"/>
        </w:rPr>
        <w:t>sk</w:t>
      </w:r>
      <w:r w:rsidRPr="00BF159C">
        <w:rPr>
          <w:rStyle w:val="HideTWBExt"/>
          <w:lang w:val="fi-FI"/>
        </w:rPr>
        <w:t>&lt;/Original&gt;</w:t>
      </w:r>
    </w:p>
    <w:p w:rsidR="00F931B6" w:rsidRPr="00BF159C" w:rsidRDefault="00F931B6" w:rsidP="00F931B6">
      <w:r>
        <w:rPr>
          <w:rStyle w:val="HideTWBExt"/>
          <w:lang w:val="fi-FI"/>
        </w:rPr>
        <w:t>&lt;/Amend&gt;</w:t>
      </w:r>
    </w:p>
    <w:p w:rsidR="00F931B6" w:rsidRPr="00BF159C" w:rsidRDefault="00F931B6" w:rsidP="00F931B6">
      <w:pPr>
        <w:pStyle w:val="AmNumberTabs"/>
      </w:pPr>
      <w:r>
        <w:rPr>
          <w:rStyle w:val="HideTWBExt"/>
          <w:b w:val="0"/>
          <w:lang w:val="fi-FI"/>
        </w:rPr>
        <w:t>&lt;Amend&gt;</w:t>
      </w:r>
      <w:r>
        <w:t>Predlog spremembe</w:t>
      </w:r>
      <w:r>
        <w:tab/>
      </w:r>
      <w:r>
        <w:tab/>
      </w:r>
      <w:r>
        <w:rPr>
          <w:rStyle w:val="HideTWBExt"/>
          <w:b w:val="0"/>
          <w:lang w:val="fi-FI"/>
        </w:rPr>
        <w:t>&lt;NumAm&gt;</w:t>
      </w:r>
      <w:r>
        <w:t>130</w:t>
      </w:r>
      <w:r>
        <w:rPr>
          <w:rStyle w:val="HideTWBExt"/>
          <w:b w:val="0"/>
          <w:lang w:val="fi-FI"/>
        </w:rPr>
        <w:t>&lt;/NumAm&gt;</w:t>
      </w:r>
    </w:p>
    <w:p w:rsidR="00F931B6" w:rsidRPr="00BF159C" w:rsidRDefault="00F931B6" w:rsidP="00F931B6">
      <w:pPr>
        <w:pStyle w:val="NormalBold"/>
      </w:pPr>
      <w:r w:rsidRPr="00605988">
        <w:rPr>
          <w:rStyle w:val="HideTWBExt"/>
          <w:b w:val="0"/>
          <w:lang w:val="pl-PL"/>
        </w:rPr>
        <w:t>&lt;RepeatBlock-By&gt;&lt;Members&gt;</w:t>
      </w:r>
      <w:r>
        <w:t>Mariusz Kamiński, Joachim Stanisław Brudziński, Jadwiga Wiśniewska, Maciej Wąsik, Jacek Ozdoba</w:t>
      </w:r>
      <w:r w:rsidRPr="00605988">
        <w:rPr>
          <w:rStyle w:val="HideTWBExt"/>
          <w:b w:val="0"/>
          <w:lang w:val="pl-PL"/>
        </w:rPr>
        <w:t>&lt;/Members&gt;</w:t>
      </w:r>
    </w:p>
    <w:p w:rsidR="00F931B6" w:rsidRPr="00BF159C" w:rsidRDefault="00F931B6" w:rsidP="00F931B6">
      <w:pPr>
        <w:pStyle w:val="NormalBold"/>
      </w:pPr>
      <w:r w:rsidRPr="00605988">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poročila preiskovalnega odbora PEGA in svojega priporočila z dne 15. junija 2023 Svetu in Komisiji o preiskavi domnevnih kršitev in nepravilnosti pri uporabi prava Unije, povezanih z uporabo programa Pegasus in podobne vohunske programske opreme za nadzor</w:t>
            </w:r>
            <w:r>
              <w:rPr>
                <w:b/>
                <w:i/>
                <w:vertAlign w:val="superscript"/>
              </w:rPr>
              <w:t>35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bCs/>
                <w:i/>
                <w:iCs/>
                <w:vertAlign w:val="superscript"/>
              </w:rPr>
              <w:t>35</w:t>
            </w:r>
            <w:r>
              <w:rPr>
                <w:b/>
                <w:bCs/>
                <w:i/>
                <w:iCs/>
              </w:rPr>
              <w:t xml:space="preserve"> UL C, C/2024/494, 23.1.2024, ELI:</w:t>
            </w:r>
            <w:r>
              <w:rPr>
                <w:b/>
                <w:i/>
              </w:rPr>
              <w:t xml:space="preserve"> http://data.europa.eu/eli/C/2024/494/oj.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131</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poročila preiskovalnega odbora PEGA in svojega priporočila z dne 15. junija 2023 Svetu in Komisiji o preiskavi domnevnih kršitev in nepravilnosti pri uporabi prava Unije, povezanih z uporabo programa Pegasus in podobne vohunske programske opreme za nadzor</w:t>
            </w:r>
            <w:r>
              <w:rPr>
                <w:b/>
                <w:i/>
                <w:vertAlign w:val="superscript"/>
              </w:rPr>
              <w:t>35</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i/>
                <w:vertAlign w:val="superscript"/>
              </w:rPr>
              <w:t>35</w:t>
            </w:r>
            <w:r>
              <w:rPr>
                <w:b/>
                <w:i/>
              </w:rPr>
              <w:t xml:space="preserve"> UL C, C/2024/494, 23.1.2024, ELI: http://data.europa.eu/eli/C/2024/494/oj.</w:t>
            </w:r>
          </w:p>
        </w:tc>
        <w:tc>
          <w:tcPr>
            <w:tcW w:w="4876" w:type="dxa"/>
            <w:tcBorders>
              <w:top w:val="nil"/>
              <w:left w:val="nil"/>
              <w:bottom w:val="nil"/>
              <w:right w:val="nil"/>
            </w:tcBorders>
          </w:tcPr>
          <w:p w:rsidR="00F931B6" w:rsidRPr="00BF159C" w:rsidRDefault="00F931B6" w:rsidP="007C04AE">
            <w:pPr>
              <w:rPr>
                <w:lang w:val="fi-FI"/>
              </w:rPr>
            </w:pPr>
          </w:p>
        </w:tc>
      </w:tr>
    </w:tbl>
    <w:p w:rsidR="00F931B6" w:rsidRPr="00BF159C" w:rsidRDefault="00F931B6" w:rsidP="00F931B6">
      <w:pPr>
        <w:pStyle w:val="AmOrLang"/>
        <w:rPr>
          <w:lang w:val="sv-SE"/>
        </w:rPr>
      </w:pPr>
      <w:r w:rsidRPr="00BF159C">
        <w:rPr>
          <w:lang w:val="sv-SE"/>
        </w:rPr>
        <w:t xml:space="preserve">Or. </w:t>
      </w:r>
      <w:r w:rsidRPr="00BF159C">
        <w:rPr>
          <w:rStyle w:val="HideTWBExt"/>
          <w:lang w:val="sv-SE"/>
        </w:rPr>
        <w:t>&lt;Original&gt;</w:t>
      </w:r>
      <w:r w:rsidRPr="00BF159C">
        <w:rPr>
          <w:rStyle w:val="HideTWBInt"/>
          <w:lang w:val="sv-SE"/>
        </w:rPr>
        <w:t>{EN}</w:t>
      </w:r>
      <w:r w:rsidRPr="00BF159C">
        <w:rPr>
          <w:lang w:val="sv-SE"/>
        </w:rPr>
        <w:t>en</w:t>
      </w:r>
      <w:r w:rsidRPr="00BF159C">
        <w:rPr>
          <w:rStyle w:val="HideTWBExt"/>
          <w:lang w:val="sv-SE"/>
        </w:rPr>
        <w:t>&lt;/Original&gt;</w:t>
      </w:r>
    </w:p>
    <w:p w:rsidR="00F931B6" w:rsidRPr="00BF159C" w:rsidRDefault="00F931B6" w:rsidP="00F931B6">
      <w:r>
        <w:rPr>
          <w:rStyle w:val="HideTWBExt"/>
          <w:lang w:val="sv-SE"/>
        </w:rPr>
        <w:t>&lt;/Amend&gt;</w:t>
      </w:r>
    </w:p>
    <w:p w:rsidR="00F931B6" w:rsidRPr="00BF159C" w:rsidRDefault="00F931B6" w:rsidP="00F931B6">
      <w:pPr>
        <w:pStyle w:val="AmNumberTabs"/>
      </w:pPr>
      <w:r w:rsidRPr="00605988">
        <w:rPr>
          <w:rStyle w:val="HideTWBExt"/>
          <w:b w:val="0"/>
        </w:rPr>
        <w:t>&lt;Amend&gt;</w:t>
      </w:r>
      <w:r>
        <w:t>Predlog spremembe</w:t>
      </w:r>
      <w:r>
        <w:tab/>
      </w:r>
      <w:r>
        <w:tab/>
      </w:r>
      <w:r w:rsidRPr="00605988">
        <w:rPr>
          <w:rStyle w:val="HideTWBExt"/>
          <w:b w:val="0"/>
        </w:rPr>
        <w:t>&lt;NumAm&gt;</w:t>
      </w:r>
      <w:r>
        <w:t>132</w:t>
      </w:r>
      <w:r w:rsidRPr="00605988">
        <w:rPr>
          <w:rStyle w:val="HideTWBExt"/>
          <w:b w:val="0"/>
        </w:rPr>
        <w:t>&lt;/NumAm&gt;</w:t>
      </w:r>
    </w:p>
    <w:p w:rsidR="00F931B6" w:rsidRPr="00BF159C" w:rsidRDefault="00F931B6" w:rsidP="00F931B6">
      <w:pPr>
        <w:pStyle w:val="NormalBold"/>
      </w:pPr>
      <w:r w:rsidRPr="00605988">
        <w:rPr>
          <w:rStyle w:val="HideTWBExt"/>
          <w:b w:val="0"/>
        </w:rPr>
        <w:t>&lt;RepeatBlock-By&gt;&lt;Members&gt;</w:t>
      </w:r>
      <w:r>
        <w:t>Sebastian Tynkkynen</w:t>
      </w:r>
      <w:r w:rsidRPr="00605988">
        <w:rPr>
          <w:rStyle w:val="HideTWBExt"/>
          <w:b w:val="0"/>
        </w:rPr>
        <w:t>&lt;/Members&gt;</w:t>
      </w:r>
    </w:p>
    <w:p w:rsidR="00F931B6" w:rsidRPr="00BF159C" w:rsidRDefault="00F931B6" w:rsidP="00F931B6">
      <w:pPr>
        <w:pStyle w:val="NormalBold"/>
      </w:pPr>
      <w:r w:rsidRPr="00605988">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48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raziskave Agencije Evropske unije za temeljne pravice z naslovom Jewish People’s Experiences and Perceptions of Antisemitism (Izkušnje Judov z antisemitizmom in njihovo zaznavanje tega pojava)</w:t>
            </w:r>
            <w:r>
              <w:rPr>
                <w:b/>
                <w:i/>
                <w:vertAlign w:val="superscript"/>
              </w:rPr>
              <w:t>35a</w:t>
            </w:r>
            <w:r>
              <w:rPr>
                <w:b/>
                <w:i/>
              </w:rP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sidRPr="00605988">
              <w:rPr>
                <w:b/>
                <w:i/>
                <w:vertAlign w:val="superscript"/>
              </w:rPr>
              <w:t>35a</w:t>
            </w:r>
            <w:r>
              <w:rPr>
                <w:b/>
                <w:i/>
              </w:rPr>
              <w:t>. Jewish People’s Experiences and Perceptions of Antisemitism – EU Survey of Jewish People (Izkušnje Judov z antisemitizmom in njihovo zaznavanje tega pojava – raziskava EU o Judih), 11.7.2024. https://fra.europa.eu/en/publication/2024/ experiences-and-perceptions- antisemitism-third-survey</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{FI}</w:t>
      </w:r>
      <w:r w:rsidRPr="00444926">
        <w:t>fi</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133</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poročil s povratnimi informacijami, poročil o misijah, pisnih vprašanj in odgovorov svoje skupine za spremljanje demokracije, pravne države in temeljnih pravic</w:t>
            </w:r>
            <w:r>
              <w:rPr>
                <w:b/>
                <w:i/>
                <w:vertAlign w:val="superscript"/>
              </w:rPr>
              <w:t>36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36</w:t>
            </w:r>
            <w:r>
              <w:rPr>
                <w:b/>
                <w:i/>
              </w:rPr>
              <w:t xml:space="preserve"> Za vse dejavnosti spremljanja, ki jih izvaja skupina za spremljanje demokracije, pravne države in temeljnih pravic, gl.: https://www.europarl.europa.eu/committees/sl/libe-democracy-rule-of-law-and-fundament/product-details/20190103CDT02662.</w:t>
            </w:r>
          </w:p>
        </w:tc>
        <w:tc>
          <w:tcPr>
            <w:tcW w:w="4876" w:type="dxa"/>
            <w:tcBorders>
              <w:top w:val="nil"/>
              <w:left w:val="nil"/>
              <w:bottom w:val="nil"/>
              <w:right w:val="nil"/>
            </w:tcBorders>
          </w:tcPr>
          <w:p w:rsidR="00F931B6" w:rsidRPr="00444926" w:rsidRDefault="00F931B6" w:rsidP="007C04AE"/>
        </w:tc>
      </w:tr>
    </w:tbl>
    <w:p w:rsidR="00F931B6" w:rsidRPr="00605988" w:rsidRDefault="00F931B6" w:rsidP="00F931B6">
      <w:pPr>
        <w:pStyle w:val="AmOrLang"/>
      </w:pPr>
      <w:r w:rsidRPr="00605988">
        <w:t xml:space="preserve">Or. </w:t>
      </w:r>
      <w:r w:rsidRPr="00605988">
        <w:rPr>
          <w:rStyle w:val="HideTWBExt"/>
        </w:rPr>
        <w:t>&lt;Original&gt;</w:t>
      </w:r>
      <w:r w:rsidRPr="00605988">
        <w:rPr>
          <w:rStyle w:val="HideTWBInt"/>
        </w:rPr>
        <w:t>{PL}</w:t>
      </w:r>
      <w:r w:rsidRPr="00605988">
        <w:t>pl</w:t>
      </w:r>
      <w:r w:rsidRPr="00605988">
        <w:rPr>
          <w:rStyle w:val="HideTWBExt"/>
        </w:rPr>
        <w:t>&lt;/Original&gt;</w:t>
      </w:r>
    </w:p>
    <w:p w:rsidR="00F931B6" w:rsidRPr="00BF159C" w:rsidRDefault="00F931B6" w:rsidP="00F931B6">
      <w:r w:rsidRPr="00605988">
        <w:rPr>
          <w:rStyle w:val="HideTWBExt"/>
        </w:rPr>
        <w:t>&lt;/Amend&gt;</w:t>
      </w:r>
    </w:p>
    <w:p w:rsidR="00F931B6" w:rsidRPr="00BF159C" w:rsidRDefault="00F931B6" w:rsidP="00F931B6">
      <w:pPr>
        <w:pStyle w:val="AmNumberTabs"/>
      </w:pPr>
      <w:r w:rsidRPr="00605988">
        <w:rPr>
          <w:rStyle w:val="HideTWBExt"/>
          <w:b w:val="0"/>
        </w:rPr>
        <w:t>&lt;Amend&gt;</w:t>
      </w:r>
      <w:r>
        <w:t>Predlog spremembe</w:t>
      </w:r>
      <w:r>
        <w:tab/>
      </w:r>
      <w:r>
        <w:tab/>
      </w:r>
      <w:r w:rsidRPr="00605988">
        <w:rPr>
          <w:rStyle w:val="HideTWBExt"/>
          <w:b w:val="0"/>
        </w:rPr>
        <w:t>&lt;NumAm&gt;</w:t>
      </w:r>
      <w:r>
        <w:t>134</w:t>
      </w:r>
      <w:r w:rsidRPr="00605988">
        <w:rPr>
          <w:rStyle w:val="HideTWBExt"/>
          <w:b w:val="0"/>
        </w:rPr>
        <w:t>&lt;/NumAm&gt;</w:t>
      </w:r>
    </w:p>
    <w:p w:rsidR="00F931B6" w:rsidRPr="00BF159C" w:rsidRDefault="00F931B6" w:rsidP="00F931B6">
      <w:pPr>
        <w:pStyle w:val="NormalBold"/>
      </w:pPr>
      <w:r w:rsidRPr="00605988">
        <w:rPr>
          <w:rStyle w:val="HideTWBExt"/>
          <w:b w:val="0"/>
        </w:rPr>
        <w:t>&lt;RepeatBlock-By&gt;&lt;Members&gt;</w:t>
      </w:r>
      <w:r>
        <w:t>Erik Kaliňák</w:t>
      </w:r>
      <w:r w:rsidRPr="00605988">
        <w:rPr>
          <w:rStyle w:val="HideTWBExt"/>
          <w:b w:val="0"/>
        </w:rPr>
        <w:t>&lt;/Members&gt;</w:t>
      </w:r>
    </w:p>
    <w:p w:rsidR="00F931B6" w:rsidRPr="00BF159C" w:rsidRDefault="00F931B6" w:rsidP="00F931B6">
      <w:pPr>
        <w:pStyle w:val="NormalBold"/>
      </w:pPr>
      <w:r w:rsidRPr="00605988">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poročil s povratnimi informacijami, poročil o misijah, pisnih vprašanj in odgovorov svoje skupine za spremljanje demokracije, pravne države in temeljnih pravic</w:t>
            </w:r>
            <w:r>
              <w:rPr>
                <w:b/>
                <w:i/>
                <w:vertAlign w:val="superscript"/>
              </w:rPr>
              <w:t>36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36</w:t>
            </w:r>
            <w:r>
              <w:t xml:space="preserve"> </w:t>
            </w:r>
            <w:r>
              <w:rPr>
                <w:b/>
                <w:bCs/>
                <w:i/>
                <w:iCs/>
              </w:rPr>
              <w:t>Za vse dejavnosti spremljanja, ki jih izvaja skupina za spremljanje demokracije, pravne države in temeljnih pravic, gl.:</w:t>
            </w:r>
            <w:r>
              <w:rPr>
                <w:b/>
                <w:i/>
              </w:rPr>
              <w:t xml:space="preserve"> https://www.europarl.europa.eu/committees/sl/libe-democracy-rule-of-law-and-fundament/product-details/20190103CDT02662.</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135</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poročil s povratnimi informacijami, poročil o misijah, pisnih vprašanj in odgovorov svoje skupine za spremljanje demokracije, pravne države in temeljnih pravic</w:t>
            </w:r>
            <w:r>
              <w:rPr>
                <w:b/>
                <w:i/>
                <w:vertAlign w:val="superscript"/>
              </w:rPr>
              <w:t>36</w:t>
            </w:r>
            <w:r>
              <w:rPr>
                <w:b/>
                <w:i/>
              </w:rPr>
              <w:t>,</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36</w:t>
            </w:r>
            <w:r>
              <w:rPr>
                <w:b/>
                <w:i/>
              </w:rPr>
              <w:t xml:space="preserve"> Za vse dejavnosti spremljanja, ki jih izvaja skupina za spremljanje demokracije, pravne države in temeljnih pravic, gl.: https://www.europarl.europa.eu/committees/sl/libe-democracy-rule-of-law-and-fundament/product-details/20190103CDT02662.</w:t>
            </w:r>
          </w:p>
        </w:tc>
        <w:tc>
          <w:tcPr>
            <w:tcW w:w="4876" w:type="dxa"/>
            <w:tcBorders>
              <w:top w:val="nil"/>
              <w:left w:val="nil"/>
              <w:bottom w:val="nil"/>
              <w:right w:val="nil"/>
            </w:tcBorders>
          </w:tcPr>
          <w:p w:rsidR="00F931B6" w:rsidRPr="00444926" w:rsidRDefault="00F931B6" w:rsidP="007C04AE"/>
        </w:tc>
      </w:tr>
    </w:tbl>
    <w:p w:rsidR="00F931B6" w:rsidRPr="00BF159C" w:rsidRDefault="00F931B6" w:rsidP="00F931B6">
      <w:pPr>
        <w:pStyle w:val="AmOrLang"/>
        <w:rPr>
          <w:lang w:val="fi-FI"/>
        </w:rPr>
      </w:pPr>
      <w:r w:rsidRPr="00BF159C">
        <w:rPr>
          <w:lang w:val="fi-FI"/>
        </w:rPr>
        <w:t xml:space="preserve">Or. </w:t>
      </w:r>
      <w:r w:rsidRPr="00BF159C">
        <w:rPr>
          <w:rStyle w:val="HideTWBExt"/>
          <w:lang w:val="fi-FI"/>
        </w:rPr>
        <w:t>&lt;Original&gt;</w:t>
      </w:r>
      <w:r w:rsidRPr="00BF159C">
        <w:rPr>
          <w:rStyle w:val="HideTWBInt"/>
          <w:lang w:val="fi-FI"/>
        </w:rPr>
        <w:t>{EN}</w:t>
      </w:r>
      <w:r w:rsidRPr="00BF159C">
        <w:rPr>
          <w:lang w:val="fi-FI"/>
        </w:rPr>
        <w:t>en</w:t>
      </w:r>
      <w:r w:rsidRPr="00BF159C">
        <w:rPr>
          <w:rStyle w:val="HideTWBExt"/>
          <w:lang w:val="fi-FI"/>
        </w:rPr>
        <w:t>&lt;/Original&gt;</w:t>
      </w:r>
    </w:p>
    <w:p w:rsidR="00F931B6" w:rsidRPr="00BF159C" w:rsidRDefault="00F931B6" w:rsidP="00F931B6">
      <w:r>
        <w:rPr>
          <w:rStyle w:val="HideTWBExt"/>
          <w:lang w:val="fi-FI"/>
        </w:rPr>
        <w:t>&lt;/Amend&gt;</w:t>
      </w:r>
    </w:p>
    <w:p w:rsidR="00F931B6" w:rsidRPr="00BF159C" w:rsidRDefault="00F931B6" w:rsidP="00F931B6">
      <w:pPr>
        <w:pStyle w:val="AmNumberTabs"/>
      </w:pPr>
      <w:r>
        <w:rPr>
          <w:rStyle w:val="HideTWBExt"/>
          <w:b w:val="0"/>
          <w:lang w:val="fi-FI"/>
        </w:rPr>
        <w:t>&lt;Amend&gt;</w:t>
      </w:r>
      <w:r>
        <w:t>Predlog spremembe</w:t>
      </w:r>
      <w:r>
        <w:tab/>
      </w:r>
      <w:r>
        <w:tab/>
      </w:r>
      <w:r>
        <w:rPr>
          <w:rStyle w:val="HideTWBExt"/>
          <w:b w:val="0"/>
          <w:lang w:val="fi-FI"/>
        </w:rPr>
        <w:t>&lt;NumAm&gt;</w:t>
      </w:r>
      <w:r>
        <w:t>136</w:t>
      </w:r>
      <w:r>
        <w:rPr>
          <w:rStyle w:val="HideTWBExt"/>
          <w:b w:val="0"/>
          <w:lang w:val="fi-FI"/>
        </w:rPr>
        <w:t>&lt;/NumAm&gt;</w:t>
      </w:r>
    </w:p>
    <w:p w:rsidR="00F931B6" w:rsidRPr="00BF159C" w:rsidRDefault="00F931B6" w:rsidP="00F931B6">
      <w:pPr>
        <w:pStyle w:val="NormalBold"/>
      </w:pPr>
      <w:r>
        <w:rPr>
          <w:rStyle w:val="HideTWBExt"/>
          <w:b w:val="0"/>
          <w:lang w:val="fi-FI"/>
        </w:rPr>
        <w:t>&lt;RepeatBlock-By&gt;&lt;Members&gt;</w:t>
      </w:r>
      <w:r>
        <w:t>Tomas Tobé, Mika Aaltola, Pekka Toveri</w:t>
      </w:r>
      <w:r>
        <w:rPr>
          <w:rStyle w:val="HideTWBExt"/>
          <w:b w:val="0"/>
          <w:lang w:val="fi-FI"/>
        </w:rPr>
        <w:t>&lt;/Members&gt;</w:t>
      </w:r>
    </w:p>
    <w:p w:rsidR="00F931B6" w:rsidRPr="00BF159C" w:rsidRDefault="00F931B6" w:rsidP="00F931B6">
      <w:pPr>
        <w:pStyle w:val="NormalBold"/>
      </w:pPr>
      <w:r>
        <w:rPr>
          <w:rStyle w:val="HideTWBExt"/>
          <w:b w:val="0"/>
          <w:lang w:val="fi-FI"/>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49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skupnega pisma finske in švedske vlade o celovitem pristopu h krepitvi politike in instrumentov pravne države, ki sta ga pripravili na skupni seji 16. septembra 2024 v Stockholmu,</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137</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Chloé Ridel, Abir Al-Sahlani, Fabienne Keller, Lucia Yar, Irena Joveva, Isabel Wiseler-Lima</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52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nedavnih poročil Evropskega računskega sodišča o izvrševanju prava EU (posebno poročilo št. 28/2024), poročanju Komisije o stanju pravne države (pregled 2/2024) in pravni državi v EU (posebno poročilo št. 3/2024) ter priporočil, podanih v teh poročilih,</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138</w:t>
      </w:r>
      <w:r>
        <w:rPr>
          <w:rStyle w:val="HideTWBExt"/>
          <w:b w:val="0"/>
        </w:rPr>
        <w:t>&lt;/NumAm&gt;</w:t>
      </w:r>
    </w:p>
    <w:p w:rsidR="00F931B6" w:rsidRPr="00444926" w:rsidRDefault="00F931B6" w:rsidP="00F931B6">
      <w:pPr>
        <w:pStyle w:val="NormalBold"/>
      </w:pPr>
      <w:r>
        <w:rPr>
          <w:rStyle w:val="HideTWBExt"/>
          <w:b w:val="0"/>
        </w:rPr>
        <w:t>&lt;RepeatBlock-By&gt;&lt;Members&gt;</w:t>
      </w:r>
      <w:r>
        <w:t>Lukas Mandl</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52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političnih smernic za naslednjo Evropsko komisijo za obdobje 2024–2029, ki jih je Ursula von der Leyen 18. julija 2024, tedaj še kot kandidatka za predsednico Evropske komisije, predstavila Evropskemu parlamentu,</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139</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Abir Al-Sahlani, Chloé Ridel, Fabienne Keller, Lucia Yar, Irena Joveva, Isabel Wiseler-Lima</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Navedba sklicevanja 52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w:t>
            </w:r>
            <w:r>
              <w:tab/>
            </w:r>
            <w:r>
              <w:rPr>
                <w:b/>
                <w:i/>
              </w:rPr>
              <w:t>ob upoštevanju raziskave Eurobarometra iz leta 2024 o korupciji, iz katere izhaja, da je korupcija za državljane in podjetja v EU še vedno resen razlog za skrb,</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140</w:t>
      </w:r>
      <w:r>
        <w:rPr>
          <w:rStyle w:val="HideTWBExt"/>
          <w:b w:val="0"/>
        </w:rPr>
        <w:t>&lt;/NumAm&gt;</w:t>
      </w:r>
    </w:p>
    <w:p w:rsidR="00F931B6" w:rsidRPr="00444926" w:rsidRDefault="00F931B6" w:rsidP="00F931B6">
      <w:pPr>
        <w:pStyle w:val="NormalBold"/>
      </w:pPr>
      <w:r>
        <w:rPr>
          <w:rStyle w:val="HideTWBExt"/>
          <w:b w:val="0"/>
        </w:rPr>
        <w:t>&lt;RepeatBlock-By&gt;&lt;Members&gt;</w:t>
      </w:r>
      <w:r>
        <w:t>Isabel Serra Sánchez, Ana Catarina Mendes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A.</w:t>
            </w:r>
            <w:r>
              <w:tab/>
              <w:t>ker Evropska unija temelji na skupnih vrednotah spoštovanja človekovega dostojanstva, svobode, demokracije, enakosti, pravne države in spoštovanja človekovih pravic, tudi pravic pripadnikov manjšin, ki so določene v členu 2 PEU in so skupne državam članicam EU;</w:t>
            </w:r>
          </w:p>
        </w:tc>
        <w:tc>
          <w:tcPr>
            <w:tcW w:w="4876" w:type="dxa"/>
            <w:tcBorders>
              <w:top w:val="nil"/>
              <w:left w:val="nil"/>
              <w:bottom w:val="nil"/>
              <w:right w:val="nil"/>
            </w:tcBorders>
          </w:tcPr>
          <w:p w:rsidR="00F931B6" w:rsidRPr="00444926" w:rsidRDefault="00F931B6" w:rsidP="007C04AE">
            <w:pPr>
              <w:pStyle w:val="Normal6a"/>
            </w:pPr>
            <w:r>
              <w:t>A.</w:t>
            </w:r>
            <w:r>
              <w:tab/>
              <w:t>ker Evropska unija temelji na skupnih vrednotah spoštovanja človekovega dostojanstva, svobode, demokracije, enakosti, pravne države in spoštovanja človekovih pravic, tudi pravic pripadnikov manjšin, ki so določene v členu 2 PEU in so skupne državam članicam EU</w:t>
            </w:r>
            <w:r>
              <w:rPr>
                <w:b/>
                <w:i/>
              </w:rPr>
              <w:t xml:space="preserve"> in se odražajo v Listini Evropske unije o temeljnih pravicah in so vključene v mednarodne pogodbe na področju človekovih pravic;</w:t>
            </w:r>
            <w:r>
              <w:t xml:space="preserve"> </w:t>
            </w:r>
            <w:r>
              <w:rPr>
                <w:b/>
                <w:i/>
              </w:rPr>
              <w:t>ker je Listina del primarnega prava EU; ker so demokracija, pravna država in temeljne pravice vrednote, ki se vzajemno krepijo in pomenijo, če so ogrožene, sistemsko grožnjo pravicam in svoboščinam ljudi, ki živijo v EU;</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141</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A.</w:t>
            </w:r>
            <w:r>
              <w:tab/>
              <w:t>ker Evropska unija temelji na skupnih vrednotah spoštovanja človekovega dostojanstva, svobode, demokracije, enakosti, pravne države in spoštovanja človekovih pravic, tudi pravic pripadnikov manjšin, ki so določene v členu 2 PEU in so skupne državam članicam EU;</w:t>
            </w:r>
          </w:p>
        </w:tc>
        <w:tc>
          <w:tcPr>
            <w:tcW w:w="4876" w:type="dxa"/>
            <w:tcBorders>
              <w:top w:val="nil"/>
              <w:left w:val="nil"/>
              <w:bottom w:val="nil"/>
              <w:right w:val="nil"/>
            </w:tcBorders>
          </w:tcPr>
          <w:p w:rsidR="00F931B6" w:rsidRPr="00444926" w:rsidRDefault="00F931B6" w:rsidP="007C04AE">
            <w:pPr>
              <w:pStyle w:val="Normal6a"/>
            </w:pPr>
            <w:r>
              <w:t>A.</w:t>
            </w:r>
            <w:r>
              <w:tab/>
              <w:t>ker Evropska unija temelji na skupnih vrednotah spoštovanja človekovega dostojanstva, svobode, demokracije, enakosti, pravne države in spoštovanja človekovih pravic, tudi pravic pripadnikov manjšin, ki so določene v členu 2 PEU in so skupne državam članicam EU</w:t>
            </w:r>
            <w:r>
              <w:rPr>
                <w:b/>
                <w:i/>
              </w:rPr>
              <w:t xml:space="preserve"> v družbi, v kateri vladajo pluralizem, nediskriminacija, strpnost, pravičnost, solidarnost ter enakost žensk in moških</w:t>
            </w:r>
            <w:r>
              <w:t>;</w:t>
            </w:r>
          </w:p>
        </w:tc>
      </w:tr>
    </w:tbl>
    <w:p w:rsidR="00F931B6" w:rsidRPr="00605988" w:rsidRDefault="00F931B6" w:rsidP="00F931B6">
      <w:pPr>
        <w:pStyle w:val="AmOrLang"/>
      </w:pPr>
      <w:r w:rsidRPr="00605988">
        <w:t xml:space="preserve">Or. </w:t>
      </w:r>
      <w:r w:rsidRPr="00605988">
        <w:rPr>
          <w:rStyle w:val="HideTWBExt"/>
        </w:rPr>
        <w:t>&lt;Original&gt;</w:t>
      </w:r>
      <w:r w:rsidRPr="00605988">
        <w:rPr>
          <w:rStyle w:val="HideTWBInt"/>
        </w:rPr>
        <w:t>{PL}</w:t>
      </w:r>
      <w:r w:rsidRPr="00605988">
        <w:t>pl</w:t>
      </w:r>
      <w:r w:rsidRPr="00605988">
        <w:rPr>
          <w:rStyle w:val="HideTWBExt"/>
        </w:rPr>
        <w:t>&lt;/Original&gt;</w:t>
      </w:r>
    </w:p>
    <w:p w:rsidR="00F931B6" w:rsidRPr="00BF159C" w:rsidRDefault="00F931B6" w:rsidP="00F931B6">
      <w:r w:rsidRPr="00605988">
        <w:rPr>
          <w:rStyle w:val="HideTWBExt"/>
        </w:rPr>
        <w:t>&lt;/Amend&gt;</w:t>
      </w:r>
    </w:p>
    <w:p w:rsidR="00F931B6" w:rsidRPr="00BF159C" w:rsidRDefault="00F931B6" w:rsidP="00F931B6">
      <w:pPr>
        <w:pStyle w:val="AmNumberTabs"/>
      </w:pPr>
      <w:r w:rsidRPr="00605988">
        <w:rPr>
          <w:rStyle w:val="HideTWBExt"/>
          <w:b w:val="0"/>
        </w:rPr>
        <w:t>&lt;Amend&gt;</w:t>
      </w:r>
      <w:r>
        <w:t>Predlog spremembe</w:t>
      </w:r>
      <w:r>
        <w:tab/>
      </w:r>
      <w:r>
        <w:tab/>
      </w:r>
      <w:r w:rsidRPr="00605988">
        <w:rPr>
          <w:rStyle w:val="HideTWBExt"/>
          <w:b w:val="0"/>
        </w:rPr>
        <w:t>&lt;NumAm&gt;</w:t>
      </w:r>
      <w:r>
        <w:t>142</w:t>
      </w:r>
      <w:r w:rsidRPr="00605988">
        <w:rPr>
          <w:rStyle w:val="HideTWBExt"/>
          <w:b w:val="0"/>
        </w:rPr>
        <w:t>&lt;/NumAm&gt;</w:t>
      </w:r>
    </w:p>
    <w:p w:rsidR="00F931B6" w:rsidRPr="00BF159C" w:rsidRDefault="00F931B6" w:rsidP="00F931B6">
      <w:pPr>
        <w:pStyle w:val="NormalBold"/>
      </w:pPr>
      <w:r w:rsidRPr="00605988">
        <w:rPr>
          <w:rStyle w:val="HideTWBExt"/>
          <w:b w:val="0"/>
        </w:rPr>
        <w:t>&lt;RepeatBlock-By&gt;&lt;Members&gt;</w:t>
      </w:r>
      <w:r>
        <w:t>Erik Kaliňák</w:t>
      </w:r>
      <w:r w:rsidRPr="00605988">
        <w:rPr>
          <w:rStyle w:val="HideTWBExt"/>
          <w:b w:val="0"/>
        </w:rPr>
        <w:t>&lt;/Members&gt;</w:t>
      </w:r>
    </w:p>
    <w:p w:rsidR="00F931B6" w:rsidRPr="00BF159C" w:rsidRDefault="00F931B6" w:rsidP="00F931B6">
      <w:pPr>
        <w:pStyle w:val="NormalBold"/>
      </w:pPr>
      <w:r w:rsidRPr="00605988">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A.</w:t>
            </w:r>
            <w:r>
              <w:tab/>
              <w:t xml:space="preserve">ker Evropska unija temelji na skupnih vrednotah spoštovanja človekovega dostojanstva, svobode, demokracije, enakosti, pravne države in spoštovanja človekovih pravic, tudi pravic pripadnikov manjšin, ki so določene v členu 2 PEU in so skupne državam članicam </w:t>
            </w:r>
            <w:r>
              <w:rPr>
                <w:b/>
                <w:i/>
              </w:rPr>
              <w:t>EU</w:t>
            </w:r>
            <w:r>
              <w:t>;</w:t>
            </w:r>
          </w:p>
        </w:tc>
        <w:tc>
          <w:tcPr>
            <w:tcW w:w="4876" w:type="dxa"/>
            <w:tcBorders>
              <w:top w:val="nil"/>
              <w:left w:val="nil"/>
              <w:bottom w:val="nil"/>
              <w:right w:val="nil"/>
            </w:tcBorders>
          </w:tcPr>
          <w:p w:rsidR="00F931B6" w:rsidRPr="00444926" w:rsidRDefault="00F931B6" w:rsidP="007C04AE">
            <w:pPr>
              <w:pStyle w:val="Normal6a"/>
            </w:pPr>
            <w:r>
              <w:t>A.</w:t>
            </w:r>
            <w:r>
              <w:tab/>
              <w:t>ker Evropska unija temelji na skupnih vrednotah spoštovanja človekovega dostojanstva, svobode, demokracije, enakosti, pravne države in spoštovanja človekovih pravic, tudi pravic pripadnikov manjšin, ki so določene v členu 2 PEU in so skupne državam članicam</w:t>
            </w:r>
            <w:r>
              <w:rPr>
                <w:b/>
                <w:i/>
              </w:rPr>
              <w:t xml:space="preserve"> v družbi, v kateri vladajo pluralizem, nediskriminacija, strpnost, pravičnost, solidarnost ter enakost žensk in moških</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143</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A.</w:t>
            </w:r>
            <w:r>
              <w:tab/>
              <w:t>ker Evropska unija temelji na skupnih vrednotah spoštovanja človekovega dostojanstva, svobode, demokracije, enakosti, pravne države in spoštovanja človekovih pravic, tudi pravic pripadnikov manjšin, ki so določene v členu 2 PEU in so skupne državam članicam EU;</w:t>
            </w:r>
          </w:p>
        </w:tc>
        <w:tc>
          <w:tcPr>
            <w:tcW w:w="4876" w:type="dxa"/>
            <w:tcBorders>
              <w:top w:val="nil"/>
              <w:left w:val="nil"/>
              <w:bottom w:val="nil"/>
              <w:right w:val="nil"/>
            </w:tcBorders>
          </w:tcPr>
          <w:p w:rsidR="00F931B6" w:rsidRPr="00444926" w:rsidRDefault="00F931B6" w:rsidP="007C04AE">
            <w:pPr>
              <w:pStyle w:val="Normal6a"/>
            </w:pPr>
            <w:r>
              <w:t>A.</w:t>
            </w:r>
            <w:r>
              <w:tab/>
              <w:t xml:space="preserve">ker Evropska unija temelji na skupnih vrednotah spoštovanja človekovega dostojanstva, svobode, demokracije, enakosti, pravne države in spoštovanja človekovih pravic, tudi pravic pripadnikov manjšin, ki so določene v členu 2 PEU in so skupne državam članicam EU; </w:t>
            </w:r>
            <w:r>
              <w:rPr>
                <w:b/>
                <w:i/>
              </w:rPr>
              <w:t>ker morajo institucije Unije pri svojem delovanju spoštovati tudi načelo pravne države;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144</w:t>
      </w:r>
      <w:r>
        <w:rPr>
          <w:rStyle w:val="HideTWBExt"/>
          <w:b w:val="0"/>
        </w:rPr>
        <w:t>&lt;/NumAm&gt;</w:t>
      </w:r>
    </w:p>
    <w:p w:rsidR="00F931B6" w:rsidRPr="00444926" w:rsidRDefault="00F931B6" w:rsidP="00F931B6">
      <w:pPr>
        <w:pStyle w:val="NormalBold"/>
      </w:pPr>
      <w:r>
        <w:rPr>
          <w:rStyle w:val="HideTWBExt"/>
          <w:b w:val="0"/>
        </w:rPr>
        <w:t>&lt;RepeatBlock-By&gt;&lt;Members&gt;</w:t>
      </w:r>
      <w:r>
        <w:t>Klára Dobrev, Csaba Molnár, Birgit Sippel, Krzysztof Śmiszek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Aa.</w:t>
            </w:r>
            <w:r>
              <w:tab/>
            </w:r>
            <w:r>
              <w:rPr>
                <w:b/>
                <w:i/>
              </w:rPr>
              <w:t>ker je iz člena 49 PEU, v skladu s katerim lahko vsaka evropska država zaprosi za članstvo v Evropski uniji, razvidno, da Unijo sestavljajo države, ki so se svobodno in prostovoljno zavezale skupnim vrednotam iz člena 2 PEU, ki te vrednote spoštujejo in se zavezujejo, da jih bodo spodbujale; ker pravo EU torej temelji na osnovni premisi, v skladu s katero vsaka država članica z vsemi ostalimi državami članicami deli te vrednote in priznava, da jih te ostale države članice delijo z njo; ker ta premisa pomeni in utemeljuje obstoj vzajemnega zaupanja med državami članicami pri priznavanju teh vrednot in torej pri spoštovanju prava Unije, s katerim se te vrednote izvajajo</w:t>
            </w:r>
            <w:r>
              <w:rPr>
                <w:b/>
                <w:i/>
                <w:vertAlign w:val="superscript"/>
              </w:rPr>
              <w:t>1a</w:t>
            </w:r>
            <w:r>
              <w:rPr>
                <w:b/>
                <w:i/>
              </w:rPr>
              <w:t>;</w:t>
            </w:r>
            <w:r>
              <w:rPr>
                <w:b/>
                <w:i/>
                <w:vertAlign w:val="superscript"/>
              </w:rPr>
              <w:t>2a</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i/>
                <w:vertAlign w:val="superscript"/>
              </w:rPr>
              <w:t>1a</w:t>
            </w:r>
            <w:r>
              <w:rPr>
                <w:b/>
                <w:i/>
              </w:rPr>
              <w:t xml:space="preserve"> Mnenje Sodišča Evropske unije 2/13 z dne 18. decembra 2014, ECLI:EU:C:2014:2454, točka 168.</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i/>
              </w:rPr>
              <w:t>2a Sodba Sodišča Evropske unije z dne 24. junija 2019, zadeva C-619/18, Evropska komisija/Republika Poljska, ECLI:EU:C:2019:531, točka 42.</w:t>
            </w:r>
          </w:p>
        </w:tc>
      </w:tr>
    </w:tbl>
    <w:p w:rsidR="00F931B6" w:rsidRPr="00BF159C" w:rsidRDefault="00F931B6" w:rsidP="00F931B6">
      <w:pPr>
        <w:pStyle w:val="AmOrLang"/>
        <w:rPr>
          <w:lang w:val="de-DE"/>
        </w:rPr>
      </w:pPr>
      <w:r w:rsidRPr="00BF159C">
        <w:rPr>
          <w:lang w:val="de-DE"/>
        </w:rPr>
        <w:t xml:space="preserve">Or. </w:t>
      </w:r>
      <w:r w:rsidRPr="00BF159C">
        <w:rPr>
          <w:rStyle w:val="HideTWBExt"/>
          <w:lang w:val="de-DE"/>
        </w:rPr>
        <w:t>&lt;Original&gt;</w:t>
      </w:r>
      <w:r w:rsidRPr="00BF159C">
        <w:rPr>
          <w:rStyle w:val="HideTWBInt"/>
          <w:lang w:val="de-DE"/>
        </w:rPr>
        <w:t>{EN}</w:t>
      </w:r>
      <w:r w:rsidRPr="00BF159C">
        <w:rPr>
          <w:lang w:val="de-DE"/>
        </w:rPr>
        <w:t>en</w:t>
      </w:r>
      <w:r w:rsidRPr="00BF159C">
        <w:rPr>
          <w:rStyle w:val="HideTWBExt"/>
          <w:lang w:val="de-DE"/>
        </w:rPr>
        <w:t>&lt;/Original&gt;</w:t>
      </w:r>
    </w:p>
    <w:p w:rsidR="00F931B6" w:rsidRPr="00BF159C" w:rsidRDefault="00F931B6" w:rsidP="00F931B6">
      <w:r>
        <w:rPr>
          <w:rStyle w:val="HideTWBExt"/>
          <w:lang w:val="de-DE"/>
        </w:rPr>
        <w:t>&lt;/Amend&gt;</w:t>
      </w:r>
    </w:p>
    <w:p w:rsidR="00F931B6" w:rsidRPr="00BF159C" w:rsidRDefault="00F931B6" w:rsidP="00F931B6">
      <w:pPr>
        <w:pStyle w:val="AmNumberTabs"/>
      </w:pPr>
      <w:r>
        <w:rPr>
          <w:rStyle w:val="HideTWBExt"/>
          <w:b w:val="0"/>
          <w:lang w:val="de-DE"/>
        </w:rPr>
        <w:t>&lt;Amend&gt;</w:t>
      </w:r>
      <w:r>
        <w:t>Predlog spremembe</w:t>
      </w:r>
      <w:r>
        <w:tab/>
      </w:r>
      <w:r>
        <w:tab/>
      </w:r>
      <w:r>
        <w:rPr>
          <w:rStyle w:val="HideTWBExt"/>
          <w:b w:val="0"/>
          <w:lang w:val="de-DE"/>
        </w:rPr>
        <w:t>&lt;NumAm&gt;</w:t>
      </w:r>
      <w:r>
        <w:t>145</w:t>
      </w:r>
      <w:r>
        <w:rPr>
          <w:rStyle w:val="HideTWBExt"/>
          <w:b w:val="0"/>
          <w:lang w:val="de-DE"/>
        </w:rPr>
        <w:t>&lt;/NumAm&gt;</w:t>
      </w:r>
    </w:p>
    <w:p w:rsidR="00F931B6" w:rsidRPr="00BF159C" w:rsidRDefault="00F931B6" w:rsidP="00F931B6">
      <w:pPr>
        <w:pStyle w:val="NormalBold"/>
      </w:pPr>
      <w:r>
        <w:rPr>
          <w:rStyle w:val="HideTWBExt"/>
          <w:b w:val="0"/>
          <w:lang w:val="de-DE"/>
        </w:rPr>
        <w:t>&lt;RepeatBlock-By&gt;&lt;Members&gt;</w:t>
      </w:r>
      <w:r>
        <w:t>Daniel Freund</w:t>
      </w:r>
      <w:r>
        <w:rPr>
          <w:rStyle w:val="HideTWBExt"/>
          <w:b w:val="0"/>
          <w:lang w:val="de-DE"/>
        </w:rPr>
        <w:t>&lt;/Members&gt;</w:t>
      </w:r>
    </w:p>
    <w:p w:rsidR="00F931B6" w:rsidRPr="00BF159C" w:rsidRDefault="00F931B6" w:rsidP="00F931B6">
      <w:pPr>
        <w:pStyle w:val="NormalBold"/>
      </w:pPr>
      <w:r>
        <w:rPr>
          <w:rStyle w:val="HideTWBExt"/>
          <w:b w:val="0"/>
          <w:lang w:val="de-DE"/>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Aa.</w:t>
            </w:r>
            <w:r>
              <w:tab/>
            </w:r>
            <w:r>
              <w:rPr>
                <w:b/>
                <w:i/>
              </w:rPr>
              <w:t>ker je iz člena 49 PEU, v skladu s katerim lahko vsaka evropska država zaprosi za članstvo v Evropski uniji, razvidno, da Unijo sestavljajo države, ki so se svobodno in prostovoljno zavezale skupnim vrednotam iz člena 2 PEU, ki te vrednote spoštujejo in se zavezujejo, da jih bodo spodbujale, pri čemer pravo EU temelji na osnovni premisi, v skladu s katero vsaka država članica z vsemi ostalimi državami članicami deli te vrednote in priznava, da jih te ostale države članice delijo z njo; ker so države članice dolžne skrbeti za to, da pri zaščiti vrednot iz člena 2 PEU ne pride do nazadovanja;</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146</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Isabel Serra Sánchez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Aa.</w:t>
            </w:r>
            <w:r>
              <w:tab/>
            </w:r>
            <w:r>
              <w:rPr>
                <w:b/>
                <w:i/>
              </w:rPr>
              <w:t>ker je bistvenega pomena obravnavati preteklost Evrope na podlagi vrednot iz člena 2 PEU; ker se zgodovine nikoli ne sme relativizirati, izkrivljati ali ponarejati v politične namene; ker primeri, v katerih države članice poneverjajo in kršijo zakone o spominu, prispevajo k zanikanju zgodovine in zločinov totalitarnih režimov, ki se ne smejo ponoviti; ker so lokalni organi v nekaterih španskih občinah v preteklem letu kršili španski zakon o zgodovinskem spominu;</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147</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 Ana Catarina Mendes, Moritz Körner</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Aa.</w:t>
            </w:r>
            <w:r>
              <w:tab/>
            </w:r>
            <w:r>
              <w:rPr>
                <w:b/>
                <w:i/>
              </w:rPr>
              <w:t>ker organizacije civilne družbe, pravna skupnost, združenja, neodvisni mediji in lokalna gibanja ostajajo temelj pravne države, saj spodbujajo preglednost, odgovornost in participacijo državljanov v demokratičnih procesih; ker so imeli ti akterji ključno vlogo pri varovanju neodvisnosti sodstva, svobode izražanja in drugih ustavnih vrednot ter so pogosto delovali z rastočimi političnimi in pravnimi omejitvami;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148</w:t>
      </w:r>
      <w:r>
        <w:rPr>
          <w:rStyle w:val="HideTWBExt"/>
          <w:b w:val="0"/>
        </w:rPr>
        <w:t>&lt;/NumAm&gt;</w:t>
      </w:r>
    </w:p>
    <w:p w:rsidR="00F931B6" w:rsidRPr="00444926" w:rsidRDefault="00F931B6" w:rsidP="00F931B6">
      <w:pPr>
        <w:pStyle w:val="NormalBold"/>
      </w:pPr>
      <w:r>
        <w:rPr>
          <w:rStyle w:val="HideTWBExt"/>
          <w:b w:val="0"/>
        </w:rPr>
        <w:t>&lt;RepeatBlock-By&gt;&lt;Members&gt;</w:t>
      </w:r>
      <w:r>
        <w:t>Marieke Ehlers, Jorge Buxadé Villalba, Tom Vandendriessche,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Aa.</w:t>
            </w:r>
            <w:r>
              <w:tab/>
            </w:r>
            <w:r>
              <w:rPr>
                <w:b/>
                <w:i/>
              </w:rPr>
              <w:t>ker želi Komisija po eni strani države članice zavezati spoštovanju prava EU, pri čemer Unijo postavlja nad njih, po drugi strani pa tradicionalno pojmovanje pravne države nadomestiti s pristranskim sklopom vrednot in načel;</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149</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Aa.</w:t>
            </w:r>
            <w:r>
              <w:tab/>
            </w:r>
            <w:r>
              <w:rPr>
                <w:b/>
                <w:i/>
              </w:rPr>
              <w:t>ker na ravni EU nimamo splošno sprejete opredelitve pojma „pravna država“ niti enotnega sistema, na podlagi katerega bi lahko ocenjevali spoštovanje načela pravne države in ki bi enako uporabljal za vse države članice in upošteval raznolikost ustavnih sistemov in tradicij;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150</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Marieke Ehlers,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Aa.</w:t>
            </w:r>
            <w:r>
              <w:tab/>
            </w:r>
            <w:r>
              <w:rPr>
                <w:b/>
                <w:i/>
              </w:rPr>
              <w:t>ker so delitev oblasti, enakost pred zakonom, preglednost in odgovornost ključna načela vsake zdrave demokracije; ker institucije Unije ta načela spodbujajo v skladu s Pogodbama;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151</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Aa.</w:t>
            </w:r>
            <w:r>
              <w:tab/>
            </w:r>
            <w:r>
              <w:rPr>
                <w:b/>
                <w:i/>
              </w:rPr>
              <w:t>ker je letno poročilo o stanju pravne države orodje, ki ga je oblikovala Komisija in nima pravne podlage v Pogodbah;</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152</w:t>
      </w:r>
      <w:r>
        <w:rPr>
          <w:rStyle w:val="HideTWBExt"/>
          <w:b w:val="0"/>
        </w:rPr>
        <w:t>&lt;/NumAm&gt;</w:t>
      </w:r>
    </w:p>
    <w:p w:rsidR="00F931B6" w:rsidRPr="00444926" w:rsidRDefault="00F931B6" w:rsidP="00F931B6">
      <w:pPr>
        <w:pStyle w:val="NormalBold"/>
      </w:pPr>
      <w:r>
        <w:rPr>
          <w:rStyle w:val="HideTWBExt"/>
          <w:b w:val="0"/>
        </w:rPr>
        <w:t>&lt;RepeatBlock-By&gt;&lt;Members&gt;</w:t>
      </w:r>
      <w:r>
        <w:t>Mary Khan, Christine Anderson, Milan Uhrík, Ewa Zajączkowska-Hernik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Aa.</w:t>
            </w:r>
            <w:r>
              <w:tab/>
            </w:r>
            <w:r>
              <w:rPr>
                <w:b/>
                <w:i/>
              </w:rPr>
              <w:t>ker akt o digitalnih storitvah očitno ogroža svobodo izražanja in svobodo govora;</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153</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Isabel Serra Sánchez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Ab.</w:t>
            </w:r>
            <w:r>
              <w:tab/>
            </w:r>
            <w:r>
              <w:rPr>
                <w:b/>
                <w:i/>
              </w:rPr>
              <w:t>ker je sistematična kraja dojenčkov v Francovi diktaturi in v prvih letih demokracije, ko je bilo več tisoč novorojenčkov prisilno odvzetih materam in nezakonito posvojenih, kaznivo dejanje, ki v veliki meri ostaja nekaznovano in zahteva pravico, resnico in odškodnino; ker nadaljnja nekaznovanost in neukrepanje institucij pri obravnavanju teh kaznivih dejanj pomenita hudo kršitev pravne države, saj spodkopavata dostop žrtev do resnice, sodnega varstva in odškodnin ter poudarjata potrebo po popolni uskladitvi z evropskimi vrednotami iz člena 2 PEU in mednarodnimi obveznostmi na področju človekovih pravic;</w:t>
            </w:r>
          </w:p>
        </w:tc>
      </w:tr>
    </w:tbl>
    <w:p w:rsidR="00F931B6" w:rsidRPr="00BF159C" w:rsidRDefault="00F931B6" w:rsidP="00F931B6">
      <w:pPr>
        <w:pStyle w:val="AmOrLang"/>
        <w:rPr>
          <w:lang w:val="de-DE"/>
        </w:rPr>
      </w:pPr>
      <w:r w:rsidRPr="00BF159C">
        <w:rPr>
          <w:lang w:val="de-DE"/>
        </w:rPr>
        <w:t xml:space="preserve">Or. </w:t>
      </w:r>
      <w:r w:rsidRPr="00BF159C">
        <w:rPr>
          <w:rStyle w:val="HideTWBExt"/>
          <w:lang w:val="de-DE"/>
        </w:rPr>
        <w:t>&lt;Original&gt;</w:t>
      </w:r>
      <w:r w:rsidRPr="00BF159C">
        <w:rPr>
          <w:rStyle w:val="HideTWBInt"/>
          <w:lang w:val="de-DE"/>
        </w:rPr>
        <w:t>{EN}</w:t>
      </w:r>
      <w:r w:rsidRPr="00BF159C">
        <w:rPr>
          <w:lang w:val="de-DE"/>
        </w:rPr>
        <w:t>en</w:t>
      </w:r>
      <w:r w:rsidRPr="00BF159C">
        <w:rPr>
          <w:rStyle w:val="HideTWBExt"/>
          <w:lang w:val="de-DE"/>
        </w:rPr>
        <w:t>&lt;/Original&gt;</w:t>
      </w:r>
    </w:p>
    <w:p w:rsidR="00F931B6" w:rsidRPr="00BF159C" w:rsidRDefault="00F931B6" w:rsidP="00F931B6">
      <w:r>
        <w:rPr>
          <w:rStyle w:val="HideTWBExt"/>
          <w:lang w:val="de-DE"/>
        </w:rPr>
        <w:t>&lt;/Amend&gt;</w:t>
      </w:r>
    </w:p>
    <w:p w:rsidR="00F931B6" w:rsidRPr="00BF159C" w:rsidRDefault="00F931B6" w:rsidP="00F931B6">
      <w:pPr>
        <w:pStyle w:val="AmNumberTabs"/>
      </w:pPr>
      <w:r>
        <w:rPr>
          <w:rStyle w:val="HideTWBExt"/>
          <w:b w:val="0"/>
          <w:lang w:val="de-DE"/>
        </w:rPr>
        <w:t>&lt;Amend&gt;</w:t>
      </w:r>
      <w:r>
        <w:t>Predlog spremembe</w:t>
      </w:r>
      <w:r>
        <w:tab/>
      </w:r>
      <w:r>
        <w:tab/>
      </w:r>
      <w:r>
        <w:rPr>
          <w:rStyle w:val="HideTWBExt"/>
          <w:b w:val="0"/>
          <w:lang w:val="de-DE"/>
        </w:rPr>
        <w:t>&lt;NumAm&gt;</w:t>
      </w:r>
      <w:r>
        <w:t>154</w:t>
      </w:r>
      <w:r>
        <w:rPr>
          <w:rStyle w:val="HideTWBExt"/>
          <w:b w:val="0"/>
          <w:lang w:val="de-DE"/>
        </w:rPr>
        <w:t>&lt;/NumAm&gt;</w:t>
      </w:r>
    </w:p>
    <w:p w:rsidR="00F931B6" w:rsidRPr="00BF159C" w:rsidRDefault="00F931B6" w:rsidP="00F931B6">
      <w:pPr>
        <w:pStyle w:val="NormalBold"/>
      </w:pPr>
      <w:r>
        <w:rPr>
          <w:rStyle w:val="HideTWBExt"/>
          <w:b w:val="0"/>
          <w:lang w:val="de-DE"/>
        </w:rPr>
        <w:t>&lt;RepeatBlock-By&gt;&lt;Members&gt;</w:t>
      </w:r>
      <w:r>
        <w:t>Daniel Freund</w:t>
      </w:r>
      <w:r>
        <w:rPr>
          <w:rStyle w:val="HideTWBExt"/>
          <w:b w:val="0"/>
          <w:lang w:val="de-DE"/>
        </w:rPr>
        <w:t>&lt;/Members&gt;</w:t>
      </w:r>
    </w:p>
    <w:p w:rsidR="00F931B6" w:rsidRPr="00BF159C" w:rsidRDefault="00F931B6" w:rsidP="00F931B6">
      <w:pPr>
        <w:pStyle w:val="NormalBold"/>
      </w:pPr>
      <w:r>
        <w:rPr>
          <w:rStyle w:val="HideTWBExt"/>
          <w:b w:val="0"/>
          <w:lang w:val="de-DE"/>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Ab.</w:t>
            </w:r>
            <w:r>
              <w:tab/>
            </w:r>
            <w:r>
              <w:rPr>
                <w:b/>
                <w:i/>
              </w:rPr>
              <w:t>ker načelo lojalnega sodelovanja iz člena 4(3) PEU Unijo in države članice zavezuje, da si pomagajo pri izpolnjevanju obveznosti, ki izhajajo iz Pogodb, ob polnem medsebojnem spoštovanju, države članice pa, da sprejmejo vse ustrezne splošne ali usmerjene ukrepe za zagotovitev izpolnjevanja obveznosti, ki izhajajo iz Pogodb ali aktov institucij Unije; ker države članice ne bi smele sprejeti nobenih ukrepov, ki bi lahko ogrozili uresničevanje ciljev Unije;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155</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Ab.</w:t>
            </w:r>
            <w:r>
              <w:tab/>
            </w:r>
            <w:r>
              <w:rPr>
                <w:b/>
                <w:i/>
              </w:rPr>
              <w:t>ker v Uniji ni zagotovljena ustrezna raven varstva svobode izražanja in pravice do obveščenosti; ker medijska koncentracija, pomanjkanje preglednosti lastništva medijev in javnega financiranja, premajhna neodvisnost uredništev od komercialnih in političnih vplivov ter težave s sposobnostjo preživetja ogrožajo pravico do obveščenosti; ker sta spodbujanje zakonitega moderiranja vsebin in preverjanja dejstev s strani združenj, ki niso neodvisna, neposreden napad na svobodo izražanja;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156</w:t>
      </w:r>
      <w:r>
        <w:rPr>
          <w:rStyle w:val="HideTWBExt"/>
          <w:b w:val="0"/>
        </w:rPr>
        <w:t>&lt;/NumAm&gt;</w:t>
      </w:r>
    </w:p>
    <w:p w:rsidR="00F931B6" w:rsidRPr="00444926" w:rsidRDefault="00F931B6" w:rsidP="00F931B6">
      <w:pPr>
        <w:pStyle w:val="NormalBold"/>
      </w:pPr>
      <w:r>
        <w:rPr>
          <w:rStyle w:val="HideTWBExt"/>
          <w:b w:val="0"/>
        </w:rPr>
        <w:t>&lt;RepeatBlock-By&gt;&lt;Members&gt;</w:t>
      </w:r>
      <w:r>
        <w:t>Marieke Ehlers, Jorge Buxadé Villalba, Tom Vandendriessche,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Ab.</w:t>
            </w:r>
            <w:r>
              <w:tab/>
            </w:r>
            <w:r>
              <w:rPr>
                <w:b/>
                <w:i/>
              </w:rPr>
              <w:t>ker ni skupne evropske opredelitve pravne države, saj imajo koncepti, kot so „pravna država“, „Rechtsstaatlichkeit“ in „l’etat de droit“, različne pomene v različnih pravnih tradicijah; ker bodo prizadevanja za opredelitev pravne države prikrajšala obstoječe dolgotrajne pravne tradicije, ki obstajajo po vsej Evropi;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157</w:t>
      </w:r>
      <w:r>
        <w:rPr>
          <w:rStyle w:val="HideTWBExt"/>
          <w:b w:val="0"/>
        </w:rPr>
        <w:t>&lt;/NumAm&gt;</w:t>
      </w:r>
    </w:p>
    <w:p w:rsidR="00F931B6" w:rsidRPr="00444926" w:rsidRDefault="00F931B6" w:rsidP="00F931B6">
      <w:pPr>
        <w:pStyle w:val="NormalBold"/>
      </w:pPr>
      <w:r>
        <w:rPr>
          <w:rStyle w:val="HideTWBExt"/>
          <w:b w:val="0"/>
        </w:rPr>
        <w:t>&lt;RepeatBlock-By&gt;&lt;Members&gt;</w:t>
      </w:r>
      <w:r>
        <w:t>Mary Khan, Christine Anderson, Milan Uhrík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Ab.</w:t>
            </w:r>
            <w:r>
              <w:tab/>
            </w:r>
            <w:r>
              <w:rPr>
                <w:b/>
                <w:i/>
              </w:rPr>
              <w:t>ker številni tuji milijarderji, kot sta Bill Gates in George Soros, vlagajo milijone v medijske hiše v Nemčiji, da bi usmerjali javno mnenje; ker EU o tem vmešavanju ne govori, se pa oglaša, kadar domnevno vmešavanje prihaja iz konservativnih virov, ki jih ne odobrava, kot je Elon Musk;</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158</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Ab.</w:t>
            </w:r>
            <w:r>
              <w:tab/>
            </w:r>
            <w:r>
              <w:rPr>
                <w:b/>
                <w:i/>
              </w:rPr>
              <w:t>ker poročilo o pravni državi brez objektivnega, pravičnega in nepristranskega pristopa, ki bi temeljil na dejstvih, ni verodostojno orodje in ga ni mogoče upoštevati v katerem koli drugem mehanizmu;</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159</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Isabel Serra Sánchez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Ac.</w:t>
            </w:r>
            <w:r>
              <w:tab/>
            </w:r>
            <w:r>
              <w:rPr>
                <w:b/>
                <w:i/>
              </w:rPr>
              <w:t>ker madžarska vlada ni izvršila številnih sodb madžarskega ustavnega sodišča, Sodišča in Evropskega sodišča za človekove pravice v zvezi s kršitvami vrednot iz člena 2 PEU s strani Madžarske ter ni upoštevala velike večine priporočil iz poročil Komisije o stanju pravne države za leti 2023 in 2024 ali priporočil drugih mednarodnih organov, kot so GRECO, Beneška komisija in drugi;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160</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Ac.</w:t>
            </w:r>
            <w:r>
              <w:tab/>
            </w:r>
            <w:r>
              <w:rPr>
                <w:b/>
                <w:i/>
              </w:rPr>
              <w:t>ker Komisija v skladu s Pogodbama nima pristojnosti za oblikovanje dodatnih mehanizmov za spremljanje pravne države v državah članicah;</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161</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Uvodna izjava A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Ad.</w:t>
            </w:r>
            <w:r>
              <w:tab/>
            </w:r>
            <w:r>
              <w:rPr>
                <w:b/>
                <w:i/>
              </w:rPr>
              <w:t>ker Komisija pri pripravi letnega poročila o stanju pravne države uporablja prispevke nevladnih organizacij, ki se financirajo iz tujine;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162</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Chloé Ridel, Abir Al-Sahlani, Fabienne Keller, Lucia Yar, Irena Joveva, Isabel Wiseler-Lima</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Podnaslov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 xml:space="preserve">Pravosodje in </w:t>
            </w:r>
            <w:r>
              <w:rPr>
                <w:b/>
                <w:i/>
              </w:rPr>
              <w:t>korupcija</w:t>
            </w:r>
          </w:p>
        </w:tc>
        <w:tc>
          <w:tcPr>
            <w:tcW w:w="4876" w:type="dxa"/>
            <w:tcBorders>
              <w:top w:val="nil"/>
              <w:left w:val="nil"/>
              <w:bottom w:val="nil"/>
              <w:right w:val="nil"/>
            </w:tcBorders>
          </w:tcPr>
          <w:p w:rsidR="00F931B6" w:rsidRPr="00444926" w:rsidRDefault="00F931B6" w:rsidP="007C04AE">
            <w:pPr>
              <w:pStyle w:val="Normal6a"/>
            </w:pPr>
            <w:r>
              <w:rPr>
                <w:b/>
                <w:i/>
              </w:rPr>
              <w:t xml:space="preserve">Okvir za </w:t>
            </w:r>
            <w:r>
              <w:t xml:space="preserve">pravosodje in </w:t>
            </w:r>
            <w:r>
              <w:rPr>
                <w:b/>
                <w:i/>
              </w:rPr>
              <w:t>boj proti korupciji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163</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w:t>
            </w:r>
            <w:r>
              <w:tab/>
              <w:t>poudarja, da je pravično in dostopno pravno varstvo temeljno načelo pravne države, ki zahteva neodvisno sodstvo; ponovno poudarja, da je dostop do pravnega varstva bistven, da lahko državljani uveljavljajo pravice, se zoperstavijo diskriminaciji in od nosilcev odločanja zahtevajo prevzemanje odgovornosti;</w:t>
            </w:r>
          </w:p>
        </w:tc>
        <w:tc>
          <w:tcPr>
            <w:tcW w:w="4876" w:type="dxa"/>
            <w:tcBorders>
              <w:top w:val="nil"/>
              <w:left w:val="nil"/>
              <w:bottom w:val="nil"/>
              <w:right w:val="nil"/>
            </w:tcBorders>
          </w:tcPr>
          <w:p w:rsidR="00F931B6" w:rsidRPr="00444926" w:rsidRDefault="00F931B6" w:rsidP="007C04AE">
            <w:pPr>
              <w:pStyle w:val="Normal6a"/>
            </w:pPr>
            <w:r>
              <w:t>1.</w:t>
            </w:r>
            <w:r>
              <w:tab/>
              <w:t xml:space="preserve">poudarja, da je pravično in dostopno pravno varstvo temeljno načelo pravne države, ki zahteva neodvisno sodstvo; ponovno poudarja, da je dostop do pravnega varstva bistven, da lahko državljani uveljavljajo pravice, se zoperstavijo diskriminaciji in od nosilcev odločanja zahtevajo prevzemanje odgovornosti; </w:t>
            </w:r>
            <w:r>
              <w:rPr>
                <w:b/>
                <w:i/>
              </w:rPr>
              <w:t>poudarja, da se pravosodni sistemi v nekaterih državah članicah in državah kandidatkah za članstvo v EU še vedno oblikujejo na podlagi sistema recipročnosti iz komunistične dobe; poudarja nedoslednosti v stališču EU, saj po eni strani podpira reformo sodstva v državah kandidatkah za članstvo v EU, na primer v Moldaviji, po drugi strani pa ščiti enako neučinkovit, pomanjkljiv in postkomunistični sistem na Poljskem; ugotavlja, da sistemi imenovanja sodnikov v nekaterih državah članicah veljajo za nesporne, ko pa želijo druge države izvesti reforme za vzpostavitev podobnih sistemov, pa so te reforme kritizirane; poziva Komisijo, naj se vzdrži vmešavanja v reforme v zvezi z organizacijo sodstva; meni, da je nesprejemljivo, da druge države ali EU podpirajo politične dejavnosti organizacij, ki jih sestavljajo predstavniki pravosodnega sistema, in zahteva, da se to preneha, in poziva, naj se morebitno dosedanje vmešavanje razkrije na pregleden način;</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164</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w:t>
            </w:r>
            <w:r>
              <w:tab/>
              <w:t>poudarja, da je pravično in dostopno pravno varstvo temeljno načelo pravne države, ki zahteva neodvisno sodstvo; ponovno poudarja, da je dostop do pravnega varstva bistven, da lahko državljani uveljavljajo pravice, se zoperstavijo diskriminaciji in od nosilcev odločanja zahtevajo prevzemanje odgovornosti;</w:t>
            </w:r>
          </w:p>
        </w:tc>
        <w:tc>
          <w:tcPr>
            <w:tcW w:w="4876" w:type="dxa"/>
            <w:tcBorders>
              <w:top w:val="nil"/>
              <w:left w:val="nil"/>
              <w:bottom w:val="nil"/>
              <w:right w:val="nil"/>
            </w:tcBorders>
          </w:tcPr>
          <w:p w:rsidR="00F931B6" w:rsidRPr="00444926" w:rsidRDefault="00F931B6" w:rsidP="007C04AE">
            <w:pPr>
              <w:pStyle w:val="Normal6a"/>
            </w:pPr>
            <w:r>
              <w:t>1.</w:t>
            </w:r>
            <w:r>
              <w:tab/>
              <w:t>poudarja, da je pravično in dostopno pravno varstvo temeljno načelo pravne države, ki zahteva neodvisno sodstvo; ponovno poudarja, da je dostop do pravnega varstva bistven, da lahko državljani uveljavljajo pravice, se zoperstavijo diskriminaciji in od nosilcev odločanja zahtevajo prevzemanje odgovornosti;</w:t>
            </w:r>
            <w:r>
              <w:rPr>
                <w:b/>
                <w:i/>
              </w:rPr>
              <w:t> zato poudarja, da je ustrezno plačilo bistvenega pomena za pritegnitev in zadržanje usposobljenega sodnega osebja;</w:t>
            </w:r>
            <w:r>
              <w:t xml:space="preserve"> </w:t>
            </w:r>
            <w:r>
              <w:rPr>
                <w:b/>
                <w:i/>
              </w:rPr>
              <w:t>ponovno poudarja, da so za učinkovitost in dostopnost sodnega sistema bistveni ustrezni viri, vključno s financiranjem, infrastrukturi in osebjem; poudarja pomembno vlogo digitalizacije pri preoblikovanju nacionalnih pravosodnih organov;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165</w:t>
      </w:r>
      <w:r>
        <w:rPr>
          <w:rStyle w:val="HideTWBExt"/>
          <w:b w:val="0"/>
        </w:rPr>
        <w:t>&lt;/NumAm&gt;</w:t>
      </w:r>
    </w:p>
    <w:p w:rsidR="00F931B6" w:rsidRPr="00444926" w:rsidRDefault="00F931B6" w:rsidP="00F931B6">
      <w:pPr>
        <w:pStyle w:val="NormalBold"/>
      </w:pPr>
      <w:r>
        <w:rPr>
          <w:rStyle w:val="HideTWBExt"/>
          <w:b w:val="0"/>
        </w:rPr>
        <w:t>&lt;RepeatBlock-By&gt;&lt;Members&gt;</w:t>
      </w:r>
      <w:r>
        <w:t>Juan Fernando López Aguilar, Nacho Sánchez Amor, Javier Moreno Sánchez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w:t>
            </w:r>
            <w:r>
              <w:tab/>
              <w:t>poudarja, da je pravično in dostopno pravno varstvo temeljno načelo pravne države, ki zahteva neodvisno sodstvo; ponovno poudarja, da je dostop do pravnega varstva bistven, da lahko državljani uveljavljajo pravice, se zoperstavijo diskriminaciji in od nosilcev odločanja zahtevajo prevzemanje odgovornosti;</w:t>
            </w:r>
          </w:p>
        </w:tc>
        <w:tc>
          <w:tcPr>
            <w:tcW w:w="4876" w:type="dxa"/>
            <w:tcBorders>
              <w:top w:val="nil"/>
              <w:left w:val="nil"/>
              <w:bottom w:val="nil"/>
              <w:right w:val="nil"/>
            </w:tcBorders>
          </w:tcPr>
          <w:p w:rsidR="00F931B6" w:rsidRPr="00444926" w:rsidRDefault="00F931B6" w:rsidP="007C04AE">
            <w:pPr>
              <w:pStyle w:val="Normal6a"/>
            </w:pPr>
            <w:r>
              <w:t>1.</w:t>
            </w:r>
            <w:r>
              <w:tab/>
              <w:t>poudarja, da je pravično in dostopno pravno varstvo temeljno načelo pravne države, ki zahteva neodvisno sodstvo;</w:t>
            </w:r>
            <w:r>
              <w:rPr>
                <w:b/>
                <w:i/>
              </w:rPr>
              <w:t xml:space="preserve"> </w:t>
            </w:r>
            <w:r>
              <w:rPr>
                <w:b/>
                <w:bCs/>
                <w:i/>
                <w:iCs/>
              </w:rPr>
              <w:t>pozdravlja, da nekatere države članice izvajajo pobude za zagotavljanje neodvisnosti sodstva, zlasti z učinkovitim delovanjem sodnih svetov;</w:t>
            </w:r>
            <w:r>
              <w:t xml:space="preserve"> ponovno poudarja, da je dostop do pravnega varstva bistven, da lahko državljani uveljavljajo pravice, se zoperstavijo diskriminaciji in od nosilcev odločanja zahtevajo prevzemanje odgovornosti;</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Default="00F931B6" w:rsidP="00F931B6">
      <w:pPr>
        <w:pStyle w:val="AmNumberTabs"/>
      </w:pPr>
      <w:r>
        <w:rPr>
          <w:rStyle w:val="HideTWBExt"/>
        </w:rPr>
        <w:t>&lt;Amend&gt;</w:t>
      </w:r>
      <w:r>
        <w:t>Predlog spremembe</w:t>
      </w:r>
      <w:r>
        <w:tab/>
      </w:r>
      <w:r>
        <w:tab/>
      </w:r>
      <w:r>
        <w:rPr>
          <w:rStyle w:val="HideTWBExt"/>
        </w:rPr>
        <w:t>&lt;NumAm&gt;</w:t>
      </w:r>
      <w:r>
        <w:t>166</w:t>
      </w:r>
      <w:r>
        <w:rPr>
          <w:rStyle w:val="HideTWBExt"/>
        </w:rPr>
        <w:t>&lt;/NumAm&gt;</w:t>
      </w:r>
    </w:p>
    <w:p w:rsidR="00F931B6" w:rsidRDefault="00F931B6" w:rsidP="00F931B6">
      <w:pPr>
        <w:pStyle w:val="NormalBold"/>
      </w:pPr>
      <w:r>
        <w:rPr>
          <w:rStyle w:val="HideTWBExt"/>
          <w:b w:val="0"/>
        </w:rPr>
        <w:t>&lt;RepeatBlock-By&gt;&lt;Members&gt;</w:t>
      </w:r>
      <w:r>
        <w:t>Alessandro Ciriani, Paolo Inselvini</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t>1.</w:t>
            </w:r>
            <w:r>
              <w:tab/>
              <w:t>poudarja, da je pravično in dostopno pravno varstvo temeljno načelo pravne države, ki zahteva neodvisno sodstvo; ponovno poudarja, da je dostop do pravnega varstva bistven, da lahko državljani uveljavljajo pravice, se zoperstavijo diskriminaciji in od nosilcev odločanja zahtevajo prevzemanje odgovornosti;</w:t>
            </w:r>
          </w:p>
        </w:tc>
        <w:tc>
          <w:tcPr>
            <w:tcW w:w="4876" w:type="dxa"/>
            <w:tcBorders>
              <w:top w:val="nil"/>
              <w:left w:val="nil"/>
              <w:bottom w:val="nil"/>
              <w:right w:val="nil"/>
            </w:tcBorders>
          </w:tcPr>
          <w:p w:rsidR="00F931B6" w:rsidRDefault="00F931B6" w:rsidP="007C04AE">
            <w:pPr>
              <w:pStyle w:val="Normal6a"/>
            </w:pPr>
            <w:r>
              <w:t>1.</w:t>
            </w:r>
            <w:r>
              <w:tab/>
              <w:t xml:space="preserve">poudarja, da je pravično in dostopno pravno varstvo temeljno načelo pravne države, ki zahteva neodvisno sodstvo; ponovno poudarja, da je dostop do pravnega varstva bistven, da lahko državljani uveljavljajo pravice, se zoperstavijo diskriminaciji in od nosilcev odločanja zahtevajo prevzemanje odgovornosti; </w:t>
            </w:r>
            <w:r>
              <w:rPr>
                <w:b/>
                <w:i/>
              </w:rPr>
              <w:t>ponovno poudarja, da je na podlagi ustanovnih pogodb Evropske unije organizacija pravosodnih sistemov prepuščena državam članicam;</w:t>
            </w:r>
          </w:p>
        </w:tc>
      </w:tr>
    </w:tbl>
    <w:p w:rsidR="00F931B6" w:rsidRDefault="00F931B6" w:rsidP="00F931B6">
      <w:pPr>
        <w:pStyle w:val="AmOrLang"/>
      </w:pPr>
      <w:r>
        <w:t xml:space="preserve">Or. </w:t>
      </w:r>
      <w:r>
        <w:rPr>
          <w:rStyle w:val="HideTWBExt"/>
        </w:rPr>
        <w:t>&lt;Original&gt;</w:t>
      </w:r>
      <w:r>
        <w:rPr>
          <w:rStyle w:val="HideTWBInt"/>
        </w:rPr>
        <w:t>{IT}</w:t>
      </w:r>
      <w:r>
        <w:t>it</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167</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w:t>
            </w:r>
            <w:r>
              <w:tab/>
              <w:t xml:space="preserve">poudarja, da je pravično in dostopno pravno varstvo </w:t>
            </w:r>
            <w:r>
              <w:rPr>
                <w:b/>
                <w:i/>
              </w:rPr>
              <w:t>temeljno načelo</w:t>
            </w:r>
            <w:r>
              <w:t xml:space="preserve"> pravne države, ki zahteva neodvisno sodstvo; ponovno poudarja, da je dostop do pravnega varstva bistven, da lahko državljani uveljavljajo pravice, se zoperstavijo diskriminaciji in od nosilcev odločanja zahtevajo prevzemanje odgovornosti;</w:t>
            </w:r>
          </w:p>
        </w:tc>
        <w:tc>
          <w:tcPr>
            <w:tcW w:w="4876" w:type="dxa"/>
            <w:tcBorders>
              <w:top w:val="nil"/>
              <w:left w:val="nil"/>
              <w:bottom w:val="nil"/>
              <w:right w:val="nil"/>
            </w:tcBorders>
          </w:tcPr>
          <w:p w:rsidR="00F931B6" w:rsidRPr="00444926" w:rsidRDefault="00F931B6" w:rsidP="007C04AE">
            <w:pPr>
              <w:pStyle w:val="Normal6a"/>
            </w:pPr>
            <w:r>
              <w:t>1.</w:t>
            </w:r>
            <w:r>
              <w:tab/>
              <w:t xml:space="preserve">poudarja, da je pravično in dostopno pravno varstvo </w:t>
            </w:r>
            <w:r>
              <w:rPr>
                <w:b/>
                <w:i/>
              </w:rPr>
              <w:t>eno od temeljnih načel</w:t>
            </w:r>
            <w:r>
              <w:t xml:space="preserve"> pravne države, ki zahteva neodvisno sodstvo; ponovno poudarja, da je dostop do pravnega varstva bistven, da lahko državljani uveljavljajo pravice, se zoperstavijo diskriminaciji in od nosilcev odločanja zahtevajo prevzemanje odgovornosti;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Default="00F931B6" w:rsidP="00F931B6">
      <w:pPr>
        <w:pStyle w:val="AmNumberTabs"/>
      </w:pPr>
      <w:r>
        <w:rPr>
          <w:rStyle w:val="HideTWBExt"/>
        </w:rPr>
        <w:t>&lt;Amend&gt;</w:t>
      </w:r>
      <w:r>
        <w:t>Predlog spremembe</w:t>
      </w:r>
      <w:r>
        <w:tab/>
      </w:r>
      <w:r>
        <w:tab/>
      </w:r>
      <w:r>
        <w:rPr>
          <w:rStyle w:val="HideTWBExt"/>
        </w:rPr>
        <w:t>&lt;NumAm&gt;</w:t>
      </w:r>
      <w:r>
        <w:t>168</w:t>
      </w:r>
      <w:r>
        <w:rPr>
          <w:rStyle w:val="HideTWBExt"/>
        </w:rPr>
        <w:t>&lt;/NumAm&gt;</w:t>
      </w:r>
    </w:p>
    <w:p w:rsidR="00F931B6" w:rsidRDefault="00F931B6" w:rsidP="00F931B6">
      <w:pPr>
        <w:pStyle w:val="NormalBold"/>
      </w:pPr>
      <w:r>
        <w:rPr>
          <w:rStyle w:val="HideTWBExt"/>
          <w:b w:val="0"/>
        </w:rPr>
        <w:t>&lt;RepeatBlock-By&gt;&lt;Members&gt;</w:t>
      </w:r>
      <w:r>
        <w:t>Nicolas Bay</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t>1.</w:t>
            </w:r>
            <w:r>
              <w:tab/>
              <w:t xml:space="preserve">poudarja, da je pravično in dostopno pravno varstvo temeljno načelo pravne države, ki zahteva neodvisno sodstvo; ponovno poudarja, da je dostop do pravnega varstva bistven, da lahko državljani uveljavljajo pravice, </w:t>
            </w:r>
            <w:r>
              <w:rPr>
                <w:b/>
                <w:i/>
              </w:rPr>
              <w:t>se zoperstavijo diskriminaciji</w:t>
            </w:r>
            <w:r>
              <w:t xml:space="preserve"> in od nosilcev odločanja zahtevajo prevzemanje odgovornosti;</w:t>
            </w:r>
          </w:p>
        </w:tc>
        <w:tc>
          <w:tcPr>
            <w:tcW w:w="4876" w:type="dxa"/>
            <w:tcBorders>
              <w:top w:val="nil"/>
              <w:left w:val="nil"/>
              <w:bottom w:val="nil"/>
              <w:right w:val="nil"/>
            </w:tcBorders>
          </w:tcPr>
          <w:p w:rsidR="00F931B6" w:rsidRDefault="00F931B6" w:rsidP="007C04AE">
            <w:pPr>
              <w:pStyle w:val="Normal6a"/>
            </w:pPr>
            <w:r>
              <w:t>1.</w:t>
            </w:r>
            <w:r>
              <w:tab/>
              <w:t xml:space="preserve">poudarja, da je pravično in dostopno pravno varstvo temeljno načelo pravne države, ki zahteva neodvisno sodstvo; ponovno poudarja, da je dostop do pravnega varstva bistven, da lahko državljani uveljavljajo pravice, </w:t>
            </w:r>
            <w:r>
              <w:rPr>
                <w:b/>
                <w:i/>
              </w:rPr>
              <w:t>jim je zajamčena enakost pred zakonom</w:t>
            </w:r>
            <w:r>
              <w:t xml:space="preserve"> in od nosilcev odločanja zahtevajo prevzemanje odgovornosti;</w:t>
            </w:r>
          </w:p>
        </w:tc>
      </w:tr>
    </w:tbl>
    <w:p w:rsidR="00F931B6" w:rsidRDefault="00F931B6" w:rsidP="00F931B6">
      <w:pPr>
        <w:pStyle w:val="AmOrLang"/>
      </w:pPr>
      <w:r>
        <w:t xml:space="preserve">Or. </w:t>
      </w:r>
      <w:r>
        <w:rPr>
          <w:rStyle w:val="HideTWBExt"/>
        </w:rPr>
        <w:t>&lt;Original&gt;</w:t>
      </w:r>
      <w:r>
        <w:rPr>
          <w:rStyle w:val="HideTWBInt"/>
        </w:rPr>
        <w:t>{FR}</w:t>
      </w:r>
      <w:r>
        <w:t>fr</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169</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1a.</w:t>
            </w:r>
            <w:r>
              <w:tab/>
            </w:r>
            <w:r>
              <w:rPr>
                <w:b/>
                <w:i/>
              </w:rPr>
              <w:t>je seznanjen, da je Komisija tudi ugotovila, da je več držav članic dodelilo dodatna sredstva za krepitev odpornosti pravosodnih sistemov; v zvezi s tem pozdravlja ukrepe za dodelitev dodatnih sredstev njihovim pravosodjem ter prizadevanja za zvišanje plač v sodstvu; je seznanjen, da je Komisija ugotovila, da so v nekaterih državah članicah ravni prejemkov še vedno izziv, kar pogosto vodi v pomanjkanje osebja in nezasedena delovna mesta; zato poudarja, da je ustrezno plačilo bistvenega pomena za pritegnitev in zadržanje usposobljenega sodnega osebja; ponovno poudarja, da so za učinkovitost in dostopnost sodnega sistema bistveni ustrezni viri, vključno s financiranjem, infrastrukturi in osebjem; poudarja pomembno vlogo digitalizacije pri preoblikovanju nacionalnih pravosodnih organov;</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Pr="00BF159C" w:rsidRDefault="00F931B6" w:rsidP="00F931B6">
      <w:pPr>
        <w:pStyle w:val="AmNumberTabs"/>
      </w:pPr>
      <w:r>
        <w:rPr>
          <w:rStyle w:val="HideTWBExt"/>
          <w:b w:val="0"/>
          <w:lang w:val="it-IT"/>
        </w:rPr>
        <w:t>&lt;Amend&gt;</w:t>
      </w:r>
      <w:r>
        <w:t>Predlog spremembe</w:t>
      </w:r>
      <w:r>
        <w:tab/>
      </w:r>
      <w:r>
        <w:tab/>
      </w:r>
      <w:r>
        <w:rPr>
          <w:rStyle w:val="HideTWBExt"/>
          <w:b w:val="0"/>
          <w:lang w:val="it-IT"/>
        </w:rPr>
        <w:t>&lt;NumAm&gt;</w:t>
      </w:r>
      <w:r>
        <w:t>170</w:t>
      </w:r>
      <w:r>
        <w:rPr>
          <w:rStyle w:val="HideTWBExt"/>
          <w:b w:val="0"/>
          <w:lang w:val="it-IT"/>
        </w:rPr>
        <w:t>&lt;/NumAm&gt;</w:t>
      </w:r>
    </w:p>
    <w:p w:rsidR="00F931B6" w:rsidRPr="00BF159C" w:rsidRDefault="00F931B6" w:rsidP="00F931B6">
      <w:pPr>
        <w:pStyle w:val="NormalBold"/>
      </w:pPr>
      <w:r>
        <w:rPr>
          <w:rStyle w:val="HideTWBExt"/>
          <w:b w:val="0"/>
          <w:lang w:val="it-IT"/>
        </w:rPr>
        <w:t>&lt;RepeatBlock-By&gt;&lt;Members&gt;</w:t>
      </w:r>
      <w:r>
        <w:t>Giuseppe Antoci, Isabel Serra Sánchez</w:t>
      </w:r>
      <w:r>
        <w:rPr>
          <w:rStyle w:val="HideTWBExt"/>
          <w:b w:val="0"/>
          <w:lang w:val="it-IT"/>
        </w:rPr>
        <w:t>&lt;/Members&gt;</w:t>
      </w:r>
    </w:p>
    <w:p w:rsidR="00F931B6" w:rsidRPr="00BF159C" w:rsidRDefault="00F931B6" w:rsidP="00F931B6">
      <w:pPr>
        <w:pStyle w:val="NormalBold"/>
      </w:pPr>
      <w:r>
        <w:rPr>
          <w:rStyle w:val="HideTWBExt"/>
          <w:b w:val="0"/>
          <w:lang w:val="it-IT"/>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1a.</w:t>
            </w:r>
            <w:r>
              <w:tab/>
            </w:r>
            <w:r>
              <w:rPr>
                <w:b/>
                <w:i/>
              </w:rPr>
              <w:t>je zelo zaskrbljen zaradi poskusov italijanske vlade, da bi spodkopala neodvisnost in avtonomijo sodstva; meni, da nedavna reforma o ločitvi poklicnih poti in ustanovitvi visokega disciplinskega sodišča krši pogodbene obveznosti Italije, in sicer iz členov 2, 19 in 49 PEU ter iz člena 47 Listine o temeljnih pravicah; opozarja na sodno prakso Sodišča Evropske unije, ki opredeljuje posebna jamstva neodvisnosti za sodnike v disciplinskih postopkih; poziva Komisijo, naj oceni skladnost nedavne reforme sodstva v Italiji z načeli iz Pogodb;</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171</w:t>
      </w:r>
      <w:r>
        <w:rPr>
          <w:rStyle w:val="HideTWBExt"/>
          <w:b w:val="0"/>
        </w:rPr>
        <w:t>&lt;/NumAm&gt;</w:t>
      </w:r>
    </w:p>
    <w:p w:rsidR="00F931B6" w:rsidRPr="00444926" w:rsidRDefault="00F931B6" w:rsidP="00F931B6">
      <w:pPr>
        <w:pStyle w:val="NormalBold"/>
      </w:pPr>
      <w:r>
        <w:rPr>
          <w:rStyle w:val="HideTWBExt"/>
          <w:b w:val="0"/>
        </w:rPr>
        <w:t>&lt;RepeatBlock-By&gt;&lt;Members&gt;</w:t>
      </w:r>
      <w:r>
        <w:t>Javier Zarzalejos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1a.</w:t>
            </w:r>
            <w:r>
              <w:tab/>
            </w:r>
            <w:r>
              <w:rPr>
                <w:b/>
                <w:i/>
              </w:rPr>
              <w:t>poudarja pomembno vlogo sodnih svetov pri varovanju neodvisnosti sodstva; meni, da je treba oceniti reforme, ki so v postopku sprejemanja v različnih državah članicah, in spodbuja prilagoditev sestave in delovanja teh organov standardom, ki sta jih določila Komisija in Svet Evrope ter jih je potrdilo Sodišče Evropske unije;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172</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1a.</w:t>
            </w:r>
            <w:r>
              <w:tab/>
            </w:r>
            <w:r>
              <w:rPr>
                <w:b/>
                <w:i/>
              </w:rPr>
              <w:t>poziva, naj se bolj ščitijo posamezniki, ki se borijo proti korupciji na najvišjih ravneh oblasti; obžaluje, da so borci proti korupciji v nekaterih državah članicah, med drugim na Poljskem, tudi še dvanajst ali več let po tem, ko so razkrili primere korupcije na najvišjih ravneh oblasti, žrtve povračilnih ukrepov in pregona;</w:t>
            </w:r>
          </w:p>
        </w:tc>
      </w:tr>
    </w:tbl>
    <w:p w:rsidR="00F931B6" w:rsidRPr="00BF159C" w:rsidRDefault="00F931B6" w:rsidP="00F931B6">
      <w:pPr>
        <w:pStyle w:val="AmOrLang"/>
        <w:rPr>
          <w:lang w:val="pl-PL"/>
        </w:rPr>
      </w:pPr>
      <w:r w:rsidRPr="00BF159C">
        <w:rPr>
          <w:lang w:val="pl-PL"/>
        </w:rPr>
        <w:t xml:space="preserve">Or. </w:t>
      </w:r>
      <w:r w:rsidRPr="00BF159C">
        <w:rPr>
          <w:rStyle w:val="HideTWBExt"/>
          <w:lang w:val="pl-PL"/>
        </w:rPr>
        <w:t>&lt;Original&gt;</w:t>
      </w:r>
      <w:r w:rsidRPr="00BF159C">
        <w:rPr>
          <w:rStyle w:val="HideTWBInt"/>
          <w:lang w:val="pl-PL"/>
        </w:rPr>
        <w:t>{PL}</w:t>
      </w:r>
      <w:r w:rsidRPr="00BF159C">
        <w:rPr>
          <w:lang w:val="pl-PL"/>
        </w:rPr>
        <w:t>pl</w:t>
      </w:r>
      <w:r w:rsidRPr="00BF159C">
        <w:rPr>
          <w:rStyle w:val="HideTWBExt"/>
          <w:lang w:val="pl-PL"/>
        </w:rPr>
        <w:t>&lt;/Original&gt;</w:t>
      </w:r>
    </w:p>
    <w:p w:rsidR="00F931B6" w:rsidRPr="00BF159C" w:rsidRDefault="00F931B6" w:rsidP="00F931B6">
      <w:r>
        <w:rPr>
          <w:rStyle w:val="HideTWBExt"/>
          <w:lang w:val="pl-PL"/>
        </w:rPr>
        <w:t>&lt;/Amend&gt;</w:t>
      </w:r>
    </w:p>
    <w:p w:rsidR="00F931B6" w:rsidRPr="00BF159C" w:rsidRDefault="00F931B6" w:rsidP="00F931B6">
      <w:pPr>
        <w:pStyle w:val="AmNumberTabs"/>
      </w:pPr>
      <w:r>
        <w:rPr>
          <w:rStyle w:val="HideTWBExt"/>
          <w:b w:val="0"/>
          <w:lang w:val="pl-PL"/>
        </w:rPr>
        <w:t>&lt;Amend&gt;</w:t>
      </w:r>
      <w:r>
        <w:t>Predlog spremembe</w:t>
      </w:r>
      <w:r>
        <w:tab/>
      </w:r>
      <w:r>
        <w:tab/>
      </w:r>
      <w:r>
        <w:rPr>
          <w:rStyle w:val="HideTWBExt"/>
          <w:b w:val="0"/>
          <w:lang w:val="pl-PL"/>
        </w:rPr>
        <w:t>&lt;NumAm&gt;</w:t>
      </w:r>
      <w:r>
        <w:t>173</w:t>
      </w:r>
      <w:r>
        <w:rPr>
          <w:rStyle w:val="HideTWBExt"/>
          <w:b w:val="0"/>
          <w:lang w:val="pl-PL"/>
        </w:rPr>
        <w:t>&lt;/NumAm&gt;</w:t>
      </w:r>
    </w:p>
    <w:p w:rsidR="00F931B6" w:rsidRPr="00BF159C" w:rsidRDefault="00F931B6" w:rsidP="00F931B6">
      <w:pPr>
        <w:pStyle w:val="NormalBold"/>
      </w:pPr>
      <w:r>
        <w:rPr>
          <w:rStyle w:val="HideTWBExt"/>
          <w:b w:val="0"/>
          <w:lang w:val="pl-PL"/>
        </w:rPr>
        <w:t>&lt;RepeatBlock-By&gt;&lt;Members&gt;</w:t>
      </w:r>
      <w:r>
        <w:t>Ewa Zajączkowska-Hernik</w:t>
      </w:r>
      <w:r>
        <w:rPr>
          <w:rStyle w:val="HideTWBExt"/>
          <w:b w:val="0"/>
          <w:lang w:val="pl-PL"/>
        </w:rPr>
        <w:t>&lt;/Members&gt;</w:t>
      </w:r>
    </w:p>
    <w:p w:rsidR="00F931B6" w:rsidRPr="00BF159C" w:rsidRDefault="00F931B6" w:rsidP="00F931B6">
      <w:pPr>
        <w:pStyle w:val="NormalBold"/>
      </w:pPr>
      <w:r>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1a.</w:t>
            </w:r>
            <w:r>
              <w:tab/>
            </w:r>
            <w:r>
              <w:rPr>
                <w:b/>
                <w:i/>
              </w:rPr>
              <w:t>poudarja, da je sodstvo v pristojnosti držav članic, vendar Komisija na tem področju izvaja dejavnosti, ki so v nasprotju z načeli temeljnih pogodb EU in odločitvami demokratično legitimnih parlamentov držav članic;</w:t>
            </w:r>
          </w:p>
        </w:tc>
      </w:tr>
    </w:tbl>
    <w:p w:rsidR="00F931B6" w:rsidRPr="00605988" w:rsidRDefault="00F931B6" w:rsidP="00F931B6">
      <w:pPr>
        <w:pStyle w:val="AmOrLang"/>
      </w:pPr>
      <w:r w:rsidRPr="00605988">
        <w:t xml:space="preserve">Or. </w:t>
      </w:r>
      <w:r w:rsidRPr="00605988">
        <w:rPr>
          <w:rStyle w:val="HideTWBExt"/>
        </w:rPr>
        <w:t>&lt;Original&gt;</w:t>
      </w:r>
      <w:r w:rsidRPr="00605988">
        <w:rPr>
          <w:rStyle w:val="HideTWBInt"/>
        </w:rPr>
        <w:t>{PL}</w:t>
      </w:r>
      <w:r w:rsidRPr="00605988">
        <w:t>pl</w:t>
      </w:r>
      <w:r w:rsidRPr="00605988">
        <w:rPr>
          <w:rStyle w:val="HideTWBExt"/>
        </w:rPr>
        <w:t>&lt;/Original&gt;</w:t>
      </w:r>
    </w:p>
    <w:p w:rsidR="00F931B6" w:rsidRPr="00BF159C" w:rsidRDefault="00F931B6" w:rsidP="00F931B6">
      <w:r w:rsidRPr="00605988">
        <w:rPr>
          <w:rStyle w:val="HideTWBExt"/>
        </w:rPr>
        <w:t>&lt;/Amend&gt;</w:t>
      </w:r>
    </w:p>
    <w:p w:rsidR="00F931B6" w:rsidRDefault="00F931B6" w:rsidP="00F931B6">
      <w:pPr>
        <w:pStyle w:val="AmNumberTabs"/>
      </w:pPr>
      <w:r>
        <w:rPr>
          <w:rStyle w:val="HideTWBExt"/>
        </w:rPr>
        <w:t>&lt;Amend&gt;</w:t>
      </w:r>
      <w:r>
        <w:t>Predlog spremembe</w:t>
      </w:r>
      <w:r>
        <w:tab/>
      </w:r>
      <w:r>
        <w:tab/>
      </w:r>
      <w:r>
        <w:rPr>
          <w:rStyle w:val="HideTWBExt"/>
        </w:rPr>
        <w:t>&lt;NumAm&gt;</w:t>
      </w:r>
      <w:r>
        <w:t>174</w:t>
      </w:r>
      <w:r>
        <w:rPr>
          <w:rStyle w:val="HideTWBExt"/>
        </w:rPr>
        <w:t>&lt;/NumAm&gt;</w:t>
      </w:r>
    </w:p>
    <w:p w:rsidR="00F931B6" w:rsidRDefault="00F931B6" w:rsidP="00F931B6">
      <w:pPr>
        <w:pStyle w:val="NormalBold"/>
      </w:pPr>
      <w:r>
        <w:rPr>
          <w:rStyle w:val="HideTWBExt"/>
          <w:b w:val="0"/>
        </w:rPr>
        <w:t>&lt;RepeatBlock-By&gt;&lt;Members&gt;</w:t>
      </w:r>
      <w:r>
        <w:t>Alessandro Ciriani, Paolo Inselvini</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p>
        </w:tc>
        <w:tc>
          <w:tcPr>
            <w:tcW w:w="4876" w:type="dxa"/>
            <w:tcBorders>
              <w:top w:val="nil"/>
              <w:left w:val="nil"/>
              <w:bottom w:val="nil"/>
              <w:right w:val="nil"/>
            </w:tcBorders>
          </w:tcPr>
          <w:p w:rsidR="00F931B6" w:rsidRDefault="00F931B6" w:rsidP="007C04AE">
            <w:pPr>
              <w:pStyle w:val="Normal6a"/>
            </w:pPr>
            <w:r>
              <w:rPr>
                <w:b/>
                <w:i/>
              </w:rPr>
              <w:t>1a.</w:t>
            </w:r>
            <w:r>
              <w:tab/>
            </w:r>
            <w:r>
              <w:rPr>
                <w:b/>
                <w:i/>
              </w:rPr>
              <w:t>ugotavlja, da je Komisija v več državah članicah dosegla napredek pri digitalizaciji pravosodja ter povečanju finančnih in človeških virov, ki so na voljo pravosodnemu sistemu, in sicer z reformami, namenjenimi izboljšanju njegove neodvisnosti in učinkovitosti;</w:t>
            </w:r>
          </w:p>
        </w:tc>
      </w:tr>
    </w:tbl>
    <w:p w:rsidR="00F931B6" w:rsidRDefault="00F931B6" w:rsidP="00F931B6">
      <w:pPr>
        <w:pStyle w:val="AmOrLang"/>
      </w:pPr>
      <w:r>
        <w:t xml:space="preserve">Or. </w:t>
      </w:r>
      <w:r>
        <w:rPr>
          <w:rStyle w:val="HideTWBExt"/>
        </w:rPr>
        <w:t>&lt;Original&gt;</w:t>
      </w:r>
      <w:r>
        <w:rPr>
          <w:rStyle w:val="HideTWBInt"/>
        </w:rPr>
        <w:t>{IT}</w:t>
      </w:r>
      <w:r>
        <w:t>it</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175</w:t>
      </w:r>
      <w:r>
        <w:rPr>
          <w:rStyle w:val="HideTWBExt"/>
          <w:b w:val="0"/>
        </w:rPr>
        <w:t>&lt;/NumAm&gt;</w:t>
      </w:r>
    </w:p>
    <w:p w:rsidR="00F931B6" w:rsidRPr="00444926" w:rsidRDefault="00F931B6" w:rsidP="00F931B6">
      <w:pPr>
        <w:pStyle w:val="NormalBold"/>
      </w:pPr>
      <w:r>
        <w:rPr>
          <w:rStyle w:val="HideTWBExt"/>
          <w:b w:val="0"/>
        </w:rPr>
        <w:t>&lt;RepeatBlock-By&gt;&lt;Members&gt;</w:t>
      </w:r>
      <w:r>
        <w:t>Tomáš Zdechovský</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1a.</w:t>
            </w:r>
            <w:r>
              <w:tab/>
            </w:r>
            <w:r>
              <w:rPr>
                <w:b/>
                <w:i/>
              </w:rPr>
              <w:t>pozdravlja ključno vlogo Sodišča Evropske unije za spoštovanje načela pravne države po vsej EU; podpira nadaljnje pobude za povečanje virov in zmogljivosti Sodišča Evropske unije, da se bo učinkovito odzivalo na nadaljnje izzive za pravno državo;</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176</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Isabel Serra Sánchez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1a.</w:t>
            </w:r>
            <w:r>
              <w:tab/>
            </w:r>
            <w:r>
              <w:rPr>
                <w:b/>
                <w:i/>
              </w:rPr>
              <w:t>obsoja uporabo pravosodnega sistema v politične namene, pri čemer je namen škodovati političnim oporečnikom, jih kompromitirati in utišati; poziva države članice, naj ne zlorabljajo kazenskopravnega sistema za preganjanje političnih nasprotnikov;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177</w:t>
      </w:r>
      <w:r>
        <w:rPr>
          <w:rStyle w:val="HideTWBExt"/>
          <w:b w:val="0"/>
        </w:rPr>
        <w:t>&lt;/NumAm&gt;</w:t>
      </w:r>
    </w:p>
    <w:p w:rsidR="00F931B6" w:rsidRPr="00444926" w:rsidRDefault="00F931B6" w:rsidP="00F931B6">
      <w:pPr>
        <w:pStyle w:val="NormalBold"/>
      </w:pPr>
      <w:r>
        <w:rPr>
          <w:rStyle w:val="HideTWBExt"/>
          <w:b w:val="0"/>
        </w:rPr>
        <w:t>&lt;RepeatBlock-By&gt;&lt;Members&gt;</w:t>
      </w:r>
      <w:r>
        <w:t>Marieke Ehlers, Jorge Buxadé Villalba, Tom Vandendriessche,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1a.</w:t>
            </w:r>
            <w:r>
              <w:tab/>
            </w:r>
            <w:r>
              <w:rPr>
                <w:b/>
                <w:i/>
              </w:rPr>
              <w:t>izraža zaskrbljenost, ker Komisija uporablja svojo razlago pravne države brez jasne opredelitve, o kateri bi se dogovorile države članice;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178</w:t>
      </w:r>
      <w:r>
        <w:rPr>
          <w:rStyle w:val="HideTWBExt"/>
          <w:b w:val="0"/>
        </w:rPr>
        <w:t>&lt;/NumAm&gt;</w:t>
      </w:r>
    </w:p>
    <w:p w:rsidR="00F931B6" w:rsidRPr="00444926" w:rsidRDefault="00F931B6" w:rsidP="00F931B6">
      <w:pPr>
        <w:pStyle w:val="NormalBold"/>
      </w:pPr>
      <w:r>
        <w:rPr>
          <w:rStyle w:val="HideTWBExt"/>
          <w:b w:val="0"/>
        </w:rPr>
        <w:t>&lt;RepeatBlock-By&gt;&lt;Members&gt;</w:t>
      </w:r>
      <w:r>
        <w:t>Marieke Ehlers, Jorge Buxadé Villalba, Tom Vandendriessche,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1b.</w:t>
            </w:r>
            <w:r>
              <w:tab/>
            </w:r>
            <w:r>
              <w:rPr>
                <w:b/>
                <w:i/>
              </w:rPr>
              <w:t>opozarja, da je koncept pravne države zaradi različnih pravnih pristojnosti držav članic različno opredeljen in da je treba ta razkorak v nacionalnem pravu spoštovati in proslaviti, ne pa ignorirati ali odpraviti; poudarja, da po obsežnih akademskih raziskavah o primerjalnem pravu sodeč ni enotnega razumevanja načela pravne države; meni, da bo to, da glede koncepta ne vlada soglasje na ravni EU, povzročilo pravno negotovost, zaradi katere bi lahko prišlo do političnega vmešavanja, kar je samo po sebi kršitev načela pravne države; poziva vse države članice, naj spoštujejo delitev oblasti kot bistven vidik načela pravne države;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179</w:t>
      </w:r>
      <w:r>
        <w:rPr>
          <w:rStyle w:val="HideTWBExt"/>
          <w:b w:val="0"/>
        </w:rPr>
        <w:t>&lt;/NumAm&gt;</w:t>
      </w:r>
    </w:p>
    <w:p w:rsidR="00F931B6" w:rsidRPr="00444926" w:rsidRDefault="00F931B6" w:rsidP="00F931B6">
      <w:pPr>
        <w:pStyle w:val="NormalBold"/>
      </w:pPr>
      <w:r>
        <w:rPr>
          <w:rStyle w:val="HideTWBExt"/>
          <w:b w:val="0"/>
        </w:rPr>
        <w:t>&lt;RepeatBlock-By&gt;&lt;Members&gt;</w:t>
      </w:r>
      <w:r>
        <w:t>Javier Zarzalejos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1b.</w:t>
            </w:r>
            <w:r>
              <w:tab/>
            </w:r>
            <w:r>
              <w:rPr>
                <w:b/>
                <w:i/>
              </w:rPr>
              <w:t>poudarja, da je tožilstvo ključni element zmogljivosti sodstva za boj proti kriminalu in korupciji; poudarja pomen zagotavljanja njegove samostojnosti in neodvisnosti; poudarja tudi, da so potrebni zaščitni ukrepi, s katerimi bo mogoče njegovo neodvisnost ohraniti, da ne bo pod neprimernim političnim pritiskom, zlasti s strani vlade.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180</w:t>
      </w:r>
      <w:r>
        <w:rPr>
          <w:rStyle w:val="HideTWBExt"/>
          <w:b w:val="0"/>
        </w:rPr>
        <w:t>&lt;/NumAm&gt;</w:t>
      </w:r>
    </w:p>
    <w:p w:rsidR="00F931B6" w:rsidRPr="00444926" w:rsidRDefault="00F931B6" w:rsidP="00F931B6">
      <w:pPr>
        <w:pStyle w:val="NormalBold"/>
      </w:pPr>
      <w:r>
        <w:rPr>
          <w:rStyle w:val="HideTWBExt"/>
          <w:b w:val="0"/>
        </w:rPr>
        <w:t>&lt;RepeatBlock-By&gt;&lt;Members&gt;</w:t>
      </w:r>
      <w:r>
        <w:t>Marieke Ehlers, Jorge Buxadé Villalba, Tom Vandendriessche,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1c.</w:t>
            </w:r>
            <w:r>
              <w:tab/>
            </w:r>
            <w:r>
              <w:rPr>
                <w:b/>
                <w:i/>
              </w:rPr>
              <w:t>obžaluje, da Komisija ocenjuje uporabo načela pravne države samo v državah članicah, ne pa tudi v institucijah EU; poudarja, da evropske institucije, zlasti Komisija, v številnih primerih domnevno kršijo načela pravne države, to pa zahteva ustrezen nadzor;</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181</w:t>
      </w:r>
      <w:r>
        <w:rPr>
          <w:rStyle w:val="HideTWBExt"/>
          <w:b w:val="0"/>
        </w:rPr>
        <w:t>&lt;/NumAm&gt;</w:t>
      </w:r>
    </w:p>
    <w:p w:rsidR="00F931B6" w:rsidRPr="00444926" w:rsidRDefault="00F931B6" w:rsidP="00F931B6">
      <w:pPr>
        <w:pStyle w:val="NormalBold"/>
      </w:pPr>
      <w:r>
        <w:rPr>
          <w:rStyle w:val="HideTWBExt"/>
          <w:b w:val="0"/>
        </w:rPr>
        <w:t>&lt;RepeatBlock-By&gt;&lt;Members&gt;</w:t>
      </w:r>
      <w:r>
        <w:t>Javier Zarzalejos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1c.</w:t>
            </w:r>
            <w:r>
              <w:tab/>
            </w:r>
            <w:r>
              <w:rPr>
                <w:b/>
                <w:i/>
              </w:rPr>
              <w:t>ugotavlja, da ustanovitev parlamentarnih odborov, ki preiskujejo, ali je prišlo do t. i. „zlorabe prava“ oziroma da se politika izvaja prek sodnih postopkov, v praksi pomeni, da bo parlament pregledoval sodne postopke in odločitve, kar bo očitno vmešavanje v neodvisnost sodstva in delitev oblasti;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182</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Chloé Ridel, Abir Al-Sahlani, Fabienne Keller, Lucia Yar, Irena Joveva, Isabel Wiseler-Lima, Daniel Freund</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w:t>
            </w:r>
            <w:r>
              <w:rPr>
                <w:b/>
                <w:i/>
              </w:rPr>
              <w:t xml:space="preserve"> </w:t>
            </w:r>
            <w:r>
              <w:rPr>
                <w:b/>
                <w:bCs/>
                <w:i/>
                <w:iCs/>
              </w:rPr>
              <w:t xml:space="preserve">poudarja, da morajo biti imenovanja na visoke sodniške položaje pregledna in </w:t>
            </w:r>
            <w:r>
              <w:t xml:space="preserve">brez </w:t>
            </w:r>
            <w:r>
              <w:rPr>
                <w:b/>
                <w:bCs/>
                <w:i/>
                <w:iCs/>
              </w:rPr>
              <w:t>političnega vmešavanja ter morajo temeljiti na dosežkih</w:t>
            </w:r>
            <w:r>
              <w:t>;</w:t>
            </w:r>
          </w:p>
        </w:tc>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w:t>
            </w:r>
            <w:r>
              <w:rPr>
                <w:b/>
                <w:bCs/>
                <w:i/>
                <w:iCs/>
              </w:rPr>
              <w:t>, dostopnosti in kakovosti</w:t>
            </w:r>
            <w:r>
              <w:t xml:space="preserve"> sodstva v nekaterih državah članicah</w:t>
            </w:r>
            <w:r>
              <w:rPr>
                <w:vertAlign w:val="superscript"/>
              </w:rPr>
              <w:t>37</w:t>
            </w:r>
            <w:r>
              <w:t xml:space="preserve">; </w:t>
            </w:r>
            <w:r>
              <w:rPr>
                <w:b/>
                <w:bCs/>
                <w:i/>
                <w:iCs/>
              </w:rPr>
              <w:t>opozarja, da je treba za učinkovitost pravosodnega sistema izvajati ukrepe, s katerimi se skrajša trajanje postopkov in zmanjšajo sodni zaostanki;</w:t>
            </w:r>
            <w:r>
              <w:rPr>
                <w:b/>
                <w:i/>
              </w:rPr>
              <w:t xml:space="preserve"> poziva države članice, naj v primerih korupcije nadalje ukrepajo v razumnem roku, da pri svojih državljanih ne bi spodbujale občutka nekaznovanosti; </w:t>
            </w:r>
            <w:r>
              <w:rPr>
                <w:b/>
                <w:bCs/>
                <w:i/>
                <w:iCs/>
              </w:rPr>
              <w:t xml:space="preserve">opozarja, da pravosodni sistem </w:t>
            </w:r>
            <w:r>
              <w:t xml:space="preserve">brez </w:t>
            </w:r>
            <w:r>
              <w:rPr>
                <w:b/>
                <w:bCs/>
                <w:i/>
                <w:iCs/>
              </w:rPr>
              <w:t>zadostnih finančnih, infrastrukturnih ali kadrovskih virov ne more biti učinkovit</w:t>
            </w:r>
            <w:r>
              <w:t xml:space="preserve">; </w:t>
            </w:r>
            <w:r>
              <w:rPr>
                <w:b/>
                <w:i/>
              </w:rPr>
              <w:t>poziva države članice, naj izkoristijo priložnosti, ki jih ponuja digitalizacija, za poenostavitev, izboljšanje učinkovitosti in dostopnosti, prihranek časa in zmanjšanje stroškov skladiščenja;</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183</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2.</w:t>
            </w:r>
            <w:r>
              <w:tab/>
              <w:t xml:space="preserve">ugotavlja, da </w:t>
            </w:r>
            <w:r>
              <w:rPr>
                <w:b/>
                <w:i/>
              </w:rPr>
              <w:t>je</w:t>
            </w:r>
            <w:r>
              <w:t xml:space="preserve"> Komisija </w:t>
            </w:r>
            <w:r>
              <w:rPr>
                <w:b/>
                <w:i/>
              </w:rPr>
              <w:t>prepoznala strukturne izzive, ki ovirajo izboljšanje učinkovitosti</w:t>
            </w:r>
            <w:r>
              <w:t xml:space="preserve"> sodstva v </w:t>
            </w:r>
            <w:r>
              <w:rPr>
                <w:b/>
                <w:i/>
              </w:rPr>
              <w:t>nekaterih</w:t>
            </w:r>
            <w:r>
              <w:t xml:space="preserve"> državah članicah</w:t>
            </w:r>
            <w:r>
              <w:rPr>
                <w:b/>
                <w:i/>
                <w:vertAlign w:val="superscript"/>
              </w:rPr>
              <w:t>37</w:t>
            </w:r>
            <w:r>
              <w:t xml:space="preserve">; poudarja, da </w:t>
            </w:r>
            <w:r>
              <w:rPr>
                <w:b/>
                <w:i/>
              </w:rPr>
              <w:t>morajo biti imenovanja na visoke sodniške položaje pregledna</w:t>
            </w:r>
            <w:r>
              <w:t xml:space="preserve"> in brez političnega vmešavanja ter morajo temeljiti na dosežkih;</w:t>
            </w:r>
          </w:p>
        </w:tc>
        <w:tc>
          <w:tcPr>
            <w:tcW w:w="4876" w:type="dxa"/>
            <w:tcBorders>
              <w:top w:val="nil"/>
              <w:left w:val="nil"/>
              <w:bottom w:val="nil"/>
              <w:right w:val="nil"/>
            </w:tcBorders>
          </w:tcPr>
          <w:p w:rsidR="00F931B6" w:rsidRPr="00444926" w:rsidRDefault="00F931B6" w:rsidP="007C04AE">
            <w:pPr>
              <w:pStyle w:val="Normal6a"/>
            </w:pPr>
            <w:r>
              <w:t>2.</w:t>
            </w:r>
            <w:r>
              <w:tab/>
              <w:t xml:space="preserve">ugotavlja, da Komisija </w:t>
            </w:r>
            <w:r>
              <w:rPr>
                <w:b/>
                <w:i/>
              </w:rPr>
              <w:t>ni pristojna za preučevanje ali ocenjevanje organizacije</w:t>
            </w:r>
            <w:r>
              <w:t xml:space="preserve"> sodstva v državah članicah;</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t xml:space="preserve">poudarja, da </w:t>
            </w:r>
            <w:r>
              <w:rPr>
                <w:b/>
                <w:i/>
              </w:rPr>
              <w:t>so države članice pristojne, da pregledno</w:t>
            </w:r>
            <w:r>
              <w:t xml:space="preserve"> in brez političnega vmešavanja </w:t>
            </w:r>
            <w:r>
              <w:rPr>
                <w:b/>
                <w:i/>
              </w:rPr>
              <w:t>določijo postopke za imenovanje na visoke sodniške položaje</w:t>
            </w:r>
            <w:r>
              <w:t xml:space="preserve">; </w:t>
            </w:r>
            <w:r>
              <w:rPr>
                <w:b/>
                <w:i/>
              </w:rPr>
              <w:t>poudarja, da je nesprejemljivo, da Komisija posega v dejavnosti držav članic, s katerimi želijo reformirati organizacijo sodstva in izboljšati njegovo učinkovitost;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37</w:t>
            </w:r>
            <w:r>
              <w:rPr>
                <w:b/>
                <w:i/>
              </w:rPr>
              <w:t xml:space="preserve"> Sporočilo Komisije z dne 24. julija 2024 o poročilu o stanju pravne države za leto 2024 (COM(2022)0800), priloga s priporočili, str. 1, 9, 11, 19 in 24.</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184</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Malika Sorel</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 poudarja, da morajo biti imenovanja na visoke sodniške položaje pregledna in brez političnega vmešavanja ter morajo temeljiti na dosežkih;</w:t>
            </w:r>
          </w:p>
        </w:tc>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 xml:space="preserve">; poudarja, da morajo biti imenovanja na visoke sodniške položaje pregledna in brez političnega vmešavanja ter morajo temeljiti na dosežkih; </w:t>
            </w:r>
            <w:r>
              <w:rPr>
                <w:b/>
                <w:bCs/>
                <w:i/>
                <w:iCs/>
              </w:rPr>
              <w:t>opozarja na standarde Sveta Evrope v zvezi z izvolitvijo sodnikov za člane sodnih svetov, in sicer bi jih morali na te položaje izvoliti njihovi kolegi, da se zagotovi delitev oblasti;</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185</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2.</w:t>
            </w:r>
            <w:r>
              <w:tab/>
              <w:t xml:space="preserve">ugotavlja, da je Komisija </w:t>
            </w:r>
            <w:r>
              <w:rPr>
                <w:b/>
                <w:bCs/>
                <w:i/>
                <w:iCs/>
              </w:rPr>
              <w:t>prepoznala strukturne izzive, ki ovirajo izboljšanje učinkovitosti sodstva v nekaterih državah članicah</w:t>
            </w:r>
            <w:r>
              <w:rPr>
                <w:b/>
                <w:bCs/>
                <w:i/>
                <w:iCs/>
                <w:vertAlign w:val="superscript"/>
              </w:rPr>
              <w:t>37</w:t>
            </w:r>
            <w:r>
              <w:t xml:space="preserve">; </w:t>
            </w:r>
            <w:r>
              <w:rPr>
                <w:b/>
                <w:i/>
              </w:rPr>
              <w:t>poudarja, da morajo biti imenovanja na visoke sodniške položaje pregledna in brez političnega vmešavanja ter morajo temeljiti na dosežkih;</w:t>
            </w:r>
          </w:p>
        </w:tc>
        <w:tc>
          <w:tcPr>
            <w:tcW w:w="4876" w:type="dxa"/>
            <w:tcBorders>
              <w:top w:val="nil"/>
              <w:left w:val="nil"/>
              <w:bottom w:val="nil"/>
              <w:right w:val="nil"/>
            </w:tcBorders>
          </w:tcPr>
          <w:p w:rsidR="00F931B6" w:rsidRPr="00444926" w:rsidRDefault="00F931B6" w:rsidP="007C04AE">
            <w:pPr>
              <w:pStyle w:val="Normal6a"/>
            </w:pPr>
            <w:r>
              <w:t>2.</w:t>
            </w:r>
            <w:r>
              <w:tab/>
              <w:t xml:space="preserve">ugotavlja, da je </w:t>
            </w:r>
            <w:r>
              <w:rPr>
                <w:b/>
                <w:bCs/>
                <w:i/>
                <w:iCs/>
              </w:rPr>
              <w:t>letno poročilo Komisije o stanju pravne države še eno orodje za politični pritisk;</w:t>
            </w:r>
            <w:r>
              <w:rPr>
                <w:b/>
                <w:i/>
              </w:rPr>
              <w:t xml:space="preserve"> obžaluje, da ne vsebuje stvarne in utemeljene slike stanja pravne države v državah članicah; poudarja, da to poročilo ne more biti podlaga za nadaljnje mehanizme in postopke EU; </w:t>
            </w:r>
            <w:r>
              <w:rPr>
                <w:b/>
                <w:bCs/>
                <w:i/>
                <w:iCs/>
              </w:rPr>
              <w:t>obžaluje, da</w:t>
            </w:r>
            <w:r>
              <w:rPr>
                <w:b/>
                <w:bCs/>
              </w:rPr>
              <w:t xml:space="preserve"> </w:t>
            </w:r>
            <w:r>
              <w:t xml:space="preserve">Komisija </w:t>
            </w:r>
            <w:r>
              <w:rPr>
                <w:b/>
                <w:bCs/>
                <w:i/>
                <w:iCs/>
              </w:rPr>
              <w:t>v pripravo letnega poročila o stanju pravne države vključuje prispevke nevladnih organizacij, ki se financirajo iz tujine</w:t>
            </w:r>
            <w: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bCs/>
                <w:i/>
                <w:iCs/>
                <w:vertAlign w:val="superscript"/>
              </w:rPr>
              <w:t>37</w:t>
            </w:r>
            <w:r>
              <w:rPr>
                <w:b/>
                <w:bCs/>
                <w:i/>
                <w:iCs/>
              </w:rPr>
              <w:t xml:space="preserve"> Sporočilo Komisije z dne 24. julija 2024 o poročilu o stanju pravne države za leto 2024 (COM(2022)0800), priloga s priporočili, str. 1, 9, 11, 19 in 24.</w:t>
            </w:r>
          </w:p>
        </w:tc>
        <w:tc>
          <w:tcPr>
            <w:tcW w:w="4876" w:type="dxa"/>
            <w:tcBorders>
              <w:top w:val="nil"/>
              <w:left w:val="nil"/>
              <w:bottom w:val="nil"/>
              <w:right w:val="nil"/>
            </w:tcBorders>
          </w:tcPr>
          <w:p w:rsidR="00F931B6" w:rsidRPr="00444926" w:rsidRDefault="00F931B6" w:rsidP="007C04AE"/>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Default="00F931B6" w:rsidP="00F931B6">
      <w:pPr>
        <w:pStyle w:val="AmNumberTabs"/>
      </w:pPr>
      <w:r>
        <w:rPr>
          <w:rStyle w:val="HideTWBExt"/>
        </w:rPr>
        <w:t>&lt;Amend&gt;</w:t>
      </w:r>
      <w:r>
        <w:t>Predlog spremembe</w:t>
      </w:r>
      <w:r>
        <w:tab/>
      </w:r>
      <w:r>
        <w:tab/>
      </w:r>
      <w:r>
        <w:rPr>
          <w:rStyle w:val="HideTWBExt"/>
        </w:rPr>
        <w:t>&lt;NumAm&gt;</w:t>
      </w:r>
      <w:r>
        <w:t>186</w:t>
      </w:r>
      <w:r>
        <w:rPr>
          <w:rStyle w:val="HideTWBExt"/>
        </w:rPr>
        <w:t>&lt;/NumAm&gt;</w:t>
      </w:r>
    </w:p>
    <w:p w:rsidR="00F931B6" w:rsidRDefault="00F931B6" w:rsidP="00F931B6">
      <w:pPr>
        <w:pStyle w:val="NormalBold"/>
      </w:pPr>
      <w:r>
        <w:rPr>
          <w:rStyle w:val="HideTWBExt"/>
          <w:b w:val="0"/>
        </w:rPr>
        <w:t>&lt;RepeatBlock-By&gt;&lt;Members&gt;</w:t>
      </w:r>
      <w:r>
        <w:t>Nicolas Bay</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 xml:space="preserve">; poudarja, da morajo biti imenovanja na visoke sodniške položaje pregledna in brez političnega vmešavanja </w:t>
            </w:r>
            <w:r>
              <w:rPr>
                <w:b/>
                <w:i/>
              </w:rPr>
              <w:t>ter morajo temeljiti na dosežkih</w:t>
            </w:r>
            <w:r>
              <w:t>;</w:t>
            </w:r>
          </w:p>
        </w:tc>
        <w:tc>
          <w:tcPr>
            <w:tcW w:w="4876" w:type="dxa"/>
            <w:tcBorders>
              <w:top w:val="nil"/>
              <w:left w:val="nil"/>
              <w:bottom w:val="nil"/>
              <w:right w:val="nil"/>
            </w:tcBorders>
          </w:tcPr>
          <w:p w:rsidR="00F931B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 xml:space="preserve">; poudarja, da morajo biti imenovanja na visoke sodniške položaje pregledna in </w:t>
            </w:r>
            <w:r>
              <w:rPr>
                <w:b/>
                <w:i/>
              </w:rPr>
              <w:t xml:space="preserve">morajo temeljiti na dosežkih ter biti </w:t>
            </w:r>
            <w:r>
              <w:t>brez političnega vmešavanja</w:t>
            </w:r>
            <w:r>
              <w:rPr>
                <w:b/>
                <w:i/>
              </w:rPr>
              <w:t>, tudi Komisija se ne sme vmešavati, temveč mora strogo spoštovati nacionalno suverenost in nacionalne pristojnosti</w:t>
            </w:r>
            <w:r>
              <w:t>;</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b/>
                <w:i/>
              </w:rPr>
              <w:t>_________________</w:t>
            </w:r>
          </w:p>
        </w:tc>
        <w:tc>
          <w:tcPr>
            <w:tcW w:w="4876" w:type="dxa"/>
            <w:tcBorders>
              <w:top w:val="nil"/>
              <w:left w:val="nil"/>
              <w:bottom w:val="nil"/>
              <w:right w:val="nil"/>
            </w:tcBorders>
          </w:tcPr>
          <w:p w:rsidR="00F931B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c>
          <w:tcPr>
            <w:tcW w:w="4876" w:type="dxa"/>
            <w:tcBorders>
              <w:top w:val="nil"/>
              <w:left w:val="nil"/>
              <w:bottom w:val="nil"/>
              <w:right w:val="nil"/>
            </w:tcBorders>
          </w:tcPr>
          <w:p w:rsidR="00F931B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r>
    </w:tbl>
    <w:p w:rsidR="00F931B6" w:rsidRDefault="00F931B6" w:rsidP="00F931B6">
      <w:pPr>
        <w:pStyle w:val="AmOrLang"/>
      </w:pPr>
      <w:r>
        <w:t xml:space="preserve">Or. </w:t>
      </w:r>
      <w:r>
        <w:rPr>
          <w:rStyle w:val="HideTWBExt"/>
        </w:rPr>
        <w:t>&lt;Original&gt;</w:t>
      </w:r>
      <w:r>
        <w:rPr>
          <w:rStyle w:val="HideTWBInt"/>
        </w:rPr>
        <w:t>{FR}</w:t>
      </w:r>
      <w:r>
        <w:t>fr</w:t>
      </w:r>
      <w:r>
        <w:rPr>
          <w:rStyle w:val="HideTWBExt"/>
        </w:rPr>
        <w:t>&lt;/Original&gt;</w:t>
      </w:r>
    </w:p>
    <w:p w:rsidR="00F931B6" w:rsidRDefault="00F931B6" w:rsidP="00F931B6">
      <w:r>
        <w:rPr>
          <w:rStyle w:val="HideTWBExt"/>
        </w:rPr>
        <w:t>&lt;/Amend&gt;</w:t>
      </w:r>
    </w:p>
    <w:p w:rsidR="00F931B6" w:rsidRPr="00BF159C" w:rsidRDefault="00F931B6" w:rsidP="00F931B6">
      <w:pPr>
        <w:pStyle w:val="AmNumberTabs"/>
      </w:pPr>
      <w:r>
        <w:rPr>
          <w:rStyle w:val="HideTWBExt"/>
          <w:b w:val="0"/>
          <w:lang w:val="pl-PL"/>
        </w:rPr>
        <w:t>&lt;Amend&gt;</w:t>
      </w:r>
      <w:r>
        <w:t>Predlog spremembe</w:t>
      </w:r>
      <w:r>
        <w:tab/>
      </w:r>
      <w:r>
        <w:tab/>
      </w:r>
      <w:r>
        <w:rPr>
          <w:rStyle w:val="HideTWBExt"/>
          <w:b w:val="0"/>
          <w:lang w:val="pl-PL"/>
        </w:rPr>
        <w:t>&lt;NumAm&gt;</w:t>
      </w:r>
      <w:r>
        <w:t>187</w:t>
      </w:r>
      <w:r>
        <w:rPr>
          <w:rStyle w:val="HideTWBExt"/>
          <w:b w:val="0"/>
          <w:lang w:val="pl-PL"/>
        </w:rPr>
        <w:t>&lt;/NumAm&gt;</w:t>
      </w:r>
    </w:p>
    <w:p w:rsidR="00F931B6" w:rsidRPr="00BF159C" w:rsidRDefault="00F931B6" w:rsidP="00F931B6">
      <w:pPr>
        <w:pStyle w:val="NormalBold"/>
      </w:pPr>
      <w:r>
        <w:rPr>
          <w:rStyle w:val="HideTWBExt"/>
          <w:b w:val="0"/>
          <w:lang w:val="pl-PL"/>
        </w:rPr>
        <w:t>&lt;RepeatBlock-By&gt;&lt;Members&gt;</w:t>
      </w:r>
      <w:r>
        <w:t>Ewa Zajączkowska-Hernik</w:t>
      </w:r>
      <w:r>
        <w:rPr>
          <w:rStyle w:val="HideTWBExt"/>
          <w:b w:val="0"/>
          <w:lang w:val="pl-PL"/>
        </w:rPr>
        <w:t>&lt;/Members&gt;</w:t>
      </w:r>
    </w:p>
    <w:p w:rsidR="00F931B6" w:rsidRPr="00BF159C" w:rsidRDefault="00F931B6" w:rsidP="00F931B6">
      <w:pPr>
        <w:pStyle w:val="NormalBold"/>
      </w:pPr>
      <w:r>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2.</w:t>
            </w:r>
            <w:r>
              <w:tab/>
              <w:t xml:space="preserve">ugotavlja, da je Komisija </w:t>
            </w:r>
            <w:r>
              <w:rPr>
                <w:b/>
                <w:i/>
              </w:rPr>
              <w:t>prepoznala strukturne izzive, ki ovirajo izboljšanje učinkovitosti sodstva</w:t>
            </w:r>
            <w:r>
              <w:t xml:space="preserve"> v nekaterih državah članicah</w:t>
            </w:r>
            <w:r>
              <w:rPr>
                <w:vertAlign w:val="superscript"/>
              </w:rPr>
              <w:t>37</w:t>
            </w:r>
            <w:r>
              <w:t>; poudarja, da morajo biti imenovanja na visoke sodniške položaje pregledna in brez političnega vmešavanja ter morajo temeljiti na dosežkih;</w:t>
            </w:r>
          </w:p>
        </w:tc>
        <w:tc>
          <w:tcPr>
            <w:tcW w:w="4876" w:type="dxa"/>
            <w:tcBorders>
              <w:top w:val="nil"/>
              <w:left w:val="nil"/>
              <w:bottom w:val="nil"/>
              <w:right w:val="nil"/>
            </w:tcBorders>
          </w:tcPr>
          <w:p w:rsidR="00F931B6" w:rsidRPr="00444926" w:rsidRDefault="00F931B6" w:rsidP="007C04AE">
            <w:pPr>
              <w:pStyle w:val="Normal6a"/>
            </w:pPr>
            <w:r>
              <w:t>2.</w:t>
            </w:r>
            <w:r>
              <w:tab/>
              <w:t xml:space="preserve">ugotavlja, da je Komisija </w:t>
            </w:r>
            <w:r>
              <w:rPr>
                <w:b/>
                <w:i/>
              </w:rPr>
              <w:t>prekoračila svoje pristojnosti, ko je sprejela ukrepe, ki jih je mogoče šteti za vmešavanje v sodstvo</w:t>
            </w:r>
            <w:r>
              <w:t xml:space="preserve"> v nekaterih državah članicah</w:t>
            </w:r>
            <w:r>
              <w:rPr>
                <w:vertAlign w:val="superscript"/>
              </w:rPr>
              <w:t>37</w:t>
            </w:r>
            <w:r>
              <w:t xml:space="preserve">; poudarja, da morajo biti imenovanja na visoke sodniške položaje pregledna in brez političnega vmešavanja </w:t>
            </w:r>
            <w:r>
              <w:rPr>
                <w:b/>
                <w:i/>
              </w:rPr>
              <w:t>vladajoče skupine v institucijah Evropske unije</w:t>
            </w:r>
            <w:r>
              <w:t xml:space="preserve"> ter morajo temeljiti na dosežkih;</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vertAlign w:val="superscript"/>
              </w:rPr>
              <w:t>37</w:t>
            </w:r>
            <w:r>
              <w:rPr>
                <w:b/>
                <w:i/>
              </w:rPr>
              <w:t xml:space="preserve"> Sporočilo Komisije z dne 24. julija 2024 o poročilu o stanju pravne države za leto 2024 (COM(2022)0800), priloga s priporočili, str. 1, 9, 11, 19 in 24.</w:t>
            </w:r>
          </w:p>
        </w:tc>
        <w:tc>
          <w:tcPr>
            <w:tcW w:w="4876" w:type="dxa"/>
            <w:tcBorders>
              <w:top w:val="nil"/>
              <w:left w:val="nil"/>
              <w:bottom w:val="nil"/>
              <w:right w:val="nil"/>
            </w:tcBorders>
          </w:tcPr>
          <w:p w:rsidR="00F931B6" w:rsidRPr="00444926" w:rsidRDefault="00F931B6" w:rsidP="007C04AE">
            <w:pPr>
              <w:pStyle w:val="Normal6a"/>
            </w:pPr>
            <w:r>
              <w:rPr>
                <w:b/>
                <w:i/>
                <w:vertAlign w:val="superscript"/>
              </w:rPr>
              <w:t>37</w:t>
            </w:r>
            <w:r>
              <w:rPr>
                <w:b/>
                <w:i/>
              </w:rPr>
              <w:t xml:space="preserve"> Sporočilo Komisije z dne 24. julija 2024 o poročilu o stanju pravne države za leto 2024 (COM(2022)0800), priloga s priporočili, str. 1, 9, 11, 19 in 24.</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188</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 poudarja, da morajo biti imenovanja na visoke sodniške položaje pregledna in brez političnega vmešavanja ter morajo temeljiti na dosežkih;</w:t>
            </w:r>
          </w:p>
        </w:tc>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 poudarja, da morajo biti imenovanja na visoke sodniške položaje pregledna in brez političnega vmešavanja</w:t>
            </w:r>
            <w:r>
              <w:rPr>
                <w:b/>
                <w:bCs/>
                <w:i/>
                <w:iCs/>
              </w:rPr>
              <w:t>, zaradi katerega bi trpela njihova nepristranskost,</w:t>
            </w:r>
            <w:r>
              <w:rPr>
                <w:b/>
                <w:bCs/>
              </w:rPr>
              <w:t xml:space="preserve"> </w:t>
            </w:r>
            <w:r>
              <w:t>ter morajo temeljiti na dosežkih;</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189</w:t>
      </w:r>
      <w:r>
        <w:rPr>
          <w:rStyle w:val="HideTWBExt"/>
          <w:b w:val="0"/>
        </w:rPr>
        <w:t>&lt;/NumAm&gt;</w:t>
      </w:r>
    </w:p>
    <w:p w:rsidR="00F931B6" w:rsidRPr="00444926" w:rsidRDefault="00F931B6" w:rsidP="00F931B6">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 xml:space="preserve">; poudarja, da morajo biti imenovanja </w:t>
            </w:r>
            <w:r>
              <w:rPr>
                <w:b/>
                <w:bCs/>
                <w:i/>
                <w:iCs/>
              </w:rPr>
              <w:t>na</w:t>
            </w:r>
            <w:r>
              <w:t xml:space="preserve"> </w:t>
            </w:r>
            <w:r>
              <w:rPr>
                <w:b/>
                <w:bCs/>
                <w:i/>
                <w:iCs/>
              </w:rPr>
              <w:t>visoke</w:t>
            </w:r>
            <w:r>
              <w:t xml:space="preserve"> sodniške položaje pregledna in brez političnega vmešavanja ter morajo temeljiti na dosežkih;</w:t>
            </w:r>
          </w:p>
        </w:tc>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 xml:space="preserve">; poudarja, da morajo biti </w:t>
            </w:r>
            <w:r>
              <w:rPr>
                <w:b/>
                <w:bCs/>
                <w:i/>
                <w:iCs/>
              </w:rPr>
              <w:t>kandidature in</w:t>
            </w:r>
            <w:r>
              <w:t xml:space="preserve"> imenovanja </w:t>
            </w:r>
            <w:r>
              <w:rPr>
                <w:b/>
                <w:bCs/>
                <w:i/>
                <w:iCs/>
              </w:rPr>
              <w:t>za</w:t>
            </w:r>
            <w:r>
              <w:t xml:space="preserve"> sodniške položaje </w:t>
            </w:r>
            <w:r>
              <w:rPr>
                <w:b/>
                <w:bCs/>
                <w:i/>
                <w:iCs/>
              </w:rPr>
              <w:t>v vseh državah članicah</w:t>
            </w:r>
            <w:r>
              <w:t xml:space="preserve"> pregledna in brez političnega vmešavanja ter morajo temeljiti na dosežkih;</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190</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 xml:space="preserve">; poudarja, da </w:t>
            </w:r>
            <w:r>
              <w:rPr>
                <w:b/>
                <w:i/>
              </w:rPr>
              <w:t>morajo biti</w:t>
            </w:r>
            <w:r>
              <w:t xml:space="preserve"> imenovanja na visoke sodniške položaje </w:t>
            </w:r>
            <w:r>
              <w:rPr>
                <w:b/>
                <w:i/>
              </w:rPr>
              <w:t xml:space="preserve">pregledna in </w:t>
            </w:r>
            <w:r>
              <w:t>brez političnega vmešavanja</w:t>
            </w:r>
            <w:r>
              <w:rPr>
                <w:b/>
                <w:i/>
              </w:rPr>
              <w:t xml:space="preserve"> ter morajo temeljiti na dosežkih</w:t>
            </w:r>
            <w:r>
              <w:t>;</w:t>
            </w:r>
          </w:p>
        </w:tc>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 xml:space="preserve">; poudarja, da </w:t>
            </w:r>
            <w:r>
              <w:rPr>
                <w:b/>
                <w:i/>
              </w:rPr>
              <w:t>so potrebna povsem pregledna in objavljena merila za na dosežkih utemeljena</w:t>
            </w:r>
            <w:r>
              <w:t xml:space="preserve"> imenovanja na visoke sodniške položaje brez političnega vmešavanja;</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191</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t xml:space="preserve">; </w:t>
            </w:r>
            <w:r>
              <w:rPr>
                <w:b/>
                <w:i/>
              </w:rPr>
              <w:t>poudarja, da morajo biti imenovanja na visoke sodniške položaje pregledna in brez političnega vmešavanja ter morajo temeljiti na dosežkih;</w:t>
            </w:r>
          </w:p>
        </w:tc>
        <w:tc>
          <w:tcPr>
            <w:tcW w:w="4876" w:type="dxa"/>
            <w:tcBorders>
              <w:top w:val="nil"/>
              <w:left w:val="nil"/>
              <w:bottom w:val="nil"/>
              <w:right w:val="nil"/>
            </w:tcBorders>
          </w:tcPr>
          <w:p w:rsidR="00F931B6" w:rsidRPr="00444926" w:rsidRDefault="00F931B6" w:rsidP="007C04AE">
            <w:pPr>
              <w:pStyle w:val="Normal6a"/>
            </w:pPr>
            <w:r>
              <w:t>2.</w:t>
            </w:r>
            <w:r>
              <w:tab/>
              <w:t>ugotavlja, da je Komisija prepoznala strukturne izzive, ki ovirajo izboljšanje učinkovitosti sodstva v nekaterih državah članicah</w:t>
            </w:r>
            <w:r>
              <w:rPr>
                <w:vertAlign w:val="superscript"/>
              </w:rPr>
              <w:t>37</w:t>
            </w:r>
            <w:r>
              <w:rPr>
                <w:b/>
                <w:i/>
              </w:rPr>
              <w:t>, in spoštuje dejstvo, da so za določitev pravil za imenovanje na visoke sodniške položaje pristojne države članice</w:t>
            </w:r>
            <w: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c>
          <w:tcPr>
            <w:tcW w:w="4876" w:type="dxa"/>
            <w:tcBorders>
              <w:top w:val="nil"/>
              <w:left w:val="nil"/>
              <w:bottom w:val="nil"/>
              <w:right w:val="nil"/>
            </w:tcBorders>
          </w:tcPr>
          <w:p w:rsidR="00F931B6" w:rsidRPr="00444926" w:rsidRDefault="00F931B6" w:rsidP="007C04AE">
            <w:pPr>
              <w:pStyle w:val="Normal6a"/>
            </w:pPr>
            <w:r>
              <w:rPr>
                <w:vertAlign w:val="superscript"/>
              </w:rPr>
              <w:t>37</w:t>
            </w:r>
            <w:r>
              <w:t xml:space="preserve"> Sporočilo Komisije z dne 24. julija 2024 o poročilu o stanju pravne države za leto 2024 (COM(2022)0800), priloga s priporočili, str. 1, 9, 11, 19 in 24.</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192</w:t>
      </w:r>
      <w:r>
        <w:rPr>
          <w:rStyle w:val="HideTWBExt"/>
          <w:b w:val="0"/>
        </w:rPr>
        <w:t>&lt;/NumAm&gt;</w:t>
      </w:r>
    </w:p>
    <w:p w:rsidR="00F931B6" w:rsidRPr="00444926" w:rsidRDefault="00F931B6" w:rsidP="00F931B6">
      <w:pPr>
        <w:pStyle w:val="NormalBold"/>
      </w:pPr>
      <w:r>
        <w:rPr>
          <w:rStyle w:val="HideTWBExt"/>
          <w:b w:val="0"/>
        </w:rPr>
        <w:t>&lt;RepeatBlock-By&gt;&lt;Members&gt;</w:t>
      </w:r>
      <w:r>
        <w:t>Alessandro Zan, Cecilia Strada, Sandro Ruotolo, Pina Picierno, Marco Tarquinio</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2a.</w:t>
            </w:r>
            <w:r>
              <w:tab/>
            </w:r>
            <w:r>
              <w:rPr>
                <w:b/>
                <w:i/>
              </w:rPr>
              <w:t>je seznanjen z ugotovitvijo Komisije, da je v Italiji zaznana stopnja neodvisnosti sodstva še vedno nizka; izraža zaskrbljenost zaradi sprejetja izvedbene zakonodaje v okviru reforme italijanskega pravosodnega sistema in posledične oslabitve sodstva; izraža zaskrbljenost zaradi predlaganih ustavnih reform v zvezi z ločitvijo poklicnih poti sodstvu in predlogom za ustanovitev visokega disciplinskega sodišča za spremljanje ravnanja sodnikov; poudarja pomen varovanja neodvisnosti sodstva in delitve oblasti;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193</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Abir Al-Sahlani, Fabienne Keller, Lucia Yar, Irena Joveva, Isabel Wiseler-Lima, Daniel Freund</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2a.</w:t>
            </w:r>
            <w:r>
              <w:tab/>
            </w:r>
            <w:r>
              <w:rPr>
                <w:b/>
                <w:i/>
              </w:rPr>
              <w:t>obžaluje, da še vedno obstajajo pomisleki glede ravni prejemkov sodnikov in sodnega osebja v več državah članicah, zaradi česar delovna mesta niso privlačna in jih je zato težko zapolniti; opozarja, da so pregledni postopki za imenovanje in razrešitev sodnikov ter pristojnosti in sestava sodnih svetov bistveni za zaščito neodvisnosti sodstva; poziva države članice, naj uvedejo ustrezne zaščitne ukrepe za preprečevanje neprimernega političnega vpliva, tudi iz tretjih držav;</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Pr="00BF159C" w:rsidRDefault="00F931B6" w:rsidP="00F931B6">
      <w:pPr>
        <w:pStyle w:val="AmNumberTabs"/>
      </w:pPr>
      <w:r>
        <w:rPr>
          <w:rStyle w:val="HideTWBExt"/>
          <w:b w:val="0"/>
          <w:lang w:val="it-IT"/>
        </w:rPr>
        <w:t>&lt;Amend&gt;</w:t>
      </w:r>
      <w:r>
        <w:t>Predlog spremembe</w:t>
      </w:r>
      <w:r>
        <w:tab/>
      </w:r>
      <w:r>
        <w:tab/>
      </w:r>
      <w:r>
        <w:rPr>
          <w:rStyle w:val="HideTWBExt"/>
          <w:b w:val="0"/>
          <w:lang w:val="it-IT"/>
        </w:rPr>
        <w:t>&lt;NumAm&gt;</w:t>
      </w:r>
      <w:r>
        <w:t>194</w:t>
      </w:r>
      <w:r>
        <w:rPr>
          <w:rStyle w:val="HideTWBExt"/>
          <w:b w:val="0"/>
          <w:lang w:val="it-IT"/>
        </w:rPr>
        <w:t>&lt;/NumAm&gt;</w:t>
      </w:r>
    </w:p>
    <w:p w:rsidR="00F931B6" w:rsidRPr="00BF159C" w:rsidRDefault="00F931B6" w:rsidP="00F931B6">
      <w:pPr>
        <w:pStyle w:val="NormalBold"/>
      </w:pPr>
      <w:r>
        <w:rPr>
          <w:rStyle w:val="HideTWBExt"/>
          <w:b w:val="0"/>
          <w:lang w:val="it-IT"/>
        </w:rPr>
        <w:t>&lt;RepeatBlock-By&gt;&lt;Members&gt;</w:t>
      </w:r>
      <w:r>
        <w:t>Giuseppe Antoci, Isabel Serra Sánchez</w:t>
      </w:r>
      <w:r>
        <w:rPr>
          <w:rStyle w:val="HideTWBExt"/>
          <w:b w:val="0"/>
          <w:lang w:val="it-IT"/>
        </w:rPr>
        <w:t>&lt;/Members&gt;</w:t>
      </w:r>
    </w:p>
    <w:p w:rsidR="00F931B6" w:rsidRPr="00BF159C" w:rsidRDefault="00F931B6" w:rsidP="00F931B6">
      <w:pPr>
        <w:pStyle w:val="NormalBold"/>
      </w:pPr>
      <w:r>
        <w:rPr>
          <w:rStyle w:val="HideTWBExt"/>
          <w:b w:val="0"/>
          <w:lang w:val="it-IT"/>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2a.</w:t>
            </w:r>
            <w:r>
              <w:tab/>
            </w:r>
            <w:r>
              <w:rPr>
                <w:b/>
                <w:i/>
              </w:rPr>
              <w:t>meni, da je treba posebno pozornost nameniti razmeram v Italiji, kjer se pravna država iz dneva v dan bolj krha; obsoja reformo kazenskega zakonika, s katero je bilo razveljavljeno kaznivo dejanje zlorabe javne funkcije; poudarja, da ta razveljavitev negativno vpliva na boj proti korupciji in organiziranemu kriminalu v Italiji in na ravni EU; poziva Komisijo, naj pozorno spremlja razmere v Italiji v zvezi s tem in o njih poroča v svojem poročilu o stanju pravne države za leto 2025;</w:t>
            </w:r>
          </w:p>
        </w:tc>
      </w:tr>
    </w:tbl>
    <w:p w:rsidR="00F931B6" w:rsidRPr="00BF159C" w:rsidRDefault="00F931B6" w:rsidP="00F931B6">
      <w:pPr>
        <w:pStyle w:val="AmOrLang"/>
        <w:rPr>
          <w:lang w:val="pl-PL"/>
        </w:rPr>
      </w:pPr>
      <w:r w:rsidRPr="00BF159C">
        <w:rPr>
          <w:lang w:val="pl-PL"/>
        </w:rPr>
        <w:t xml:space="preserve">Or. </w:t>
      </w:r>
      <w:r w:rsidRPr="00BF159C">
        <w:rPr>
          <w:rStyle w:val="HideTWBExt"/>
          <w:lang w:val="pl-PL"/>
        </w:rPr>
        <w:t>&lt;Original&gt;</w:t>
      </w:r>
      <w:r w:rsidRPr="00BF159C">
        <w:rPr>
          <w:rStyle w:val="HideTWBInt"/>
          <w:lang w:val="pl-PL"/>
        </w:rPr>
        <w:t>{EN}</w:t>
      </w:r>
      <w:r w:rsidRPr="00BF159C">
        <w:rPr>
          <w:lang w:val="pl-PL"/>
        </w:rPr>
        <w:t>en</w:t>
      </w:r>
      <w:r w:rsidRPr="00BF159C">
        <w:rPr>
          <w:rStyle w:val="HideTWBExt"/>
          <w:lang w:val="pl-PL"/>
        </w:rPr>
        <w:t>&lt;/Original&gt;</w:t>
      </w:r>
    </w:p>
    <w:p w:rsidR="00F931B6" w:rsidRPr="00BF159C" w:rsidRDefault="00F931B6" w:rsidP="00F931B6">
      <w:r>
        <w:rPr>
          <w:rStyle w:val="HideTWBExt"/>
          <w:lang w:val="pl-PL"/>
        </w:rPr>
        <w:t>&lt;/Amend&gt;</w:t>
      </w:r>
    </w:p>
    <w:p w:rsidR="00F931B6" w:rsidRPr="00BF159C" w:rsidRDefault="00F931B6" w:rsidP="00F931B6">
      <w:pPr>
        <w:pStyle w:val="AmNumberTabs"/>
      </w:pPr>
      <w:r>
        <w:rPr>
          <w:rStyle w:val="HideTWBExt"/>
          <w:b w:val="0"/>
          <w:lang w:val="pl-PL"/>
        </w:rPr>
        <w:t>&lt;Amend&gt;</w:t>
      </w:r>
      <w:r>
        <w:t>Predlog spremembe</w:t>
      </w:r>
      <w:r>
        <w:tab/>
      </w:r>
      <w:r>
        <w:tab/>
      </w:r>
      <w:r>
        <w:rPr>
          <w:rStyle w:val="HideTWBExt"/>
          <w:b w:val="0"/>
          <w:lang w:val="pl-PL"/>
        </w:rPr>
        <w:t>&lt;NumAm&gt;</w:t>
      </w:r>
      <w:r>
        <w:t>195</w:t>
      </w:r>
      <w:r>
        <w:rPr>
          <w:rStyle w:val="HideTWBExt"/>
          <w:b w:val="0"/>
          <w:lang w:val="pl-PL"/>
        </w:rPr>
        <w:t>&lt;/NumAm&gt;</w:t>
      </w:r>
    </w:p>
    <w:p w:rsidR="00F931B6" w:rsidRPr="00BF159C" w:rsidRDefault="00F931B6" w:rsidP="00F931B6">
      <w:pPr>
        <w:pStyle w:val="NormalBold"/>
      </w:pPr>
      <w:r>
        <w:rPr>
          <w:rStyle w:val="HideTWBExt"/>
          <w:b w:val="0"/>
          <w:lang w:val="pl-PL"/>
        </w:rPr>
        <w:t>&lt;RepeatBlock-By&gt;&lt;Members&gt;</w:t>
      </w:r>
      <w:r>
        <w:t>Ewa Zajączkowska-Hernik</w:t>
      </w:r>
      <w:r>
        <w:rPr>
          <w:rStyle w:val="HideTWBExt"/>
          <w:b w:val="0"/>
          <w:lang w:val="pl-PL"/>
        </w:rPr>
        <w:t>&lt;/Members&gt;</w:t>
      </w:r>
    </w:p>
    <w:p w:rsidR="00F931B6" w:rsidRPr="00BF159C" w:rsidRDefault="00F931B6" w:rsidP="00F931B6">
      <w:pPr>
        <w:pStyle w:val="NormalBold"/>
      </w:pPr>
      <w:r>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2a.</w:t>
            </w:r>
            <w:r>
              <w:tab/>
            </w:r>
            <w:r>
              <w:rPr>
                <w:b/>
                <w:i/>
              </w:rPr>
              <w:t>meni, da Komisija izvaja svojo strankarsko politiko, ko uporablja pravno državo kot slogan, da lahko, tako z vidika financiranja in komuniciranja kot z uradnega vidika, daje prednost svojim najljubšim politikom v državah članicah, in očitno krši načelo, da mora vsaka veja oblasti, vključno s sodstvom, izkazovati svojo demokratično legitimnost;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196</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2a.</w:t>
            </w:r>
            <w:r>
              <w:tab/>
            </w:r>
            <w:r>
              <w:rPr>
                <w:b/>
                <w:i/>
              </w:rPr>
              <w:t>poziva Komisijo, naj v prihodnjih poročilih o stanju pravne države oceni razmere v zaporih glede na veliko in rastočo zaskrbljenost po vsej Evropi zaradi prenatrpanosti zaporov ter neustreznih življenjskih pogojev in zaskrbljujočih ravni samomorov v zaporih;</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197</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2a.</w:t>
            </w:r>
            <w:r>
              <w:tab/>
            </w:r>
            <w:r>
              <w:rPr>
                <w:b/>
                <w:i/>
              </w:rPr>
              <w:t>opozarja, da morajo biti imenovanja in napredovanja sodnikov in tožilcev odvisna izključno od njihovih kvalifikacij in da nanje ne smejo vplivati politični ali osebni pomisleki;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198</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Marieke Ehlers, Malika Sorel</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2a.</w:t>
            </w:r>
            <w:r>
              <w:tab/>
            </w:r>
            <w:r>
              <w:rPr>
                <w:b/>
                <w:i/>
              </w:rPr>
              <w:t>poudarja pomen neodvisnosti in avtonomije državnega tožilstva;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199</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Chloé Ridel, Abir Al-Sahlani, Fabienne Keller, Lucia Yar, Irena Joveva, Isabel Wiseler-Lima</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2b.</w:t>
            </w:r>
            <w:r>
              <w:tab/>
            </w:r>
            <w:r>
              <w:rPr>
                <w:b/>
                <w:i/>
              </w:rPr>
              <w:t>opozarja, da je treba zagotoviti avtonomijo tožilstva in tako preprečiti vsakršno politično vmešavanje v njegovo delo; poziva k reformi sistema disciplinskih postopkov, s katero se prepreči, da bi jih politične oblasti uporabljale za nadzor sodstva; v zvezi s tem vztraja, da te postopke izvaja neodvisen organ;</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200</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2b.</w:t>
            </w:r>
            <w:r>
              <w:tab/>
            </w:r>
            <w:r>
              <w:rPr>
                <w:b/>
                <w:i/>
              </w:rPr>
              <w:t>poudarja, da je treba zagotoviti avtonomijo in odgovornost tožilstev ter jih zaščititi pred kakršnim koli neprimernim političnim pritiskom; poudarja, da so pregledni postopki imenovanja tožilcev ključni dejavnik za ohranjanje zaupanja javnosti v kazensko pravosodje;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201</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2c.</w:t>
            </w:r>
            <w:r>
              <w:tab/>
            </w:r>
            <w:r>
              <w:rPr>
                <w:b/>
                <w:i/>
              </w:rPr>
              <w:t>poziva Komisijo, naj ohrani stalen nadzor in zagotovi, da so sodniki in tožilci še naprej neodvisni od organov, ki so pristojni za njihovo imenovanje ali ponovno imenovanje;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202</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2d.</w:t>
            </w:r>
            <w:r>
              <w:tab/>
            </w:r>
            <w:r>
              <w:rPr>
                <w:b/>
                <w:i/>
              </w:rPr>
              <w:t>poziva, naj disciplinske postopke za sodnike izvajajo neodvisni organi brez političnega vpliva;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203</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2 e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2e.</w:t>
            </w:r>
            <w:r>
              <w:tab/>
            </w:r>
            <w:r>
              <w:rPr>
                <w:b/>
                <w:i/>
              </w:rPr>
              <w:t>z zaskrbljenostjo ugotavlja, da politično motivirani zakoni o amnestiji v javnosti zbujajo dvome glede skladnosti z ustavnimi določbami in standardi EU; obžaluje vsakršno vladno ali politično vmešavanje v preiskave korupcije in opozarja, da nihče ni nad zakonom;</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Default="00F931B6" w:rsidP="00F931B6">
      <w:pPr>
        <w:pStyle w:val="AmNumberTabs"/>
      </w:pPr>
      <w:r>
        <w:rPr>
          <w:rStyle w:val="HideTWBExt"/>
        </w:rPr>
        <w:t>&lt;Amend&gt;</w:t>
      </w:r>
      <w:r>
        <w:t>Predlog spremembe</w:t>
      </w:r>
      <w:r>
        <w:tab/>
      </w:r>
      <w:r>
        <w:tab/>
      </w:r>
      <w:r>
        <w:rPr>
          <w:rStyle w:val="HideTWBExt"/>
        </w:rPr>
        <w:t>&lt;NumAm&gt;</w:t>
      </w:r>
      <w:r>
        <w:t>204</w:t>
      </w:r>
      <w:r>
        <w:rPr>
          <w:rStyle w:val="HideTWBExt"/>
        </w:rPr>
        <w:t>&lt;/NumAm&gt;</w:t>
      </w:r>
    </w:p>
    <w:p w:rsidR="00F931B6" w:rsidRDefault="00F931B6" w:rsidP="00F931B6">
      <w:pPr>
        <w:pStyle w:val="NormalBold"/>
      </w:pPr>
      <w:r>
        <w:rPr>
          <w:rStyle w:val="HideTWBExt"/>
          <w:b w:val="0"/>
        </w:rPr>
        <w:t>&lt;RepeatBlock-By&gt;&lt;Members&gt;</w:t>
      </w:r>
      <w:r>
        <w:t>Nicolas Bay</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b/>
                <w:i/>
              </w:rPr>
              <w:t>3.</w:t>
            </w:r>
            <w:r>
              <w:tab/>
            </w:r>
            <w:r>
              <w:rPr>
                <w:b/>
                <w:i/>
              </w:rPr>
              <w:t>poziva države članice, naj hitro izvršijo še neizvršene sodbe, ter poziva Komisijo, naj oceni posledice za skladnost s pravom EU in po potrebi sproži postopke za ugotavljanje kršitev;</w:t>
            </w:r>
          </w:p>
        </w:tc>
        <w:tc>
          <w:tcPr>
            <w:tcW w:w="4876" w:type="dxa"/>
            <w:tcBorders>
              <w:top w:val="nil"/>
              <w:left w:val="nil"/>
              <w:bottom w:val="nil"/>
              <w:right w:val="nil"/>
            </w:tcBorders>
          </w:tcPr>
          <w:p w:rsidR="00F931B6" w:rsidRDefault="00F931B6" w:rsidP="007C04AE">
            <w:pPr>
              <w:pStyle w:val="Normal6a"/>
            </w:pPr>
            <w:r>
              <w:rPr>
                <w:b/>
                <w:i/>
              </w:rPr>
              <w:t>črtano</w:t>
            </w:r>
          </w:p>
        </w:tc>
      </w:tr>
    </w:tbl>
    <w:p w:rsidR="00F931B6" w:rsidRDefault="00F931B6" w:rsidP="00F931B6">
      <w:pPr>
        <w:pStyle w:val="AmOrLang"/>
      </w:pPr>
      <w:r>
        <w:t xml:space="preserve">Or. </w:t>
      </w:r>
      <w:r>
        <w:rPr>
          <w:rStyle w:val="HideTWBExt"/>
        </w:rPr>
        <w:t>&lt;Original&gt;</w:t>
      </w:r>
      <w:r>
        <w:rPr>
          <w:rStyle w:val="HideTWBInt"/>
        </w:rPr>
        <w:t>{FR}</w:t>
      </w:r>
      <w:r>
        <w:t>fr</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205</w:t>
      </w:r>
      <w:r>
        <w:rPr>
          <w:rStyle w:val="HideTWBExt"/>
          <w:b w:val="0"/>
        </w:rPr>
        <w:t>&lt;/NumAm&gt;</w:t>
      </w:r>
    </w:p>
    <w:p w:rsidR="00F931B6" w:rsidRPr="00BF159C" w:rsidRDefault="00F931B6" w:rsidP="00F931B6">
      <w:pPr>
        <w:pStyle w:val="NormalBold"/>
      </w:pPr>
      <w:r>
        <w:rPr>
          <w:rStyle w:val="HideTWBExt"/>
          <w:b w:val="0"/>
          <w:lang w:val="pl-PL"/>
        </w:rPr>
        <w:t>&lt;RepeatBlock-By&gt;&lt;Members&gt;</w:t>
      </w:r>
      <w:r>
        <w:t>Mary Khan, Milan Uhrík, Ewa Zajączkowska-Hernik</w:t>
      </w:r>
      <w:r>
        <w:rPr>
          <w:rStyle w:val="HideTWBExt"/>
          <w:b w:val="0"/>
          <w:lang w:val="pl-PL"/>
        </w:rPr>
        <w:t>&lt;/Members&gt;</w:t>
      </w:r>
    </w:p>
    <w:p w:rsidR="00F931B6" w:rsidRPr="00BF159C" w:rsidRDefault="00F931B6" w:rsidP="00F931B6">
      <w:pPr>
        <w:pStyle w:val="NormalBold"/>
      </w:pPr>
      <w:r>
        <w:rPr>
          <w:rStyle w:val="HideTWBExt"/>
          <w:b w:val="0"/>
          <w:lang w:val="pl-PL"/>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3.</w:t>
            </w:r>
            <w:r>
              <w:tab/>
            </w:r>
            <w:r>
              <w:rPr>
                <w:b/>
                <w:i/>
              </w:rPr>
              <w:t>poziva države članice, naj hitro izvršijo še neizvršene sodbe, ter poziva Komisijo, naj oceni posledice za skladnost s pravom EU in po potrebi sproži postopke za ugotavljanje kršitev;</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206</w:t>
      </w:r>
      <w:r>
        <w:rPr>
          <w:rStyle w:val="HideTWBExt"/>
          <w:b w:val="0"/>
        </w:rPr>
        <w:t>&lt;/NumAm&gt;</w:t>
      </w:r>
    </w:p>
    <w:p w:rsidR="00F931B6" w:rsidRPr="00444926" w:rsidRDefault="00F931B6" w:rsidP="00F931B6">
      <w:pPr>
        <w:pStyle w:val="NormalBold"/>
      </w:pPr>
      <w:r>
        <w:rPr>
          <w:rStyle w:val="HideTWBExt"/>
          <w:b w:val="0"/>
        </w:rPr>
        <w:t>&lt;RepeatBlock-By&gt;&lt;Members&gt;</w:t>
      </w:r>
      <w:r>
        <w:t>Isabel Serra Sánchez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3.</w:t>
            </w:r>
            <w:r>
              <w:tab/>
              <w:t>poziva države članice, naj hitro izvršijo še neizvršene sodbe, ter poziva Komisijo, naj oceni posledice za skladnost s pravom EU in po potrebi sproži postopke za ugotavljanje kršitev;</w:t>
            </w:r>
          </w:p>
        </w:tc>
        <w:tc>
          <w:tcPr>
            <w:tcW w:w="4876" w:type="dxa"/>
            <w:tcBorders>
              <w:top w:val="nil"/>
              <w:left w:val="nil"/>
              <w:bottom w:val="nil"/>
              <w:right w:val="nil"/>
            </w:tcBorders>
          </w:tcPr>
          <w:p w:rsidR="00F931B6" w:rsidRPr="00444926" w:rsidRDefault="00F931B6" w:rsidP="007C04AE">
            <w:pPr>
              <w:pStyle w:val="Normal6a"/>
            </w:pPr>
            <w:r>
              <w:t>3.</w:t>
            </w:r>
            <w:r>
              <w:tab/>
              <w:t xml:space="preserve">poziva države članice, naj hitro izvršijo še neizvršene sodbe, ter poziva Komisijo, naj oceni posledice za skladnost s pravom EU in po potrebi sproži postopke za ugotavljanje kršitev; </w:t>
            </w:r>
            <w:r>
              <w:rPr>
                <w:b/>
                <w:i/>
              </w:rPr>
              <w:t>poudarja, da neizvrševanje sodb nacionalnih in mednarodnih sodišč vodi v kršitve človekovih pravic, ki niso odpravljene in se morda celo ponavljajo; poudarja tudi občutek, ki pri tem nastaja v javnosti, da je mogoče sodbe zanemariti, kar spodkopava neodvisnost sodstva in splošno zaupanje v moč poštenega sojenja, zlasti kadar sodbe državnih sodišč kršijo agencije iste države ali ko države načnejo strukturo mednarodnih sporazumov, tako da ne spoštujejo sodb mednarodnih sodišč;</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207</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3.</w:t>
            </w:r>
            <w:r>
              <w:tab/>
              <w:t>poziva države članice, naj hitro izvršijo še neizvršene sodbe, ter poziva Komisijo, naj oceni posledice za skladnost s pravom EU in po potrebi sproži postopke za ugotavljanje kršitev;</w:t>
            </w:r>
          </w:p>
        </w:tc>
        <w:tc>
          <w:tcPr>
            <w:tcW w:w="4876" w:type="dxa"/>
            <w:tcBorders>
              <w:top w:val="nil"/>
              <w:left w:val="nil"/>
              <w:bottom w:val="nil"/>
              <w:right w:val="nil"/>
            </w:tcBorders>
          </w:tcPr>
          <w:p w:rsidR="00F931B6" w:rsidRPr="00444926" w:rsidRDefault="00F931B6" w:rsidP="007C04AE">
            <w:pPr>
              <w:pStyle w:val="Normal6a"/>
            </w:pPr>
            <w:r>
              <w:t>3.</w:t>
            </w:r>
            <w:r>
              <w:tab/>
              <w:t xml:space="preserve">poziva države članice, naj hitro izvršijo še neizvršene sodbe, ter poziva Komisijo, naj oceni posledice za skladnost s pravom EU in po potrebi sproži postopke za ugotavljanje kršitev; </w:t>
            </w:r>
            <w:r>
              <w:rPr>
                <w:b/>
                <w:i/>
              </w:rPr>
              <w:t>predlaga ustanovitev enote za spremljanje, ki bo nadzorovala izvrševanje sodb in zagotavljala sodelovanje s Svetom Evrope;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208</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3.</w:t>
            </w:r>
            <w:r>
              <w:tab/>
              <w:t>poziva države članice, naj hitro izvršijo še neizvršene sodbe</w:t>
            </w:r>
            <w:r>
              <w:rPr>
                <w:b/>
                <w:i/>
              </w:rPr>
              <w:t>, ter poziva Komisijo, naj oceni posledice za skladnost s pravom EU in po potrebi sproži postopke za ugotavljanje kršitev</w:t>
            </w:r>
            <w:r>
              <w:t>;</w:t>
            </w:r>
          </w:p>
        </w:tc>
        <w:tc>
          <w:tcPr>
            <w:tcW w:w="4876" w:type="dxa"/>
            <w:tcBorders>
              <w:top w:val="nil"/>
              <w:left w:val="nil"/>
              <w:bottom w:val="nil"/>
              <w:right w:val="nil"/>
            </w:tcBorders>
          </w:tcPr>
          <w:p w:rsidR="00F931B6" w:rsidRPr="00444926" w:rsidRDefault="00F931B6" w:rsidP="007C04AE">
            <w:pPr>
              <w:pStyle w:val="Normal6a"/>
            </w:pPr>
            <w:r>
              <w:t>3.</w:t>
            </w:r>
            <w:r>
              <w:tab/>
              <w:t xml:space="preserve">poziva države članice, naj hitro izvršijo še neizvršene sodbe </w:t>
            </w:r>
            <w:r>
              <w:rPr>
                <w:b/>
                <w:i/>
              </w:rPr>
              <w:t>ustavnih sodišč</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209</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 Ana Catarina Mendes, Moritz Körner</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3.</w:t>
            </w:r>
            <w:r>
              <w:tab/>
              <w:t xml:space="preserve">poziva države članice, naj hitro izvršijo še neizvršene sodbe, ter poziva Komisijo, naj oceni posledice za skladnost s pravom EU in </w:t>
            </w:r>
            <w:r>
              <w:rPr>
                <w:b/>
                <w:bCs/>
                <w:i/>
                <w:iCs/>
              </w:rPr>
              <w:t>po potrebi</w:t>
            </w:r>
            <w:r>
              <w:t xml:space="preserve"> sproži postopke za ugotavljanje kršitev;</w:t>
            </w:r>
          </w:p>
        </w:tc>
        <w:tc>
          <w:tcPr>
            <w:tcW w:w="4876" w:type="dxa"/>
            <w:tcBorders>
              <w:top w:val="nil"/>
              <w:left w:val="nil"/>
              <w:bottom w:val="nil"/>
              <w:right w:val="nil"/>
            </w:tcBorders>
          </w:tcPr>
          <w:p w:rsidR="00F931B6" w:rsidRPr="00444926" w:rsidRDefault="00F931B6" w:rsidP="007C04AE">
            <w:pPr>
              <w:pStyle w:val="Normal6a"/>
            </w:pPr>
            <w:r>
              <w:t>3.</w:t>
            </w:r>
            <w:r>
              <w:tab/>
              <w:t xml:space="preserve">poziva države članice, naj hitro izvršijo še neizvršene sodbe </w:t>
            </w:r>
            <w:r>
              <w:rPr>
                <w:b/>
                <w:bCs/>
                <w:i/>
                <w:iCs/>
              </w:rPr>
              <w:t>Sodišča EU in Evropskega sodišča za človekove pravice</w:t>
            </w:r>
            <w:r>
              <w:t>, ter poziva Komisijo, naj oceni posledice za skladnost s pravom EU in sproži postopke za ugotavljanje kršitev</w:t>
            </w:r>
            <w:r>
              <w:rPr>
                <w:b/>
                <w:bCs/>
                <w:i/>
                <w:iCs/>
              </w:rPr>
              <w:t>, po potrebi skupaj s predlogi za začasne ukrepe;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210</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3.</w:t>
            </w:r>
            <w:r>
              <w:tab/>
              <w:t>poziva države članice, naj hitro izvršijo še neizvršene sodbe, ter poziva Komisijo, naj oceni posledice za skladnost s pravom EU in po potrebi sproži postopke za ugotavljanje kršitev;</w:t>
            </w:r>
          </w:p>
        </w:tc>
        <w:tc>
          <w:tcPr>
            <w:tcW w:w="4876" w:type="dxa"/>
            <w:tcBorders>
              <w:top w:val="nil"/>
              <w:left w:val="nil"/>
              <w:bottom w:val="nil"/>
              <w:right w:val="nil"/>
            </w:tcBorders>
          </w:tcPr>
          <w:p w:rsidR="00F931B6" w:rsidRPr="00444926" w:rsidRDefault="00F931B6" w:rsidP="007C04AE">
            <w:pPr>
              <w:pStyle w:val="Normal6a"/>
            </w:pPr>
            <w:r>
              <w:t>3.</w:t>
            </w:r>
            <w:r>
              <w:tab/>
              <w:t xml:space="preserve">poziva države članice, naj hitro izvršijo še neizvršene sodbe, </w:t>
            </w:r>
            <w:r>
              <w:rPr>
                <w:b/>
                <w:bCs/>
                <w:i/>
                <w:iCs/>
              </w:rPr>
              <w:t>vključno s sodbami Evropskega sodišča za človekove pravice,</w:t>
            </w:r>
            <w:r>
              <w:t xml:space="preserve"> ter poziva Komisijo, naj oceni posledice za skladnost s pravom EU in po potrebi sproži postopke za ugotavljanje kršitev;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211</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3.</w:t>
            </w:r>
            <w:r>
              <w:tab/>
              <w:t>poziva države članice, naj hitro izvršijo</w:t>
            </w:r>
            <w:r>
              <w:rPr>
                <w:b/>
                <w:i/>
              </w:rPr>
              <w:t xml:space="preserve"> še</w:t>
            </w:r>
            <w:r>
              <w:t xml:space="preserve"> neizvršene sodbe,</w:t>
            </w:r>
            <w:r>
              <w:rPr>
                <w:b/>
                <w:i/>
              </w:rPr>
              <w:t xml:space="preserve"> ter poziva Komisijo, naj oceni posledice za skladnost s pravom EU in po potrebi sproži</w:t>
            </w:r>
            <w:r>
              <w:t xml:space="preserve"> postopke za ugotavljanje kršitev;</w:t>
            </w:r>
          </w:p>
        </w:tc>
        <w:tc>
          <w:tcPr>
            <w:tcW w:w="4876" w:type="dxa"/>
            <w:tcBorders>
              <w:top w:val="nil"/>
              <w:left w:val="nil"/>
              <w:bottom w:val="nil"/>
              <w:right w:val="nil"/>
            </w:tcBorders>
          </w:tcPr>
          <w:p w:rsidR="00F931B6" w:rsidRPr="00444926" w:rsidRDefault="00F931B6" w:rsidP="007C04AE">
            <w:pPr>
              <w:pStyle w:val="Normal6a"/>
            </w:pPr>
            <w:r>
              <w:t>3.</w:t>
            </w:r>
            <w:r>
              <w:tab/>
              <w:t xml:space="preserve">poziva države članice, naj hitro izvršijo </w:t>
            </w:r>
            <w:r>
              <w:rPr>
                <w:b/>
                <w:i/>
              </w:rPr>
              <w:t>vse</w:t>
            </w:r>
            <w:r>
              <w:t xml:space="preserve"> neizvršene sodbe, </w:t>
            </w:r>
            <w:r>
              <w:rPr>
                <w:b/>
                <w:i/>
              </w:rPr>
              <w:t>pri tem pa spoštujejo diskrecijsko pravico Komisije, da sproži</w:t>
            </w:r>
            <w:r>
              <w:t xml:space="preserve"> postopke za ugotavljanje kršitev</w:t>
            </w:r>
            <w:r>
              <w:rPr>
                <w:b/>
                <w:i/>
              </w:rPr>
              <w:t>, če meni, da je to upravičeno</w:t>
            </w:r>
            <w:r>
              <w:t>;</w:t>
            </w:r>
          </w:p>
        </w:tc>
      </w:tr>
    </w:tbl>
    <w:p w:rsidR="00F931B6" w:rsidRPr="00605988" w:rsidRDefault="00F931B6" w:rsidP="00F931B6">
      <w:pPr>
        <w:pStyle w:val="AmOrLang"/>
        <w:rPr>
          <w:lang w:val="da-DK"/>
        </w:rPr>
      </w:pPr>
      <w:r w:rsidRPr="00605988">
        <w:rPr>
          <w:lang w:val="da-DK"/>
        </w:rPr>
        <w:t xml:space="preserve">Or. </w:t>
      </w:r>
      <w:r w:rsidRPr="00605988">
        <w:rPr>
          <w:rStyle w:val="HideTWBExt"/>
          <w:lang w:val="da-DK"/>
        </w:rPr>
        <w:t>&lt;Original&gt;</w:t>
      </w:r>
      <w:r w:rsidRPr="00605988">
        <w:rPr>
          <w:rStyle w:val="HideTWBInt"/>
          <w:lang w:val="da-DK"/>
        </w:rPr>
        <w:t>{SK}</w:t>
      </w:r>
      <w:r w:rsidRPr="00605988">
        <w:rPr>
          <w:lang w:val="da-DK"/>
        </w:rPr>
        <w:t>sk</w:t>
      </w:r>
      <w:r w:rsidRPr="00605988">
        <w:rPr>
          <w:rStyle w:val="HideTWBExt"/>
          <w:lang w:val="da-DK"/>
        </w:rPr>
        <w:t>&lt;/Original&gt;</w:t>
      </w:r>
    </w:p>
    <w:p w:rsidR="00F931B6" w:rsidRPr="00BF159C" w:rsidRDefault="00F931B6" w:rsidP="00F931B6">
      <w:r w:rsidRPr="00605988">
        <w:rPr>
          <w:rStyle w:val="HideTWBExt"/>
          <w:lang w:val="da-DK"/>
        </w:rPr>
        <w:t>&lt;/Amend&gt;</w:t>
      </w:r>
    </w:p>
    <w:p w:rsidR="00F931B6" w:rsidRPr="00BF159C" w:rsidRDefault="00F931B6" w:rsidP="00F931B6">
      <w:pPr>
        <w:pStyle w:val="AmNumberTabs"/>
      </w:pPr>
      <w:r>
        <w:rPr>
          <w:rStyle w:val="HideTWBExt"/>
          <w:b w:val="0"/>
          <w:lang w:val="it-IT"/>
        </w:rPr>
        <w:t>&lt;Amend&gt;</w:t>
      </w:r>
      <w:r>
        <w:t>Predlog spremembe</w:t>
      </w:r>
      <w:r>
        <w:tab/>
      </w:r>
      <w:r>
        <w:tab/>
      </w:r>
      <w:r>
        <w:rPr>
          <w:rStyle w:val="HideTWBExt"/>
          <w:b w:val="0"/>
          <w:lang w:val="it-IT"/>
        </w:rPr>
        <w:t>&lt;NumAm&gt;</w:t>
      </w:r>
      <w:r>
        <w:t>212</w:t>
      </w:r>
      <w:r>
        <w:rPr>
          <w:rStyle w:val="HideTWBExt"/>
          <w:b w:val="0"/>
          <w:lang w:val="it-IT"/>
        </w:rPr>
        <w:t>&lt;/NumAm&gt;</w:t>
      </w:r>
    </w:p>
    <w:p w:rsidR="00F931B6" w:rsidRPr="00BF159C" w:rsidRDefault="00F931B6" w:rsidP="00F931B6">
      <w:pPr>
        <w:pStyle w:val="NormalBold"/>
      </w:pPr>
      <w:r>
        <w:rPr>
          <w:rStyle w:val="HideTWBExt"/>
          <w:b w:val="0"/>
          <w:lang w:val="it-IT"/>
        </w:rPr>
        <w:t>&lt;RepeatBlock-By&gt;&lt;Members&gt;</w:t>
      </w:r>
      <w:r>
        <w:t>Jaume Asens Llodrà, Diana Riba i Giner</w:t>
      </w:r>
      <w:r>
        <w:rPr>
          <w:rStyle w:val="HideTWBExt"/>
          <w:b w:val="0"/>
          <w:lang w:val="it-IT"/>
        </w:rPr>
        <w:t>&lt;/Members&gt;</w:t>
      </w:r>
    </w:p>
    <w:p w:rsidR="00F931B6" w:rsidRPr="00BF159C" w:rsidRDefault="00F931B6" w:rsidP="00F931B6">
      <w:pPr>
        <w:pStyle w:val="NormalBold"/>
      </w:pPr>
      <w:r>
        <w:rPr>
          <w:rStyle w:val="HideTWBExt"/>
          <w:b w:val="0"/>
          <w:lang w:val="it-IT"/>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 točka 1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w:t>
            </w:r>
            <w:r>
              <w:tab/>
            </w:r>
            <w:r>
              <w:rPr>
                <w:b/>
                <w:i/>
              </w:rPr>
              <w:t>ker je pravna država ogrožena, kadar se demokratično sprejeti zakoni soočajo z institucionalnim oviranjem oziroma jim nekateri pravosodni ali upravni sektorji nasprotujejo, kar preprečuje njihovo pravilno izvajanje;</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Pr="00BF159C" w:rsidRDefault="00F931B6" w:rsidP="00F931B6">
      <w:pPr>
        <w:pStyle w:val="AmNumberTabs"/>
      </w:pPr>
      <w:r>
        <w:rPr>
          <w:rStyle w:val="HideTWBExt"/>
          <w:b w:val="0"/>
          <w:lang w:val="it-IT"/>
        </w:rPr>
        <w:t>&lt;Amend&gt;</w:t>
      </w:r>
      <w:r>
        <w:t>Predlog spremembe</w:t>
      </w:r>
      <w:r>
        <w:tab/>
      </w:r>
      <w:r>
        <w:tab/>
      </w:r>
      <w:r>
        <w:rPr>
          <w:rStyle w:val="HideTWBExt"/>
          <w:b w:val="0"/>
          <w:lang w:val="it-IT"/>
        </w:rPr>
        <w:t>&lt;NumAm&gt;</w:t>
      </w:r>
      <w:r>
        <w:t>213</w:t>
      </w:r>
      <w:r>
        <w:rPr>
          <w:rStyle w:val="HideTWBExt"/>
          <w:b w:val="0"/>
          <w:lang w:val="it-IT"/>
        </w:rPr>
        <w:t>&lt;/NumAm&gt;</w:t>
      </w:r>
    </w:p>
    <w:p w:rsidR="00F931B6" w:rsidRPr="00BF159C" w:rsidRDefault="00F931B6" w:rsidP="00F931B6">
      <w:pPr>
        <w:pStyle w:val="NormalBold"/>
      </w:pPr>
      <w:r>
        <w:rPr>
          <w:rStyle w:val="HideTWBExt"/>
          <w:b w:val="0"/>
          <w:lang w:val="it-IT"/>
        </w:rPr>
        <w:t>&lt;RepeatBlock-By&gt;&lt;Members&gt;</w:t>
      </w:r>
      <w:r>
        <w:t>Jaume Asens Llodrà, Diana Riba i Giner</w:t>
      </w:r>
      <w:r>
        <w:rPr>
          <w:rStyle w:val="HideTWBExt"/>
          <w:b w:val="0"/>
          <w:lang w:val="it-IT"/>
        </w:rPr>
        <w:t>&lt;/Members&gt;</w:t>
      </w:r>
    </w:p>
    <w:p w:rsidR="00F931B6" w:rsidRPr="00BF159C" w:rsidRDefault="00F931B6" w:rsidP="00F931B6">
      <w:pPr>
        <w:pStyle w:val="NormalBold"/>
      </w:pPr>
      <w:r>
        <w:rPr>
          <w:rStyle w:val="HideTWBExt"/>
          <w:b w:val="0"/>
          <w:lang w:val="it-IT"/>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 točka 2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(2)</w:t>
            </w:r>
            <w:r>
              <w:tab/>
            </w:r>
            <w:r>
              <w:rPr>
                <w:b/>
                <w:i/>
              </w:rPr>
              <w:t>ker je španski parlament 30. maja 2024 sprejel zakon o amnestiji, namenjen reševanju političnih in sodnih posledic katalonske krize, kar odraža voljo demokratično izvoljenih predstavnikov za dialog in normalizacijo; ker je zakon začel veljati 11. junija 2024; ker so imela španska sodišča na voljo dva meseca od začetka njegove veljavnosti, da ga začnejo izvajati;</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Pr="00BF159C" w:rsidRDefault="00F931B6" w:rsidP="00F931B6">
      <w:pPr>
        <w:pStyle w:val="AmNumberTabs"/>
      </w:pPr>
      <w:r>
        <w:rPr>
          <w:rStyle w:val="HideTWBExt"/>
          <w:b w:val="0"/>
          <w:lang w:val="it-IT"/>
        </w:rPr>
        <w:t>&lt;Amend&gt;</w:t>
      </w:r>
      <w:r>
        <w:t>Predlog spremembe</w:t>
      </w:r>
      <w:r>
        <w:tab/>
      </w:r>
      <w:r>
        <w:tab/>
      </w:r>
      <w:r>
        <w:rPr>
          <w:rStyle w:val="HideTWBExt"/>
          <w:b w:val="0"/>
          <w:lang w:val="it-IT"/>
        </w:rPr>
        <w:t>&lt;NumAm&gt;</w:t>
      </w:r>
      <w:r>
        <w:t>214</w:t>
      </w:r>
      <w:r>
        <w:rPr>
          <w:rStyle w:val="HideTWBExt"/>
          <w:b w:val="0"/>
          <w:lang w:val="it-IT"/>
        </w:rPr>
        <w:t>&lt;/NumAm&gt;</w:t>
      </w:r>
    </w:p>
    <w:p w:rsidR="00F931B6" w:rsidRPr="00BF159C" w:rsidRDefault="00F931B6" w:rsidP="00F931B6">
      <w:pPr>
        <w:pStyle w:val="NormalBold"/>
      </w:pPr>
      <w:r>
        <w:rPr>
          <w:rStyle w:val="HideTWBExt"/>
          <w:b w:val="0"/>
          <w:lang w:val="it-IT"/>
        </w:rPr>
        <w:t>&lt;RepeatBlock-By&gt;&lt;Members&gt;</w:t>
      </w:r>
      <w:r>
        <w:t>Jaume Asens Llodrà, Diana Riba i Giner</w:t>
      </w:r>
      <w:r>
        <w:rPr>
          <w:rStyle w:val="HideTWBExt"/>
          <w:b w:val="0"/>
          <w:lang w:val="it-IT"/>
        </w:rPr>
        <w:t>&lt;/Members&gt;</w:t>
      </w:r>
    </w:p>
    <w:p w:rsidR="00F931B6" w:rsidRPr="00BF159C" w:rsidRDefault="00F931B6" w:rsidP="00F931B6">
      <w:pPr>
        <w:pStyle w:val="NormalBold"/>
      </w:pPr>
      <w:r>
        <w:rPr>
          <w:rStyle w:val="HideTWBExt"/>
          <w:b w:val="0"/>
          <w:lang w:val="it-IT"/>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 točka 3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(3)</w:t>
            </w:r>
            <w:r>
              <w:tab/>
            </w:r>
            <w:r>
              <w:rPr>
                <w:b/>
                <w:i/>
              </w:rPr>
              <w:t>je zaskrbljen, ker nekateri sodni in upravni akterji v Španiji niso pripravljeni v celoti izvajati zakona o amnestiji, to pa pomeni tveganje ogrožanja pravne varnosti, primata demokracija in delitve oblasti; poudarja, da lahko neizvrševanje demokratično sprejetih zakonov ogrozi pravno državo in temeljne pravice, pa tudi socialno in politično stabilnost;</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Pr="00BF159C" w:rsidRDefault="00F931B6" w:rsidP="00F931B6">
      <w:pPr>
        <w:pStyle w:val="AmNumberTabs"/>
      </w:pPr>
      <w:r>
        <w:rPr>
          <w:rStyle w:val="HideTWBExt"/>
          <w:b w:val="0"/>
          <w:lang w:val="it-IT"/>
        </w:rPr>
        <w:t>&lt;Amend&gt;</w:t>
      </w:r>
      <w:r>
        <w:t>Predlog spremembe</w:t>
      </w:r>
      <w:r>
        <w:tab/>
      </w:r>
      <w:r>
        <w:tab/>
      </w:r>
      <w:r>
        <w:rPr>
          <w:rStyle w:val="HideTWBExt"/>
          <w:b w:val="0"/>
          <w:lang w:val="it-IT"/>
        </w:rPr>
        <w:t>&lt;NumAm&gt;</w:t>
      </w:r>
      <w:r>
        <w:t>215</w:t>
      </w:r>
      <w:r>
        <w:rPr>
          <w:rStyle w:val="HideTWBExt"/>
          <w:b w:val="0"/>
          <w:lang w:val="it-IT"/>
        </w:rPr>
        <w:t>&lt;/NumAm&gt;</w:t>
      </w:r>
    </w:p>
    <w:p w:rsidR="00F931B6" w:rsidRPr="00BF159C" w:rsidRDefault="00F931B6" w:rsidP="00F931B6">
      <w:pPr>
        <w:pStyle w:val="NormalBold"/>
      </w:pPr>
      <w:r>
        <w:rPr>
          <w:rStyle w:val="HideTWBExt"/>
          <w:b w:val="0"/>
          <w:lang w:val="it-IT"/>
        </w:rPr>
        <w:t>&lt;RepeatBlock-By&gt;&lt;Members&gt;</w:t>
      </w:r>
      <w:r>
        <w:t>Jaume Asens Llodrà, Diana Riba i Giner</w:t>
      </w:r>
      <w:r>
        <w:rPr>
          <w:rStyle w:val="HideTWBExt"/>
          <w:b w:val="0"/>
          <w:lang w:val="it-IT"/>
        </w:rPr>
        <w:t>&lt;/Members&gt;</w:t>
      </w:r>
    </w:p>
    <w:p w:rsidR="00F931B6" w:rsidRPr="00BF159C" w:rsidRDefault="00F931B6" w:rsidP="00F931B6">
      <w:pPr>
        <w:pStyle w:val="NormalBold"/>
      </w:pPr>
      <w:r>
        <w:rPr>
          <w:rStyle w:val="HideTWBExt"/>
          <w:b w:val="0"/>
          <w:lang w:val="it-IT"/>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 točka 4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(4)</w:t>
            </w:r>
            <w:r>
              <w:tab/>
            </w:r>
            <w:r>
              <w:rPr>
                <w:b/>
                <w:i/>
              </w:rPr>
              <w:t>ker je špansko ustavno sodišče že odpravilo dvome o ustavnosti amnestije kot pravne kategorije v sodbah 63/1983, 147/1983 in 147/1986 v zvezi z zakonom o amnestiji iz leta 1977 (ki je bil revidiran leta 1984);</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Pr="00BF159C" w:rsidRDefault="00F931B6" w:rsidP="00F931B6">
      <w:pPr>
        <w:pStyle w:val="AmNumberTabs"/>
      </w:pPr>
      <w:r>
        <w:rPr>
          <w:rStyle w:val="HideTWBExt"/>
          <w:b w:val="0"/>
          <w:lang w:val="it-IT"/>
        </w:rPr>
        <w:t>&lt;Amend&gt;</w:t>
      </w:r>
      <w:r>
        <w:t>Predlog spremembe</w:t>
      </w:r>
      <w:r>
        <w:tab/>
      </w:r>
      <w:r>
        <w:tab/>
      </w:r>
      <w:r>
        <w:rPr>
          <w:rStyle w:val="HideTWBExt"/>
          <w:b w:val="0"/>
          <w:lang w:val="it-IT"/>
        </w:rPr>
        <w:t>&lt;NumAm&gt;</w:t>
      </w:r>
      <w:r>
        <w:t>216</w:t>
      </w:r>
      <w:r>
        <w:rPr>
          <w:rStyle w:val="HideTWBExt"/>
          <w:b w:val="0"/>
          <w:lang w:val="it-IT"/>
        </w:rPr>
        <w:t>&lt;/NumAm&gt;</w:t>
      </w:r>
    </w:p>
    <w:p w:rsidR="00F931B6" w:rsidRPr="00BF159C" w:rsidRDefault="00F931B6" w:rsidP="00F931B6">
      <w:pPr>
        <w:pStyle w:val="NormalBold"/>
      </w:pPr>
      <w:r>
        <w:rPr>
          <w:rStyle w:val="HideTWBExt"/>
          <w:b w:val="0"/>
          <w:lang w:val="it-IT"/>
        </w:rPr>
        <w:t>&lt;RepeatBlock-By&gt;&lt;Members&gt;</w:t>
      </w:r>
      <w:r>
        <w:t>Jaume Asens Llodrà, Diana Riba i Giner</w:t>
      </w:r>
      <w:r>
        <w:rPr>
          <w:rStyle w:val="HideTWBExt"/>
          <w:b w:val="0"/>
          <w:lang w:val="it-IT"/>
        </w:rPr>
        <w:t>&lt;/Members&gt;</w:t>
      </w:r>
    </w:p>
    <w:p w:rsidR="00F931B6" w:rsidRPr="00BF159C" w:rsidRDefault="00F931B6" w:rsidP="00F931B6">
      <w:pPr>
        <w:pStyle w:val="NormalBold"/>
      </w:pPr>
      <w:r>
        <w:rPr>
          <w:rStyle w:val="HideTWBExt"/>
          <w:b w:val="0"/>
          <w:lang w:val="it-IT"/>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 točka 5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(5)</w:t>
            </w:r>
            <w:r>
              <w:tab/>
            </w:r>
            <w:r>
              <w:rPr>
                <w:b/>
                <w:i/>
              </w:rPr>
              <w:t>svari, da je manj kot polovica ljudi, ki so zaprosili za amnestijo, prejela ugodno odločitev; poudarja, da sodišča skoraj niso ukrepala na lastno pobudo, da bi uporabila pravo; ugotavlja, da so prošnje za amnestijo v nekaterih primerih pripeljale do postopkovnih labirintov, deloma zaradi novosti zakona in deloma zaradi premajhne pripravljenosti za hitro reševanje zadev;</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Pr="00BF159C" w:rsidRDefault="00F931B6" w:rsidP="00F931B6">
      <w:pPr>
        <w:pStyle w:val="AmNumberTabs"/>
      </w:pPr>
      <w:r>
        <w:rPr>
          <w:rStyle w:val="HideTWBExt"/>
          <w:b w:val="0"/>
          <w:lang w:val="it-IT"/>
        </w:rPr>
        <w:t>&lt;Amend&gt;</w:t>
      </w:r>
      <w:r>
        <w:t>Predlog spremembe</w:t>
      </w:r>
      <w:r>
        <w:tab/>
      </w:r>
      <w:r>
        <w:tab/>
      </w:r>
      <w:r>
        <w:rPr>
          <w:rStyle w:val="HideTWBExt"/>
          <w:b w:val="0"/>
          <w:lang w:val="it-IT"/>
        </w:rPr>
        <w:t>&lt;NumAm&gt;</w:t>
      </w:r>
      <w:r>
        <w:t>217</w:t>
      </w:r>
      <w:r>
        <w:rPr>
          <w:rStyle w:val="HideTWBExt"/>
          <w:b w:val="0"/>
          <w:lang w:val="it-IT"/>
        </w:rPr>
        <w:t>&lt;/NumAm&gt;</w:t>
      </w:r>
    </w:p>
    <w:p w:rsidR="00F931B6" w:rsidRPr="00BF159C" w:rsidRDefault="00F931B6" w:rsidP="00F931B6">
      <w:pPr>
        <w:pStyle w:val="NormalBold"/>
      </w:pPr>
      <w:r>
        <w:rPr>
          <w:rStyle w:val="HideTWBExt"/>
          <w:b w:val="0"/>
          <w:lang w:val="it-IT"/>
        </w:rPr>
        <w:t>&lt;RepeatBlock-By&gt;&lt;Members&gt;</w:t>
      </w:r>
      <w:r>
        <w:t>Jaume Asens Llodrà, Diana Riba i Giner</w:t>
      </w:r>
      <w:r>
        <w:rPr>
          <w:rStyle w:val="HideTWBExt"/>
          <w:b w:val="0"/>
          <w:lang w:val="it-IT"/>
        </w:rPr>
        <w:t>&lt;/Members&gt;</w:t>
      </w:r>
    </w:p>
    <w:p w:rsidR="00F931B6" w:rsidRPr="00BF159C" w:rsidRDefault="00F931B6" w:rsidP="00F931B6">
      <w:pPr>
        <w:pStyle w:val="NormalBold"/>
      </w:pPr>
      <w:r>
        <w:rPr>
          <w:rStyle w:val="HideTWBExt"/>
          <w:b w:val="0"/>
          <w:lang w:val="it-IT"/>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 točka 6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(6)</w:t>
            </w:r>
            <w:r>
              <w:tab/>
            </w:r>
            <w:r>
              <w:rPr>
                <w:b/>
                <w:i/>
              </w:rPr>
              <w:t>obsoja, da sedem mesecev po začetku veljavnosti zakona še vedno ni rešena skoraj polovica prošenj za amnestijo, postopki pri 13 % prošenj so začasno ustavljeni, ker čakajo na odgovore na pravna vprašanja, predložena ustavnemu sodišču oziroma Sodišču Evropske unije, skoraj 15 % prošenj pa je bilo neposredno zavrnjenih, pogosto brez jasne utemeljitve ali na podlagi samovoljnih in ideoloških meril;</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218</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Isabel Serra Sánchez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3a.</w:t>
            </w:r>
            <w:r>
              <w:tab/>
            </w:r>
            <w:r>
              <w:rPr>
                <w:b/>
                <w:i/>
              </w:rPr>
              <w:t>poziva vse države članice, naj v skladu s priporočili Skupine držav proti korupciji (GRECO) in ob upoštevanju, da se takšni kodeksi uporabljajo na Evropskem sodišču za človekove pravice in Sodišču Evropske unije, sprejmejo kodeks ravnanja za sodnike ter naj vzpostavijo neodvisne mehanizme za preiskovanje domnevnih kršitev kodeksa ravnanja in drugih zakonov, izboljšajo razkrivanje in preglednost v primerih nasprotja interesov in daril, ki jih prejme sodstvo, obravnavajo vprašanje pojava vrtljivih vrat in od sodnikov zahtevajo, da javno obrazložijo svoje odločitve o izločitvi;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219</w:t>
      </w:r>
      <w:r>
        <w:rPr>
          <w:rStyle w:val="HideTWBExt"/>
          <w:b w:val="0"/>
        </w:rPr>
        <w:t>&lt;/NumAm&gt;</w:t>
      </w:r>
    </w:p>
    <w:p w:rsidR="00F931B6" w:rsidRPr="00444926" w:rsidRDefault="00F931B6" w:rsidP="00F931B6">
      <w:pPr>
        <w:pStyle w:val="NormalBold"/>
      </w:pPr>
      <w:r>
        <w:rPr>
          <w:rStyle w:val="HideTWBExt"/>
          <w:b w:val="0"/>
        </w:rPr>
        <w:t>&lt;RepeatBlock-By&gt;&lt;Members&gt;</w:t>
      </w:r>
      <w:r>
        <w:t>Marieke Ehlers, Jorge Buxadé Villalba, Tom Vandendriessche,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3a.</w:t>
            </w:r>
            <w:r>
              <w:tab/>
            </w:r>
            <w:r>
              <w:rPr>
                <w:b/>
                <w:i/>
              </w:rPr>
              <w:t>spodbuja države članice, naj okrepijo svoje zmogljivosti za učinkovit nadzor in izpodbijanje ukrepov Unije ter zagotovijo, da se bo pri vseh zakonodajnih pobudah spoštovalo ravnovesje moči med Unijo in njenimi državami članicami;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220</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Raquel García Hermida-Van Der Walle, Abir Al-Sahlani, Ana Catarina Mendes, 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3a.</w:t>
            </w:r>
            <w:r>
              <w:tab/>
            </w:r>
            <w:r>
              <w:rPr>
                <w:b/>
                <w:i/>
              </w:rPr>
              <w:t>poudarja, da bi moralo sistematično nespoštovanje zakonodaje EU kaznovati s konkretnimi denarnimi zneski, da bi zagotovili resnično odvračanje;</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221</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Isabel Serra Sánchez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3b.</w:t>
            </w:r>
            <w:r>
              <w:tab/>
            </w:r>
            <w:r>
              <w:rPr>
                <w:b/>
                <w:i/>
              </w:rPr>
              <w:t>je trdno prepričan, da je usposabljanje ključni element, ki zagotavlja neodvisnost sodnikov ter kakovost in učinkovitost pravosodnega sistem in da bi usposabljanje moralo biti večdisciplinarno, saj sodniki potrebujejo vsakodnevno znanje o novih področjih, kar pomaga odpreti sodniško miselnost za kulturno raznolikost in različne socialne okoliščine;  poziva države članice, naj sodnikom zagotovijo obvezna usposabljanja o enakosti spolov, diskriminaciji na podlagi spola, spolnem nasilju in metodah, ki upoštevajo vidik spola, ki jih lahko uporabijo v svoji praksi, ter o otrokovih pravicah in načelu otrokove koristi, da bi prispevale k vzpostavitvi otrokom prijaznega pravosodnega sistema;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222</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3b.</w:t>
            </w:r>
            <w:r>
              <w:tab/>
            </w:r>
            <w:r>
              <w:rPr>
                <w:b/>
                <w:i/>
              </w:rPr>
              <w:t xml:space="preserve">poziva države članice, naj dodelijo dovolj sredstev za pravosodni sistem, da bi lahko pravočasno reševal zadeve in da bi zmanjšali zaostanke; ugotavlja, da nezadostno financiranje in pomanjkanje osebja lahko ogrozi dostopnost in učinkovitost sodnih sistemov, kar zmanjšuje zaupanje v pravno državo; </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223</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Isabel Serra Sánchez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3c.</w:t>
            </w:r>
            <w:r>
              <w:tab/>
            </w:r>
            <w:r>
              <w:rPr>
                <w:b/>
                <w:i/>
              </w:rPr>
              <w:t>poudarja, da so na Madžarskem še vedno resni pomisleki glede neodvisnosti sodstva in poudarja, da madžarski pravosodni sistem ne izpolnjuje standarda neodvisnosti, določenega v Listini in PEU;</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224</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Isabel Serra Sánchez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3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3d.</w:t>
            </w:r>
            <w:r>
              <w:tab/>
            </w:r>
            <w:r>
              <w:rPr>
                <w:b/>
                <w:i/>
              </w:rPr>
              <w:t xml:space="preserve">opozarja, da se v poročilu Komisije o pravni državi za leto 2024 ugotavlja, da se politični vpliv na tožilstvo na Madžarskem še vedno izvaja, s tveganjem neupravičenega vmešavanja v posamezne primere, ter da je svoboda izražanja sodnikov še vedno po pritiskom in da se kampanje blatenja proti sodnikom nadaljujejo v medijih; </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225</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4.</w:t>
            </w:r>
            <w:r>
              <w:tab/>
              <w:t>pozdravlja revizijo direktive o pravicah žrtev</w:t>
            </w:r>
            <w:r>
              <w:rPr>
                <w:vertAlign w:val="superscript"/>
              </w:rPr>
              <w:t>38</w:t>
            </w:r>
            <w:r>
              <w:t>, da bi odpravili pravne vrzeli in žrtvam zagotovili dostop do pravnega varstva in podpore;</w:t>
            </w:r>
          </w:p>
        </w:tc>
        <w:tc>
          <w:tcPr>
            <w:tcW w:w="4876" w:type="dxa"/>
            <w:tcBorders>
              <w:top w:val="nil"/>
              <w:left w:val="nil"/>
              <w:bottom w:val="nil"/>
              <w:right w:val="nil"/>
            </w:tcBorders>
          </w:tcPr>
          <w:p w:rsidR="00F931B6" w:rsidRPr="00444926" w:rsidRDefault="00F931B6" w:rsidP="007C04AE">
            <w:pPr>
              <w:pStyle w:val="Normal6a"/>
            </w:pPr>
            <w:r>
              <w:t>4.</w:t>
            </w:r>
            <w:r>
              <w:tab/>
              <w:t>pozdravlja revizijo direktive o pravicah žrtev</w:t>
            </w:r>
            <w:r>
              <w:rPr>
                <w:vertAlign w:val="superscript"/>
              </w:rPr>
              <w:t>38</w:t>
            </w:r>
            <w:r>
              <w:t>, da bi odpravili pravne vrzeli in žrtvam zagotovili dostop do pravnega varstva in podpore</w:t>
            </w:r>
            <w:r>
              <w:rPr>
                <w:b/>
                <w:bCs/>
                <w:i/>
                <w:iCs/>
              </w:rPr>
              <w:t>, vključno z možnostmi za pregled odločitev v kazenskih postopkih v zvezi z žrtvami, določbami o podpori in zaščiti žrtev, dostopu do odškodnine ter učinkovitem zbiranju podatkov, boljši dodelitvi sredstev za spoštovanje pravic žrtev kaznivih dejanj ter spoštovanju njihove zasebnosti in varstvu njihovih osebnih podatkov, tudi za migrante brez dokumentov in prosilce za azil</w:t>
            </w:r>
            <w: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38</w:t>
            </w:r>
            <w:r>
              <w:t xml:space="preserve"> Direktiva 2012/29/EU Evropskega parlamenta in Sveta z dne 25. oktobra 2012 o določitvi minimalnih standardov na področju pravic, podpore in zaščite žrtev kaznivih dejanj ter o nadomestitvi Okvirnega sklepa Sveta 2001/220/PNZ (UL L 315, 14.11.2012, str. 57, ELI: http://data.europa.eu/eli/dir/2012/29/oj).</w:t>
            </w:r>
          </w:p>
        </w:tc>
        <w:tc>
          <w:tcPr>
            <w:tcW w:w="4876" w:type="dxa"/>
            <w:tcBorders>
              <w:top w:val="nil"/>
              <w:left w:val="nil"/>
              <w:bottom w:val="nil"/>
              <w:right w:val="nil"/>
            </w:tcBorders>
          </w:tcPr>
          <w:p w:rsidR="00F931B6" w:rsidRPr="00444926" w:rsidRDefault="00F931B6" w:rsidP="007C04AE">
            <w:pPr>
              <w:pStyle w:val="Normal6a"/>
            </w:pPr>
            <w:r>
              <w:rPr>
                <w:vertAlign w:val="superscript"/>
              </w:rPr>
              <w:t>38</w:t>
            </w:r>
            <w:r>
              <w:t xml:space="preserve"> Direktiva 2012/29/EU Evropskega parlamenta in Sveta z dne 25. oktobra 2012 o določitvi minimalnih standardov na področju pravic, podpore in zaščite žrtev kaznivih dejanj ter o nadomestitvi Okvirnega sklepa Sveta 2001/220/PNZ (UL L 315, 14.11.2012, str. 57, ELI: http://data.europa.eu/eli/dir/2012/29/oj).</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Default="00F931B6" w:rsidP="00F931B6">
      <w:pPr>
        <w:pStyle w:val="AmNumberTabs"/>
      </w:pPr>
      <w:r>
        <w:rPr>
          <w:rStyle w:val="HideTWBExt"/>
        </w:rPr>
        <w:t>&lt;Amend&gt;</w:t>
      </w:r>
      <w:r>
        <w:t>Predlog spremembe</w:t>
      </w:r>
      <w:r>
        <w:tab/>
      </w:r>
      <w:r>
        <w:tab/>
      </w:r>
      <w:r>
        <w:rPr>
          <w:rStyle w:val="HideTWBExt"/>
        </w:rPr>
        <w:t>&lt;NumAm&gt;</w:t>
      </w:r>
      <w:r>
        <w:t>226</w:t>
      </w:r>
      <w:r>
        <w:rPr>
          <w:rStyle w:val="HideTWBExt"/>
        </w:rPr>
        <w:t>&lt;/NumAm&gt;</w:t>
      </w:r>
    </w:p>
    <w:p w:rsidR="00F931B6" w:rsidRDefault="00F931B6" w:rsidP="00F931B6">
      <w:pPr>
        <w:pStyle w:val="NormalBold"/>
      </w:pPr>
      <w:r>
        <w:rPr>
          <w:rStyle w:val="HideTWBExt"/>
          <w:b w:val="0"/>
        </w:rPr>
        <w:t>&lt;RepeatBlock-By&gt;&lt;Members&gt;</w:t>
      </w:r>
      <w:r>
        <w:t>Alessandro Ciriani, Paolo Inselvini</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t>4.</w:t>
            </w:r>
            <w:r>
              <w:tab/>
              <w:t>pozdravlja revizijo direktive o pravicah žrtev</w:t>
            </w:r>
            <w:r>
              <w:rPr>
                <w:vertAlign w:val="superscript"/>
              </w:rPr>
              <w:t>38</w:t>
            </w:r>
            <w:r>
              <w:t xml:space="preserve">, da bi odpravili pravne vrzeli </w:t>
            </w:r>
            <w:r>
              <w:rPr>
                <w:b/>
                <w:i/>
              </w:rPr>
              <w:t xml:space="preserve">in žrtvam </w:t>
            </w:r>
            <w:r>
              <w:t>zagotovili</w:t>
            </w:r>
            <w:r>
              <w:rPr>
                <w:b/>
                <w:i/>
              </w:rPr>
              <w:t xml:space="preserve"> dostop do pravnega varstva</w:t>
            </w:r>
            <w:r>
              <w:t xml:space="preserve"> in podpore;</w:t>
            </w:r>
          </w:p>
        </w:tc>
        <w:tc>
          <w:tcPr>
            <w:tcW w:w="4876" w:type="dxa"/>
            <w:tcBorders>
              <w:top w:val="nil"/>
              <w:left w:val="nil"/>
              <w:bottom w:val="nil"/>
              <w:right w:val="nil"/>
            </w:tcBorders>
          </w:tcPr>
          <w:p w:rsidR="00F931B6" w:rsidRDefault="00F931B6" w:rsidP="007C04AE">
            <w:pPr>
              <w:pStyle w:val="Normal6a"/>
            </w:pPr>
            <w:r>
              <w:t>4.</w:t>
            </w:r>
            <w:r>
              <w:tab/>
              <w:t>pozdravlja revizijo direktive o pravicah žrtev</w:t>
            </w:r>
            <w:r>
              <w:rPr>
                <w:vertAlign w:val="superscript"/>
              </w:rPr>
              <w:t>38</w:t>
            </w:r>
            <w:r>
              <w:t xml:space="preserve">, da bi odpravili pravne vrzeli </w:t>
            </w:r>
            <w:r>
              <w:rPr>
                <w:b/>
                <w:i/>
              </w:rPr>
              <w:t xml:space="preserve">ter </w:t>
            </w:r>
            <w:r>
              <w:t xml:space="preserve">zagotovili </w:t>
            </w:r>
            <w:r>
              <w:rPr>
                <w:b/>
                <w:i/>
              </w:rPr>
              <w:t xml:space="preserve">izboljšanje zaščite </w:t>
            </w:r>
            <w:r>
              <w:t>in podpore</w:t>
            </w:r>
            <w:r>
              <w:rPr>
                <w:b/>
                <w:i/>
              </w:rPr>
              <w:t xml:space="preserve"> žrtvam po vsej EU</w:t>
            </w:r>
            <w:r>
              <w:t xml:space="preserve">; </w:t>
            </w:r>
            <w:r>
              <w:rPr>
                <w:b/>
                <w:i/>
              </w:rPr>
              <w:t>upoštevati je treba zapletenost nacionalne zakonodaje, da bi zagotovili, da bodo spremembe dejansko izvedljive in da bodo ponudile oprijemljivo podporo milijonom žrtev kaznivih dejanj po vsej EU;</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b/>
                <w:i/>
              </w:rPr>
              <w:t>_________________</w:t>
            </w:r>
          </w:p>
        </w:tc>
        <w:tc>
          <w:tcPr>
            <w:tcW w:w="4876" w:type="dxa"/>
            <w:tcBorders>
              <w:top w:val="nil"/>
              <w:left w:val="nil"/>
              <w:bottom w:val="nil"/>
              <w:right w:val="nil"/>
            </w:tcBorders>
          </w:tcPr>
          <w:p w:rsidR="00F931B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vertAlign w:val="superscript"/>
              </w:rPr>
              <w:t>38</w:t>
            </w:r>
            <w:r>
              <w:t xml:space="preserve"> Direktiva 2012/29/EU Evropskega parlamenta in Sveta z dne 25. oktobra 2012 o določitvi minimalnih standardov na področju pravic, podpore in zaščite žrtev kaznivih dejanj ter o nadomestitvi Okvirnega sklepa Sveta 2001/220/PNZ (UL L 315, 14.11.2012, str. 57, ELI: http://data.europa.eu/eli/dir/2012/29/oj).</w:t>
            </w:r>
          </w:p>
        </w:tc>
        <w:tc>
          <w:tcPr>
            <w:tcW w:w="4876" w:type="dxa"/>
            <w:tcBorders>
              <w:top w:val="nil"/>
              <w:left w:val="nil"/>
              <w:bottom w:val="nil"/>
              <w:right w:val="nil"/>
            </w:tcBorders>
          </w:tcPr>
          <w:p w:rsidR="00F931B6" w:rsidRDefault="00F931B6" w:rsidP="007C04AE">
            <w:pPr>
              <w:pStyle w:val="Normal6a"/>
            </w:pPr>
            <w:r>
              <w:rPr>
                <w:vertAlign w:val="superscript"/>
              </w:rPr>
              <w:t>38</w:t>
            </w:r>
            <w:r>
              <w:t xml:space="preserve"> Direktiva 2012/29/EU Evropskega parlamenta in Sveta z dne 25. oktobra 2012 o določitvi minimalnih standardov na področju pravic, podpore in zaščite žrtev kaznivih dejanj ter o nadomestitvi Okvirnega sklepa Sveta 2001/220/PNZ (UL L 315, 14.11.2012, str. 57, ELI: http://data.europa.eu/eli/dir/2012/29/oj).</w:t>
            </w:r>
          </w:p>
        </w:tc>
      </w:tr>
    </w:tbl>
    <w:p w:rsidR="00F931B6" w:rsidRDefault="00F931B6" w:rsidP="00F931B6">
      <w:pPr>
        <w:pStyle w:val="AmOrLang"/>
      </w:pPr>
      <w:r>
        <w:t xml:space="preserve">Or. </w:t>
      </w:r>
      <w:r>
        <w:rPr>
          <w:rStyle w:val="HideTWBExt"/>
        </w:rPr>
        <w:t>&lt;Original&gt;</w:t>
      </w:r>
      <w:r>
        <w:rPr>
          <w:rStyle w:val="HideTWBInt"/>
        </w:rPr>
        <w:t>{IT}</w:t>
      </w:r>
      <w:r>
        <w:t>it</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227</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4.</w:t>
            </w:r>
            <w:r>
              <w:tab/>
              <w:t>pozdravlja revizijo direktive o pravicah žrtev</w:t>
            </w:r>
            <w:r>
              <w:rPr>
                <w:vertAlign w:val="superscript"/>
              </w:rPr>
              <w:t>38</w:t>
            </w:r>
            <w:r>
              <w:t>, da bi odpravili pravne vrzeli in žrtvam zagotovili dostop do pravnega varstva in podpore;</w:t>
            </w:r>
          </w:p>
        </w:tc>
        <w:tc>
          <w:tcPr>
            <w:tcW w:w="4876" w:type="dxa"/>
            <w:tcBorders>
              <w:top w:val="nil"/>
              <w:left w:val="nil"/>
              <w:bottom w:val="nil"/>
              <w:right w:val="nil"/>
            </w:tcBorders>
          </w:tcPr>
          <w:p w:rsidR="00F931B6" w:rsidRPr="00444926" w:rsidRDefault="00F931B6" w:rsidP="007C04AE">
            <w:pPr>
              <w:pStyle w:val="Normal6a"/>
            </w:pPr>
            <w:r>
              <w:t>4.</w:t>
            </w:r>
            <w:r>
              <w:tab/>
              <w:t>pozdravlja revizijo direktive o pravicah žrtev</w:t>
            </w:r>
            <w:r>
              <w:rPr>
                <w:vertAlign w:val="superscript"/>
              </w:rPr>
              <w:t>38</w:t>
            </w:r>
            <w:r>
              <w:t xml:space="preserve">, da bi odpravili pravne vrzeli in žrtvam zagotovili dostop do pravnega varstva in podpore; </w:t>
            </w:r>
            <w:r>
              <w:rPr>
                <w:b/>
                <w:i/>
              </w:rPr>
              <w:t>v zvezi s tem poudarja, da bi morale države članice preprečiti poveličevanje kaznivih dejanj in obsojenih storilcev kaznivih dejanj, da se zaščiti dostojanstvo žrtev;</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38</w:t>
            </w:r>
            <w:r>
              <w:t xml:space="preserve"> Direktiva 2012/29/EU Evropskega parlamenta in Sveta z dne 25. oktobra 2012 o določitvi minimalnih standardov na področju pravic, podpore in zaščite žrtev kaznivih dejanj ter o nadomestitvi Okvirnega sklepa Sveta 2001/220/PNZ (UL L 315, 14.11.2012, str. 57, ELI: http://data.europa.eu/eli/dir/2012/29/oj).</w:t>
            </w:r>
          </w:p>
        </w:tc>
        <w:tc>
          <w:tcPr>
            <w:tcW w:w="4876" w:type="dxa"/>
            <w:tcBorders>
              <w:top w:val="nil"/>
              <w:left w:val="nil"/>
              <w:bottom w:val="nil"/>
              <w:right w:val="nil"/>
            </w:tcBorders>
          </w:tcPr>
          <w:p w:rsidR="00F931B6" w:rsidRPr="00444926" w:rsidRDefault="00F931B6" w:rsidP="007C04AE">
            <w:pPr>
              <w:pStyle w:val="Normal6a"/>
            </w:pPr>
            <w:r>
              <w:rPr>
                <w:vertAlign w:val="superscript"/>
              </w:rPr>
              <w:t>38</w:t>
            </w:r>
            <w:r>
              <w:t xml:space="preserve"> Direktiva 2012/29/EU Evropskega parlamenta in Sveta z dne 25. oktobra 2012 o določitvi minimalnih standardov na področju pravic, podpore in zaščite žrtev kaznivih dejanj ter o nadomestitvi Okvirnega sklepa Sveta 2001/220/PNZ (UL L 315, 14.11.2012, str. 57, ELI: http://data.europa.eu/eli/dir/2012/29/oj).</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228</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Michał Wawrykiewicz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4.</w:t>
            </w:r>
            <w:r>
              <w:tab/>
              <w:t>pozdravlja revizijo direktive o pravicah žrtev</w:t>
            </w:r>
            <w:r>
              <w:rPr>
                <w:vertAlign w:val="superscript"/>
              </w:rPr>
              <w:t>38</w:t>
            </w:r>
            <w:r>
              <w:t>, da bi odpravili pravne vrzeli in žrtvam zagotovili dostop do pravnega varstva in podpore;</w:t>
            </w:r>
          </w:p>
        </w:tc>
        <w:tc>
          <w:tcPr>
            <w:tcW w:w="4876" w:type="dxa"/>
            <w:tcBorders>
              <w:top w:val="nil"/>
              <w:left w:val="nil"/>
              <w:bottom w:val="nil"/>
              <w:right w:val="nil"/>
            </w:tcBorders>
          </w:tcPr>
          <w:p w:rsidR="00F931B6" w:rsidRPr="00444926" w:rsidRDefault="00F931B6" w:rsidP="007C04AE">
            <w:pPr>
              <w:pStyle w:val="Normal6a"/>
            </w:pPr>
            <w:r>
              <w:t>4.</w:t>
            </w:r>
            <w:r>
              <w:tab/>
              <w:t>pozdravlja revizijo direktive o pravicah žrtev</w:t>
            </w:r>
            <w:r>
              <w:rPr>
                <w:vertAlign w:val="superscript"/>
              </w:rPr>
              <w:t>38</w:t>
            </w:r>
            <w:r>
              <w:t xml:space="preserve">, da bi odpravili pravne vrzeli in žrtvam zagotovili dostop do pravnega varstva in podpore; </w:t>
            </w:r>
            <w:r>
              <w:rPr>
                <w:b/>
                <w:i/>
              </w:rPr>
              <w:t xml:space="preserve">pričakuje, da bodo sozakonodajalci našli rešitve, pri katerih bodo žrtve v središču; </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38</w:t>
            </w:r>
            <w:r>
              <w:t xml:space="preserve"> Direktiva 2012/29/EU Evropskega parlamenta in Sveta z dne 25. oktobra 2012 o določitvi minimalnih standardov na področju pravic, podpore in zaščite žrtev kaznivih dejanj ter o nadomestitvi Okvirnega sklepa Sveta 2001/220/PNZ (UL L 315, 14.11.2012, str. 57, ELI: http://data.europa.eu/eli/dir/2012/29/oj).</w:t>
            </w:r>
          </w:p>
        </w:tc>
        <w:tc>
          <w:tcPr>
            <w:tcW w:w="4876" w:type="dxa"/>
            <w:tcBorders>
              <w:top w:val="nil"/>
              <w:left w:val="nil"/>
              <w:bottom w:val="nil"/>
              <w:right w:val="nil"/>
            </w:tcBorders>
          </w:tcPr>
          <w:p w:rsidR="00F931B6" w:rsidRPr="00444926" w:rsidRDefault="00F931B6" w:rsidP="007C04AE">
            <w:pPr>
              <w:pStyle w:val="Normal6a"/>
            </w:pPr>
            <w:r>
              <w:rPr>
                <w:vertAlign w:val="superscript"/>
              </w:rPr>
              <w:t>38</w:t>
            </w:r>
            <w:r>
              <w:t xml:space="preserve"> Direktiva 2012/29/EU Evropskega parlamenta in Sveta z dne 25. oktobra 2012 o določitvi minimalnih standardov na področju pravic, podpore in zaščite žrtev kaznivih dejanj ter o nadomestitvi Okvirnega sklepa Sveta 2001/220/PNZ (UL L 315, 14.11.2012, str. 57, ELI: http://data.europa.eu/eli/dir/2012/29/oj).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229</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4.</w:t>
            </w:r>
            <w:r>
              <w:tab/>
              <w:t>pozdravlja revizijo direktive o pravicah žrtev</w:t>
            </w:r>
            <w:r>
              <w:rPr>
                <w:vertAlign w:val="superscript"/>
              </w:rPr>
              <w:t>38</w:t>
            </w:r>
            <w:r>
              <w:t xml:space="preserve">, da bi </w:t>
            </w:r>
            <w:r>
              <w:rPr>
                <w:b/>
                <w:i/>
              </w:rPr>
              <w:t>odpravili pravne vrzeli in</w:t>
            </w:r>
            <w:r>
              <w:t xml:space="preserve"> žrtvam zagotovili dostop do pravnega varstva in podpore;</w:t>
            </w:r>
          </w:p>
        </w:tc>
        <w:tc>
          <w:tcPr>
            <w:tcW w:w="4876" w:type="dxa"/>
            <w:tcBorders>
              <w:top w:val="nil"/>
              <w:left w:val="nil"/>
              <w:bottom w:val="nil"/>
              <w:right w:val="nil"/>
            </w:tcBorders>
          </w:tcPr>
          <w:p w:rsidR="00F931B6" w:rsidRPr="00444926" w:rsidRDefault="00F931B6" w:rsidP="007C04AE">
            <w:pPr>
              <w:pStyle w:val="Normal6a"/>
            </w:pPr>
            <w:r>
              <w:t>4.</w:t>
            </w:r>
            <w:r>
              <w:tab/>
              <w:t>pozdravlja revizijo direktive o pravicah žrtev</w:t>
            </w:r>
            <w:r>
              <w:rPr>
                <w:vertAlign w:val="superscript"/>
              </w:rPr>
              <w:t>38</w:t>
            </w:r>
            <w:r>
              <w:t>, da bi žrtvam zagotovili dostop do pravnega varstva in podpore;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38</w:t>
            </w:r>
            <w:r>
              <w:t xml:space="preserve"> Direktiva 2012/29/EU Evropskega parlamenta in Sveta z dne 25. oktobra 2012 o določitvi minimalnih standardov na področju pravic, podpore in zaščite žrtev kaznivih dejanj ter o nadomestitvi Okvirnega sklepa Sveta 2001/220/PNZ (UL L 315, 14.11.2012, str. 57, ELI: http://data.europa.eu/eli/dir/2012/29/oj).</w:t>
            </w:r>
          </w:p>
        </w:tc>
        <w:tc>
          <w:tcPr>
            <w:tcW w:w="4876" w:type="dxa"/>
            <w:tcBorders>
              <w:top w:val="nil"/>
              <w:left w:val="nil"/>
              <w:bottom w:val="nil"/>
              <w:right w:val="nil"/>
            </w:tcBorders>
          </w:tcPr>
          <w:p w:rsidR="00F931B6" w:rsidRPr="00444926" w:rsidRDefault="00F931B6" w:rsidP="007C04AE">
            <w:pPr>
              <w:pStyle w:val="Normal6a"/>
            </w:pPr>
            <w:r>
              <w:rPr>
                <w:vertAlign w:val="superscript"/>
              </w:rPr>
              <w:t>38</w:t>
            </w:r>
            <w:r>
              <w:t xml:space="preserve"> Direktiva 2012/29/EU Evropskega parlamenta in Sveta z dne 25. oktobra 2012 o določitvi minimalnih standardov na področju pravic, podpore in zaščite žrtev kaznivih dejanj ter o nadomestitvi Okvirnega sklepa Sveta 2001/220/PNZ (UL L 315, 14.11.2012, str. 57, ELI: http://data.europa.eu/eli/dir/2012/29/oj).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230</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5.</w:t>
            </w:r>
            <w:r>
              <w:tab/>
              <w:t>ponovno poziva Komisijo, naj čim prej zaključi pogajanja o članstvu EU v Skupini držav proti korupciji (GRECO) pri Svetu Evrope</w:t>
            </w:r>
            <w:r>
              <w:rPr>
                <w:b/>
                <w:i/>
              </w:rPr>
              <w:t>, in</w:t>
            </w:r>
            <w:r>
              <w:t xml:space="preserve"> zahteva, da letno poročilo o stanju pravne države zajema institucije EU;</w:t>
            </w:r>
          </w:p>
        </w:tc>
        <w:tc>
          <w:tcPr>
            <w:tcW w:w="4876" w:type="dxa"/>
            <w:tcBorders>
              <w:top w:val="nil"/>
              <w:left w:val="nil"/>
              <w:bottom w:val="nil"/>
              <w:right w:val="nil"/>
            </w:tcBorders>
          </w:tcPr>
          <w:p w:rsidR="00F931B6" w:rsidRPr="00444926" w:rsidRDefault="00F931B6" w:rsidP="007C04AE">
            <w:pPr>
              <w:pStyle w:val="Normal6a"/>
            </w:pPr>
            <w:r>
              <w:t>5.</w:t>
            </w:r>
            <w:r>
              <w:tab/>
              <w:t>ponovno poziva Komisijo, naj čim prej zaključi pogajanja o članstvu EU v Skupini držav proti korupciji (GRECO) pri Svetu Evrope</w:t>
            </w:r>
            <w:r>
              <w:rPr>
                <w:b/>
                <w:i/>
              </w:rPr>
              <w:t>; glede na nedavne škandale priznava, da nobena institucija EU ni brez korupcije;</w:t>
            </w:r>
            <w:r>
              <w:t xml:space="preserve"> zahteva, da letno poročilo o stanju pravne države zajema institucije EU</w:t>
            </w:r>
            <w:r>
              <w:rPr>
                <w:b/>
                <w:i/>
              </w:rPr>
              <w:t>, zlasti kar zadeva korupcijo, zlorabo pooblastil, lobiranje, favoriziranje izbranih držav ali podjetij in nesprejemljivo ideološko pristranskost</w:t>
            </w:r>
            <w:r>
              <w:t xml:space="preserve">; </w:t>
            </w:r>
            <w:r>
              <w:rPr>
                <w:b/>
                <w:i/>
              </w:rPr>
              <w:t>spodbuja preiskovalne novinarje in civilno družbo, naj še podrobneje nadzorujejo delovanje institucij EU; poziva institucije EU, naj vzpostavijo verodostojen mehanizem za žvižgače, ki prijavijo nepravilnosti pri delovanju institucij EU;</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231</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5.</w:t>
            </w:r>
            <w:r>
              <w:tab/>
            </w:r>
            <w:r>
              <w:rPr>
                <w:b/>
                <w:bCs/>
                <w:i/>
                <w:iCs/>
              </w:rPr>
              <w:t>ponovno poziva Komisijo, naj čim prej zaključi pogajanja o članstvu EU v Skupini držav proti korupciji (GRECO) pri Svetu Evrope, in</w:t>
            </w:r>
            <w:r>
              <w:t xml:space="preserve"> zahteva, da letno poročilo o stanju pravne države zajema institucije EU;</w:t>
            </w:r>
          </w:p>
        </w:tc>
        <w:tc>
          <w:tcPr>
            <w:tcW w:w="4876" w:type="dxa"/>
            <w:tcBorders>
              <w:top w:val="nil"/>
              <w:left w:val="nil"/>
              <w:bottom w:val="nil"/>
              <w:right w:val="nil"/>
            </w:tcBorders>
          </w:tcPr>
          <w:p w:rsidR="00F931B6" w:rsidRPr="00444926" w:rsidRDefault="00F931B6" w:rsidP="007C04AE">
            <w:pPr>
              <w:pStyle w:val="Normal6a"/>
            </w:pPr>
            <w:r>
              <w:t>5.</w:t>
            </w:r>
            <w:r>
              <w:tab/>
              <w:t>zahteva, da letno poročilo o stanju pravne države zajema institucije EU;</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232</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5.</w:t>
            </w:r>
            <w:r>
              <w:tab/>
            </w:r>
            <w:r>
              <w:rPr>
                <w:b/>
                <w:i/>
              </w:rPr>
              <w:t>ponovno poziva Komisijo, naj čim prej zaključi pogajanja o članstvu EU v Skupini držav proti korupciji (GRECO) pri Svetu Evrope, in</w:t>
            </w:r>
            <w:r>
              <w:t xml:space="preserve"> zahteva, da letno poročilo o stanju pravne države zajema institucije EU;</w:t>
            </w:r>
          </w:p>
        </w:tc>
        <w:tc>
          <w:tcPr>
            <w:tcW w:w="4876" w:type="dxa"/>
            <w:tcBorders>
              <w:top w:val="nil"/>
              <w:left w:val="nil"/>
              <w:bottom w:val="nil"/>
              <w:right w:val="nil"/>
            </w:tcBorders>
          </w:tcPr>
          <w:p w:rsidR="00F931B6" w:rsidRPr="00444926" w:rsidRDefault="00F931B6" w:rsidP="007C04AE">
            <w:pPr>
              <w:pStyle w:val="Normal6a"/>
            </w:pPr>
            <w:r>
              <w:t>5.</w:t>
            </w:r>
            <w:r>
              <w:tab/>
              <w:t xml:space="preserve">zahteva, da letno poročilo o stanju pravne države zajema </w:t>
            </w:r>
            <w:r>
              <w:rPr>
                <w:b/>
                <w:i/>
              </w:rPr>
              <w:t>vse</w:t>
            </w:r>
            <w:r>
              <w:t xml:space="preserve"> institucije EU </w:t>
            </w:r>
            <w:r>
              <w:rPr>
                <w:b/>
                <w:i/>
              </w:rPr>
              <w:t>in njihove dejavnosti</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233</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5.</w:t>
            </w:r>
            <w:r>
              <w:tab/>
              <w:t xml:space="preserve">ponovno poziva Komisijo, naj </w:t>
            </w:r>
            <w:r>
              <w:rPr>
                <w:b/>
                <w:bCs/>
                <w:i/>
                <w:iCs/>
              </w:rPr>
              <w:t xml:space="preserve">čim prej </w:t>
            </w:r>
            <w:r>
              <w:t>zaključi pogajanja o članstvu EU v Skupini držav proti korupciji (GRECO) pri Svetu Evrope, in zahteva, da letno poročilo o stanju pravne države zajema institucije EU;</w:t>
            </w:r>
          </w:p>
        </w:tc>
        <w:tc>
          <w:tcPr>
            <w:tcW w:w="4876" w:type="dxa"/>
            <w:tcBorders>
              <w:top w:val="nil"/>
              <w:left w:val="nil"/>
              <w:bottom w:val="nil"/>
              <w:right w:val="nil"/>
            </w:tcBorders>
          </w:tcPr>
          <w:p w:rsidR="00F931B6" w:rsidRPr="00444926" w:rsidRDefault="00F931B6" w:rsidP="007C04AE">
            <w:pPr>
              <w:pStyle w:val="Normal6a"/>
            </w:pPr>
            <w:r>
              <w:t>5.</w:t>
            </w:r>
            <w:r>
              <w:tab/>
              <w:t xml:space="preserve">ponovno poziva Komisijo, naj </w:t>
            </w:r>
            <w:r>
              <w:rPr>
                <w:b/>
                <w:bCs/>
                <w:i/>
                <w:iCs/>
              </w:rPr>
              <w:t>nemudoma</w:t>
            </w:r>
            <w:r>
              <w:t xml:space="preserve"> zaključi pogajanja o članstvu EU v Skupini držav proti korupciji (GRECO) pri Svetu Evrope, in zahteva, da letno poročilo o stanju pravne države zajema institucije EU;</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234</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Chloé Ridel, Abir Al-Sahlani, Fabienne Keller, Lucia Yar, Irena Joveva, Daniel Freund</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5a.</w:t>
            </w:r>
            <w:r>
              <w:tab/>
            </w:r>
            <w:r>
              <w:rPr>
                <w:b/>
                <w:i/>
              </w:rPr>
              <w:t>poziva države članice, naj sprejmejo, posodabljajo, spremljajo, izvajajo in revidirajo svoje nacionalne protikorupcijske strategije, da bi se ukrepi proti korupciji vključili v vse ustrezne sektorje politike; opozarja na pomen sodelovanja med nacionalnimi organi i</w:t>
            </w:r>
            <w:r>
              <w:rPr>
                <w:b/>
                <w:i/>
              </w:rPr>
              <w:t xml:space="preserve">n Evropskim javnim tožilstvom;  </w:t>
            </w:r>
            <w:r>
              <w:rPr>
                <w:b/>
                <w:i/>
              </w:rPr>
              <w:t xml:space="preserve">priporoča, da države članice, ki ne sodelujejo v EJT, niso upravičene do neposrednega upravljanja sredstev; </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235</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5a.</w:t>
            </w:r>
            <w:r>
              <w:tab/>
            </w:r>
            <w:r>
              <w:rPr>
                <w:b/>
                <w:i/>
              </w:rPr>
              <w:t>poziva vse države članice, naj v skladu s priporočili Skupine držav proti korupciji (GRECO) in ob upoštevanju, da se taki kodeksi uporabljajo na Evropskem sodišču za človekove pravice, sprejmejo kodeks ravnanja za sodnike;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236</w:t>
      </w:r>
      <w:r>
        <w:rPr>
          <w:rStyle w:val="HideTWBExt"/>
          <w:b w:val="0"/>
        </w:rPr>
        <w:t>&lt;/NumAm&gt;</w:t>
      </w:r>
    </w:p>
    <w:p w:rsidR="00F931B6" w:rsidRPr="00444926" w:rsidRDefault="00F931B6" w:rsidP="00F931B6">
      <w:pPr>
        <w:pStyle w:val="NormalBold"/>
      </w:pPr>
      <w:r>
        <w:rPr>
          <w:rStyle w:val="HideTWBExt"/>
          <w:b w:val="0"/>
        </w:rPr>
        <w:t>&lt;RepeatBlock-By&gt;&lt;Members&gt;</w:t>
      </w:r>
      <w:r>
        <w:t>Javier Zarzalejos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5a.</w:t>
            </w:r>
            <w:r>
              <w:tab/>
            </w:r>
            <w:r>
              <w:rPr>
                <w:b/>
                <w:i/>
              </w:rPr>
              <w:t>meni, da pravne reforme „ad hominem“ kršijo temeljna načela pravne države, kot sta enakost pred zakonom in neodvisnost sodstva;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237</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5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5b.</w:t>
            </w:r>
            <w:r>
              <w:tab/>
            </w:r>
            <w:r>
              <w:rPr>
                <w:b/>
                <w:i/>
              </w:rPr>
              <w:t xml:space="preserve">ponovno poudarja, da korupcija resno ogroža demokracijo, temeljne pravice in pravno državo; poudarja, da korupcija zmanjšuje zaupanje državljanov v javne institucije; obžaluje, da je raziskava Evrobarometer o korupciji iz leta 2024 pokazala, da korupcija še vedno resno skrbi državljane in podjetja EU, saj 68 % Evropejcev meni, da je korupcija v njihovi državi zelo razširjena, 65 % jih verjame, da se primeri korupcije na visoki ravni ne obravnavajo v zadostni meri, 41 % pa jih verjame, da se je raven korupcije zvišala; ponovno poziva EU, naj si bolj prizadeva za boj proti korupciji; </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238</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Chloé Ridel, Abir Al-Sahlani, Fabienne Keller, Lucia Yar, Irena Joveva, Isabel Wiseler-Lima</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5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5b.</w:t>
            </w:r>
            <w:r>
              <w:tab/>
            </w:r>
            <w:r>
              <w:rPr>
                <w:b/>
                <w:i/>
              </w:rPr>
              <w:t>poziva evropske organe, kot so Europol, Eurojust, Evropsko računsko sodišče, Evropsko javno tožilstvo in Evropski urad za boj proti goljufijam, naj tesneje sodelujejo;</w:t>
            </w:r>
          </w:p>
        </w:tc>
      </w:tr>
    </w:tbl>
    <w:p w:rsidR="00F931B6" w:rsidRPr="00BF159C" w:rsidRDefault="00F931B6" w:rsidP="00F931B6">
      <w:pPr>
        <w:pStyle w:val="AmOrLang"/>
        <w:rPr>
          <w:lang w:val="sv-SE"/>
        </w:rPr>
      </w:pPr>
      <w:r w:rsidRPr="00BF159C">
        <w:rPr>
          <w:lang w:val="sv-SE"/>
        </w:rPr>
        <w:t xml:space="preserve">Or. </w:t>
      </w:r>
      <w:r w:rsidRPr="00BF159C">
        <w:rPr>
          <w:rStyle w:val="HideTWBExt"/>
          <w:lang w:val="sv-SE"/>
        </w:rPr>
        <w:t>&lt;Original&gt;</w:t>
      </w:r>
      <w:r w:rsidRPr="00BF159C">
        <w:rPr>
          <w:rStyle w:val="HideTWBInt"/>
          <w:lang w:val="sv-SE"/>
        </w:rPr>
        <w:t>{EN}</w:t>
      </w:r>
      <w:r w:rsidRPr="00BF159C">
        <w:rPr>
          <w:lang w:val="sv-SE"/>
        </w:rPr>
        <w:t>en</w:t>
      </w:r>
      <w:r w:rsidRPr="00BF159C">
        <w:rPr>
          <w:rStyle w:val="HideTWBExt"/>
          <w:lang w:val="sv-SE"/>
        </w:rPr>
        <w:t>&lt;/Original&gt;</w:t>
      </w:r>
    </w:p>
    <w:p w:rsidR="00F931B6" w:rsidRPr="00BF159C" w:rsidRDefault="00F931B6" w:rsidP="00F931B6">
      <w:r>
        <w:rPr>
          <w:rStyle w:val="HideTWBExt"/>
          <w:lang w:val="sv-SE"/>
        </w:rPr>
        <w:t>&lt;/Amend&gt;</w:t>
      </w:r>
    </w:p>
    <w:p w:rsidR="00F931B6" w:rsidRPr="00BF159C" w:rsidRDefault="00F931B6" w:rsidP="00F931B6">
      <w:pPr>
        <w:pStyle w:val="AmNumberTabs"/>
      </w:pPr>
      <w:r>
        <w:rPr>
          <w:rStyle w:val="HideTWBExt"/>
          <w:b w:val="0"/>
          <w:lang w:val="sv-SE"/>
        </w:rPr>
        <w:t>&lt;Amend&gt;</w:t>
      </w:r>
      <w:r>
        <w:t>Predlog spremembe</w:t>
      </w:r>
      <w:r>
        <w:tab/>
      </w:r>
      <w:r>
        <w:tab/>
      </w:r>
      <w:r>
        <w:rPr>
          <w:rStyle w:val="HideTWBExt"/>
          <w:b w:val="0"/>
          <w:lang w:val="sv-SE"/>
        </w:rPr>
        <w:t>&lt;NumAm&gt;</w:t>
      </w:r>
      <w:r>
        <w:t>239</w:t>
      </w:r>
      <w:r>
        <w:rPr>
          <w:rStyle w:val="HideTWBExt"/>
          <w:b w:val="0"/>
          <w:lang w:val="sv-SE"/>
        </w:rPr>
        <w:t>&lt;/NumAm&gt;</w:t>
      </w:r>
    </w:p>
    <w:p w:rsidR="00F931B6" w:rsidRPr="00BF159C" w:rsidRDefault="00F931B6" w:rsidP="00F931B6">
      <w:pPr>
        <w:pStyle w:val="NormalBold"/>
      </w:pPr>
      <w:r>
        <w:rPr>
          <w:rStyle w:val="HideTWBExt"/>
          <w:b w:val="0"/>
          <w:lang w:val="sv-SE"/>
        </w:rPr>
        <w:t>&lt;RepeatBlock-By&gt;&lt;Members&gt;</w:t>
      </w:r>
      <w:r>
        <w:t>Sebastian Tynkkynen</w:t>
      </w:r>
      <w:r>
        <w:rPr>
          <w:rStyle w:val="HideTWBExt"/>
          <w:b w:val="0"/>
          <w:lang w:val="sv-SE"/>
        </w:rPr>
        <w:t>&lt;/Members&gt;</w:t>
      </w:r>
    </w:p>
    <w:p w:rsidR="00F931B6" w:rsidRPr="00BF159C" w:rsidRDefault="00F931B6" w:rsidP="00F931B6">
      <w:pPr>
        <w:pStyle w:val="NormalBold"/>
      </w:pPr>
      <w:r>
        <w:rPr>
          <w:rStyle w:val="HideTWBExt"/>
          <w:b w:val="0"/>
          <w:lang w:val="sv-SE"/>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6.</w:t>
            </w:r>
            <w:r>
              <w:tab/>
            </w:r>
            <w:r>
              <w:rPr>
                <w:b/>
                <w:i/>
              </w:rPr>
              <w:t>je seznanjen, da nekatere države članice zavlačujejo z izvajanjem sodb Sodišča Evropske unije ali jih ne izvajajo, in poziva k prednostnemu izvajanju teh sodb;</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{FI}</w:t>
      </w:r>
      <w:r w:rsidRPr="00444926">
        <w:t>fi</w:t>
      </w:r>
      <w:r w:rsidRPr="00444926">
        <w:rPr>
          <w:rStyle w:val="HideTWBExt"/>
        </w:rPr>
        <w:t>&lt;/Original&gt;</w:t>
      </w:r>
    </w:p>
    <w:p w:rsidR="00F931B6" w:rsidRPr="00444926" w:rsidRDefault="00F931B6" w:rsidP="00F931B6">
      <w:r>
        <w:rPr>
          <w:rStyle w:val="HideTWBExt"/>
        </w:rPr>
        <w:t>&lt;/Amend&gt;</w:t>
      </w:r>
    </w:p>
    <w:p w:rsidR="00F931B6" w:rsidRDefault="00F931B6" w:rsidP="00F931B6">
      <w:pPr>
        <w:pStyle w:val="AmNumberTabs"/>
      </w:pPr>
      <w:r>
        <w:rPr>
          <w:rStyle w:val="HideTWBExt"/>
        </w:rPr>
        <w:t>&lt;Amend&gt;</w:t>
      </w:r>
      <w:r>
        <w:t>Predlog spremembe</w:t>
      </w:r>
      <w:r>
        <w:tab/>
      </w:r>
      <w:r>
        <w:tab/>
      </w:r>
      <w:r>
        <w:rPr>
          <w:rStyle w:val="HideTWBExt"/>
        </w:rPr>
        <w:t>&lt;NumAm&gt;</w:t>
      </w:r>
      <w:r>
        <w:t>240</w:t>
      </w:r>
      <w:r>
        <w:rPr>
          <w:rStyle w:val="HideTWBExt"/>
        </w:rPr>
        <w:t>&lt;/NumAm&gt;</w:t>
      </w:r>
    </w:p>
    <w:p w:rsidR="00F931B6" w:rsidRDefault="00F931B6" w:rsidP="00F931B6">
      <w:pPr>
        <w:pStyle w:val="NormalBold"/>
      </w:pPr>
      <w:r>
        <w:rPr>
          <w:rStyle w:val="HideTWBExt"/>
          <w:b w:val="0"/>
        </w:rPr>
        <w:t>&lt;RepeatBlock-By&gt;&lt;Members&gt;</w:t>
      </w:r>
      <w:r>
        <w:t>Alessandro Ciriani, Paolo Inselvini</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b/>
                <w:i/>
              </w:rPr>
              <w:t>6.</w:t>
            </w:r>
            <w:r>
              <w:tab/>
            </w:r>
            <w:r>
              <w:rPr>
                <w:b/>
                <w:i/>
              </w:rPr>
              <w:t>je seznanjen, da nekatere države članice zavlačujejo z izvajanjem sodb Sodišča Evropske unije ali jih ne izvajajo, in poziva k prednostnemu izvajanju teh sodb;</w:t>
            </w:r>
          </w:p>
        </w:tc>
        <w:tc>
          <w:tcPr>
            <w:tcW w:w="4876" w:type="dxa"/>
            <w:tcBorders>
              <w:top w:val="nil"/>
              <w:left w:val="nil"/>
              <w:bottom w:val="nil"/>
              <w:right w:val="nil"/>
            </w:tcBorders>
          </w:tcPr>
          <w:p w:rsidR="00F931B6" w:rsidRDefault="00F931B6" w:rsidP="007C04AE">
            <w:pPr>
              <w:pStyle w:val="Normal6a"/>
            </w:pPr>
            <w:r>
              <w:rPr>
                <w:b/>
                <w:i/>
              </w:rPr>
              <w:t>črtano</w:t>
            </w:r>
          </w:p>
        </w:tc>
      </w:tr>
    </w:tbl>
    <w:p w:rsidR="00F931B6" w:rsidRDefault="00F931B6" w:rsidP="00F931B6">
      <w:pPr>
        <w:pStyle w:val="AmOrLang"/>
      </w:pPr>
      <w:r>
        <w:t xml:space="preserve">Or. </w:t>
      </w:r>
      <w:r>
        <w:rPr>
          <w:rStyle w:val="HideTWBExt"/>
        </w:rPr>
        <w:t>&lt;Original&gt;</w:t>
      </w:r>
      <w:r>
        <w:rPr>
          <w:rStyle w:val="HideTWBInt"/>
        </w:rPr>
        <w:t>{IT}</w:t>
      </w:r>
      <w:r>
        <w:t>it</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241</w:t>
      </w:r>
      <w:r>
        <w:rPr>
          <w:rStyle w:val="HideTWBExt"/>
          <w:b w:val="0"/>
        </w:rPr>
        <w:t>&lt;/NumAm&gt;</w:t>
      </w:r>
    </w:p>
    <w:p w:rsidR="00F931B6" w:rsidRPr="00444926" w:rsidRDefault="00F931B6" w:rsidP="00F931B6">
      <w:pPr>
        <w:pStyle w:val="NormalBold"/>
      </w:pPr>
      <w:r>
        <w:rPr>
          <w:rStyle w:val="HideTWBExt"/>
          <w:b w:val="0"/>
        </w:rPr>
        <w:t>&lt;RepeatBlock-By&gt;&lt;Members&gt;</w:t>
      </w:r>
      <w:r>
        <w:t>Daniel Freund</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6.</w:t>
            </w:r>
            <w:r>
              <w:tab/>
              <w:t>je seznanjen, da nekatere države članice zavlačujejo z izvajanjem sodb Sodišča Evropske unije ali jih ne izvajajo, in poziva k prednostnemu izvajanju teh sodb;</w:t>
            </w:r>
          </w:p>
        </w:tc>
        <w:tc>
          <w:tcPr>
            <w:tcW w:w="4876" w:type="dxa"/>
            <w:tcBorders>
              <w:top w:val="nil"/>
              <w:left w:val="nil"/>
              <w:bottom w:val="nil"/>
              <w:right w:val="nil"/>
            </w:tcBorders>
          </w:tcPr>
          <w:p w:rsidR="00F931B6" w:rsidRPr="00444926" w:rsidRDefault="00F931B6" w:rsidP="007C04AE">
            <w:pPr>
              <w:pStyle w:val="Normal6a"/>
            </w:pPr>
            <w:r>
              <w:t>6.</w:t>
            </w:r>
            <w:r>
              <w:tab/>
              <w:t xml:space="preserve">je seznanjen, da nekatere države članice zavlačujejo z izvajanjem sodb Sodišča Evropske unije </w:t>
            </w:r>
            <w:r>
              <w:rPr>
                <w:b/>
                <w:bCs/>
                <w:i/>
                <w:iCs/>
              </w:rPr>
              <w:t>in Evropskega sodišča za človekove pravice</w:t>
            </w:r>
            <w:r>
              <w:t xml:space="preserve"> ali jih ne izvajajo, in poziva k prednostnemu izvajanju teh sodb; </w:t>
            </w:r>
            <w:r>
              <w:rPr>
                <w:b/>
                <w:i/>
              </w:rPr>
              <w:t>poziva Komisijo kot varuhinjo temeljnih pogodb, naj izpolnjuje svoje obveznosti za izvrševanje prava EU na področju človekovih pravic in naj se ne zanaša le na državljane, ki sami s tožbami pred sodišči zagotavljajo izvrševanje prava EU; poziva Komisijo, naj vzpostavi preglednico kazalnikov za spremljanje izvrševanja vseh sodb Sodišča EU in ESČP, ki se nanašajo na demokracijo, pravno državo in temeljne pravice, ter jo v celoti vključi v letno poročilo o stanju pravne države; priporoča zlasti Komisiji, naj ukrepa v zvezi z neizvrševanjem sodb Sodišča Evropske unije na podlagi člena 260(2) PDEU in uporabi uredbo o pogojevanju s pravno državo v primerih neskladnosti s sodbami Sodišča EU in ESČP; poziva Komisijo, naj v zvezi s posameznimi sporočili sistematično analizira podatke o neskladnosti s stališči organov OZN za spremljanje izvajanja pogodb;</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242</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 Ana Catarina Mendes, Moritz Körner</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6.</w:t>
            </w:r>
            <w:r>
              <w:tab/>
              <w:t>je seznanjen, da nekatere države članice zavlačujejo z izvajanjem sodb Sodišča Evropske unije ali jih ne izvajajo, in poziva k prednostnemu izvajanju teh sodb;</w:t>
            </w:r>
          </w:p>
        </w:tc>
        <w:tc>
          <w:tcPr>
            <w:tcW w:w="4876" w:type="dxa"/>
            <w:tcBorders>
              <w:top w:val="nil"/>
              <w:left w:val="nil"/>
              <w:bottom w:val="nil"/>
              <w:right w:val="nil"/>
            </w:tcBorders>
          </w:tcPr>
          <w:p w:rsidR="00F931B6" w:rsidRPr="00444926" w:rsidRDefault="00F931B6" w:rsidP="001152A9">
            <w:pPr>
              <w:pStyle w:val="Normal6a"/>
            </w:pPr>
            <w:r>
              <w:t>6.</w:t>
            </w:r>
            <w:r>
              <w:tab/>
              <w:t xml:space="preserve">je seznanjen, da nekatere države članice zavlačujejo z izvajanjem sodb Sodišča Evropske unije ali jih ne izvajajo, in poziva k prednostnemu izvajanju teh sodb; </w:t>
            </w:r>
            <w:r>
              <w:rPr>
                <w:b/>
                <w:i/>
              </w:rPr>
              <w:t>poudarja, da morajo države članice in institucije EU sistematično vključevati in izvajati najnovejšo sodno prakso Sodišča Evropske unije, da bi podprle pravno državo in zagotovile enotno uporabo prava EU; poziva k takojšnji prilagoditvi nacionalne zakonodaje in institucionalnih okvirov, da bi se uskladili s sodbami sodišča; poziva Komisijo, naj spremlja skladnost in ukrepa v primerih vztrajnega neizvajanja;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243</w:t>
      </w:r>
      <w:r>
        <w:rPr>
          <w:rStyle w:val="HideTWBExt"/>
          <w:b w:val="0"/>
        </w:rPr>
        <w:t>&lt;/NumAm&gt;</w:t>
      </w:r>
    </w:p>
    <w:p w:rsidR="00F931B6" w:rsidRPr="00444926" w:rsidRDefault="00F931B6" w:rsidP="00F931B6">
      <w:pPr>
        <w:pStyle w:val="NormalBold"/>
      </w:pPr>
      <w:r>
        <w:rPr>
          <w:rStyle w:val="HideTWBExt"/>
          <w:b w:val="0"/>
        </w:rPr>
        <w:t>&lt;RepeatBlock-By&gt;&lt;Members&gt;</w:t>
      </w:r>
      <w:r>
        <w:t>Javier Zarzalejos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6.</w:t>
            </w:r>
            <w:r>
              <w:tab/>
              <w:t xml:space="preserve">je seznanjen, da nekatere države članice zavlačujejo z izvajanjem sodb Sodišča Evropske unije ali jih ne izvajajo, in poziva k </w:t>
            </w:r>
            <w:r>
              <w:rPr>
                <w:b/>
                <w:bCs/>
                <w:i/>
                <w:iCs/>
              </w:rPr>
              <w:t>prednostnemu izvajanju teh sodb</w:t>
            </w:r>
            <w:r>
              <w:t>;</w:t>
            </w:r>
          </w:p>
        </w:tc>
        <w:tc>
          <w:tcPr>
            <w:tcW w:w="4876" w:type="dxa"/>
            <w:tcBorders>
              <w:top w:val="nil"/>
              <w:left w:val="nil"/>
              <w:bottom w:val="nil"/>
              <w:right w:val="nil"/>
            </w:tcBorders>
          </w:tcPr>
          <w:p w:rsidR="00F931B6" w:rsidRPr="00444926" w:rsidRDefault="00F931B6" w:rsidP="007C04AE">
            <w:pPr>
              <w:pStyle w:val="Normal6a"/>
            </w:pPr>
            <w:r>
              <w:t>6.</w:t>
            </w:r>
            <w:r>
              <w:tab/>
              <w:t xml:space="preserve">je seznanjen, da nekatere države članice zavlačujejo z izvajanjem sodb Sodišča Evropske unije ali jih ne izvajajo, in poziva k </w:t>
            </w:r>
            <w:r>
              <w:rPr>
                <w:b/>
                <w:bCs/>
                <w:i/>
                <w:iCs/>
              </w:rPr>
              <w:t>njhovemu pravočasnemu</w:t>
            </w:r>
            <w:r>
              <w:rPr>
                <w:b/>
                <w:bCs/>
              </w:rPr>
              <w:t xml:space="preserve"> </w:t>
            </w:r>
            <w:r>
              <w:t>izvajanju</w:t>
            </w:r>
            <w:r>
              <w:rPr>
                <w:b/>
                <w:bCs/>
                <w:i/>
                <w:iCs/>
              </w:rPr>
              <w:t>;</w:t>
            </w:r>
            <w:r>
              <w:rPr>
                <w:b/>
                <w:i/>
              </w:rPr>
              <w:t xml:space="preserve"> poudarja, da spoštovanje pravne države vključuje popolno skladnost s sodbami Sodišča Evropske unije, zlasti v zadevah, ki vplivajo na delitev oblasti in neodvisnost sodstva; </w:t>
            </w:r>
            <w:r>
              <w:rPr>
                <w:b/>
                <w:bCs/>
                <w:i/>
                <w:iCs/>
              </w:rPr>
              <w:t>poziva Komisijo, naj oceni, ali zamude oziroma neizpolnjevanje take sodbe upravičujejo postopke za ugotavljanje kršitev v skladu s členom 258 PDEU</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244</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6.</w:t>
            </w:r>
            <w:r>
              <w:tab/>
              <w:t>je seznanjen, da nekatere države članice zavlačujejo z izvajanjem sodb Sodišča Evropske unije ali jih ne izvajajo, in poziva k prednostnemu izvajanju teh sodb;</w:t>
            </w:r>
          </w:p>
        </w:tc>
        <w:tc>
          <w:tcPr>
            <w:tcW w:w="4876" w:type="dxa"/>
            <w:tcBorders>
              <w:top w:val="nil"/>
              <w:left w:val="nil"/>
              <w:bottom w:val="nil"/>
              <w:right w:val="nil"/>
            </w:tcBorders>
          </w:tcPr>
          <w:p w:rsidR="00F931B6" w:rsidRPr="00444926" w:rsidRDefault="00F931B6" w:rsidP="007C04AE">
            <w:pPr>
              <w:pStyle w:val="Normal6a"/>
            </w:pPr>
            <w:r>
              <w:t>6.</w:t>
            </w:r>
            <w:r>
              <w:tab/>
              <w:t xml:space="preserve">je seznanjen, da nekatere države članice zavlačujejo z izvajanjem sodb Sodišča Evropske unije ali jih ne izvajajo, in poziva k prednostnemu izvajanju teh sodb; </w:t>
            </w:r>
            <w:r>
              <w:rPr>
                <w:b/>
                <w:i/>
              </w:rPr>
              <w:t>ponovno poudarja, da je učinkovito izvajanje sodb bistveno za zaščito temeljnih pravic in ekonomskih svoboščin, določenih v PEU, PDEU in Listini; poziva vse države članice, naj dajo prednost pravočasnemu in učinkovitemu izvajanju sodb Sodišča Evropske unije;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245</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6.</w:t>
            </w:r>
            <w:r>
              <w:tab/>
              <w:t>je seznanjen, da nekatere države članice zavlačujejo z izvajanjem sodb Sodišča Evropske unije ali jih ne izvajajo</w:t>
            </w:r>
            <w:r>
              <w:rPr>
                <w:b/>
                <w:i/>
              </w:rPr>
              <w:t>, in poziva k prednostnemu izvajanju teh sodb</w:t>
            </w:r>
            <w:r>
              <w:t>;</w:t>
            </w:r>
          </w:p>
        </w:tc>
        <w:tc>
          <w:tcPr>
            <w:tcW w:w="4876" w:type="dxa"/>
            <w:tcBorders>
              <w:top w:val="nil"/>
              <w:left w:val="nil"/>
              <w:bottom w:val="nil"/>
              <w:right w:val="nil"/>
            </w:tcBorders>
          </w:tcPr>
          <w:p w:rsidR="00F931B6" w:rsidRPr="00444926" w:rsidRDefault="00F931B6" w:rsidP="007C04AE">
            <w:pPr>
              <w:pStyle w:val="Normal6a"/>
            </w:pPr>
            <w:r>
              <w:t>6.</w:t>
            </w:r>
            <w:r>
              <w:tab/>
              <w:t>je seznanjen, da nekatere države članice zavlačujejo z izvajanjem sodb Sodišča Evropske unije ali jih ne izvajajo;</w:t>
            </w:r>
            <w:r>
              <w:rPr>
                <w:b/>
                <w:i/>
              </w:rPr>
              <w:t xml:space="preserve"> meni, da je Sodišča Evropske unije z nekaterimi sodbami prekoračilo svoja pooblastila in kršilo pristojnosti držav članic; poziva institucije EU in države članice, naj spoštujejo ustavne rešitve, ki so jih sprejele države članice, in nacionalno sodno prakso ustavnih sodišč;</w:t>
            </w:r>
          </w:p>
        </w:tc>
      </w:tr>
    </w:tbl>
    <w:p w:rsidR="00F931B6" w:rsidRPr="00605988" w:rsidRDefault="00F931B6" w:rsidP="00F931B6">
      <w:pPr>
        <w:pStyle w:val="AmOrLang"/>
      </w:pPr>
      <w:r w:rsidRPr="00605988">
        <w:t xml:space="preserve">Or. </w:t>
      </w:r>
      <w:r w:rsidRPr="00605988">
        <w:rPr>
          <w:rStyle w:val="HideTWBExt"/>
        </w:rPr>
        <w:t>&lt;Original&gt;</w:t>
      </w:r>
      <w:r w:rsidRPr="00605988">
        <w:rPr>
          <w:rStyle w:val="HideTWBInt"/>
        </w:rPr>
        <w:t>{PL}</w:t>
      </w:r>
      <w:r w:rsidRPr="00605988">
        <w:t>pl</w:t>
      </w:r>
      <w:r w:rsidRPr="00605988">
        <w:rPr>
          <w:rStyle w:val="HideTWBExt"/>
        </w:rPr>
        <w:t>&lt;/Original&gt;</w:t>
      </w:r>
    </w:p>
    <w:p w:rsidR="00F931B6" w:rsidRPr="00BF159C" w:rsidRDefault="00F931B6" w:rsidP="00F931B6">
      <w:r w:rsidRPr="00605988">
        <w:rPr>
          <w:rStyle w:val="HideTWBExt"/>
        </w:rPr>
        <w:t>&lt;/Amend&gt;</w:t>
      </w:r>
    </w:p>
    <w:p w:rsidR="00F931B6" w:rsidRPr="00BF159C" w:rsidRDefault="00F931B6" w:rsidP="00F931B6">
      <w:pPr>
        <w:pStyle w:val="AmNumberTabs"/>
      </w:pPr>
      <w:r w:rsidRPr="00605988">
        <w:rPr>
          <w:rStyle w:val="HideTWBExt"/>
          <w:b w:val="0"/>
        </w:rPr>
        <w:t>&lt;Amend&gt;</w:t>
      </w:r>
      <w:r>
        <w:t>Predlog spremembe</w:t>
      </w:r>
      <w:r>
        <w:tab/>
      </w:r>
      <w:r>
        <w:tab/>
      </w:r>
      <w:r w:rsidRPr="00605988">
        <w:rPr>
          <w:rStyle w:val="HideTWBExt"/>
          <w:b w:val="0"/>
        </w:rPr>
        <w:t>&lt;NumAm&gt;</w:t>
      </w:r>
      <w:r>
        <w:t>246</w:t>
      </w:r>
      <w:r w:rsidRPr="00605988">
        <w:rPr>
          <w:rStyle w:val="HideTWBExt"/>
          <w:b w:val="0"/>
        </w:rPr>
        <w:t>&lt;/NumAm&gt;</w:t>
      </w:r>
    </w:p>
    <w:p w:rsidR="00F931B6" w:rsidRPr="00BF159C" w:rsidRDefault="00F931B6" w:rsidP="00F931B6">
      <w:pPr>
        <w:pStyle w:val="NormalBold"/>
      </w:pPr>
      <w:r w:rsidRPr="00605988">
        <w:rPr>
          <w:rStyle w:val="HideTWBExt"/>
          <w:b w:val="0"/>
        </w:rPr>
        <w:t>&lt;RepeatBlock-By&gt;&lt;Members&gt;</w:t>
      </w:r>
      <w:r>
        <w:t>Erik Kaliňák</w:t>
      </w:r>
      <w:r w:rsidRPr="00605988">
        <w:rPr>
          <w:rStyle w:val="HideTWBExt"/>
          <w:b w:val="0"/>
        </w:rPr>
        <w:t>&lt;/Members&gt;</w:t>
      </w:r>
    </w:p>
    <w:p w:rsidR="00F931B6" w:rsidRPr="00BF159C" w:rsidRDefault="00F931B6" w:rsidP="00F931B6">
      <w:pPr>
        <w:pStyle w:val="NormalBold"/>
      </w:pPr>
      <w:r w:rsidRPr="00605988">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6.</w:t>
            </w:r>
            <w:r>
              <w:tab/>
            </w:r>
            <w:r>
              <w:rPr>
                <w:b/>
                <w:i/>
              </w:rPr>
              <w:t>je seznanjen, da nekatere države članice zavlačujejo z izvajanjem sodb Sodišča Evropske unije ali jih ne izvajajo, in poziva k prednostnemu izvajanju teh sodb;</w:t>
            </w:r>
          </w:p>
        </w:tc>
        <w:tc>
          <w:tcPr>
            <w:tcW w:w="4876" w:type="dxa"/>
            <w:tcBorders>
              <w:top w:val="nil"/>
              <w:left w:val="nil"/>
              <w:bottom w:val="nil"/>
              <w:right w:val="nil"/>
            </w:tcBorders>
          </w:tcPr>
          <w:p w:rsidR="00F931B6" w:rsidRPr="00444926" w:rsidRDefault="00F931B6" w:rsidP="007C04AE">
            <w:pPr>
              <w:pStyle w:val="Normal6a"/>
            </w:pPr>
            <w:r>
              <w:t>6.</w:t>
            </w:r>
            <w:r>
              <w:tab/>
            </w:r>
            <w:r>
              <w:rPr>
                <w:b/>
                <w:i/>
              </w:rPr>
              <w:t>poziva k preiskavi ukrepov Komisije v zvezi z domnevnimi praksami posrednega lobiranja v podporo evropskemu zelenemu dogovoru, ko naj bi Komisija dodelila evropska sredstva nevladnim organizacijam, da bi lahko vplivale na druge evropske institucije in spodbujale njene politike;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Default="00F931B6" w:rsidP="00F931B6">
      <w:pPr>
        <w:pStyle w:val="AmNumberTabs"/>
      </w:pPr>
      <w:r>
        <w:rPr>
          <w:rStyle w:val="HideTWBExt"/>
        </w:rPr>
        <w:t>&lt;Amend&gt;</w:t>
      </w:r>
      <w:r>
        <w:t>Predlog spremembe</w:t>
      </w:r>
      <w:r>
        <w:tab/>
      </w:r>
      <w:r>
        <w:tab/>
      </w:r>
      <w:r>
        <w:rPr>
          <w:rStyle w:val="HideTWBExt"/>
        </w:rPr>
        <w:t>&lt;NumAm&gt;</w:t>
      </w:r>
      <w:r>
        <w:t>247</w:t>
      </w:r>
      <w:r>
        <w:rPr>
          <w:rStyle w:val="HideTWBExt"/>
        </w:rPr>
        <w:t>&lt;/NumAm&gt;</w:t>
      </w:r>
    </w:p>
    <w:p w:rsidR="00F931B6" w:rsidRDefault="00F931B6" w:rsidP="00F931B6">
      <w:pPr>
        <w:pStyle w:val="NormalBold"/>
      </w:pPr>
      <w:r>
        <w:rPr>
          <w:rStyle w:val="HideTWBExt"/>
          <w:b w:val="0"/>
        </w:rPr>
        <w:t>&lt;RepeatBlock-By&gt;&lt;Members&gt;</w:t>
      </w:r>
      <w:r>
        <w:t>Nicolas Bay</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t>6.</w:t>
            </w:r>
            <w:r>
              <w:tab/>
              <w:t>je seznanjen, da nekatere države članice zavlačujejo z izvajanjem sodb Sodišča Evropske unije ali jih ne izvajajo</w:t>
            </w:r>
            <w:r>
              <w:rPr>
                <w:b/>
                <w:i/>
              </w:rPr>
              <w:t>, in poziva k prednostnemu izvajanju teh sodb</w:t>
            </w:r>
            <w:r>
              <w:t>;</w:t>
            </w:r>
          </w:p>
        </w:tc>
        <w:tc>
          <w:tcPr>
            <w:tcW w:w="4876" w:type="dxa"/>
            <w:tcBorders>
              <w:top w:val="nil"/>
              <w:left w:val="nil"/>
              <w:bottom w:val="nil"/>
              <w:right w:val="nil"/>
            </w:tcBorders>
          </w:tcPr>
          <w:p w:rsidR="00F931B6" w:rsidRDefault="00F931B6" w:rsidP="007C04AE">
            <w:pPr>
              <w:pStyle w:val="Normal6a"/>
            </w:pPr>
            <w:r>
              <w:t>6.</w:t>
            </w:r>
            <w:r>
              <w:tab/>
              <w:t>je seznanjen, da nekatere države članice zavlačujejo z izvajanjem sodb Sodišča Evropske unije ali jih ne izvajajo;</w:t>
            </w:r>
          </w:p>
        </w:tc>
      </w:tr>
    </w:tbl>
    <w:p w:rsidR="00F931B6" w:rsidRDefault="00F931B6" w:rsidP="00F931B6">
      <w:pPr>
        <w:pStyle w:val="AmOrLang"/>
      </w:pPr>
      <w:r>
        <w:t xml:space="preserve">Or. </w:t>
      </w:r>
      <w:r>
        <w:rPr>
          <w:rStyle w:val="HideTWBExt"/>
        </w:rPr>
        <w:t>&lt;Original&gt;</w:t>
      </w:r>
      <w:r>
        <w:rPr>
          <w:rStyle w:val="HideTWBInt"/>
        </w:rPr>
        <w:t>{FR}</w:t>
      </w:r>
      <w:r>
        <w:t>fr</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248</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6.</w:t>
            </w:r>
            <w:r>
              <w:tab/>
              <w:t>je seznanjen, da nekatere države članice zavlačujejo z izvajanjem sodb Sodišča Evropske unije ali jih ne izvajajo, in poziva k prednostnemu izvajanju teh sodb;</w:t>
            </w:r>
          </w:p>
        </w:tc>
        <w:tc>
          <w:tcPr>
            <w:tcW w:w="4876" w:type="dxa"/>
            <w:tcBorders>
              <w:top w:val="nil"/>
              <w:left w:val="nil"/>
              <w:bottom w:val="nil"/>
              <w:right w:val="nil"/>
            </w:tcBorders>
          </w:tcPr>
          <w:p w:rsidR="00F931B6" w:rsidRPr="00444926" w:rsidRDefault="00F931B6" w:rsidP="007C04AE">
            <w:pPr>
              <w:pStyle w:val="Normal6a"/>
            </w:pPr>
            <w:r>
              <w:t>6.</w:t>
            </w:r>
            <w:r>
              <w:tab/>
              <w:t xml:space="preserve">je seznanjen, da nekatere države članice </w:t>
            </w:r>
            <w:r>
              <w:rPr>
                <w:b/>
                <w:bCs/>
                <w:i/>
                <w:iCs/>
              </w:rPr>
              <w:t xml:space="preserve">selektivno uporabljajo in </w:t>
            </w:r>
            <w:r>
              <w:t>zavlačujejo z izvajanjem sodb Sodišča Evropske unije ali jih ne izvajajo, in poziva k prednostnemu izvajanju teh sodb;</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249</w:t>
      </w:r>
      <w:r>
        <w:rPr>
          <w:rStyle w:val="HideTWBExt"/>
          <w:b w:val="0"/>
        </w:rPr>
        <w:t>&lt;/NumAm&gt;</w:t>
      </w:r>
    </w:p>
    <w:p w:rsidR="00F931B6" w:rsidRPr="00444926" w:rsidRDefault="00F931B6" w:rsidP="00F931B6">
      <w:pPr>
        <w:pStyle w:val="NormalBold"/>
      </w:pPr>
      <w:r>
        <w:rPr>
          <w:rStyle w:val="HideTWBExt"/>
          <w:b w:val="0"/>
        </w:rPr>
        <w:t>&lt;RepeatBlock-By&gt;&lt;Members&gt;</w:t>
      </w:r>
      <w:r>
        <w:t>Mary Khan, Milan Uhrík, Ewa Zajączkowska-Hernik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6.</w:t>
            </w:r>
            <w:r>
              <w:tab/>
              <w:t xml:space="preserve">je seznanjen, da nekatere države članice zavlačujejo z izvajanjem sodb Sodišča Evropske unije ali jih ne izvajajo, in </w:t>
            </w:r>
            <w:r>
              <w:rPr>
                <w:b/>
                <w:bCs/>
                <w:i/>
                <w:iCs/>
              </w:rPr>
              <w:t>poziva k prednostnemu izvajanju teh sodb</w:t>
            </w:r>
            <w:r>
              <w:t>;</w:t>
            </w:r>
          </w:p>
        </w:tc>
        <w:tc>
          <w:tcPr>
            <w:tcW w:w="4876" w:type="dxa"/>
            <w:tcBorders>
              <w:top w:val="nil"/>
              <w:left w:val="nil"/>
              <w:bottom w:val="nil"/>
              <w:right w:val="nil"/>
            </w:tcBorders>
          </w:tcPr>
          <w:p w:rsidR="00F931B6" w:rsidRPr="00444926" w:rsidRDefault="00F931B6" w:rsidP="007C04AE">
            <w:pPr>
              <w:pStyle w:val="Normal6a"/>
            </w:pPr>
            <w:r>
              <w:t>6.</w:t>
            </w:r>
            <w:r>
              <w:tab/>
              <w:t xml:space="preserve">je seznanjen, da nekatere države članice zavlačujejo z izvajanjem sodb Sodišča Evropske unije ali jih ne izvajajo, in </w:t>
            </w:r>
            <w:r>
              <w:rPr>
                <w:b/>
                <w:bCs/>
                <w:i/>
                <w:iCs/>
              </w:rPr>
              <w:t>spoštuje suvereno odločitev, da tega ne storijo</w:t>
            </w:r>
            <w:r>
              <w:t>;</w:t>
            </w:r>
          </w:p>
        </w:tc>
      </w:tr>
    </w:tbl>
    <w:p w:rsidR="00F931B6" w:rsidRPr="00BF159C" w:rsidRDefault="00F931B6" w:rsidP="00F931B6">
      <w:pPr>
        <w:pStyle w:val="AmOrLang"/>
        <w:rPr>
          <w:lang w:val="de-DE"/>
        </w:rPr>
      </w:pPr>
      <w:r w:rsidRPr="00BF159C">
        <w:rPr>
          <w:lang w:val="de-DE"/>
        </w:rPr>
        <w:t xml:space="preserve">Or. </w:t>
      </w:r>
      <w:r w:rsidRPr="00BF159C">
        <w:rPr>
          <w:rStyle w:val="HideTWBExt"/>
          <w:lang w:val="de-DE"/>
        </w:rPr>
        <w:t>&lt;Original&gt;</w:t>
      </w:r>
      <w:r w:rsidRPr="00BF159C">
        <w:rPr>
          <w:rStyle w:val="HideTWBInt"/>
          <w:lang w:val="de-DE"/>
        </w:rPr>
        <w:t>{EN}</w:t>
      </w:r>
      <w:r w:rsidRPr="00BF159C">
        <w:rPr>
          <w:lang w:val="de-DE"/>
        </w:rPr>
        <w:t>en</w:t>
      </w:r>
      <w:r w:rsidRPr="00BF159C">
        <w:rPr>
          <w:rStyle w:val="HideTWBExt"/>
          <w:lang w:val="de-DE"/>
        </w:rPr>
        <w:t>&lt;/Original&gt;</w:t>
      </w:r>
    </w:p>
    <w:p w:rsidR="00F931B6" w:rsidRPr="00BF159C" w:rsidRDefault="00F931B6" w:rsidP="00F931B6">
      <w:r>
        <w:rPr>
          <w:rStyle w:val="HideTWBExt"/>
          <w:lang w:val="de-DE"/>
        </w:rPr>
        <w:t>&lt;/Amend&gt;</w:t>
      </w:r>
    </w:p>
    <w:p w:rsidR="00F931B6" w:rsidRPr="00BF159C" w:rsidRDefault="00F931B6" w:rsidP="00F931B6">
      <w:pPr>
        <w:pStyle w:val="AmNumberTabs"/>
      </w:pPr>
      <w:r>
        <w:rPr>
          <w:rStyle w:val="HideTWBExt"/>
          <w:b w:val="0"/>
          <w:lang w:val="de-DE"/>
        </w:rPr>
        <w:t>&lt;Amend&gt;</w:t>
      </w:r>
      <w:r>
        <w:t>Predlog spremembe</w:t>
      </w:r>
      <w:r>
        <w:tab/>
      </w:r>
      <w:r>
        <w:tab/>
      </w:r>
      <w:r>
        <w:rPr>
          <w:rStyle w:val="HideTWBExt"/>
          <w:b w:val="0"/>
          <w:lang w:val="de-DE"/>
        </w:rPr>
        <w:t>&lt;NumAm&gt;</w:t>
      </w:r>
      <w:r>
        <w:t>250</w:t>
      </w:r>
      <w:r>
        <w:rPr>
          <w:rStyle w:val="HideTWBExt"/>
          <w:b w:val="0"/>
          <w:lang w:val="de-DE"/>
        </w:rPr>
        <w:t>&lt;/NumAm&gt;</w:t>
      </w:r>
    </w:p>
    <w:p w:rsidR="00F931B6" w:rsidRPr="00BF159C" w:rsidRDefault="00F931B6" w:rsidP="00F931B6">
      <w:pPr>
        <w:pStyle w:val="NormalBold"/>
      </w:pPr>
      <w:r>
        <w:rPr>
          <w:rStyle w:val="HideTWBExt"/>
          <w:b w:val="0"/>
          <w:lang w:val="de-DE"/>
        </w:rPr>
        <w:t>&lt;RepeatBlock-By&gt;&lt;Members&gt;</w:t>
      </w:r>
      <w:r>
        <w:t>Daniel Freund</w:t>
      </w:r>
      <w:r>
        <w:rPr>
          <w:rStyle w:val="HideTWBExt"/>
          <w:b w:val="0"/>
          <w:lang w:val="de-DE"/>
        </w:rPr>
        <w:t>&lt;/Members&gt;</w:t>
      </w:r>
    </w:p>
    <w:p w:rsidR="00F931B6" w:rsidRPr="00BF159C" w:rsidRDefault="00F931B6" w:rsidP="00F931B6">
      <w:pPr>
        <w:pStyle w:val="NormalBold"/>
      </w:pPr>
      <w:r>
        <w:rPr>
          <w:rStyle w:val="HideTWBExt"/>
          <w:b w:val="0"/>
          <w:lang w:val="de-DE"/>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6a.</w:t>
            </w:r>
            <w:r>
              <w:tab/>
            </w:r>
            <w:r>
              <w:rPr>
                <w:b/>
                <w:i/>
              </w:rPr>
              <w:t>poudarja, da demokratične države zagotavljajo mehanizme za politično in socialno spravo, tudi z ukrepi amnestije in pomilostitve, ki spodbujajo sobivanje, preprečujejo pretirano sodno obravnavo političnih konfliktov in krepijo demokratični dialog; opozarja, da je treba hude kršitve človekovih pravic izključiti iz področja uporabe amnestije in da jih ni mogoče uporabiti za zaščito uradnikov pred odgovornostjo v primerih prilastitve javne lastnine; poudarja, da amnestija razveljavlja ali preprečuje sodne odločbe in postopke, sodniki pa morajo uporabljati zakon, tako v primeru sprememb kazenske zakonodaje kot v primeru amnestije; meni, da preusmeritev konfliktov s politične na pravosodno raven ni skladna z namenom amnestije kot take; je zaskrbljen zaradi poročil o nepripravljenosti nekaterih akterjev, da bi v celoti izvajali sprejete zakone o amnestiji, kar ogroža pravno varnost in delitev oblasti;</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251</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Michał Wawrykiewicz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6a.</w:t>
            </w:r>
            <w:r>
              <w:tab/>
            </w:r>
            <w:r>
              <w:rPr>
                <w:b/>
                <w:i/>
              </w:rPr>
              <w:t>poudarja, da so potrebni ciljno usmerjeni ukrepi za obravnavo posebnih groženj načelu vzajemnega priznavanja v pravosodnem in upravnem sodelovanju ter za nadaljnjo integriteto in zaupanje na notranjem trgu EU; priporoča, naj vsaka nova uredba vključuje določbe o učinkovitih mehanizmih za blokiranje ali spreminjanje sodelovanja med državami članicami in/ali institucijami EU na podlagi načela medsebojnega zaupanja z državo članico, za katero se ugotovi, da resno krši načelo pravne države;</w:t>
            </w:r>
            <w:r>
              <w:rPr>
                <w:b/>
                <w:i/>
                <w:vertAlign w:val="superscript"/>
              </w:rPr>
              <w:t>1a</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i/>
                <w:vertAlign w:val="superscript"/>
              </w:rPr>
              <w:t>1a</w:t>
            </w:r>
            <w:r>
              <w:t xml:space="preserve"> </w:t>
            </w:r>
            <w:r>
              <w:rPr>
                <w:b/>
                <w:bCs/>
                <w:i/>
                <w:iCs/>
              </w:rPr>
              <w:t>V skladu s sodbo Sodišča Evropske unije</w:t>
            </w:r>
            <w:r>
              <w:rPr>
                <w:b/>
                <w:i/>
              </w:rPr>
              <w:t xml:space="preserve"> z dne 23. oktobra 2014, zadeva C-577/12, Sped-Pro GmbH proti Finanzamt Linz.</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252</w:t>
      </w:r>
      <w:r>
        <w:rPr>
          <w:rStyle w:val="HideTWBExt"/>
          <w:b w:val="0"/>
        </w:rPr>
        <w:t>&lt;/NumAm&gt;</w:t>
      </w:r>
    </w:p>
    <w:p w:rsidR="00F931B6" w:rsidRPr="00444926" w:rsidRDefault="00F931B6" w:rsidP="00F931B6">
      <w:pPr>
        <w:pStyle w:val="NormalBold"/>
      </w:pPr>
      <w:r>
        <w:rPr>
          <w:rStyle w:val="HideTWBExt"/>
          <w:b w:val="0"/>
        </w:rPr>
        <w:t>&lt;RepeatBlock-By&gt;&lt;Members&gt;</w:t>
      </w:r>
      <w:r>
        <w:t>Marieke Ehlers, Jorge Buxadé Villalba, Tom Vandendriessche,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6a.</w:t>
            </w:r>
            <w:r>
              <w:tab/>
            </w:r>
            <w:r>
              <w:rPr>
                <w:b/>
                <w:i/>
              </w:rPr>
              <w:t>opozarja, da sta le dva postopka v okviru mehanizma zgodnjega opozarjanja vodila do postopkov pred Sodiščem EU, nobeden od teh postopkov pa se ni zaključil s sodbo v korist države članice; priznava, da to ustvarja vtis, da je Sodišče pristransko do držav članic in podpira Komisijo;  takšna pristranskost bi pomenila resno kršitev načel pravne države;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253</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6a.</w:t>
            </w:r>
            <w:r>
              <w:tab/>
            </w:r>
            <w:r>
              <w:rPr>
                <w:b/>
                <w:i/>
              </w:rPr>
              <w:t xml:space="preserve">obsoja, da nikakor ni napredka v nekaterih državah članicah pri preiskovanju in pregonu primerov korupcije na visoki ravni; poudarja, da so končne obsodbe in odvračilne kazni potrebne, da se dokaže resnična zavezanost boju proti korupciji;  </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Default="00F931B6" w:rsidP="00F931B6">
      <w:pPr>
        <w:pStyle w:val="AmNumberTabs"/>
      </w:pPr>
      <w:r>
        <w:rPr>
          <w:rStyle w:val="HideTWBExt"/>
        </w:rPr>
        <w:t>&lt;Amend&gt;</w:t>
      </w:r>
      <w:r>
        <w:t>Predlog spremembe</w:t>
      </w:r>
      <w:r>
        <w:tab/>
      </w:r>
      <w:r>
        <w:tab/>
      </w:r>
      <w:r>
        <w:rPr>
          <w:rStyle w:val="HideTWBExt"/>
        </w:rPr>
        <w:t>&lt;NumAm&gt;</w:t>
      </w:r>
      <w:r>
        <w:t>254</w:t>
      </w:r>
      <w:r>
        <w:rPr>
          <w:rStyle w:val="HideTWBExt"/>
        </w:rPr>
        <w:t>&lt;/NumAm&gt;</w:t>
      </w:r>
    </w:p>
    <w:p w:rsidR="00F931B6" w:rsidRDefault="00F931B6" w:rsidP="00F931B6">
      <w:pPr>
        <w:pStyle w:val="NormalBold"/>
      </w:pPr>
      <w:r>
        <w:rPr>
          <w:rStyle w:val="HideTWBExt"/>
          <w:b w:val="0"/>
        </w:rPr>
        <w:t>&lt;RepeatBlock-By&gt;&lt;Members&gt;</w:t>
      </w:r>
      <w:r>
        <w:t>Alessandro Ciriani, Paolo Inselvini</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p>
        </w:tc>
        <w:tc>
          <w:tcPr>
            <w:tcW w:w="4876" w:type="dxa"/>
            <w:tcBorders>
              <w:top w:val="nil"/>
              <w:left w:val="nil"/>
              <w:bottom w:val="nil"/>
              <w:right w:val="nil"/>
            </w:tcBorders>
          </w:tcPr>
          <w:p w:rsidR="00F931B6" w:rsidRDefault="00F931B6" w:rsidP="007C04AE">
            <w:pPr>
              <w:pStyle w:val="Normal6a"/>
            </w:pPr>
            <w:r>
              <w:rPr>
                <w:b/>
                <w:i/>
              </w:rPr>
              <w:t>6a.</w:t>
            </w:r>
            <w:r>
              <w:tab/>
            </w:r>
            <w:r>
              <w:rPr>
                <w:b/>
                <w:i/>
              </w:rPr>
              <w:t>poziva države članice, naj izvajajo sodbe Sodišča Evropske unije;</w:t>
            </w:r>
          </w:p>
        </w:tc>
      </w:tr>
    </w:tbl>
    <w:p w:rsidR="00F931B6" w:rsidRDefault="00F931B6" w:rsidP="00F931B6">
      <w:pPr>
        <w:pStyle w:val="AmOrLang"/>
      </w:pPr>
      <w:r>
        <w:t xml:space="preserve">Or. </w:t>
      </w:r>
      <w:r>
        <w:rPr>
          <w:rStyle w:val="HideTWBExt"/>
        </w:rPr>
        <w:t>&lt;Original&gt;</w:t>
      </w:r>
      <w:r>
        <w:rPr>
          <w:rStyle w:val="HideTWBInt"/>
        </w:rPr>
        <w:t>{IT}</w:t>
      </w:r>
      <w:r>
        <w:t>it</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255</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7.</w:t>
            </w:r>
            <w:r>
              <w:tab/>
            </w:r>
            <w:r>
              <w:rPr>
                <w:b/>
                <w:i/>
              </w:rPr>
              <w:t>poziva države članice, naj povečajo preglednost in prevzemanje odgovornosti v javnih institucijah tako, da okrepijo protikorupcijske okvire, ustanovijo neodvisne nadzorne organe, spodbujajo zaščito žvižgačev, izboljšajo okvire za integriteto in za lobiranje pri zakonodaji; obžaluje, da v nekaterih državah članicah ni ustreznega napredka v boju proti korupciji na visoki ravni;</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256</w:t>
      </w:r>
      <w:r>
        <w:rPr>
          <w:rStyle w:val="HideTWBExt"/>
          <w:b w:val="0"/>
        </w:rPr>
        <w:t>&lt;/NumAm&gt;</w:t>
      </w:r>
    </w:p>
    <w:p w:rsidR="00F931B6" w:rsidRPr="00BF159C" w:rsidRDefault="00F931B6" w:rsidP="00F931B6">
      <w:pPr>
        <w:pStyle w:val="NormalBold"/>
      </w:pPr>
      <w:r>
        <w:rPr>
          <w:rStyle w:val="HideTWBExt"/>
          <w:b w:val="0"/>
          <w:lang w:val="it-IT"/>
        </w:rPr>
        <w:t>&lt;RepeatBlock-By&gt;&lt;Members&gt;</w:t>
      </w:r>
      <w:r>
        <w:t>Alessandro Zan, Cecilia Strada, Sandro Ruotolo, Pina Picierno, Marco Tarquinio</w:t>
      </w:r>
      <w:r>
        <w:rPr>
          <w:rStyle w:val="HideTWBExt"/>
          <w:b w:val="0"/>
          <w:lang w:val="it-IT"/>
        </w:rPr>
        <w:t>&lt;/Members&gt;</w:t>
      </w:r>
    </w:p>
    <w:p w:rsidR="00F931B6" w:rsidRPr="00BF159C" w:rsidRDefault="00F931B6" w:rsidP="00F931B6">
      <w:pPr>
        <w:pStyle w:val="NormalBold"/>
      </w:pPr>
      <w:r>
        <w:rPr>
          <w:rStyle w:val="HideTWBExt"/>
          <w:b w:val="0"/>
          <w:lang w:val="it-IT"/>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7.</w:t>
            </w:r>
            <w:r>
              <w:tab/>
              <w:t>poziva države članice, naj povečajo preglednost in prevzemanje odgovornosti v javnih institucijah tako, da okrepijo protikorupcijske okvire, ustanovijo neodvisne nadzorne organe, spodbujajo zaščito žvižgačev, izboljšajo okvire za integriteto in za lobiranje pri zakonodaji; obžaluje, da v nekaterih državah članicah ni ustreznega napredka v boju proti korupciji na visoki ravni;</w:t>
            </w:r>
          </w:p>
        </w:tc>
        <w:tc>
          <w:tcPr>
            <w:tcW w:w="4876" w:type="dxa"/>
            <w:tcBorders>
              <w:top w:val="nil"/>
              <w:left w:val="nil"/>
              <w:bottom w:val="nil"/>
              <w:right w:val="nil"/>
            </w:tcBorders>
          </w:tcPr>
          <w:p w:rsidR="00F931B6" w:rsidRPr="00444926" w:rsidRDefault="00F931B6" w:rsidP="007C04AE">
            <w:pPr>
              <w:pStyle w:val="Normal6a"/>
            </w:pPr>
            <w:r>
              <w:t>7.</w:t>
            </w:r>
            <w:r>
              <w:tab/>
              <w:t xml:space="preserve">poziva države članice, naj povečajo preglednost in prevzemanje odgovornosti v javnih institucijah tako, da okrepijo protikorupcijske okvire, ustanovijo neodvisne nadzorne organe, spodbujajo zaščito žvižgačev, izboljšajo okvire za integriteto in za lobiranje pri zakonodaji; obžaluje, da v nekaterih državah članicah ni ustreznega napredka v boju proti korupciji na visoki ravni; </w:t>
            </w:r>
            <w:r>
              <w:rPr>
                <w:b/>
                <w:i/>
              </w:rPr>
              <w:t>obžaluje, da Italija ni izvedla priporočil, ki jih je podala Komisija v zvezi s korupcijo, pravili o financiranju političnih strank in volilnih kampanj ter uredbo o lobistični dejavnosti;  ugotavlja, da odprava kaznivega dejanja zlorabe javne funkcije in zmanjšanje obsega kaznivega dejanja trgovanja z vplivom slabita okvir za boj proti korupciji in preglednost ter sta tudi v nasprotju z mednarodnimi konvencijami o boju proti korupciji;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257</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Abir Al-Sahlani, Chloé Ridel, Alessandro Zan, Fabienne Keller, Lucia Yar, Irena Joveva, Isabel Wiseler-Lima, Daniel Freund</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7.</w:t>
            </w:r>
            <w:r>
              <w:tab/>
              <w:t>poziva države članice, naj povečajo preglednost in prevzemanje odgovornosti v javnih institucijah tako, da okrepijo protikorupcijske okvire, ustanovijo neodvisne nadzorne organe, spodbujajo zaščito žvižgačev, izboljšajo okvire za integriteto in za lobiranje pri zakonodaji; obžaluje, da v nekaterih državah članicah ni ustreznega napredka v boju proti korupciji na visoki ravni;</w:t>
            </w:r>
          </w:p>
        </w:tc>
        <w:tc>
          <w:tcPr>
            <w:tcW w:w="4876" w:type="dxa"/>
            <w:tcBorders>
              <w:top w:val="nil"/>
              <w:left w:val="nil"/>
              <w:bottom w:val="nil"/>
              <w:right w:val="nil"/>
            </w:tcBorders>
          </w:tcPr>
          <w:p w:rsidR="00F931B6" w:rsidRPr="00444926" w:rsidRDefault="00F931B6" w:rsidP="007C04AE">
            <w:pPr>
              <w:pStyle w:val="Normal6a"/>
            </w:pPr>
            <w:r>
              <w:t>7.</w:t>
            </w:r>
            <w:r>
              <w:tab/>
              <w:t xml:space="preserve">poziva države članice, naj povečajo preglednost in prevzemanje odgovornosti v javnih institucijah tako, da okrepijo protikorupcijske okvire za boj proti korupciji </w:t>
            </w:r>
            <w:r>
              <w:rPr>
                <w:b/>
                <w:bCs/>
                <w:i/>
                <w:iCs/>
              </w:rPr>
              <w:t>in integriteto ter postopke poročanja, da bi zagotovili učinkovito preiskovanje in pregon primerov korupcije, tudi v primerih korupcije na visoki ravni, s posebnim poudarkom na področjih z visokim tveganjem,</w:t>
            </w:r>
            <w:r>
              <w:t xml:space="preserve"> </w:t>
            </w:r>
            <w:r>
              <w:rPr>
                <w:b/>
                <w:bCs/>
                <w:i/>
                <w:iCs/>
              </w:rPr>
              <w:t>kot so pristanišča ali kopenske meje</w:t>
            </w:r>
            <w:r>
              <w:t>, ustanovijo neodvisne nadzorne organe, spodbujajo zaščito žvižgačev, izboljšajo okvire za integriteto in za lobiranje pri zakonodaji; obžaluje, da v nekaterih državah članicah ni ustreznega napredka v boju proti korupciji na visoki ravni;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258</w:t>
      </w:r>
      <w:r>
        <w:rPr>
          <w:rStyle w:val="HideTWBExt"/>
          <w:b w:val="0"/>
        </w:rPr>
        <w:t>&lt;/NumAm&gt;</w:t>
      </w:r>
    </w:p>
    <w:p w:rsidR="00F931B6" w:rsidRPr="00444926" w:rsidRDefault="00F931B6" w:rsidP="00F931B6">
      <w:pPr>
        <w:pStyle w:val="NormalBold"/>
      </w:pPr>
      <w:r>
        <w:rPr>
          <w:rStyle w:val="HideTWBExt"/>
          <w:b w:val="0"/>
        </w:rPr>
        <w:t>&lt;RepeatBlock-By&gt;&lt;Members&gt;</w:t>
      </w:r>
      <w:r>
        <w:t>Daniel Freund, Jaume Asens Llodrà, Vicent Marzà Ibáñez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7.</w:t>
            </w:r>
            <w:r>
              <w:tab/>
              <w:t>poziva države članice, naj povečajo preglednost in prevzemanje odgovornosti v javnih institucijah tako, da okrepijo protikorupcijske okvire, ustanovijo neodvisne nadzorne organe, spodbujajo zaščito žvižgačev, izboljšajo okvire za integriteto in za lobiranje pri zakonodaji; obžaluje, da v nekaterih državah članicah ni ustreznega napredka v boju proti korupciji na visoki ravni;</w:t>
            </w:r>
          </w:p>
        </w:tc>
        <w:tc>
          <w:tcPr>
            <w:tcW w:w="4876" w:type="dxa"/>
            <w:tcBorders>
              <w:top w:val="nil"/>
              <w:left w:val="nil"/>
              <w:bottom w:val="nil"/>
              <w:right w:val="nil"/>
            </w:tcBorders>
          </w:tcPr>
          <w:p w:rsidR="00F931B6" w:rsidRPr="00444926" w:rsidRDefault="00F931B6" w:rsidP="007C04AE">
            <w:pPr>
              <w:pStyle w:val="Normal6a"/>
            </w:pPr>
            <w:r>
              <w:t>7.</w:t>
            </w:r>
            <w:r>
              <w:tab/>
              <w:t xml:space="preserve">poziva države članice, naj povečajo preglednost in prevzemanje odgovornosti v javnih institucijah tako, da okrepijo protikorupcijske okvire, ustanovijo neodvisne nadzorne organe, </w:t>
            </w:r>
            <w:r>
              <w:rPr>
                <w:b/>
                <w:bCs/>
                <w:i/>
                <w:iCs/>
              </w:rPr>
              <w:t xml:space="preserve">zagotovijo neodvisnost in ustrezno delovanje obstoječih agencij, </w:t>
            </w:r>
            <w:r>
              <w:t>spodbujajo zaščito žvižgačev, izboljšajo okvire za integriteto in za lobiranje pri zakonodaji; obžaluje, da v nekaterih državah članicah ni ustreznega napredka v boju proti korupciji na visoki ravni</w:t>
            </w:r>
            <w:r>
              <w:rPr>
                <w:b/>
                <w:bCs/>
                <w:i/>
                <w:iCs/>
              </w:rPr>
              <w:t>, vključno s tistimi, ki so po</w:t>
            </w:r>
            <w:r w:rsidR="001152A9">
              <w:rPr>
                <w:b/>
                <w:bCs/>
                <w:i/>
                <w:iCs/>
              </w:rPr>
              <w:t>v</w:t>
            </w:r>
            <w:r>
              <w:rPr>
                <w:b/>
                <w:bCs/>
                <w:i/>
                <w:iCs/>
              </w:rPr>
              <w:t>ezane s postopki javnih naročil</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259</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7.</w:t>
            </w:r>
            <w:r>
              <w:tab/>
              <w:t>poziva države članice, naj povečajo preglednost in prevzemanje odgovornosti v javnih institucijah tako, da okrepijo protikorupcijske okvire, ustanovijo neodvisne nadzorne organe, spodbujajo zaščito žvižgačev, izboljšajo okvire za integriteto in za lobiranje pri zakonodaji; obžaluje, da v nekaterih državah članicah ni ustreznega napredka v boju proti korupciji na visoki ravni;</w:t>
            </w:r>
          </w:p>
        </w:tc>
        <w:tc>
          <w:tcPr>
            <w:tcW w:w="4876" w:type="dxa"/>
            <w:tcBorders>
              <w:top w:val="nil"/>
              <w:left w:val="nil"/>
              <w:bottom w:val="nil"/>
              <w:right w:val="nil"/>
            </w:tcBorders>
          </w:tcPr>
          <w:p w:rsidR="00F931B6" w:rsidRPr="00444926" w:rsidRDefault="00F931B6" w:rsidP="007C04AE">
            <w:pPr>
              <w:pStyle w:val="Normal6a"/>
            </w:pPr>
            <w:r>
              <w:t>7.</w:t>
            </w:r>
            <w:r>
              <w:tab/>
              <w:t xml:space="preserve">poziva države članice, naj povečajo preglednost in prevzemanje odgovornosti v javnih institucijah tako, da okrepijo protikorupcijske okvire, ustanovijo neodvisne nadzorne organe, spodbujajo zaščito žvižgačev, izboljšajo okvire za integriteto in za lobiranje pri zakonodaji; obžaluje, da v nekaterih državah članicah ni ustreznega napredka v boju proti korupciji na visoki ravni </w:t>
            </w:r>
            <w:r>
              <w:rPr>
                <w:b/>
                <w:bCs/>
                <w:i/>
                <w:iCs/>
              </w:rPr>
              <w:t>in da se uporabljajo zakoni o amnestiji ali pomilostitvi za uradnike na visoki ravni, vpletene v primere korupcije</w:t>
            </w:r>
            <w:r>
              <w:t xml:space="preserve">; </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260</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7.</w:t>
            </w:r>
            <w:r>
              <w:tab/>
              <w:t xml:space="preserve">poziva </w:t>
            </w:r>
            <w:r>
              <w:rPr>
                <w:b/>
                <w:bCs/>
                <w:i/>
                <w:iCs/>
              </w:rPr>
              <w:t>države članice</w:t>
            </w:r>
            <w:r>
              <w:t xml:space="preserve">, naj </w:t>
            </w:r>
            <w:r>
              <w:rPr>
                <w:b/>
                <w:bCs/>
                <w:i/>
                <w:iCs/>
              </w:rPr>
              <w:t>povečajo</w:t>
            </w:r>
            <w:r>
              <w:t xml:space="preserve"> preglednost in prevzemanje odgovornosti v </w:t>
            </w:r>
            <w:r>
              <w:rPr>
                <w:b/>
                <w:bCs/>
                <w:i/>
                <w:iCs/>
              </w:rPr>
              <w:t>javnih</w:t>
            </w:r>
            <w:r>
              <w:t xml:space="preserve"> institucijah tako, da okrepijo protikorupcijske okvire, ustanovijo neodvisne nadzorne organe</w:t>
            </w:r>
            <w:r>
              <w:rPr>
                <w:b/>
                <w:bCs/>
                <w:i/>
                <w:iCs/>
              </w:rPr>
              <w:t>, spodbujajo zaščito žvižgačev,</w:t>
            </w:r>
            <w:r>
              <w:t xml:space="preserve"> izboljšajo okvire za integriteto in za lobiranje pri zakonodaji; obžaluje, da v </w:t>
            </w:r>
            <w:r>
              <w:rPr>
                <w:b/>
                <w:bCs/>
                <w:i/>
                <w:iCs/>
              </w:rPr>
              <w:t>nekaterih državah članicah</w:t>
            </w:r>
            <w:r>
              <w:t xml:space="preserve"> ni ustreznega napredka v boju proti korupciji na visoki ravni;</w:t>
            </w:r>
          </w:p>
        </w:tc>
        <w:tc>
          <w:tcPr>
            <w:tcW w:w="4876" w:type="dxa"/>
            <w:tcBorders>
              <w:top w:val="nil"/>
              <w:left w:val="nil"/>
              <w:bottom w:val="nil"/>
              <w:right w:val="nil"/>
            </w:tcBorders>
          </w:tcPr>
          <w:p w:rsidR="00F931B6" w:rsidRPr="00444926" w:rsidRDefault="00F931B6" w:rsidP="007C04AE">
            <w:pPr>
              <w:pStyle w:val="Normal6a"/>
            </w:pPr>
            <w:r>
              <w:t>7.</w:t>
            </w:r>
            <w:r>
              <w:tab/>
              <w:t xml:space="preserve">poziva </w:t>
            </w:r>
            <w:r>
              <w:rPr>
                <w:b/>
                <w:bCs/>
                <w:i/>
                <w:iCs/>
              </w:rPr>
              <w:t>Komisijo</w:t>
            </w:r>
            <w:r>
              <w:t xml:space="preserve">, naj </w:t>
            </w:r>
            <w:r>
              <w:rPr>
                <w:b/>
                <w:bCs/>
                <w:i/>
                <w:iCs/>
              </w:rPr>
              <w:t>poveča</w:t>
            </w:r>
            <w:r>
              <w:t xml:space="preserve"> preglednost in prevzemanje odgovornosti v institucijah </w:t>
            </w:r>
            <w:r>
              <w:rPr>
                <w:b/>
                <w:bCs/>
                <w:i/>
                <w:iCs/>
              </w:rPr>
              <w:t xml:space="preserve">EU </w:t>
            </w:r>
            <w:r>
              <w:t xml:space="preserve">tako, da okrepijo protikorupcijske okvire, ustanovijo neodvisne nadzorne organe, izboljšajo okvire za integriteto in za lobiranje pri zakonodaji; obžaluje, da v </w:t>
            </w:r>
            <w:r>
              <w:rPr>
                <w:b/>
                <w:bCs/>
                <w:i/>
                <w:iCs/>
              </w:rPr>
              <w:t>institucijah EU</w:t>
            </w:r>
            <w:r>
              <w:t xml:space="preserve"> ni ustreznega napredka v boju proti korupciji na visoki ravni;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261</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7.</w:t>
            </w:r>
            <w:r>
              <w:tab/>
              <w:t>poziva države članice, naj povečajo preglednost in prevzemanje odgovornosti v javnih institucijah tako, da okrepijo protikorupcijske okvire, ustanovijo neodvisne nadzorne organe, spodbujajo zaščito žvižgačev, izboljšajo okvire za integriteto in za lobiranje pri zakonodaji; obžaluje, da v nekaterih državah članicah ni ustreznega napredka v boju proti korupciji na visoki ravni;</w:t>
            </w:r>
          </w:p>
        </w:tc>
        <w:tc>
          <w:tcPr>
            <w:tcW w:w="4876" w:type="dxa"/>
            <w:tcBorders>
              <w:top w:val="nil"/>
              <w:left w:val="nil"/>
              <w:bottom w:val="nil"/>
              <w:right w:val="nil"/>
            </w:tcBorders>
          </w:tcPr>
          <w:p w:rsidR="00F931B6" w:rsidRPr="00444926" w:rsidRDefault="00F931B6" w:rsidP="007C04AE">
            <w:pPr>
              <w:pStyle w:val="Normal6a"/>
            </w:pPr>
            <w:r>
              <w:t>7.</w:t>
            </w:r>
            <w:r>
              <w:tab/>
              <w:t xml:space="preserve">poziva države članice, naj povečajo preglednost in prevzemanje odgovornosti v javnih institucijah tako, da okrepijo protikorupcijske okvire, ustanovijo neodvisne nadzorne organe, spodbujajo zaščito žvižgačev, izboljšajo okvire za integriteto in za lobiranje pri zakonodaji; obžaluje, da v nekaterih državah članicah </w:t>
            </w:r>
            <w:r>
              <w:rPr>
                <w:b/>
                <w:i/>
              </w:rPr>
              <w:t>in v institucijah EU</w:t>
            </w:r>
            <w:r>
              <w:t xml:space="preserve"> ni ustreznega napredka v boju proti korupciji na visoki ravni;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262</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7.</w:t>
            </w:r>
            <w:r>
              <w:tab/>
              <w:t>poziva države članice, naj povečajo preglednost in prevzemanje odgovornosti v javnih institucijah tako, da okrepijo protikorupcijske okvire,</w:t>
            </w:r>
            <w:r>
              <w:rPr>
                <w:b/>
                <w:bCs/>
                <w:i/>
                <w:iCs/>
              </w:rPr>
              <w:t xml:space="preserve"> ustanovijo neodvisne</w:t>
            </w:r>
            <w:r>
              <w:t xml:space="preserve"> nadzorne organe, spodbujajo zaščito žvižgačev, izboljšajo okvire za integriteto in za lobiranje pri zakonodaji; obžaluje, da v nekaterih državah članicah ni ustreznega napredka v boju proti korupciji na visoki ravni;</w:t>
            </w:r>
          </w:p>
        </w:tc>
        <w:tc>
          <w:tcPr>
            <w:tcW w:w="4876" w:type="dxa"/>
            <w:tcBorders>
              <w:top w:val="nil"/>
              <w:left w:val="nil"/>
              <w:bottom w:val="nil"/>
              <w:right w:val="nil"/>
            </w:tcBorders>
          </w:tcPr>
          <w:p w:rsidR="00F931B6" w:rsidRPr="00444926" w:rsidRDefault="00F931B6" w:rsidP="007C04AE">
            <w:pPr>
              <w:pStyle w:val="Normal6a"/>
            </w:pPr>
            <w:r>
              <w:t>7.</w:t>
            </w:r>
            <w:r>
              <w:tab/>
              <w:t xml:space="preserve">poziva države članice, naj povečajo preglednost in prevzemanje odgovornosti v javnih institucijah tako, da okrepijo protikorupcijske okvire, </w:t>
            </w:r>
            <w:r>
              <w:rPr>
                <w:b/>
                <w:bCs/>
                <w:i/>
                <w:iCs/>
              </w:rPr>
              <w:t>okrepijo</w:t>
            </w:r>
            <w:r>
              <w:t xml:space="preserve"> nadzorne </w:t>
            </w:r>
            <w:r>
              <w:rPr>
                <w:b/>
                <w:bCs/>
                <w:i/>
                <w:iCs/>
              </w:rPr>
              <w:t>mehanizme in</w:t>
            </w:r>
            <w:r>
              <w:t xml:space="preserve"> organe, spodbujajo zaščito žvižgačev, izboljšajo okvire za integriteto in za lobiranje pri zakonodaji; obžaluje, da v nekaterih državah članicah ni ustreznega napredka v boju proti korupciji na visoki ravni;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263</w:t>
      </w:r>
      <w:r>
        <w:rPr>
          <w:rStyle w:val="HideTWBExt"/>
          <w:b w:val="0"/>
        </w:rPr>
        <w:t>&lt;/NumAm&gt;</w:t>
      </w:r>
    </w:p>
    <w:p w:rsidR="00F931B6" w:rsidRPr="00444926" w:rsidRDefault="00F931B6" w:rsidP="00F931B6">
      <w:pPr>
        <w:pStyle w:val="NormalBold"/>
      </w:pPr>
      <w:r>
        <w:rPr>
          <w:rStyle w:val="HideTWBExt"/>
          <w:b w:val="0"/>
        </w:rPr>
        <w:t>&lt;RepeatBlock-By&gt;&lt;Members&gt;</w:t>
      </w:r>
      <w:r>
        <w:t xml:space="preserve">Chloé Ridel, Emma Rafowicz, Sandro Ruotolo, Eric Sargiacomo, Michał Wawrykiewicz, Alessandro Zan, Giuseppe Antoci, Klára Dobrev, Csaba Molnár, Bruno Gonçalves, Nora Mebarek, Raphaël Glucksmann, </w:t>
      </w:r>
      <w:r w:rsidR="007C04AE">
        <w:t>Nikola Minčev (Nikola Minchev)</w:t>
      </w:r>
      <w:r>
        <w:t>, Estelle Ceulemans, Krzysztof Śmiszek, Raquel García Hermida-Van Der Walle, Marta Wcisło, Daniel Freund, Birgit Sippel, Katarina Barley, David Casa, Evin Incir, Matjaž Nemec, 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ponovno poudarja, da korupcija resno ogroža demokracijo, temeljne pravice in pravno državo; poudarja, da korupcija zmanjšuje zaupanje državljanov v javne institucije; obžaluje, da je raziskava Evrobarometer o korupciji iz leta 2024 pokazala, da korupcija še vedno resno skrbi državljane in podjetja EU, saj 68 % Evropejcev meni, da je korupcija v njihovi državi zelo razširjena, 65 % jih verjame, da se primeri korupcije na visoki ravni ne obravnavajo v zadostni meri, 41 % pa jih verjame, da se je raven korupcije povečala; ponovno poziva EU, naj si bolj prizadeva za boj proti korupciji;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264</w:t>
      </w:r>
      <w:r>
        <w:rPr>
          <w:rStyle w:val="HideTWBExt"/>
          <w:b w:val="0"/>
        </w:rPr>
        <w:t>&lt;/NumAm&gt;</w:t>
      </w:r>
    </w:p>
    <w:p w:rsidR="00F931B6" w:rsidRPr="00444926" w:rsidRDefault="00F931B6" w:rsidP="00F931B6">
      <w:pPr>
        <w:pStyle w:val="NormalBold"/>
      </w:pPr>
      <w:r>
        <w:rPr>
          <w:rStyle w:val="HideTWBExt"/>
          <w:b w:val="0"/>
        </w:rPr>
        <w:t>&lt;RepeatBlock-By&gt;&lt;Members&gt;</w:t>
      </w:r>
      <w:r>
        <w:t>Javier Zarzalejos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 xml:space="preserve">poziva zakonodajne in izvršilne oblasti držav članic, naj se vzdržijo javnih izjav, ki bi lahko ogrozile zaupanje javnosti v sodstvo; opominja, da je Komisija v prejšnjih poročilih opozorila, da takšne izjave negativno vplivajo na to, kako državljani dojemajo neodvisnost sodstva;  poudarja, da je to poslabšanje še posebej zaskrbljujoče, kadar kritike izražata zakonodajna in izvršilna veja oblasti; poudarja, da so vse veje oblasti odgovorne za spodbujanje in ohranjanje javnega zaupanja v ustavne institucije, vključno z neodvisnostjo sodstva; </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265</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Isabel Serra Sánchez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1152A9">
            <w:pPr>
              <w:pStyle w:val="Normal6a"/>
            </w:pPr>
            <w:r>
              <w:rPr>
                <w:b/>
                <w:i/>
              </w:rPr>
              <w:t>7a.</w:t>
            </w:r>
            <w:r>
              <w:tab/>
            </w:r>
            <w:r>
              <w:rPr>
                <w:b/>
                <w:i/>
              </w:rPr>
              <w:t>vztraja, da še vedno veliko skrb vzbuja dejstvo, da ni učinkovitih preiskav kršitev, ki so jih storili državni in nedržavni akterji zoper zagovornike človekovih pravic; obsoja, da nekatere vlade dajejo prednost vprašanjem nacionalne in javne varnosti pred človekovimi pravicami; je zaskrbljen, ker se aktivisti za človekove pravice in politični nasprotniki s</w:t>
            </w:r>
            <w:r w:rsidR="001152A9">
              <w:rPr>
                <w:b/>
                <w:i/>
              </w:rPr>
              <w:t xml:space="preserve">oočajo s sodnim nadlegovanjem, </w:t>
            </w:r>
            <w:r>
              <w:rPr>
                <w:b/>
                <w:i/>
              </w:rPr>
              <w:t>pregonom, zlorabami kontrol in nadzora s strani državnih akterjev; obsoja vohunjenje španskih državnih akterjev, usmerjeno proti političnim nasprotnikom;</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266</w:t>
      </w:r>
      <w:r>
        <w:rPr>
          <w:rStyle w:val="HideTWBExt"/>
          <w:b w:val="0"/>
        </w:rPr>
        <w:t>&lt;/NumAm&gt;</w:t>
      </w:r>
    </w:p>
    <w:p w:rsidR="00F931B6" w:rsidRPr="00444926" w:rsidRDefault="00F931B6" w:rsidP="00F931B6">
      <w:pPr>
        <w:pStyle w:val="NormalBold"/>
      </w:pPr>
      <w:r>
        <w:rPr>
          <w:rStyle w:val="HideTWBExt"/>
          <w:b w:val="0"/>
        </w:rPr>
        <w:t>&lt;RepeatBlock-By&gt;&lt;Members&gt;</w:t>
      </w:r>
      <w:r>
        <w:t>Mary Khan, Christine Anderson, Milan Uhrík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obžaluje, da vlade očitno dopuščajo zlorabo prava, tj. da vlade držav članic sistematično izkoriščajo pravosodni sistem za zaščito izvršilne oblasti pred kritikami državljanov; opozarja zlasti na kršitve svobode govora nemške vlade, ko je sedanji zvezni minister za gospodarstvo Robert Habeck v času svojega mandata vložil več kot 800 pritožb;</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267</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je globoko zaskrbljen, ker pri preiskavi afere Katargate ni napredka in ker se skuša pod preprogo pomesti tudi druge škandale, ki so jih razkrili mediji, vključno z vprašanji, ki se zastavljajo o vpletenosti predsednice Komisije v nabavo cepiv proti COVID-19, pa tudi zaradi nasprotij interesov in trgovanja z vplivom, opaženega med sodniki Sodišča Evropske unije, in zaradi nepravilnosti, ki se pripisujejo članom Evropskega računskega sodišča;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268</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Marieke Ehlers,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z zaskrbljenostjo se seznanja z nedavnimi razkritji tako imenovanega „škandala zelenega lobija“ o tem, kako Evropska komisija uporablja sredstva EU za vmešavanje v zakonodajno vejo EU, ki išče podporo za evropski zeleni dogovor; v zvezi s tem poziva k temeljiti preiskavi primera in k izterjavi vsega neupravičeno porabljenega davkoplačevalskega denarja;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269</w:t>
      </w:r>
      <w:r>
        <w:rPr>
          <w:rStyle w:val="HideTWBExt"/>
          <w:b w:val="0"/>
        </w:rPr>
        <w:t>&lt;/NumAm&gt;</w:t>
      </w:r>
    </w:p>
    <w:p w:rsidR="00F931B6" w:rsidRPr="00444926" w:rsidRDefault="00F931B6" w:rsidP="00F931B6">
      <w:pPr>
        <w:pStyle w:val="NormalBold"/>
      </w:pPr>
      <w:r>
        <w:rPr>
          <w:rStyle w:val="HideTWBExt"/>
          <w:b w:val="0"/>
        </w:rPr>
        <w:t>&lt;RepeatBlock-By&gt;&lt;Members&gt;</w:t>
      </w:r>
      <w:r>
        <w:t>Lukas Mandl, Hannes Heide</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priznava vlogo notarjev v številnih državah članicah, ki opravljajo sodne funkcije; meni, da bi bilo treba prispevek notarjev k standardom pravne države obravnavati v ustreznih poglavjih o posameznih državah v naslednjih izdajah poročila o pravni državi;</w:t>
            </w:r>
            <w:r>
              <w:rPr>
                <w:b/>
                <w:i/>
                <w:vertAlign w:val="superscript"/>
              </w:rPr>
              <w:t>1a</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tc>
        <w:tc>
          <w:tcPr>
            <w:tcW w:w="4876" w:type="dxa"/>
            <w:tcBorders>
              <w:top w:val="nil"/>
              <w:left w:val="nil"/>
              <w:bottom w:val="nil"/>
              <w:right w:val="nil"/>
            </w:tcBorders>
          </w:tcPr>
          <w:p w:rsidR="00F931B6" w:rsidRPr="00444926" w:rsidRDefault="00F931B6" w:rsidP="007C04AE">
            <w:pPr>
              <w:pStyle w:val="Normal6a"/>
            </w:pPr>
            <w:r>
              <w:rPr>
                <w:b/>
                <w:bCs/>
                <w:i/>
                <w:iCs/>
                <w:vertAlign w:val="superscript"/>
              </w:rPr>
              <w:t>1a</w:t>
            </w:r>
            <w:r>
              <w:rPr>
                <w:b/>
                <w:bCs/>
                <w:i/>
                <w:iCs/>
              </w:rPr>
              <w:t xml:space="preserve"> Besedilo resolucije Evropskega parlamenta z dne 28. februarja 2024 o poročilu Komisije o stanju pravne države za leto 2023 (2023/2113(INI)).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270</w:t>
      </w:r>
      <w:r>
        <w:rPr>
          <w:rStyle w:val="HideTWBExt"/>
          <w:b w:val="0"/>
        </w:rPr>
        <w:t>&lt;/NumAm&gt;</w:t>
      </w:r>
    </w:p>
    <w:p w:rsidR="00F931B6" w:rsidRPr="00444926" w:rsidRDefault="00F931B6" w:rsidP="00F931B6">
      <w:pPr>
        <w:pStyle w:val="NormalBold"/>
      </w:pPr>
      <w:r>
        <w:rPr>
          <w:rStyle w:val="HideTWBExt"/>
          <w:b w:val="0"/>
        </w:rPr>
        <w:t>&lt;RepeatBlock-By&gt;&lt;Members&gt;</w:t>
      </w:r>
      <w:r>
        <w:t>Tomáš Zdechovský</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potrjuje, da Evropsko javno tožilstvo uspešno opravlja svoje naloge v zvezi z bojem proti korupciji v državah članicah; podpira povečanje nadzornih in usklajevalnih pristojnosti Evropskega javnega tožilstva za izboljšanje njegovih zmogljivosti v boju proti korupciji v državah članicah;</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271</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 Ana Catarina Mendes, Moritz Körner, 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 xml:space="preserve">poziva vse države članice, ki tega še niso storile, naj se pridružijo Evropskemu javnemu tožilstvu, da bi povečale učinkovitost boja proti korupciji, zlasti v zvezi z zaščito skladov EU; </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272</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Isabel Serra Sánchez,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pozdravlja sporazum o ustanovitvi medinstitucionalnega organa za etiko;  poziva vse institucije in svetovalne organe EU, ki se še niso pridružile temu organu, naj to storijo; z zanimanjem pričakuje prvo letno poročilo organa;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273</w:t>
      </w:r>
      <w:r>
        <w:rPr>
          <w:rStyle w:val="HideTWBExt"/>
          <w:b w:val="0"/>
        </w:rPr>
        <w:t>&lt;/NumAm&gt;</w:t>
      </w:r>
    </w:p>
    <w:p w:rsidR="00F931B6" w:rsidRPr="00444926" w:rsidRDefault="00F931B6" w:rsidP="00F931B6">
      <w:pPr>
        <w:pStyle w:val="NormalBold"/>
      </w:pPr>
      <w:r>
        <w:rPr>
          <w:rStyle w:val="HideTWBExt"/>
          <w:b w:val="0"/>
        </w:rPr>
        <w:t>&lt;RepeatBlock-By&gt;&lt;Members&gt;</w:t>
      </w:r>
      <w:r>
        <w:t>Romana Tomc</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poziva Komisijo, naj poveča preglednost in odgovornost v vseh svojih dokumentih, obiskih in srečanjih, zlasti v komunikaciji z nacionalnimi akterji na visoki ravni;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274</w:t>
      </w:r>
      <w:r>
        <w:rPr>
          <w:rStyle w:val="HideTWBExt"/>
          <w:b w:val="0"/>
        </w:rPr>
        <w:t>&lt;/NumAm&gt;</w:t>
      </w:r>
    </w:p>
    <w:p w:rsidR="00F931B6" w:rsidRPr="00444926" w:rsidRDefault="00F931B6" w:rsidP="00F931B6">
      <w:pPr>
        <w:pStyle w:val="NormalBold"/>
      </w:pPr>
      <w:r>
        <w:rPr>
          <w:rStyle w:val="HideTWBExt"/>
          <w:b w:val="0"/>
        </w:rPr>
        <w:t>&lt;RepeatBlock-By&gt;&lt;Members&gt;</w:t>
      </w:r>
      <w:r>
        <w:t xml:space="preserve">Chloé Ridel, Emma Rafowicz, Sandro Ruotolo, Eric Sargiacomo, Michał Wawrykiewicz, Alessandro Zan, Giuseppe Antoci, Klára Dobrev, Csaba Molnár, Bruno Gonçalves, Nora Mebarek, Raphaël Glucksmann, </w:t>
      </w:r>
      <w:r w:rsidR="007C04AE">
        <w:t>Nikola Minčev (Nikola Minchev)</w:t>
      </w:r>
      <w:r>
        <w:t>, Estelle Ceulemans, Krzysztof Śmiszek, Daniel Freund, Birgit Sippel, Katarina Barley, David Casa, Evin Incir, Matjaž Nemec</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7b.</w:t>
            </w:r>
            <w:r>
              <w:tab/>
            </w:r>
            <w:r>
              <w:rPr>
                <w:b/>
                <w:i/>
              </w:rPr>
              <w:t xml:space="preserve">pozdravlja predlog Komisije o direktivi o boju proti korupciji, ki usklajuje opredelitev kaznivih dejanj korupcije v javnem in zasebnem sektorju ter ustrezne kazni; poudarja, da je treba v to direktivo vključiti nezakonito politično financiranje na seznam kaznivih prekrškov v zvezi s korupcijo;   pozdravlja vključitev preventivnih ukrepov in usposabljanja v direktivo o boju proti korupciji, kot so učinkovita pravila za razkritje in obvladovanje nasprotij interesov, odprt dostop do informacij in učinkovita pravila, ki urejajo interakcijo med zasebnim in javnim sektorjem; poziva države članice, naj uvedejo tudi učinkovita pravila za obravnavo pojava vrtljivih vrat, določijo kodekse ravnanja za javne uradnike, določijo javni zakonodajni odtis, zagotovijo preglednost pri financiranju kandidatur za izvoljene javne uradnike in politične stranke;  ceni, da imajo zdaj skoraj vse države članice vzpostavljene protikorupcijske strategije, ki se redno ocenjujejo in pregledujejo; obenem obžaluje, da se izvajanje in učinkovitost razlikujeta;  poziva države članice, ki tega še niso storile, naj v sodelovanju s civilno družbo razvijejo in izvajajo trdne in učinkovite protikorupcijske strategije; poudarja pomen identifikacije, obveščanja, zastopanja in usklajevanja žrtev korupcije;  poziva države članice, naj zaščitijo žrtve korupcije in jim omogočijo, da se v ustreznih fazah kazenskega postopka predstavijo in upoštevajo njihova stališča in pomisleki; poziva države članice, naj zagotovijo, da bodo žrtve korupcije imele pravico do ustreznega in sorazmernega nadomestila; </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275</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7b.</w:t>
            </w:r>
            <w:r>
              <w:tab/>
            </w:r>
            <w:r>
              <w:rPr>
                <w:b/>
                <w:i/>
              </w:rPr>
              <w:t>priznava pomembno vlogo Evropskega javnega tožilstva pri zaščiti pravne države in boju proti korupciji v Uniji ter spodbuja Komisijo, naj v nadaljnjih poročilih pozorno spremlja raven sodelovanja držav članic z Evropskim javnim tožilstvom, zlasti v zvezi s poravnavo sporov glede pristojnosti in kaznivih dejanj korupcije;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276</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Marieke Ehlers,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7b.</w:t>
            </w:r>
            <w:r>
              <w:tab/>
            </w:r>
            <w:r>
              <w:rPr>
                <w:b/>
                <w:i/>
              </w:rPr>
              <w:t>obžaluje, da je Komisija nekdanjemu komisarju Thierryju Bretonu dovolila, da se zaposli pri banki Bank of America, kljub dveletnemu obdobju mirovanja; v zvezi s tem poziva, naj se okrepi uporaba kodeksa ravnanja komisarja, da bi preprečili škodljive učinke pojava vrtljivih vrat;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277</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7b.</w:t>
            </w:r>
            <w:r>
              <w:tab/>
            </w:r>
            <w:r>
              <w:rPr>
                <w:b/>
                <w:i/>
              </w:rPr>
              <w:t>poziva Komisijo, naj tesno sodeluje z belgijskimi organi v zvezi s primerom nekdanjega komisarja za pravosodje, ki je osumljen pranja denarja; poziva Komisijo, naj tudi sama izvede preiskavo, ali je bil komisar Didier Reynders v nasprotju interesov, kar bi lahko vplivalo na to, kako je izpolnjeval svoje naloge;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278</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7c.</w:t>
            </w:r>
            <w:r>
              <w:tab/>
            </w:r>
            <w:r>
              <w:rPr>
                <w:b/>
                <w:i/>
              </w:rPr>
              <w:t>pozdravlja predlog Komisije za direktivo o boju proti korupciji, ki usklajuje opredelitev kaznivih dejanj korupcije v javnem in zasebnem sektorju ter ustrezne kazni; poudarja, da je treba vključiti nezakonito politično financiranje na seznam kaznivih prekrškov v zvezi s korupcijo v to direktivo; pozdravlja vključitev preventivnih ukrepov in usposabljanja v direktivo o boju proti korupciji, kot so učinkovita pravila za razkritje in obvladovanje nasprotij interesov, odprt dostop do informacij in učinkovita pravila, ki urejajo interakcijo med zasebnim in javnim sektorjem; poziva države članice, naj uvedejo tudi učinkovita pravila za obravnavo pojava vrtljivih vrat, določijo kodekse ravnanja za javne uradnike, določijo javni zakonodajni odtis, zagotovijo preglednost pri financiranju kandidatur za izvoljene javne uradnike in politične stranke; ceni, da imajo zdaj skoraj vse države članice vzpostavljene protikorupcijske strategije, ki se redno ocenjujejo in pregledujejo; obenem obžaluje, da se izvajanje in učinkovitost razlikujeta; poziva države članice, ki tega še niso storile, naj v sodelovanju s civilno družbo razvijejo in izvajajo trdne in učinkovite protikorupcijske strategije; poudarja pomen identifikacije, obveščanja, zastopanja in usklajevanja žrtev korupcije; poziva države članice, naj zaščitijo žrtve korupcije in jim omogočijo, da se v ustreznih fazah kazenskega postopka predstavijo in upoštevajo njihova stališča in pomisleki; poziva države članice, naj zagotovijo, da bodo žrtve korupcije imele pravico do ustreznega in sorazmernega nadomestila;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279</w:t>
      </w:r>
      <w:r>
        <w:rPr>
          <w:rStyle w:val="HideTWBExt"/>
          <w:b w:val="0"/>
        </w:rPr>
        <w:t>&lt;/NumAm&gt;</w:t>
      </w:r>
    </w:p>
    <w:p w:rsidR="00F931B6" w:rsidRPr="00444926" w:rsidRDefault="00F931B6" w:rsidP="00F931B6">
      <w:pPr>
        <w:pStyle w:val="NormalBold"/>
      </w:pPr>
      <w:r>
        <w:rPr>
          <w:rStyle w:val="HideTWBExt"/>
          <w:b w:val="0"/>
        </w:rPr>
        <w:t>&lt;RepeatBlock-By&gt;&lt;Members&gt;</w:t>
      </w:r>
      <w:r>
        <w:t xml:space="preserve">Chloé Ridel, Emma Rafowicz, Sandro Ruotolo, Eric Sargiacomo, Alessandro Zan, Giuseppe Antoci, Klára Dobrev, Csaba Molnár, Bruno Gonçalves, Nora Mebarek, Raphaël Glucksmann, </w:t>
      </w:r>
      <w:r w:rsidR="007C04AE">
        <w:t>Nikola Minčev (Nikola Minchev)</w:t>
      </w:r>
      <w:r>
        <w:t>, Estelle Ceulemans, Krzysztof Śmiszek, Raquel García Hermida-Van Der Walle, Birgit Sippel, Katarina Barley, David Casa, Evin Incir, Matjaž Nemec</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7c.</w:t>
            </w:r>
            <w:r>
              <w:tab/>
            </w:r>
            <w:r>
              <w:rPr>
                <w:b/>
                <w:i/>
              </w:rPr>
              <w:t xml:space="preserve">poziva vse institucije, organe, urade in agencije EU, naj izboljšajo svoje preventivne ukrepe v zvezi z razkrivanjem in obvladovanjem nasprotij interesov, odprtim dostopom do informacij, pravili, ki urejajo sodelovanje z zasebnim sektorjem, odpravo pojava vrtljivih vrat in kodeksom ravnanja za javne uslužbence; meni, da poslanci Evropskega parlamenta med svojim mandatom ne bi smeli sodelovati pri plačanih postranskih dejavnostih z neprofitnimi organizacijami ali podjetji, ki želijo vplivati na oblikovanje politik EU;  poziva institucije in svetovalne organe EU, naj se pridružijo medinstitucionalnemu organu za etiko; </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280</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7c.</w:t>
            </w:r>
            <w:r>
              <w:tab/>
            </w:r>
            <w:r>
              <w:rPr>
                <w:b/>
                <w:i/>
              </w:rPr>
              <w:t>poziva vlado Donalda Tuska, naj se vzdrži nadaljnjih kršitev ustave Republike Poljske in nadaljnjega spodkopavanja neodvisnih institucij, na katerih temelji poljski pravni red, vključno z napadi na ustavno sodišče, ki je temelj poljskega pravnega sistema; ugotavlja, da bodo vladi Donalda Tuska naložene kazenske sankcije, ker je korenito spremenila ustavni red Republike Poljske in uvedla sistemsko brezzakonje;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281</w:t>
      </w:r>
      <w:r>
        <w:rPr>
          <w:rStyle w:val="HideTWBExt"/>
          <w:b w:val="0"/>
        </w:rPr>
        <w:t>&lt;/NumAm&gt;</w:t>
      </w:r>
    </w:p>
    <w:p w:rsidR="00F931B6" w:rsidRPr="00444926" w:rsidRDefault="00F931B6" w:rsidP="00F931B6">
      <w:pPr>
        <w:pStyle w:val="NormalBold"/>
      </w:pPr>
      <w:r>
        <w:rPr>
          <w:rStyle w:val="HideTWBExt"/>
          <w:b w:val="0"/>
        </w:rPr>
        <w:t>&lt;RepeatBlock-By&gt;&lt;Members&gt;</w:t>
      </w:r>
      <w:r>
        <w:t xml:space="preserve">Chloé Ridel, Emma Rafowicz, Sandro Ruotolo, Eric Sargiacomo, Michał Wawrykiewicz, Alessandro Zan, Giuseppe Antoci, Klára Dobrev, Csaba Molnár, Bruno Gonçalves, Nora Mebarek, Raphaël Glucksmann, </w:t>
      </w:r>
      <w:r w:rsidR="007C04AE">
        <w:t>Nikola Minčev (Nikola Minchev)</w:t>
      </w:r>
      <w:r>
        <w:t>, Estelle Ceulemans, Krzysztof Śmiszek, Raquel García Hermida-Van Der Walle, Marta Wcisło, Daniel Freund, Birgit Sippel, Katarina Barley, David Casa, Evin Incir, Matjaž Nemec</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7d.</w:t>
            </w:r>
            <w:r>
              <w:tab/>
            </w:r>
            <w:r>
              <w:rPr>
                <w:b/>
                <w:i/>
              </w:rPr>
              <w:t xml:space="preserve">priznava pomembno vlogo Evropskega javnega tožilstva pri zaščiti pravne države in boju proti korupciji v Uniji ter spodbuja Komisijo, naj v nadaljnjih poročilih pozorno spremlja raven sodelovanja držav članic z Evropskim javnim tožilstvom, zlasti v zvezi s poravnavo sporov glede pristojnosti in kaznivih dejanj korupcije; Pozdravlja, da se nova irska vlada želi pridružiti Evropskemu javnemu tožilstvu, in poziva preostale države članice, naj temu sledijo; meni, da bi moralo biti članstvo v Evropskem javnem tožilstvu osnovni pogoj za prejemanje sredstev EU; poziva Komisijo, naj v okviru člena 86(4)PDEU predlaga razširitev mandata EJT, da se prepreči izogibanje omejevalnim ukrepom EU in čezmejna kazniva dejanja na področju okolja ter pospeši revizija uredbe o EJT in direktive o zaščiti finančnih interesov, da bi zaščitili in razjasnili glavno pristojnost EJT v zvezi s kaznivimi dejanji korupcije, ki vplivajo na finančne interese EU ali so jih storili uradniki EU;  </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282</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7d.</w:t>
            </w:r>
            <w:r>
              <w:tab/>
            </w:r>
            <w:r>
              <w:rPr>
                <w:b/>
                <w:i/>
              </w:rPr>
              <w:t>obžaluje, da je vlada Donalda Tuska ravnala nezakonito, da bi si politično podredila državno tožilstvo, med drugim je tako poskušala razrešiti državnega tožilca, za kar pa bi moral generalni državni tožilec pridobiti pisno soglasje predsednika Republike Poljske, kar pomeni, da s tem ni samo kršila ustavo Republike Poljske in načela zakonitosti, temveč tudi zakon o državnem tožilstvu; poziva vlado Donalda Tuska, naj preneha napadati državno tožilstvo in spodkopavati pristojnosti državnega tožilca, s tem pa tudi vseh državnih tožilcev, katerih nadrejeni je; poudarja, da je treba državnemu tožilcu nemudoma omogočiti, da opravi svoje naloge, in ugotavlja, da bo v nasprotnem primeru zaradi dela generalnega državnega tožilca Adama Bodnarja več tisoč storilcev kaznivih dejanj oproščenih kazenske odgovornosti;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283</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e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7e.</w:t>
            </w:r>
            <w:r>
              <w:tab/>
            </w:r>
            <w:r>
              <w:rPr>
                <w:b/>
                <w:i/>
              </w:rPr>
              <w:t>obžaluje, da v državah, kot je Poljska, po tem, ko je oblast prevzel politični tabor, ki trdi, da je demokratičen, načela demokratične pravne države nadomešča politika povračilnih ukrepov, preganjanja opozicije, političnih sojenj in odvzema prostosti, ki se nato večkrat podaljša, in v nekaterih primerih celo uporaba mučenja;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284</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f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7f.</w:t>
            </w:r>
            <w:r>
              <w:tab/>
            </w:r>
            <w:r>
              <w:rPr>
                <w:b/>
                <w:i/>
              </w:rPr>
              <w:t>poziva vlado Donalda Tuska, naj spoštuje ustavo Republike Poljske in zakone ter spoštuje in izvršuje pravnomočne in splošno zavezujoče sodbe ustavnega sodišča;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285</w:t>
      </w:r>
      <w:r>
        <w:rPr>
          <w:rStyle w:val="HideTWBExt"/>
          <w:b w:val="0"/>
        </w:rPr>
        <w:t>&lt;/NumAm&gt;</w:t>
      </w:r>
    </w:p>
    <w:p w:rsidR="00F931B6" w:rsidRPr="00444926" w:rsidRDefault="00F931B6" w:rsidP="00F931B6">
      <w:pPr>
        <w:pStyle w:val="NormalBold"/>
      </w:pPr>
      <w:r>
        <w:rPr>
          <w:rStyle w:val="HideTWBExt"/>
          <w:b w:val="0"/>
        </w:rPr>
        <w:t>&lt;RepeatBlock-By&gt;&lt;Members&gt;</w:t>
      </w:r>
      <w:r>
        <w:t>Juan Fernando López Aguilar, Nacho Sánchez Amor, Javier Moreno Sánchez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priznava ključno vlogo žvižgačev pri razkrivanju korupcije in spodbujanju preglednosti v javnem in zasebnem sektorju; poudarja, da je treba zaščititi žvižgače pred povračilnimi ukrepi in nadlegovanjem;  poziva k nadaljnji krepitvi neodvisnih in avtonomnih organov za zaščito žvižgačev ter k njihovemu nadaljnjemu vključevanju v širše nacionalne protikorupcijske okvire, da bi zagotovili enoten in trden pristop k boju proti korupciji v vseh državah članicah;</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286</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Abir Al-Sahlani, Alessandro Zan, Chloé Ridel, Fabienne Keller, Lucia Yar, Irena Joveva, Isabel Wiseler-Lima, Daniel Freund</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7a.</w:t>
            </w:r>
            <w:r>
              <w:tab/>
            </w:r>
            <w:r>
              <w:rPr>
                <w:b/>
                <w:i/>
              </w:rPr>
              <w:t>opozarja, da so močni nacionalni pravni sistemi nepogrešljivi, saj se Komisija zanaša na nacionalne pravosodne organe, da bi izvajala pravo EU, in da so temeljnega pomena za pravosodno sodelovanje v EU ter spodbujanje medsebojnega zaupanja;</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Default="00F931B6" w:rsidP="00F931B6">
      <w:pPr>
        <w:pStyle w:val="AmNumberTabs"/>
      </w:pPr>
      <w:r>
        <w:rPr>
          <w:rStyle w:val="HideTWBExt"/>
        </w:rPr>
        <w:t>&lt;Amend&gt;</w:t>
      </w:r>
      <w:r>
        <w:t>Predlog spremembe</w:t>
      </w:r>
      <w:r>
        <w:tab/>
      </w:r>
      <w:r>
        <w:tab/>
      </w:r>
      <w:r>
        <w:rPr>
          <w:rStyle w:val="HideTWBExt"/>
        </w:rPr>
        <w:t>&lt;NumAm&gt;</w:t>
      </w:r>
      <w:r>
        <w:t>287</w:t>
      </w:r>
      <w:r>
        <w:rPr>
          <w:rStyle w:val="HideTWBExt"/>
        </w:rPr>
        <w:t>&lt;/NumAm&gt;</w:t>
      </w:r>
    </w:p>
    <w:p w:rsidR="00F931B6" w:rsidRDefault="00F931B6" w:rsidP="00F931B6">
      <w:pPr>
        <w:pStyle w:val="NormalBold"/>
      </w:pPr>
      <w:r>
        <w:rPr>
          <w:rStyle w:val="HideTWBExt"/>
          <w:b w:val="0"/>
        </w:rPr>
        <w:t>&lt;RepeatBlock-By&gt;&lt;Members&gt;</w:t>
      </w:r>
      <w:r>
        <w:t>Alessandro Ciriani, Paolo Inselvini</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p>
        </w:tc>
        <w:tc>
          <w:tcPr>
            <w:tcW w:w="4876" w:type="dxa"/>
            <w:tcBorders>
              <w:top w:val="nil"/>
              <w:left w:val="nil"/>
              <w:bottom w:val="nil"/>
              <w:right w:val="nil"/>
            </w:tcBorders>
          </w:tcPr>
          <w:p w:rsidR="00F931B6" w:rsidRDefault="00F931B6" w:rsidP="007C04AE">
            <w:pPr>
              <w:pStyle w:val="Normal6a"/>
            </w:pPr>
            <w:r>
              <w:rPr>
                <w:b/>
                <w:i/>
              </w:rPr>
              <w:t>7a.</w:t>
            </w:r>
            <w:r>
              <w:tab/>
            </w:r>
            <w:r>
              <w:rPr>
                <w:b/>
                <w:i/>
              </w:rPr>
              <w:t>ugotavlja, da je Komisija v več državah članicah ugotovila, da obstaja trden regulativni okvir za medijski sektor, ki zagotavlja tudi učinkovito delovanje neodvisnega regulativnega organa;</w:t>
            </w:r>
          </w:p>
        </w:tc>
      </w:tr>
    </w:tbl>
    <w:p w:rsidR="00F931B6" w:rsidRDefault="00F931B6" w:rsidP="00F931B6">
      <w:pPr>
        <w:pStyle w:val="AmOrLang"/>
      </w:pPr>
      <w:r>
        <w:t xml:space="preserve">Or. </w:t>
      </w:r>
      <w:r>
        <w:rPr>
          <w:rStyle w:val="HideTWBExt"/>
        </w:rPr>
        <w:t>&lt;Original&gt;</w:t>
      </w:r>
      <w:r>
        <w:rPr>
          <w:rStyle w:val="HideTWBInt"/>
        </w:rPr>
        <w:t>{IT}</w:t>
      </w:r>
      <w:r>
        <w:t>it</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288</w:t>
      </w:r>
      <w:r>
        <w:rPr>
          <w:rStyle w:val="HideTWBExt"/>
          <w:b w:val="0"/>
        </w:rPr>
        <w:t>&lt;/NumAm&gt;</w:t>
      </w:r>
    </w:p>
    <w:p w:rsidR="00F931B6" w:rsidRPr="00444926" w:rsidRDefault="00F931B6" w:rsidP="00F931B6">
      <w:pPr>
        <w:pStyle w:val="NormalBold"/>
      </w:pPr>
      <w:r>
        <w:rPr>
          <w:rStyle w:val="HideTWBExt"/>
          <w:b w:val="0"/>
        </w:rPr>
        <w:t>&lt;RepeatBlock-By&gt;&lt;Members&gt;</w:t>
      </w:r>
      <w:r>
        <w:t>Daniel Freund, Diana Riba i Giner</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 in poziva k njegovemu hitremu izvajanju; poziva države članice, naj povečajo preglednost pri dodeljevanju državnega oglaševanja; poziva Komisijo, naj državam članicam zagotovi potrebno podporo za prenos evropskega akta o svobodi medijev;</w:t>
            </w:r>
          </w:p>
        </w:tc>
        <w:tc>
          <w:tcPr>
            <w:tcW w:w="4876" w:type="dxa"/>
            <w:tcBorders>
              <w:top w:val="nil"/>
              <w:left w:val="nil"/>
              <w:bottom w:val="nil"/>
              <w:right w:val="nil"/>
            </w:tcBorders>
          </w:tcPr>
          <w:p w:rsidR="00F931B6" w:rsidRPr="00444926" w:rsidRDefault="00F931B6" w:rsidP="007C04AE">
            <w:pPr>
              <w:pStyle w:val="Normal6a"/>
            </w:pPr>
            <w:r>
              <w:t>8.</w:t>
            </w:r>
            <w:r>
              <w:tab/>
              <w:t xml:space="preserve">pozdravlja pobude </w:t>
            </w:r>
            <w:r>
              <w:rPr>
                <w:b/>
                <w:bCs/>
                <w:i/>
                <w:iCs/>
              </w:rPr>
              <w:t>za spodbujanje svobodnih, neodvisnih in pluralističnih medijev ter varnega in spodbudnega okolja za novinarje</w:t>
            </w:r>
            <w:r>
              <w:t xml:space="preserve">, kot je evropski akt o svobodi medijev, in poziva k njegovemu hitremu izvajanju; poziva države članice, naj povečajo preglednost pri dodeljevanju državnega oglaševanja </w:t>
            </w:r>
            <w:r>
              <w:rPr>
                <w:b/>
                <w:bCs/>
                <w:i/>
                <w:iCs/>
              </w:rPr>
              <w:t>in upoštevajo priporočila iz priporočila Komisije z dne 16. septembra 2021 o zagotavljanju zaščite, varnosti in opolnomočenja novinarjev ter drugih medijskih delavcev v Evropski uniji</w:t>
            </w:r>
            <w:r>
              <w:t xml:space="preserve">; poziva Komisijo, naj državam članicam zagotovi potrebno podporo za prenos evropskega akta o svobodi medijev </w:t>
            </w:r>
            <w:r>
              <w:rPr>
                <w:b/>
                <w:bCs/>
                <w:i/>
                <w:iCs/>
              </w:rPr>
              <w:t>in</w:t>
            </w:r>
            <w:r>
              <w:t xml:space="preserve"> </w:t>
            </w:r>
            <w:r>
              <w:rPr>
                <w:b/>
                <w:bCs/>
                <w:i/>
                <w:iCs/>
              </w:rPr>
              <w:t>izvede priporočilo Komisije</w:t>
            </w:r>
            <w: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289</w:t>
      </w:r>
      <w:r>
        <w:rPr>
          <w:rStyle w:val="HideTWBExt"/>
          <w:b w:val="0"/>
        </w:rPr>
        <w:t>&lt;/NumAm&gt;</w:t>
      </w:r>
    </w:p>
    <w:p w:rsidR="00F931B6" w:rsidRPr="00444926" w:rsidRDefault="00F931B6" w:rsidP="00F931B6">
      <w:pPr>
        <w:pStyle w:val="NormalBold"/>
      </w:pPr>
      <w:r>
        <w:rPr>
          <w:rStyle w:val="HideTWBExt"/>
          <w:b w:val="0"/>
        </w:rPr>
        <w:t>&lt;RepeatBlock-By&gt;&lt;Members&gt;</w:t>
      </w:r>
      <w:r>
        <w:t>Juan Fernando López Aguilar, Nacho Sánchez Amor, Javier Moreno Sánchez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 (EMFA)</w:t>
            </w:r>
            <w:r>
              <w:rPr>
                <w:vertAlign w:val="superscript"/>
              </w:rPr>
              <w:t>39</w:t>
            </w:r>
            <w:r>
              <w:t xml:space="preserve">, </w:t>
            </w:r>
            <w:r>
              <w:rPr>
                <w:b/>
                <w:bCs/>
                <w:i/>
                <w:iCs/>
              </w:rPr>
              <w:t>in</w:t>
            </w:r>
            <w:r>
              <w:t xml:space="preserve"> poziva k njegovemu hitremu izvajanju; poziva države članice, naj povečajo preglednost pri dodeljevanju državnega oglaševanja; poziva Komisijo, naj državam članicam zagotovi potrebno podporo za prenos evropskega akta o svobodi medijev;</w:t>
            </w:r>
          </w:p>
        </w:tc>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 (EMFA)</w:t>
            </w:r>
            <w:r>
              <w:rPr>
                <w:vertAlign w:val="superscript"/>
              </w:rPr>
              <w:t>39</w:t>
            </w:r>
            <w:r>
              <w:t xml:space="preserve">, </w:t>
            </w:r>
            <w:r>
              <w:rPr>
                <w:b/>
                <w:bCs/>
                <w:i/>
                <w:iCs/>
              </w:rPr>
              <w:t>in</w:t>
            </w:r>
            <w:r>
              <w:t xml:space="preserve"> </w:t>
            </w:r>
            <w:r>
              <w:rPr>
                <w:b/>
                <w:bCs/>
                <w:i/>
                <w:iCs/>
              </w:rPr>
              <w:t>poziva k njegovemu hitremu izvajanju ter določitvi meril za opredelitev medijske hiše v primerjavi z drugimi platformami, katerih namen ni obveščanje</w:t>
            </w:r>
            <w:r>
              <w:t xml:space="preserve">; poziva države članice, naj povečajo preglednost pri dodeljevanju državnega oglaševanja; poziva Komisijo, naj državam članicam zagotovi potrebno podporo za prenos evropskega akta o svobodi medijev; </w:t>
            </w:r>
            <w:r>
              <w:rPr>
                <w:b/>
                <w:i/>
              </w:rPr>
              <w:t xml:space="preserve">pozdravlja pobude na nacionalni ravni za vzpostavitev medijskega registra, ki bo vseboval javne informacije o lastništvu in naložbe v oglaševanje, da bi zagotovili preglednost, nepristranskost in preverljivost; </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290</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8.</w:t>
            </w:r>
            <w:r>
              <w:tab/>
            </w:r>
            <w:r>
              <w:rPr>
                <w:b/>
                <w:i/>
              </w:rPr>
              <w:t>pozdravlja pobude</w:t>
            </w:r>
            <w:r>
              <w:t>, kot je evropski akt o svobodi medijev</w:t>
            </w:r>
            <w:r>
              <w:rPr>
                <w:vertAlign w:val="superscript"/>
              </w:rPr>
              <w:t>39</w:t>
            </w:r>
            <w:r>
              <w:rPr>
                <w:b/>
                <w:i/>
              </w:rPr>
              <w:t>, in poziva k njegovemu hitremu izvajanju</w:t>
            </w:r>
            <w:r>
              <w:t xml:space="preserve">; </w:t>
            </w:r>
            <w:r>
              <w:rPr>
                <w:b/>
                <w:i/>
              </w:rPr>
              <w:t>poziva države članice, naj povečajo preglednost pri dodeljevanju državnega oglaševanja; poziva Komisijo, naj državam članicam zagotovi potrebno podporo za prenos evropskega akta o svobodi medijev;</w:t>
            </w:r>
          </w:p>
        </w:tc>
        <w:tc>
          <w:tcPr>
            <w:tcW w:w="4876" w:type="dxa"/>
            <w:tcBorders>
              <w:top w:val="nil"/>
              <w:left w:val="nil"/>
              <w:bottom w:val="nil"/>
              <w:right w:val="nil"/>
            </w:tcBorders>
          </w:tcPr>
          <w:p w:rsidR="00F931B6" w:rsidRPr="00444926" w:rsidRDefault="00F931B6" w:rsidP="007C04AE">
            <w:pPr>
              <w:pStyle w:val="Normal6a"/>
            </w:pPr>
            <w:r>
              <w:t>8.</w:t>
            </w:r>
            <w:r>
              <w:tab/>
            </w:r>
            <w:r>
              <w:rPr>
                <w:b/>
                <w:i/>
              </w:rPr>
              <w:t>je seznanjen s pobudami</w:t>
            </w:r>
            <w:r>
              <w:t>, kot je evropski akt o svobodi medijev</w:t>
            </w:r>
            <w:r>
              <w:rPr>
                <w:vertAlign w:val="superscript"/>
              </w:rPr>
              <w:t>39</w:t>
            </w:r>
            <w: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291</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Chloé Ridel, Abir Al-Sahlani, Alessandro Zan, Fabienne Keller, Lucia Yar, Isabel Wiseler-Lima, Daniel Freund</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 (EMFA)</w:t>
            </w:r>
            <w:r>
              <w:rPr>
                <w:vertAlign w:val="superscript"/>
              </w:rPr>
              <w:t>39</w:t>
            </w:r>
            <w:r>
              <w:t>, in poziva k njegovemu hitremu izvajanju; poziva države članice, naj povečajo preglednost pri dodeljevanju državnega oglaševanja; poziva Komisijo, naj državam članicam zagotovi potrebno podporo za prenos evropskega akta o svobodi medijev;</w:t>
            </w:r>
          </w:p>
        </w:tc>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 (EMFA)</w:t>
            </w:r>
            <w:r>
              <w:rPr>
                <w:vertAlign w:val="superscript"/>
              </w:rPr>
              <w:t>39</w:t>
            </w:r>
            <w:r>
              <w:t xml:space="preserve">, in poziva k njegovemu hitremu izvajanju; poziva države članice, naj povečajo preglednost pri dodeljevanju državnega oglaševanja; poziva </w:t>
            </w:r>
            <w:r>
              <w:rPr>
                <w:b/>
                <w:bCs/>
                <w:i/>
                <w:iCs/>
              </w:rPr>
              <w:t>države članice, naj uvedejo posebne določbe o preglednosti lastništva medijev in neodvisnem delovanju javnih medijev</w:t>
            </w:r>
            <w:r>
              <w:t>;</w:t>
            </w:r>
            <w:r>
              <w:rPr>
                <w:b/>
                <w:i/>
              </w:rPr>
              <w:t xml:space="preserve"> </w:t>
            </w:r>
            <w:r>
              <w:t>poziva Komisijo, naj državam članicam zagotovi potrebno podporo za prenos evropskega akta o svobodi medijev;</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 http://data.europa.eu/eli/reg/2024/1083/oj).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292</w:t>
      </w:r>
      <w:r>
        <w:rPr>
          <w:rStyle w:val="HideTWBExt"/>
          <w:b w:val="0"/>
        </w:rPr>
        <w:t>&lt;/NumAm&gt;</w:t>
      </w:r>
    </w:p>
    <w:p w:rsidR="00F931B6" w:rsidRPr="00444926" w:rsidRDefault="00F931B6" w:rsidP="00F931B6">
      <w:pPr>
        <w:pStyle w:val="NormalBold"/>
      </w:pPr>
      <w:r>
        <w:rPr>
          <w:rStyle w:val="HideTWBExt"/>
          <w:b w:val="0"/>
        </w:rPr>
        <w:t>&lt;RepeatBlock-By&gt;&lt;Members&gt;</w:t>
      </w:r>
      <w:r>
        <w:t>Romana Tomc</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 (EMFA)</w:t>
            </w:r>
            <w:r>
              <w:rPr>
                <w:vertAlign w:val="superscript"/>
              </w:rPr>
              <w:t>39</w:t>
            </w:r>
            <w:r>
              <w:t>, in poziva k njegovemu hitremu izvajanju; poziva države članice, naj povečajo preglednost pri dodeljevanju državnega oglaševanja; poziva Komisijo, naj državam članicam zagotovi potrebno podporo za prenos evropskega akta o svobodi medijev;</w:t>
            </w:r>
          </w:p>
        </w:tc>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 (EMFA)</w:t>
            </w:r>
            <w:r>
              <w:rPr>
                <w:vertAlign w:val="superscript"/>
              </w:rPr>
              <w:t>39</w:t>
            </w:r>
            <w:r>
              <w:t xml:space="preserve">, in poziva k njegovemu hitremu izvajanju; poziva države članice, naj povečajo preglednost pri dodeljevanju državnega oglaševanja; poziva Komisijo, naj državam članicam zagotovi potrebno podporo za prenos evropskega akta o svobodi medijev; </w:t>
            </w:r>
            <w:r>
              <w:rPr>
                <w:b/>
                <w:i/>
              </w:rPr>
              <w:t>poziva države članice, naj se izogibajo sprejemanju nacionalne zakonodaje, preden v svojo zakonodajo prenesejo evropski akt o svobodi medijev;</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293</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8.</w:t>
            </w:r>
            <w:r>
              <w:tab/>
            </w:r>
            <w:r>
              <w:rPr>
                <w:b/>
                <w:bCs/>
                <w:i/>
                <w:iCs/>
              </w:rPr>
              <w:t>pozdravlja</w:t>
            </w:r>
            <w:r>
              <w:t xml:space="preserve"> </w:t>
            </w:r>
            <w:r>
              <w:rPr>
                <w:b/>
                <w:bCs/>
                <w:i/>
                <w:iCs/>
              </w:rPr>
              <w:t>pobude</w:t>
            </w:r>
            <w:r>
              <w:t>, kot je evropski akt o svobodi medijev (EMFA)</w:t>
            </w:r>
            <w:r>
              <w:rPr>
                <w:vertAlign w:val="superscript"/>
              </w:rPr>
              <w:t>39</w:t>
            </w:r>
            <w:r>
              <w:t xml:space="preserve">, </w:t>
            </w:r>
            <w:r>
              <w:rPr>
                <w:b/>
                <w:bCs/>
                <w:i/>
                <w:iCs/>
              </w:rPr>
              <w:t>in poziva k njegovemu hitremu izvajanju;</w:t>
            </w:r>
            <w:r>
              <w:rPr>
                <w:b/>
                <w:i/>
              </w:rPr>
              <w:t xml:space="preserve"> </w:t>
            </w:r>
            <w:r>
              <w:rPr>
                <w:b/>
                <w:bCs/>
                <w:i/>
                <w:iCs/>
              </w:rPr>
              <w:t>poziva države članice, naj povečajo preglednost pri dodeljevanju državnega oglaševanja;</w:t>
            </w:r>
            <w:r>
              <w:rPr>
                <w:b/>
                <w:i/>
              </w:rPr>
              <w:t xml:space="preserve"> </w:t>
            </w:r>
            <w:r>
              <w:rPr>
                <w:b/>
                <w:bCs/>
                <w:i/>
                <w:iCs/>
              </w:rPr>
              <w:t>poziva Komisijo, naj</w:t>
            </w:r>
            <w:r>
              <w:t xml:space="preserve"> </w:t>
            </w:r>
            <w:r>
              <w:rPr>
                <w:b/>
                <w:bCs/>
                <w:i/>
                <w:iCs/>
              </w:rPr>
              <w:t>državam članicam</w:t>
            </w:r>
            <w:r>
              <w:t xml:space="preserve"> </w:t>
            </w:r>
            <w:r>
              <w:rPr>
                <w:b/>
                <w:bCs/>
                <w:i/>
                <w:iCs/>
              </w:rPr>
              <w:t>zagotovi potrebno podporo za prenos evropskega akta o svobodi medijev;</w:t>
            </w:r>
          </w:p>
        </w:tc>
        <w:tc>
          <w:tcPr>
            <w:tcW w:w="4876" w:type="dxa"/>
            <w:tcBorders>
              <w:top w:val="nil"/>
              <w:left w:val="nil"/>
              <w:bottom w:val="nil"/>
              <w:right w:val="nil"/>
            </w:tcBorders>
          </w:tcPr>
          <w:p w:rsidR="00F931B6" w:rsidRPr="00444926" w:rsidRDefault="00F931B6" w:rsidP="007C04AE">
            <w:pPr>
              <w:pStyle w:val="Normal6a"/>
            </w:pPr>
            <w:r>
              <w:t>8.</w:t>
            </w:r>
            <w:r>
              <w:tab/>
            </w:r>
            <w:r>
              <w:rPr>
                <w:b/>
                <w:bCs/>
                <w:i/>
                <w:iCs/>
              </w:rPr>
              <w:t>je zaskrbljen zaradi pobud</w:t>
            </w:r>
            <w:r>
              <w:t>, kot je evropski akt o svobodi medijev (EMFA)</w:t>
            </w:r>
            <w:r>
              <w:rPr>
                <w:vertAlign w:val="superscript"/>
              </w:rPr>
              <w:t>39</w:t>
            </w:r>
            <w:r>
              <w:t>,</w:t>
            </w:r>
            <w:r>
              <w:rPr>
                <w:i/>
                <w:iCs/>
              </w:rPr>
              <w:t xml:space="preserve"> </w:t>
            </w:r>
            <w:r>
              <w:rPr>
                <w:b/>
                <w:bCs/>
                <w:i/>
                <w:iCs/>
              </w:rPr>
              <w:t>ki je še en poskus bruseljske elite, da bi cenzurirala nasprotujoče glasove in posegala v suverenost držav članic</w:t>
            </w:r>
            <w:r>
              <w:rPr>
                <w:b/>
                <w:bCs/>
              </w:rP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294</w:t>
      </w:r>
      <w:r>
        <w:rPr>
          <w:rStyle w:val="HideTWBExt"/>
          <w:b w:val="0"/>
        </w:rPr>
        <w:t>&lt;/NumAm&gt;</w:t>
      </w:r>
    </w:p>
    <w:p w:rsidR="00F931B6" w:rsidRPr="00444926" w:rsidRDefault="00F931B6" w:rsidP="00F931B6">
      <w:pPr>
        <w:pStyle w:val="NormalBold"/>
      </w:pPr>
      <w:r>
        <w:rPr>
          <w:rStyle w:val="HideTWBExt"/>
          <w:b w:val="0"/>
        </w:rPr>
        <w:t>&lt;RepeatBlock-By&gt;&lt;Members&gt;</w:t>
      </w:r>
      <w:r>
        <w:t>Veronika Cifrová Ostrihoňová</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w:t>
            </w:r>
            <w:r>
              <w:rPr>
                <w:vertAlign w:val="superscript"/>
              </w:rPr>
              <w:t>39</w:t>
            </w:r>
            <w:r>
              <w:t xml:space="preserve">, in poziva k njegovemu hitremu izvajanju; poziva države članice, naj povečajo preglednost pri dodeljevanju državnega oglaševanja; </w:t>
            </w:r>
            <w:r>
              <w:rPr>
                <w:b/>
                <w:i/>
              </w:rPr>
              <w:t>poziva Komisijo</w:t>
            </w:r>
            <w:r>
              <w:t xml:space="preserve">, naj </w:t>
            </w:r>
            <w:r>
              <w:rPr>
                <w:b/>
                <w:i/>
              </w:rPr>
              <w:t>državam članicam zagotovi potrebno podporo za prenos evropskega akta o svobodi medijev</w:t>
            </w:r>
            <w:r>
              <w:t>;</w:t>
            </w:r>
          </w:p>
        </w:tc>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w:t>
            </w:r>
            <w:r>
              <w:rPr>
                <w:vertAlign w:val="superscript"/>
              </w:rPr>
              <w:t>39</w:t>
            </w:r>
            <w:r>
              <w:t xml:space="preserve">, in poziva k njegovemu hitremu izvajanju; poziva države članice, naj povečajo preglednost pri dodeljevanju državnega oglaševanja; </w:t>
            </w:r>
            <w:r>
              <w:rPr>
                <w:b/>
                <w:i/>
              </w:rPr>
              <w:t>priporoča</w:t>
            </w:r>
            <w:r>
              <w:t xml:space="preserve">, naj </w:t>
            </w:r>
            <w:r>
              <w:rPr>
                <w:b/>
                <w:i/>
              </w:rPr>
              <w:t>nacionalni organi v celoti izkoristijo ta sredstva, da zagotovijo pravno utemeljeno, dosledno in učinkovito izvajanje</w:t>
            </w:r>
            <w: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295</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8.</w:t>
            </w:r>
            <w:r>
              <w:tab/>
            </w:r>
            <w:r>
              <w:rPr>
                <w:b/>
                <w:i/>
              </w:rPr>
              <w:t>pozdravlja</w:t>
            </w:r>
            <w:r>
              <w:t xml:space="preserve"> pobude, kot je evropski akt o svobodi medijev</w:t>
            </w:r>
            <w:r>
              <w:rPr>
                <w:vertAlign w:val="superscript"/>
              </w:rPr>
              <w:t>39</w:t>
            </w:r>
            <w:r>
              <w:t xml:space="preserve">, </w:t>
            </w:r>
            <w:r>
              <w:rPr>
                <w:b/>
                <w:i/>
              </w:rPr>
              <w:t>in poziva k njegovemu hitremu izvajanju</w:t>
            </w:r>
            <w:r>
              <w:t xml:space="preserve">; poziva države članice, naj povečajo preglednost pri dodeljevanju državnega oglaševanja; poziva Komisijo, naj </w:t>
            </w:r>
            <w:r>
              <w:rPr>
                <w:b/>
                <w:i/>
              </w:rPr>
              <w:t>državam članicam zagotovi potrebno podporo</w:t>
            </w:r>
            <w:r>
              <w:t xml:space="preserve"> za </w:t>
            </w:r>
            <w:r>
              <w:rPr>
                <w:b/>
                <w:i/>
              </w:rPr>
              <w:t>prenos evropskega akta o svobodi medijev</w:t>
            </w:r>
            <w:r>
              <w:t>;</w:t>
            </w:r>
          </w:p>
        </w:tc>
        <w:tc>
          <w:tcPr>
            <w:tcW w:w="4876" w:type="dxa"/>
            <w:tcBorders>
              <w:top w:val="nil"/>
              <w:left w:val="nil"/>
              <w:bottom w:val="nil"/>
              <w:right w:val="nil"/>
            </w:tcBorders>
          </w:tcPr>
          <w:p w:rsidR="00F931B6" w:rsidRPr="00444926" w:rsidRDefault="00F931B6" w:rsidP="007C04AE">
            <w:pPr>
              <w:pStyle w:val="Normal6a"/>
            </w:pPr>
            <w:r>
              <w:t>8.</w:t>
            </w:r>
            <w:r>
              <w:tab/>
            </w:r>
            <w:r>
              <w:rPr>
                <w:b/>
                <w:i/>
              </w:rPr>
              <w:t>ugotavlja, da</w:t>
            </w:r>
            <w:r>
              <w:t xml:space="preserve"> pobude, kot je evropski akt o svobodi medijev</w:t>
            </w:r>
            <w:r>
              <w:rPr>
                <w:vertAlign w:val="superscript"/>
              </w:rPr>
              <w:t>39</w:t>
            </w:r>
            <w:r>
              <w:t xml:space="preserve">, </w:t>
            </w:r>
            <w:r>
              <w:rPr>
                <w:b/>
                <w:i/>
              </w:rPr>
              <w:t>ne zagotavljajo ustrezne ravni varstva pravice do obveščenosti in svobodnega izražanja</w:t>
            </w:r>
            <w:r>
              <w:t xml:space="preserve">; poziva države članice, naj povečajo preglednost </w:t>
            </w:r>
            <w:r>
              <w:rPr>
                <w:b/>
                <w:i/>
              </w:rPr>
              <w:t xml:space="preserve">in pravičnost </w:t>
            </w:r>
            <w:r>
              <w:t xml:space="preserve">pri dodeljevanju državnega oglaševanja; poziva Komisijo, naj </w:t>
            </w:r>
            <w:r>
              <w:rPr>
                <w:b/>
                <w:i/>
              </w:rPr>
              <w:t>predloži predloge</w:t>
            </w:r>
            <w:r>
              <w:t xml:space="preserve"> za </w:t>
            </w:r>
            <w:r>
              <w:rPr>
                <w:b/>
                <w:i/>
              </w:rPr>
              <w:t>ustrezno obravnavo teh težav</w:t>
            </w:r>
            <w: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296</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Michał Wawrykiewicz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w:t>
            </w:r>
            <w:r>
              <w:rPr>
                <w:vertAlign w:val="superscript"/>
              </w:rPr>
              <w:t>39</w:t>
            </w:r>
            <w:r>
              <w:t>, in poziva k njegovemu hitremu izvajanju; poziva države članice, naj povečajo preglednost pri dodeljevanju državnega oglaševanja; poziva Komisijo, naj državam članicam zagotovi potrebno podporo za prenos evropskega akta o svobodi medijev;</w:t>
            </w:r>
          </w:p>
        </w:tc>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w:t>
            </w:r>
            <w:r>
              <w:rPr>
                <w:vertAlign w:val="superscript"/>
              </w:rPr>
              <w:t>39</w:t>
            </w:r>
            <w:r>
              <w:t>, in poziva k njegovemu hitremu izvajanju; poziva države članice, naj povečajo preglednost pri dodeljevanju državnega oglaševanja; poziva Komisijo, naj državam članicam zagotovi potrebno podporo za prenos evropskega akta o svobodi medijev</w:t>
            </w:r>
            <w:r>
              <w:rPr>
                <w:b/>
                <w:i/>
              </w:rPr>
              <w:t xml:space="preserve"> in spremlja njegovo izvajanje</w:t>
            </w:r>
            <w: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297</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w:t>
            </w:r>
            <w:r>
              <w:rPr>
                <w:vertAlign w:val="superscript"/>
              </w:rPr>
              <w:t>39</w:t>
            </w:r>
            <w:r>
              <w:t>, in poziva k njegovemu hitremu izvajanju; poziva države članice, naj povečajo preglednost pri dodeljevanju državnega oglaševanja; poziva Komisijo, naj državam članicam zagotovi potrebno podporo za prenos evropskega akta o svobodi medijev;</w:t>
            </w:r>
          </w:p>
        </w:tc>
        <w:tc>
          <w:tcPr>
            <w:tcW w:w="4876" w:type="dxa"/>
            <w:tcBorders>
              <w:top w:val="nil"/>
              <w:left w:val="nil"/>
              <w:bottom w:val="nil"/>
              <w:right w:val="nil"/>
            </w:tcBorders>
          </w:tcPr>
          <w:p w:rsidR="00F931B6" w:rsidRPr="00444926" w:rsidRDefault="00F931B6" w:rsidP="007C04AE">
            <w:pPr>
              <w:pStyle w:val="Normal6a"/>
            </w:pPr>
            <w:r>
              <w:t>8.</w:t>
            </w:r>
            <w:r>
              <w:tab/>
              <w:t>pozdravlja pobude, kot je evropski akt o svobodi medijev</w:t>
            </w:r>
            <w:r>
              <w:rPr>
                <w:vertAlign w:val="superscript"/>
              </w:rPr>
              <w:t>39</w:t>
            </w:r>
            <w:r>
              <w:t>, in poziva k njegovemu hitremu izvajanju; poziva države članice, naj povečajo preglednost pri dodeljevanju državnega oglaševanja</w:t>
            </w:r>
            <w:r>
              <w:rPr>
                <w:b/>
                <w:i/>
              </w:rPr>
              <w:t xml:space="preserve"> na spletu in drugje</w:t>
            </w:r>
            <w:r>
              <w:t>; poziva Komisijo, naj državam članicam zagotovi potrebno podporo za prenos evropskega akta o svobodi medijev;</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rsidR="00F931B6" w:rsidRPr="00444926" w:rsidRDefault="00F931B6" w:rsidP="007C04AE">
            <w:pPr>
              <w:pStyle w:val="Normal6a"/>
            </w:pPr>
            <w:r>
              <w:rPr>
                <w:vertAlign w:val="superscript"/>
              </w:rPr>
              <w:t>39</w:t>
            </w:r>
            <w:r>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rsidR="00F931B6" w:rsidRPr="00BF159C" w:rsidRDefault="00F931B6" w:rsidP="00F931B6">
      <w:pPr>
        <w:pStyle w:val="AmOrLang"/>
        <w:rPr>
          <w:lang w:val="it-IT"/>
        </w:rPr>
      </w:pPr>
      <w:r w:rsidRPr="00BF159C">
        <w:rPr>
          <w:lang w:val="it-IT"/>
        </w:rPr>
        <w:t xml:space="preserve">Or. </w:t>
      </w:r>
      <w:r w:rsidRPr="00BF159C">
        <w:rPr>
          <w:rStyle w:val="HideTWBExt"/>
          <w:lang w:val="it-IT"/>
        </w:rPr>
        <w:t>&lt;Original&gt;</w:t>
      </w:r>
      <w:r w:rsidRPr="00BF159C">
        <w:rPr>
          <w:rStyle w:val="HideTWBInt"/>
          <w:lang w:val="it-IT"/>
        </w:rPr>
        <w:t>{EN}</w:t>
      </w:r>
      <w:r w:rsidRPr="00BF159C">
        <w:rPr>
          <w:lang w:val="it-IT"/>
        </w:rPr>
        <w:t>en</w:t>
      </w:r>
      <w:r w:rsidRPr="00BF159C">
        <w:rPr>
          <w:rStyle w:val="HideTWBExt"/>
          <w:lang w:val="it-IT"/>
        </w:rPr>
        <w:t>&lt;/Original&gt;</w:t>
      </w:r>
    </w:p>
    <w:p w:rsidR="00F931B6" w:rsidRPr="00BF159C" w:rsidRDefault="00F931B6" w:rsidP="00F931B6">
      <w:r>
        <w:rPr>
          <w:rStyle w:val="HideTWBExt"/>
          <w:lang w:val="it-IT"/>
        </w:rPr>
        <w:t>&lt;/Amend&gt;</w:t>
      </w:r>
    </w:p>
    <w:p w:rsidR="00F931B6" w:rsidRPr="00BF159C" w:rsidRDefault="00F931B6" w:rsidP="00F931B6">
      <w:pPr>
        <w:pStyle w:val="AmNumberTabs"/>
      </w:pPr>
      <w:r>
        <w:rPr>
          <w:rStyle w:val="HideTWBExt"/>
          <w:b w:val="0"/>
          <w:lang w:val="it-IT"/>
        </w:rPr>
        <w:t>&lt;Amend&gt;</w:t>
      </w:r>
      <w:r>
        <w:t>Predlog spremembe</w:t>
      </w:r>
      <w:r>
        <w:tab/>
      </w:r>
      <w:r>
        <w:tab/>
      </w:r>
      <w:r>
        <w:rPr>
          <w:rStyle w:val="HideTWBExt"/>
          <w:b w:val="0"/>
          <w:lang w:val="it-IT"/>
        </w:rPr>
        <w:t>&lt;NumAm&gt;</w:t>
      </w:r>
      <w:r>
        <w:t>298</w:t>
      </w:r>
      <w:r>
        <w:rPr>
          <w:rStyle w:val="HideTWBExt"/>
          <w:b w:val="0"/>
          <w:lang w:val="it-IT"/>
        </w:rPr>
        <w:t>&lt;/NumAm&gt;</w:t>
      </w:r>
    </w:p>
    <w:p w:rsidR="00F931B6" w:rsidRPr="00BF159C" w:rsidRDefault="00F931B6" w:rsidP="00F931B6">
      <w:pPr>
        <w:pStyle w:val="NormalBold"/>
      </w:pPr>
      <w:r>
        <w:rPr>
          <w:rStyle w:val="HideTWBExt"/>
          <w:b w:val="0"/>
          <w:lang w:val="it-IT"/>
        </w:rPr>
        <w:t>&lt;RepeatBlock-By&gt;&lt;Members&gt;</w:t>
      </w:r>
      <w:r>
        <w:t>Giuseppe Antoci, Isabel Serra Sánchez</w:t>
      </w:r>
      <w:r>
        <w:rPr>
          <w:rStyle w:val="HideTWBExt"/>
          <w:b w:val="0"/>
          <w:lang w:val="it-IT"/>
        </w:rPr>
        <w:t>&lt;/Members&gt;</w:t>
      </w:r>
    </w:p>
    <w:p w:rsidR="00F931B6" w:rsidRPr="00BF159C" w:rsidRDefault="00F931B6" w:rsidP="00F931B6">
      <w:pPr>
        <w:pStyle w:val="NormalBold"/>
      </w:pPr>
      <w:r>
        <w:rPr>
          <w:rStyle w:val="HideTWBExt"/>
          <w:b w:val="0"/>
          <w:lang w:val="it-IT"/>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8a.</w:t>
            </w:r>
            <w:r>
              <w:tab/>
            </w:r>
            <w:r>
              <w:rPr>
                <w:b/>
                <w:i/>
              </w:rPr>
              <w:t>meni, da zakonodajne pobude italijanske vlade za reformo zakonika o kazenskem postopku v zvezi z dostopom novinarjev do sodnih pisanj in prisluškovanjem telefonskim pogovorom ogrožajo svobodo medijev in neupravičeno omejujejo svobodo obveščanja; obsoja samovoljno široko razlago Direktive (EU) 2016/343, ki jo italijanska vlada uporablja, da bi upravičila reforme; ugotavlja, da je Komisija to vprašanje navedla v poglavju o Italiji; poziva Komisijo, naj pozorno spremlja učinke zakona na svobodo izražanja in obveščanja v Italiji kot vrednote, zaščitene s členom 11 Listine EU o temeljnih pravicah;</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299</w:t>
      </w:r>
      <w:r>
        <w:rPr>
          <w:rStyle w:val="HideTWBExt"/>
          <w:b w:val="0"/>
        </w:rPr>
        <w:t>&lt;/NumAm&gt;</w:t>
      </w:r>
    </w:p>
    <w:p w:rsidR="00F931B6" w:rsidRPr="00444926" w:rsidRDefault="00F931B6" w:rsidP="00F931B6">
      <w:pPr>
        <w:pStyle w:val="NormalBold"/>
      </w:pPr>
      <w:r>
        <w:rPr>
          <w:rStyle w:val="HideTWBExt"/>
          <w:b w:val="0"/>
        </w:rPr>
        <w:t>&lt;RepeatBlock-By&gt;&lt;Members&gt;</w:t>
      </w:r>
      <w:r>
        <w:t>Juan Fernando López Aguilar, Nacho Sánchez Amor, Javier Moreno Sánchez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8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8a.</w:t>
            </w:r>
            <w:r>
              <w:tab/>
            </w:r>
            <w:r>
              <w:rPr>
                <w:b/>
                <w:i/>
              </w:rPr>
              <w:t>se zaveda, da državljani zaznavajo znake spodkopavanja demokracije, ki jih podžigajo napačne informacije in dezinformacije, ter da bi širjenje lažnih informacij prek družbenih medijev lahko privedlo do spodkopavanja evropske ideje pravne države, temeljnih pravic in vrednot;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300</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9.</w:t>
            </w:r>
            <w:r>
              <w:tab/>
              <w:t>poziva države članice, naj v celoti izvajajo direktivo proti strateškim tožbam za onemogočanje udeležbe javnosti</w:t>
            </w:r>
            <w:r>
              <w:rPr>
                <w:vertAlign w:val="superscript"/>
              </w:rPr>
              <w:t>40</w:t>
            </w:r>
            <w:r>
              <w:rPr>
                <w:b/>
                <w:i/>
              </w:rPr>
              <w:t xml:space="preserve"> in Priporočilo Komisije (EU) 2022/758 z dne 27. aprila 2022 o zaščiti novinarjev in zagovornikov človekovih pravic, ki se udejstvujejo pri udeležbi javnosti, pred očitno neutemeljenimi in zlorabljenimi sodnimi postopki (strateške tožbe za onemogočanje udeležbe javnosti)</w:t>
            </w:r>
            <w:r>
              <w:rPr>
                <w:b/>
                <w:i/>
                <w:vertAlign w:val="superscript"/>
              </w:rPr>
              <w:t>41</w:t>
            </w:r>
            <w:r>
              <w:rPr>
                <w:b/>
                <w:i/>
              </w:rPr>
              <w:t>, ter naj sprejmejo celovite nacionalne ukrepe proti strateškim tožbam za onemogočanje udeležbe javnosti za zaščito novinarjev in zagotavljanje podpore tistim, ki se soočajo s tveganji;</w:t>
            </w:r>
          </w:p>
        </w:tc>
        <w:tc>
          <w:tcPr>
            <w:tcW w:w="4876" w:type="dxa"/>
            <w:tcBorders>
              <w:top w:val="nil"/>
              <w:left w:val="nil"/>
              <w:bottom w:val="nil"/>
              <w:right w:val="nil"/>
            </w:tcBorders>
          </w:tcPr>
          <w:p w:rsidR="00F931B6" w:rsidRPr="00444926" w:rsidRDefault="00F931B6" w:rsidP="007C04AE">
            <w:pPr>
              <w:pStyle w:val="Normal6a"/>
            </w:pPr>
            <w:r>
              <w:t>9.</w:t>
            </w:r>
            <w:r>
              <w:tab/>
              <w:t>poziva države članice, naj v celoti izvajajo direktivo proti strateškim tožbam za onemogočanje udeležbe javnosti</w:t>
            </w:r>
            <w:r>
              <w:rPr>
                <w:vertAlign w:val="superscript"/>
              </w:rPr>
              <w:t>40</w:t>
            </w:r>
            <w:r>
              <w:t>;</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40</w:t>
            </w:r>
            <w:r>
              <w:t xml:space="preserve"> 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c>
          <w:tcPr>
            <w:tcW w:w="4876" w:type="dxa"/>
            <w:tcBorders>
              <w:top w:val="nil"/>
              <w:left w:val="nil"/>
              <w:bottom w:val="nil"/>
              <w:right w:val="nil"/>
            </w:tcBorders>
          </w:tcPr>
          <w:p w:rsidR="00F931B6" w:rsidRPr="00444926" w:rsidRDefault="00F931B6" w:rsidP="007C04AE">
            <w:pPr>
              <w:pStyle w:val="Normal6a"/>
            </w:pPr>
            <w:r>
              <w:rPr>
                <w:vertAlign w:val="superscript"/>
              </w:rPr>
              <w:t>40</w:t>
            </w:r>
            <w:r>
              <w:t xml:space="preserve"> 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b/>
                <w:i/>
                <w:vertAlign w:val="superscript"/>
              </w:rPr>
              <w:t>41</w:t>
            </w:r>
            <w:r>
              <w:t xml:space="preserve"> </w:t>
            </w:r>
            <w:r>
              <w:rPr>
                <w:b/>
                <w:i/>
              </w:rPr>
              <w:t>UL L 138, 17.5.2022, str. 30., ELI: http://data.europa.eu/eli/reco/2022/758/oj.</w:t>
            </w:r>
          </w:p>
        </w:tc>
        <w:tc>
          <w:tcPr>
            <w:tcW w:w="4876" w:type="dxa"/>
            <w:tcBorders>
              <w:top w:val="nil"/>
              <w:left w:val="nil"/>
              <w:bottom w:val="nil"/>
              <w:right w:val="nil"/>
            </w:tcBorders>
          </w:tcPr>
          <w:p w:rsidR="00F931B6" w:rsidRPr="00605988" w:rsidRDefault="00F931B6" w:rsidP="007C04AE">
            <w:pPr>
              <w:rPr>
                <w:lang w:val="pl-PL"/>
              </w:rPr>
            </w:pPr>
          </w:p>
        </w:tc>
      </w:tr>
    </w:tbl>
    <w:p w:rsidR="00F931B6" w:rsidRPr="00BF159C" w:rsidRDefault="00F931B6" w:rsidP="00F931B6">
      <w:pPr>
        <w:pStyle w:val="AmOrLang"/>
        <w:rPr>
          <w:lang w:val="fi-FI"/>
        </w:rPr>
      </w:pPr>
      <w:r w:rsidRPr="00BF159C">
        <w:rPr>
          <w:lang w:val="fi-FI"/>
        </w:rPr>
        <w:t xml:space="preserve">Or. </w:t>
      </w:r>
      <w:r w:rsidRPr="00BF159C">
        <w:rPr>
          <w:rStyle w:val="HideTWBExt"/>
          <w:lang w:val="fi-FI"/>
        </w:rPr>
        <w:t>&lt;Original&gt;</w:t>
      </w:r>
      <w:r w:rsidRPr="00BF159C">
        <w:rPr>
          <w:rStyle w:val="HideTWBInt"/>
          <w:lang w:val="fi-FI"/>
        </w:rPr>
        <w:t>{SK}</w:t>
      </w:r>
      <w:r w:rsidRPr="00BF159C">
        <w:rPr>
          <w:lang w:val="fi-FI"/>
        </w:rPr>
        <w:t>sk</w:t>
      </w:r>
      <w:r w:rsidRPr="00BF159C">
        <w:rPr>
          <w:rStyle w:val="HideTWBExt"/>
          <w:lang w:val="fi-FI"/>
        </w:rPr>
        <w:t>&lt;/Original&gt;</w:t>
      </w:r>
    </w:p>
    <w:p w:rsidR="00F931B6" w:rsidRPr="00BF159C" w:rsidRDefault="00F931B6" w:rsidP="00F931B6">
      <w:r>
        <w:rPr>
          <w:rStyle w:val="HideTWBExt"/>
          <w:lang w:val="fi-FI"/>
        </w:rPr>
        <w:t>&lt;/Amend&gt;</w:t>
      </w:r>
    </w:p>
    <w:p w:rsidR="00F931B6" w:rsidRPr="00BF159C" w:rsidRDefault="00F931B6" w:rsidP="00F931B6">
      <w:pPr>
        <w:pStyle w:val="AmNumberTabs"/>
      </w:pPr>
      <w:r>
        <w:rPr>
          <w:rStyle w:val="HideTWBExt"/>
          <w:b w:val="0"/>
          <w:lang w:val="fi-FI"/>
        </w:rPr>
        <w:t>&lt;Amend&gt;</w:t>
      </w:r>
      <w:r>
        <w:t>Predlog spremembe</w:t>
      </w:r>
      <w:r>
        <w:tab/>
      </w:r>
      <w:r>
        <w:tab/>
      </w:r>
      <w:r>
        <w:rPr>
          <w:rStyle w:val="HideTWBExt"/>
          <w:b w:val="0"/>
          <w:lang w:val="fi-FI"/>
        </w:rPr>
        <w:t>&lt;NumAm&gt;</w:t>
      </w:r>
      <w:r>
        <w:t>301</w:t>
      </w:r>
      <w:r>
        <w:rPr>
          <w:rStyle w:val="HideTWBExt"/>
          <w:b w:val="0"/>
          <w:lang w:val="fi-FI"/>
        </w:rPr>
        <w:t>&lt;/NumAm&gt;</w:t>
      </w:r>
    </w:p>
    <w:p w:rsidR="00F931B6" w:rsidRPr="00BF159C" w:rsidRDefault="00F931B6" w:rsidP="00F931B6">
      <w:pPr>
        <w:pStyle w:val="NormalBold"/>
      </w:pPr>
      <w:r>
        <w:rPr>
          <w:rStyle w:val="HideTWBExt"/>
          <w:b w:val="0"/>
          <w:lang w:val="fi-FI"/>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lang w:val="fi-FI"/>
        </w:rPr>
        <w:t>&lt;/Members&gt;</w:t>
      </w:r>
    </w:p>
    <w:p w:rsidR="00F931B6" w:rsidRPr="00BF159C" w:rsidRDefault="00F931B6" w:rsidP="00F931B6">
      <w:pPr>
        <w:pStyle w:val="NormalBold"/>
      </w:pPr>
      <w:r>
        <w:rPr>
          <w:rStyle w:val="HideTWBExt"/>
          <w:b w:val="0"/>
          <w:lang w:val="fi-FI"/>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9.</w:t>
            </w:r>
            <w:r>
              <w:tab/>
              <w:t>poziva države članice, naj v celoti izvajajo direktivo proti strateškim tožbam za onemogočanje udeležbe javnosti</w:t>
            </w:r>
            <w:r>
              <w:rPr>
                <w:vertAlign w:val="superscript"/>
              </w:rPr>
              <w:t>40</w:t>
            </w:r>
            <w:r>
              <w:t xml:space="preserve"> in Priporočilo Komisije (EU) 2022/758 z dne 27. aprila 2022 o zaščiti novinarjev in zagovornikov človekovih pravic, ki se udejstvujejo pri udeležbi javnosti, pred očitno neutemeljenimi in zlorabljenimi sodnimi postopki (strateške tožbe za onemogočanje udeležbe javnosti)</w:t>
            </w:r>
            <w:r>
              <w:rPr>
                <w:vertAlign w:val="superscript"/>
              </w:rPr>
              <w:t>41</w:t>
            </w:r>
            <w:r>
              <w:t xml:space="preserve">, ter naj sprejmejo celovite nacionalne ukrepe proti strateškim tožbam za onemogočanje udeležbe javnosti za zaščito novinarjev in zagotavljanje podpore tistim, ki se soočajo </w:t>
            </w:r>
            <w:r>
              <w:rPr>
                <w:b/>
                <w:i/>
              </w:rPr>
              <w:t>s tveganji</w:t>
            </w:r>
            <w:r>
              <w:t>;</w:t>
            </w:r>
          </w:p>
        </w:tc>
        <w:tc>
          <w:tcPr>
            <w:tcW w:w="4876" w:type="dxa"/>
            <w:tcBorders>
              <w:top w:val="nil"/>
              <w:left w:val="nil"/>
              <w:bottom w:val="nil"/>
              <w:right w:val="nil"/>
            </w:tcBorders>
          </w:tcPr>
          <w:p w:rsidR="00F931B6" w:rsidRPr="00444926" w:rsidRDefault="00F931B6" w:rsidP="007C04AE">
            <w:pPr>
              <w:pStyle w:val="Normal6a"/>
            </w:pPr>
            <w:r>
              <w:t>9.</w:t>
            </w:r>
            <w:r>
              <w:tab/>
              <w:t>poziva države članice, naj v celoti izvajajo direktivo proti strateškim tožbam za onemogočanje udeležbe javnosti</w:t>
            </w:r>
            <w:r>
              <w:rPr>
                <w:vertAlign w:val="superscript"/>
              </w:rPr>
              <w:t>40</w:t>
            </w:r>
            <w:r>
              <w:t xml:space="preserve"> in Priporočilo Komisije (EU) 2022/758 z dne 27. aprila 2022 o zaščiti novinarjev in zagovornikov človekovih pravic, ki se udejstvujejo pri udeležbi javnosti, pred očitno neutemeljenimi in zlorabljenimi sodnimi postopki (strateške tožbe za onemogočanje udeležbe javnosti)</w:t>
            </w:r>
            <w:r>
              <w:rPr>
                <w:vertAlign w:val="superscript"/>
              </w:rPr>
              <w:t>41</w:t>
            </w:r>
            <w:r>
              <w:t xml:space="preserve">, ter naj sprejmejo celovite nacionalne ukrepe proti strateškim tožbam za onemogočanje udeležbe javnosti za zaščito novinarjev in zagotavljanje podpore tistim, ki se </w:t>
            </w:r>
            <w:r>
              <w:rPr>
                <w:b/>
                <w:i/>
              </w:rPr>
              <w:t xml:space="preserve">pri opravljanju svojega poklica </w:t>
            </w:r>
            <w:r>
              <w:t xml:space="preserve">soočajo </w:t>
            </w:r>
            <w:r>
              <w:rPr>
                <w:b/>
                <w:i/>
              </w:rPr>
              <w:t>z ustrahovanji, obrekovanji in omejevanji;</w:t>
            </w:r>
            <w:r>
              <w:t xml:space="preserve"> </w:t>
            </w:r>
            <w:r>
              <w:rPr>
                <w:b/>
                <w:i/>
              </w:rPr>
              <w:t>priporoča državam članicam, naj pri prenosu direktive njeno uporabo razširijo tudi na nacionalne primere, saj večina strateških tožb za onemogočanje udeležbe javnosti poteka na nacionalni ravni;</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40</w:t>
            </w:r>
            <w:r>
              <w:t xml:space="preserve"> 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c>
          <w:tcPr>
            <w:tcW w:w="4876" w:type="dxa"/>
            <w:tcBorders>
              <w:top w:val="nil"/>
              <w:left w:val="nil"/>
              <w:bottom w:val="nil"/>
              <w:right w:val="nil"/>
            </w:tcBorders>
          </w:tcPr>
          <w:p w:rsidR="00F931B6" w:rsidRPr="00444926" w:rsidRDefault="00F931B6" w:rsidP="007C04AE">
            <w:pPr>
              <w:pStyle w:val="Normal6a"/>
            </w:pPr>
            <w:r>
              <w:rPr>
                <w:vertAlign w:val="superscript"/>
              </w:rPr>
              <w:t>40</w:t>
            </w:r>
            <w:r>
              <w:t xml:space="preserve"> 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vertAlign w:val="superscript"/>
              </w:rPr>
              <w:t>41</w:t>
            </w:r>
            <w:r>
              <w:t xml:space="preserve"> UL L 138, 17.5.2022, str. 30, ELI: http://data.europa.eu/eli/reco/2022/758/oj.</w:t>
            </w:r>
          </w:p>
        </w:tc>
        <w:tc>
          <w:tcPr>
            <w:tcW w:w="4876" w:type="dxa"/>
            <w:tcBorders>
              <w:top w:val="nil"/>
              <w:left w:val="nil"/>
              <w:bottom w:val="nil"/>
              <w:right w:val="nil"/>
            </w:tcBorders>
          </w:tcPr>
          <w:p w:rsidR="00F931B6" w:rsidRPr="00BF159C" w:rsidRDefault="00F931B6" w:rsidP="007C04AE">
            <w:pPr>
              <w:pStyle w:val="Normal6a"/>
            </w:pPr>
            <w:r>
              <w:rPr>
                <w:vertAlign w:val="superscript"/>
              </w:rPr>
              <w:t>41</w:t>
            </w:r>
            <w:r>
              <w:t xml:space="preserve"> UL L 138, 17.5.2022, str. 30, ELI: http://data.europa.eu/eli/reco/2022/758/oj.</w:t>
            </w:r>
          </w:p>
        </w:tc>
      </w:tr>
    </w:tbl>
    <w:p w:rsidR="00F931B6" w:rsidRPr="00BF159C" w:rsidRDefault="00F931B6" w:rsidP="00F931B6">
      <w:pPr>
        <w:pStyle w:val="AmOrLang"/>
        <w:rPr>
          <w:lang w:val="de-DE"/>
        </w:rPr>
      </w:pPr>
      <w:r w:rsidRPr="00BF159C">
        <w:rPr>
          <w:lang w:val="de-DE"/>
        </w:rPr>
        <w:t xml:space="preserve">Or. </w:t>
      </w:r>
      <w:r w:rsidRPr="00BF159C">
        <w:rPr>
          <w:rStyle w:val="HideTWBExt"/>
          <w:lang w:val="de-DE"/>
        </w:rPr>
        <w:t>&lt;Original&gt;</w:t>
      </w:r>
      <w:r w:rsidRPr="00BF159C">
        <w:rPr>
          <w:rStyle w:val="HideTWBInt"/>
          <w:lang w:val="de-DE"/>
        </w:rPr>
        <w:t>{EN}</w:t>
      </w:r>
      <w:r w:rsidRPr="00BF159C">
        <w:rPr>
          <w:lang w:val="de-DE"/>
        </w:rPr>
        <w:t>en</w:t>
      </w:r>
      <w:r w:rsidRPr="00BF159C">
        <w:rPr>
          <w:rStyle w:val="HideTWBExt"/>
          <w:lang w:val="de-DE"/>
        </w:rPr>
        <w:t>&lt;/Original&gt;</w:t>
      </w:r>
    </w:p>
    <w:p w:rsidR="00F931B6" w:rsidRPr="00BF159C" w:rsidRDefault="00F931B6" w:rsidP="00F931B6">
      <w:r>
        <w:rPr>
          <w:rStyle w:val="HideTWBExt"/>
          <w:lang w:val="de-DE"/>
        </w:rPr>
        <w:t>&lt;/Amend&gt;</w:t>
      </w:r>
    </w:p>
    <w:p w:rsidR="00F931B6" w:rsidRPr="004C29F3" w:rsidRDefault="00F931B6" w:rsidP="00F931B6">
      <w:pPr>
        <w:pStyle w:val="AmNumberTabs"/>
      </w:pPr>
      <w:r>
        <w:rPr>
          <w:rStyle w:val="HideTWBExt"/>
          <w:b w:val="0"/>
        </w:rPr>
        <w:t>&lt;Amend&gt;</w:t>
      </w:r>
      <w:r>
        <w:t>Predlog spremembe</w:t>
      </w:r>
      <w:r>
        <w:tab/>
      </w:r>
      <w:r>
        <w:tab/>
      </w:r>
      <w:r>
        <w:rPr>
          <w:rStyle w:val="HideTWBExt"/>
          <w:b w:val="0"/>
        </w:rPr>
        <w:t>&lt;NumAm&gt;</w:t>
      </w:r>
      <w:r>
        <w:t>302</w:t>
      </w:r>
      <w:r>
        <w:rPr>
          <w:rStyle w:val="HideTWBExt"/>
          <w:b w:val="0"/>
        </w:rPr>
        <w:t>&lt;/NumAm&gt;</w:t>
      </w:r>
    </w:p>
    <w:p w:rsidR="00F931B6" w:rsidRPr="004C29F3" w:rsidRDefault="00F931B6" w:rsidP="00F931B6">
      <w:pPr>
        <w:pStyle w:val="NormalBold"/>
      </w:pPr>
      <w:r>
        <w:rPr>
          <w:rStyle w:val="HideTWBExt"/>
          <w:b w:val="0"/>
        </w:rPr>
        <w:t>&lt;RepeatBlock-By&gt;&lt;Members&gt;</w:t>
      </w:r>
      <w:r>
        <w:t>Daniel Freund, Diana Riba i Giner</w:t>
      </w:r>
      <w:r>
        <w:rPr>
          <w:rStyle w:val="HideTWBExt"/>
          <w:b w:val="0"/>
        </w:rPr>
        <w:t>&lt;/Members&gt;</w:t>
      </w:r>
    </w:p>
    <w:p w:rsidR="00F931B6" w:rsidRPr="004C29F3"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9.</w:t>
            </w:r>
            <w:r>
              <w:tab/>
              <w:t>poziva države članice, naj v celoti izvajajo direktivo proti strateškim tožbam za onemogočanje udeležbe javnosti</w:t>
            </w:r>
            <w:r>
              <w:rPr>
                <w:vertAlign w:val="superscript"/>
              </w:rPr>
              <w:t>40</w:t>
            </w:r>
            <w:r>
              <w:t xml:space="preserve"> in Priporočilo Komisije (EU) 2022/758 z dne 27. aprila 2022 o zaščiti novinarjev in zagovornikov človekovih pravic, ki se udejstvujejo pri udeležbi javnosti, pred očitno neutemeljenimi in zlorabljenimi sodnimi postopki (strateške tožbe za onemogočanje udeležbe javnosti)</w:t>
            </w:r>
            <w:r>
              <w:rPr>
                <w:vertAlign w:val="superscript"/>
              </w:rPr>
              <w:t>41</w:t>
            </w:r>
            <w:r>
              <w:t>, ter naj sprejmejo celovite nacionalne ukrepe proti strateškim tožbam za onemogočanje udeležbe javnosti za zaščito novinarjev in zagotavljanje podpore tistim, ki se soočajo s tveganji;</w:t>
            </w:r>
          </w:p>
        </w:tc>
        <w:tc>
          <w:tcPr>
            <w:tcW w:w="4876" w:type="dxa"/>
            <w:tcBorders>
              <w:top w:val="nil"/>
              <w:left w:val="nil"/>
              <w:bottom w:val="nil"/>
              <w:right w:val="nil"/>
            </w:tcBorders>
          </w:tcPr>
          <w:p w:rsidR="00F931B6" w:rsidRPr="00444926" w:rsidRDefault="00F931B6" w:rsidP="007C04AE">
            <w:pPr>
              <w:pStyle w:val="Normal6a"/>
            </w:pPr>
            <w:r>
              <w:t>9.</w:t>
            </w:r>
            <w:r>
              <w:tab/>
              <w:t>poziva države članice, naj v celoti izvajajo direktivo proti strateškim tožbam za onemogočanje udeležbe javnosti</w:t>
            </w:r>
            <w:r>
              <w:rPr>
                <w:vertAlign w:val="superscript"/>
              </w:rPr>
              <w:t>40</w:t>
            </w:r>
            <w:r>
              <w:t xml:space="preserve"> in Priporočilo Komisije (EU) 2022/758 z dne 27. aprila 2022 o zaščiti novinarjev in zagovornikov človekovih pravic, ki se udejstvujejo pri udeležbi javnosti, pred očitno neutemeljenimi in zlorabljenimi sodnimi postopki (strateške tožbe za onemogočanje udeležbe javnosti)</w:t>
            </w:r>
            <w:r>
              <w:rPr>
                <w:vertAlign w:val="superscript"/>
              </w:rPr>
              <w:t>41</w:t>
            </w:r>
            <w:r>
              <w:t xml:space="preserve">, ter naj sprejmejo celovite nacionalne ukrepe proti strateškim tožbam za onemogočanje udeležbe javnosti za zaščito novinarjev in zagotavljanje podpore tistim, ki se soočajo s tveganji; </w:t>
            </w:r>
            <w:r>
              <w:rPr>
                <w:b/>
                <w:i/>
              </w:rPr>
              <w:t>poziva Komisijo, naj pripravi predloge za obravnavo primerov strateških tožb za onemogočanje udeležbe javnosti, ki niso zajeti v sedanji direktivi;</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_________________</w:t>
            </w:r>
          </w:p>
        </w:tc>
        <w:tc>
          <w:tcPr>
            <w:tcW w:w="4876" w:type="dxa"/>
            <w:tcBorders>
              <w:top w:val="nil"/>
              <w:left w:val="nil"/>
              <w:bottom w:val="nil"/>
              <w:right w:val="nil"/>
            </w:tcBorders>
          </w:tcPr>
          <w:p w:rsidR="00F931B6" w:rsidRPr="00444926" w:rsidRDefault="00F931B6" w:rsidP="007C04AE">
            <w:pPr>
              <w:pStyle w:val="Normal6a"/>
            </w:pPr>
            <w:r>
              <w:rPr>
                <w:b/>
                <w:i/>
              </w:rPr>
              <w:t>_________________</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vertAlign w:val="superscript"/>
              </w:rPr>
              <w:t>40</w:t>
            </w:r>
            <w:r>
              <w:t xml:space="preserve"> 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c>
          <w:tcPr>
            <w:tcW w:w="4876" w:type="dxa"/>
            <w:tcBorders>
              <w:top w:val="nil"/>
              <w:left w:val="nil"/>
              <w:bottom w:val="nil"/>
              <w:right w:val="nil"/>
            </w:tcBorders>
          </w:tcPr>
          <w:p w:rsidR="00F931B6" w:rsidRPr="00444926" w:rsidRDefault="00F931B6" w:rsidP="007C04AE">
            <w:pPr>
              <w:pStyle w:val="Normal6a"/>
            </w:pPr>
            <w:r>
              <w:rPr>
                <w:vertAlign w:val="superscript"/>
              </w:rPr>
              <w:t>40</w:t>
            </w:r>
            <w:r>
              <w:t xml:space="preserve"> 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r>
      <w:tr w:rsidR="00F931B6" w:rsidTr="007C04AE">
        <w:trPr>
          <w:jc w:val="center"/>
        </w:trPr>
        <w:tc>
          <w:tcPr>
            <w:tcW w:w="4876" w:type="dxa"/>
            <w:tcBorders>
              <w:top w:val="nil"/>
              <w:left w:val="nil"/>
              <w:bottom w:val="nil"/>
              <w:right w:val="nil"/>
            </w:tcBorders>
          </w:tcPr>
          <w:p w:rsidR="00F931B6" w:rsidRPr="00BF159C" w:rsidRDefault="00F931B6" w:rsidP="007C04AE">
            <w:pPr>
              <w:pStyle w:val="Normal6a"/>
            </w:pPr>
            <w:r>
              <w:rPr>
                <w:vertAlign w:val="superscript"/>
              </w:rPr>
              <w:t>41</w:t>
            </w:r>
            <w:r>
              <w:t xml:space="preserve"> UL L 138, 17.5.2022, str. 30, ELI: http://data.europa.eu/eli/reco/2022/758/oj.</w:t>
            </w:r>
          </w:p>
        </w:tc>
        <w:tc>
          <w:tcPr>
            <w:tcW w:w="4876" w:type="dxa"/>
            <w:tcBorders>
              <w:top w:val="nil"/>
              <w:left w:val="nil"/>
              <w:bottom w:val="nil"/>
              <w:right w:val="nil"/>
            </w:tcBorders>
          </w:tcPr>
          <w:p w:rsidR="00F931B6" w:rsidRPr="00BF159C" w:rsidRDefault="00F931B6" w:rsidP="007C04AE">
            <w:pPr>
              <w:pStyle w:val="Normal6a"/>
            </w:pPr>
            <w:r>
              <w:rPr>
                <w:vertAlign w:val="superscript"/>
              </w:rPr>
              <w:t>41</w:t>
            </w:r>
            <w:r>
              <w:t xml:space="preserve"> UL L 138, 17.5.2022, str. 30, ELI: http://data.europa.eu/eli/reco/2022/758/oj.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303</w:t>
      </w:r>
      <w:r>
        <w:rPr>
          <w:rStyle w:val="HideTWBExt"/>
          <w:b w:val="0"/>
        </w:rPr>
        <w:t>&lt;/NumAm&gt;</w:t>
      </w:r>
    </w:p>
    <w:p w:rsidR="00F931B6" w:rsidRPr="00444926" w:rsidRDefault="00F931B6" w:rsidP="00F931B6">
      <w:pPr>
        <w:pStyle w:val="NormalBold"/>
      </w:pPr>
      <w:r>
        <w:rPr>
          <w:rStyle w:val="HideTWBExt"/>
          <w:b w:val="0"/>
        </w:rPr>
        <w:t>&lt;RepeatBlock-By&gt;&lt;Members&gt;</w:t>
      </w:r>
      <w:r>
        <w:t>Veronika Cifrová Ostrihoňová</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9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9a.</w:t>
            </w:r>
            <w:r>
              <w:tab/>
            </w:r>
            <w:r>
              <w:rPr>
                <w:b/>
                <w:i/>
              </w:rPr>
              <w:t>izraža globoko zaskrbljenost zaradi vse večjega števila napadov na novinarje, pri čemer so nesorazmerno prizadete novinarke poudarja, da so med najpogostejšimi oblikami groženj verbalni napadi, spletno nadlegovanje in ustrahovanje prek družbenih medijev in elektronske pošte; je zelo zaskrbljen zaradi pojava pravnih groženj, vključno s primeri strateških tožb za onemogočanje udeležbe javnosti, ter primerov zalezovanja in osebnega nadlegovanja; poziva Komisijo in države članice, naj zagotovijo učinkovito izvrševanje ukrepov proti nadlegovanju in poskrbijo, da bodo digitalne platforme odgovarjale za omogočanje širjenja tovrstnih groženj;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304</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Chloé Ridel, Abir Al-Sahlani, Alessandro Zan, Fabienne Keller, Lucia Yar, Irena Joveva, Isabel Wiseler-Lima, Daniel Freund</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9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9a.</w:t>
            </w:r>
            <w:r>
              <w:tab/>
            </w:r>
            <w:r>
              <w:rPr>
                <w:b/>
                <w:i/>
              </w:rPr>
              <w:t>izraža zaskrbljenost zaradi tveganj za varnost novinarjev, vključno z njihovo digitalno varnostjo in delovnimi pogoji v nekaterih državah članicah;</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305</w:t>
      </w:r>
      <w:r>
        <w:rPr>
          <w:rStyle w:val="HideTWBExt"/>
          <w:b w:val="0"/>
        </w:rPr>
        <w:t>&lt;/NumAm&gt;</w:t>
      </w:r>
    </w:p>
    <w:p w:rsidR="00F931B6" w:rsidRPr="00444926" w:rsidRDefault="00F931B6" w:rsidP="00F931B6">
      <w:pPr>
        <w:pStyle w:val="NormalBold"/>
      </w:pPr>
      <w:r>
        <w:rPr>
          <w:rStyle w:val="HideTWBExt"/>
          <w:b w:val="0"/>
        </w:rPr>
        <w:t>&lt;RepeatBlock-By&gt;&lt;Members&gt;</w:t>
      </w:r>
      <w:r>
        <w:t>Veronika Cifrová Ostrihoňová</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9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9b.</w:t>
            </w:r>
            <w:r>
              <w:tab/>
            </w:r>
            <w:r>
              <w:rPr>
                <w:b/>
                <w:i/>
              </w:rPr>
              <w:t>obsoja širjenje ciljno usmerjenih sovražnih kampanj proti novinarjem v družbenih medijih, tudi v primerih, ko so bili tovrstni napadi v obliki plačanih oglasov; poziva digitalne platforme, naj nemudoma ukrepajo in zagotovijo skladnost s svojimi standardi skupnosti in evropskimi zakoni, tudi z aktom o digitalnih storitvah;</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306</w:t>
      </w:r>
      <w:r>
        <w:rPr>
          <w:rStyle w:val="HideTWBExt"/>
          <w:b w:val="0"/>
        </w:rPr>
        <w:t>&lt;/NumAm&gt;</w:t>
      </w:r>
    </w:p>
    <w:p w:rsidR="00F931B6" w:rsidRPr="00444926" w:rsidRDefault="00F931B6" w:rsidP="00F931B6">
      <w:pPr>
        <w:pStyle w:val="NormalBold"/>
      </w:pPr>
      <w:r>
        <w:rPr>
          <w:rStyle w:val="HideTWBExt"/>
          <w:b w:val="0"/>
        </w:rPr>
        <w:t>&lt;RepeatBlock-By&gt;&lt;Members&gt;</w:t>
      </w:r>
      <w:r>
        <w:t>Alessandro Zan, Cecilia Strada, Sandro Ruotolo, Pina Picierno, Marco Tarquinio</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 preprečijo koncentracijo lastništva medijev in se borijo proti dezinformacijam, zlasti z robustnimi zakoni in neodvisnimi regulatorji; poudarja demokratični pomen neodvisne in stabilne javne radiotelevizije in da je treba zagotoviti financiranje javnih medijskih storitev;</w:t>
            </w:r>
          </w:p>
        </w:tc>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se borijo proti dezinformacijam, zlasti z robustnimi zakoni in neodvisnimi regulatorji; poudarja demokratični pomen neodvisne in stabilne javne radiotelevizije in da je treba zagotoviti financiranje javnih medijskih storitev; </w:t>
            </w:r>
            <w:r>
              <w:rPr>
                <w:b/>
                <w:i/>
              </w:rPr>
              <w:t xml:space="preserve">izraža zaskrbljenost zaradi vztrajnega vladnega in političnega vmešavanja, s katerim se spoprijemajo italijanske javne medijske storitve in radiotelevizija RAI, ter posledičnega negativnega vpliva na neodvisnost medijev, kot je že ugotovila Komisija; obsoja zmanjševanje svobode medijev v Italiji; obsoja pritiske in domnevne primere cenzure novinarjev ter nova pravila </w:t>
            </w:r>
            <w:r>
              <w:rPr>
                <w:b/>
                <w:i/>
                <w:iCs/>
              </w:rPr>
              <w:t>„par condicio“</w:t>
            </w:r>
            <w:r>
              <w:rPr>
                <w:b/>
                <w:i/>
              </w:rPr>
              <w:t>, ki podpirajo medijsko prepoznavnost sedanjih vladajočih strank;</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Default="00F931B6" w:rsidP="00F931B6">
      <w:pPr>
        <w:pStyle w:val="AmNumberTabs"/>
      </w:pPr>
      <w:r>
        <w:rPr>
          <w:rStyle w:val="HideTWBExt"/>
        </w:rPr>
        <w:t>&lt;Amend&gt;</w:t>
      </w:r>
      <w:r>
        <w:t>Predlog spremembe</w:t>
      </w:r>
      <w:r>
        <w:tab/>
      </w:r>
      <w:r>
        <w:tab/>
      </w:r>
      <w:r>
        <w:rPr>
          <w:rStyle w:val="HideTWBExt"/>
        </w:rPr>
        <w:t>&lt;NumAm&gt;</w:t>
      </w:r>
      <w:r>
        <w:t>307</w:t>
      </w:r>
      <w:r>
        <w:rPr>
          <w:rStyle w:val="HideTWBExt"/>
        </w:rPr>
        <w:t>&lt;/NumAm&gt;</w:t>
      </w:r>
    </w:p>
    <w:p w:rsidR="00F931B6" w:rsidRDefault="00F931B6" w:rsidP="00F931B6">
      <w:pPr>
        <w:pStyle w:val="NormalBold"/>
      </w:pPr>
      <w:r>
        <w:rPr>
          <w:rStyle w:val="HideTWBExt"/>
          <w:b w:val="0"/>
        </w:rPr>
        <w:t>&lt;RepeatBlock-By&gt;&lt;Members&gt;</w:t>
      </w:r>
      <w:r>
        <w:t>Nicolas Bay</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t>10.</w:t>
            </w:r>
            <w:r>
              <w:tab/>
              <w:t>poziva države članice, naj zaščitijo svobodo in pluralnost medijev</w:t>
            </w:r>
            <w:r>
              <w:rPr>
                <w:b/>
                <w:i/>
              </w:rPr>
              <w:t>, preprečijo koncentracijo lastništva medijev in se borijo proti dezinformacijam, zlasti z robustnimi zakoni in neodvisnimi regulatorji</w:t>
            </w:r>
            <w:r>
              <w:t>;</w:t>
            </w:r>
            <w:r>
              <w:rPr>
                <w:b/>
                <w:i/>
              </w:rPr>
              <w:t xml:space="preserve"> poudarja demokratični pomen neodvisne in stabilne javne radiotelevizije in da je treba zagotoviti financiranje javnih medijskih storitev;</w:t>
            </w:r>
          </w:p>
        </w:tc>
        <w:tc>
          <w:tcPr>
            <w:tcW w:w="4876" w:type="dxa"/>
            <w:tcBorders>
              <w:top w:val="nil"/>
              <w:left w:val="nil"/>
              <w:bottom w:val="nil"/>
              <w:right w:val="nil"/>
            </w:tcBorders>
          </w:tcPr>
          <w:p w:rsidR="00F931B6" w:rsidRDefault="00F931B6" w:rsidP="007C04AE">
            <w:pPr>
              <w:pStyle w:val="Normal6a"/>
            </w:pPr>
            <w:r>
              <w:t>10.</w:t>
            </w:r>
            <w:r>
              <w:tab/>
              <w:t>poziva države članice, naj zaščitijo svobodo in pluralnost medijev;</w:t>
            </w:r>
            <w:r>
              <w:rPr>
                <w:b/>
                <w:i/>
              </w:rPr>
              <w:t> </w:t>
            </w:r>
          </w:p>
        </w:tc>
      </w:tr>
    </w:tbl>
    <w:p w:rsidR="00F931B6" w:rsidRDefault="00F931B6" w:rsidP="00F931B6">
      <w:pPr>
        <w:pStyle w:val="AmOrLang"/>
      </w:pPr>
      <w:r>
        <w:t xml:space="preserve">Or. </w:t>
      </w:r>
      <w:r>
        <w:rPr>
          <w:rStyle w:val="HideTWBExt"/>
        </w:rPr>
        <w:t>&lt;Original&gt;</w:t>
      </w:r>
      <w:r>
        <w:rPr>
          <w:rStyle w:val="HideTWBInt"/>
        </w:rPr>
        <w:t>{FR}</w:t>
      </w:r>
      <w:r>
        <w:t>fr</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308</w:t>
      </w:r>
      <w:r>
        <w:rPr>
          <w:rStyle w:val="HideTWBExt"/>
          <w:b w:val="0"/>
        </w:rPr>
        <w:t>&lt;/NumAm&gt;</w:t>
      </w:r>
    </w:p>
    <w:p w:rsidR="00F931B6" w:rsidRPr="00444926" w:rsidRDefault="00F931B6" w:rsidP="00F931B6">
      <w:pPr>
        <w:pStyle w:val="NormalBold"/>
      </w:pPr>
      <w:r>
        <w:rPr>
          <w:rStyle w:val="HideTWBExt"/>
          <w:b w:val="0"/>
        </w:rPr>
        <w:t>&lt;RepeatBlock-By&gt;&lt;Members&gt;</w:t>
      </w:r>
      <w:r>
        <w:t xml:space="preserve">Emmanuel Fragkos, </w:t>
      </w:r>
      <w:r w:rsidR="007C04AE">
        <w:t>Jeadis Jeadi (Geadis Geadi)</w:t>
      </w:r>
      <w:r>
        <w:t xml:space="preserve">, </w:t>
      </w:r>
      <w:r w:rsidR="007C04AE">
        <w:t>Galato Aleksandraki (Galato Alexandraki)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 preprečijo koncentracijo lastništva medijev in se borijo proti dezinformacijam, zlasti z robustnimi zakoni in neodvisnimi regulatorji; poudarja demokratični pomen neodvisne in stabilne javne radiotelevizije in da je treba zagotoviti financiranje javnih medijskih storitev;</w:t>
            </w:r>
          </w:p>
        </w:tc>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se borijo proti dezinformacijam, zlasti z robustnimi zakoni in neodvisnimi regulatorji; </w:t>
            </w:r>
            <w:r>
              <w:rPr>
                <w:b/>
                <w:i/>
              </w:rPr>
              <w:t>ugotavlja, da sedanji sistem imenovanja vodij neodvisnih organov ne deluje in jih spreminja v orodje za izvajanje vladne politike;</w:t>
            </w:r>
            <w:r>
              <w:t xml:space="preserve"> poudarja demokratični pomen neodvisne in stabilne javne radiotelevizije in da je treba zagotoviti financiranje javnih medijskih storitev;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{EL}</w:t>
      </w:r>
      <w:r w:rsidRPr="00444926">
        <w:t>el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309</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 preprečijo koncentracijo lastništva medijev</w:t>
            </w:r>
            <w:r>
              <w:rPr>
                <w:b/>
                <w:i/>
              </w:rPr>
              <w:t xml:space="preserve"> in se borijo proti dezinformacijam, zlasti</w:t>
            </w:r>
            <w:r>
              <w:t xml:space="preserve"> z robustnimi zakoni in neodvisnimi regulatorji; poudarja demokratični pomen </w:t>
            </w:r>
            <w:r>
              <w:rPr>
                <w:b/>
                <w:i/>
              </w:rPr>
              <w:t>neodvisne</w:t>
            </w:r>
            <w:r>
              <w:t xml:space="preserve"> in </w:t>
            </w:r>
            <w:r>
              <w:rPr>
                <w:b/>
                <w:i/>
              </w:rPr>
              <w:t>stabilne javne radiotelevizije</w:t>
            </w:r>
            <w:r>
              <w:t xml:space="preserve"> in </w:t>
            </w:r>
            <w:r>
              <w:rPr>
                <w:b/>
                <w:i/>
              </w:rPr>
              <w:t>da je treba zagotoviti financiranje javnih</w:t>
            </w:r>
            <w:r>
              <w:t xml:space="preserve"> medijskih storitev;</w:t>
            </w:r>
          </w:p>
        </w:tc>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 preprečijo koncentracijo lastništva medijev</w:t>
            </w:r>
            <w:r>
              <w:rPr>
                <w:b/>
                <w:i/>
              </w:rPr>
              <w:t xml:space="preserve"> ter spodbujajo uredniško neodvisnost in preglednost lastništva medijev</w:t>
            </w:r>
            <w:r>
              <w:t xml:space="preserve"> z robustnimi zakoni in neodvisnimi regulatorji; poudarja demokratični pomen </w:t>
            </w:r>
            <w:r>
              <w:rPr>
                <w:b/>
                <w:i/>
              </w:rPr>
              <w:t>neodvisnih medijev</w:t>
            </w:r>
            <w:r>
              <w:t xml:space="preserve"> in </w:t>
            </w:r>
            <w:r>
              <w:rPr>
                <w:b/>
                <w:i/>
              </w:rPr>
              <w:t>pripravljenosti državnih in nedržavnih tujih akterjev na boj proti propagandi; poziva institucije EU</w:t>
            </w:r>
            <w:r>
              <w:t xml:space="preserve"> in </w:t>
            </w:r>
            <w:r>
              <w:rPr>
                <w:b/>
                <w:i/>
              </w:rPr>
              <w:t>države članice, naj prenehajo financirati in subvencionirati ponudnike</w:t>
            </w:r>
            <w:r>
              <w:t xml:space="preserve"> medijskih storitev;</w:t>
            </w:r>
          </w:p>
        </w:tc>
      </w:tr>
    </w:tbl>
    <w:p w:rsidR="00F931B6" w:rsidRPr="00BF159C" w:rsidRDefault="00F931B6" w:rsidP="00F931B6">
      <w:pPr>
        <w:pStyle w:val="AmOrLang"/>
        <w:rPr>
          <w:lang w:val="de-DE"/>
        </w:rPr>
      </w:pPr>
      <w:r w:rsidRPr="00BF159C">
        <w:rPr>
          <w:lang w:val="de-DE"/>
        </w:rPr>
        <w:t xml:space="preserve">Or. </w:t>
      </w:r>
      <w:r w:rsidRPr="00BF159C">
        <w:rPr>
          <w:rStyle w:val="HideTWBExt"/>
          <w:lang w:val="de-DE"/>
        </w:rPr>
        <w:t>&lt;Original&gt;</w:t>
      </w:r>
      <w:r w:rsidRPr="00BF159C">
        <w:rPr>
          <w:rStyle w:val="HideTWBInt"/>
          <w:lang w:val="de-DE"/>
        </w:rPr>
        <w:t>{EN}</w:t>
      </w:r>
      <w:r w:rsidRPr="00BF159C">
        <w:rPr>
          <w:lang w:val="de-DE"/>
        </w:rPr>
        <w:t>en</w:t>
      </w:r>
      <w:r w:rsidRPr="00BF159C">
        <w:rPr>
          <w:rStyle w:val="HideTWBExt"/>
          <w:lang w:val="de-DE"/>
        </w:rPr>
        <w:t>&lt;/Original&gt;</w:t>
      </w:r>
    </w:p>
    <w:p w:rsidR="00F931B6" w:rsidRPr="00BF159C" w:rsidRDefault="00F931B6" w:rsidP="00F931B6">
      <w:r>
        <w:rPr>
          <w:rStyle w:val="HideTWBExt"/>
          <w:lang w:val="de-DE"/>
        </w:rPr>
        <w:t>&lt;/Amend&gt;</w:t>
      </w:r>
    </w:p>
    <w:p w:rsidR="00F931B6" w:rsidRPr="004C29F3" w:rsidRDefault="00F931B6" w:rsidP="00F931B6">
      <w:pPr>
        <w:pStyle w:val="AmNumberTabs"/>
      </w:pPr>
      <w:r>
        <w:rPr>
          <w:rStyle w:val="HideTWBExt"/>
          <w:b w:val="0"/>
        </w:rPr>
        <w:t>&lt;Amend&gt;</w:t>
      </w:r>
      <w:r>
        <w:t>Predlog spremembe</w:t>
      </w:r>
      <w:r>
        <w:tab/>
      </w:r>
      <w:r>
        <w:tab/>
      </w:r>
      <w:r>
        <w:rPr>
          <w:rStyle w:val="HideTWBExt"/>
          <w:b w:val="0"/>
        </w:rPr>
        <w:t>&lt;NumAm&gt;</w:t>
      </w:r>
      <w:r>
        <w:t>310</w:t>
      </w:r>
      <w:r>
        <w:rPr>
          <w:rStyle w:val="HideTWBExt"/>
          <w:b w:val="0"/>
        </w:rPr>
        <w:t>&lt;/NumAm&gt;</w:t>
      </w:r>
    </w:p>
    <w:p w:rsidR="00F931B6" w:rsidRPr="004C29F3" w:rsidRDefault="00F931B6" w:rsidP="00F931B6">
      <w:pPr>
        <w:pStyle w:val="NormalBold"/>
      </w:pPr>
      <w:r>
        <w:rPr>
          <w:rStyle w:val="HideTWBExt"/>
          <w:b w:val="0"/>
        </w:rPr>
        <w:t>&lt;RepeatBlock-By&gt;&lt;Members&gt;</w:t>
      </w:r>
      <w:r>
        <w:t>Daniel Freund, Diana Riba i Giner</w:t>
      </w:r>
      <w:r>
        <w:rPr>
          <w:rStyle w:val="HideTWBExt"/>
          <w:b w:val="0"/>
        </w:rPr>
        <w:t>&lt;/Members&gt;</w:t>
      </w:r>
    </w:p>
    <w:p w:rsidR="00F931B6" w:rsidRPr="004C29F3"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se borijo proti dezinformacijam, zlasti z robustnimi zakoni in neodvisnimi regulatorji; poudarja demokratični pomen neodvisne in stabilne javne radiotelevizije in </w:t>
            </w:r>
            <w:r>
              <w:rPr>
                <w:b/>
                <w:i/>
              </w:rPr>
              <w:t>da je treba zagotoviti</w:t>
            </w:r>
            <w:r>
              <w:t xml:space="preserve"> financiranje </w:t>
            </w:r>
            <w:r>
              <w:rPr>
                <w:b/>
                <w:i/>
              </w:rPr>
              <w:t>javnih medijskih storitev</w:t>
            </w:r>
            <w:r>
              <w:t>;</w:t>
            </w:r>
          </w:p>
        </w:tc>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w:t>
            </w:r>
            <w:r>
              <w:rPr>
                <w:b/>
                <w:i/>
              </w:rPr>
              <w:t xml:space="preserve">in spodbujajo </w:t>
            </w:r>
            <w:r>
              <w:t xml:space="preserve">svobodo in pluralnost medijev, preprečijo koncentracijo lastništva medijev in se borijo proti dezinformacijam, zlasti z robustnimi zakoni in neodvisnimi regulatorji; poudarja demokratični pomen neodvisne in stabilne javne radiotelevizije in </w:t>
            </w:r>
            <w:r>
              <w:rPr>
                <w:b/>
                <w:i/>
              </w:rPr>
              <w:t>regulatorjev; nadalje poziva države članice, naj zagotovijo ustrezno, trajnostno in predvidljivo</w:t>
            </w:r>
            <w:r>
              <w:t xml:space="preserve"> financiranje </w:t>
            </w:r>
            <w:r>
              <w:rPr>
                <w:b/>
                <w:i/>
              </w:rPr>
              <w:t>na podlagi preglednih in objektivnih meril za javne medijske storitve</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311</w:t>
      </w:r>
      <w:r>
        <w:rPr>
          <w:rStyle w:val="HideTWBExt"/>
          <w:b w:val="0"/>
        </w:rPr>
        <w:t>&lt;/NumAm&gt;</w:t>
      </w:r>
    </w:p>
    <w:p w:rsidR="00F931B6" w:rsidRPr="00444926" w:rsidRDefault="00F931B6" w:rsidP="00F931B6">
      <w:pPr>
        <w:pStyle w:val="NormalBold"/>
      </w:pPr>
      <w:r>
        <w:rPr>
          <w:rStyle w:val="HideTWBExt"/>
          <w:b w:val="0"/>
        </w:rPr>
        <w:t>&lt;RepeatBlock-By&gt;&lt;Members&gt;</w:t>
      </w:r>
      <w:r>
        <w:t>Mary Khan, Christine Anderson, Milan Uhrík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w:t>
            </w:r>
            <w:r>
              <w:rPr>
                <w:b/>
                <w:i/>
              </w:rPr>
              <w:t>, preprečijo koncentracijo lastništva medijev in se borijo proti dezinformacijam</w:t>
            </w:r>
            <w:r>
              <w:t xml:space="preserve">, </w:t>
            </w:r>
            <w:r>
              <w:rPr>
                <w:b/>
                <w:i/>
              </w:rPr>
              <w:t>zlasti z robustnimi zakoni in neodvisnimi regulatorji; poudarja demokratični pomen neodvisne in stabilne javne radiotelevizije in da</w:t>
            </w:r>
            <w:r>
              <w:t xml:space="preserve"> je </w:t>
            </w:r>
            <w:r>
              <w:rPr>
                <w:b/>
                <w:i/>
              </w:rPr>
              <w:t>treba zagotoviti financiranje javnih medijskih storitev</w:t>
            </w:r>
            <w:r>
              <w:t>;</w:t>
            </w:r>
          </w:p>
        </w:tc>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w:t>
            </w:r>
            <w:r>
              <w:rPr>
                <w:b/>
                <w:i/>
              </w:rPr>
              <w:t>; izraža zaskrbljenost</w:t>
            </w:r>
            <w:r>
              <w:t xml:space="preserve">, </w:t>
            </w:r>
            <w:r>
              <w:rPr>
                <w:b/>
                <w:i/>
              </w:rPr>
              <w:t>ker nekatere javno financirane radiodifuzijske hiše kažejo jasno politično pristranskost, kot</w:t>
            </w:r>
            <w:r>
              <w:t xml:space="preserve"> </w:t>
            </w:r>
            <w:r>
              <w:rPr>
                <w:b/>
                <w:i/>
              </w:rPr>
              <w:t>na primer ARD v Nemčiji</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312</w:t>
      </w:r>
      <w:r>
        <w:rPr>
          <w:rStyle w:val="HideTWBExt"/>
          <w:b w:val="0"/>
        </w:rPr>
        <w:t>&lt;/NumAm&gt;</w:t>
      </w:r>
    </w:p>
    <w:p w:rsidR="00F931B6" w:rsidRPr="00444926" w:rsidRDefault="00F931B6" w:rsidP="00F931B6">
      <w:pPr>
        <w:pStyle w:val="NormalBold"/>
      </w:pPr>
      <w:r>
        <w:rPr>
          <w:rStyle w:val="HideTWBExt"/>
          <w:b w:val="0"/>
        </w:rPr>
        <w:t>&lt;RepeatBlock-By&gt;&lt;Members&gt;</w:t>
      </w:r>
      <w:r>
        <w:t>Javier Zarzalejos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w:t>
            </w:r>
            <w:r>
              <w:rPr>
                <w:b/>
                <w:i/>
              </w:rPr>
              <w:t>se borijo proti dezinformacijam</w:t>
            </w:r>
            <w:r>
              <w:t xml:space="preserve">, </w:t>
            </w:r>
            <w:r>
              <w:rPr>
                <w:b/>
                <w:i/>
              </w:rPr>
              <w:t>zlasti z robustnimi zakoni in neodvisnimi regulatorji; poudarja demokratični pomen neodvisne in stabilne</w:t>
            </w:r>
            <w:r>
              <w:t xml:space="preserve"> javne radiotelevizije </w:t>
            </w:r>
            <w:r>
              <w:rPr>
                <w:b/>
                <w:i/>
              </w:rPr>
              <w:t>in da je treba zagotoviti financiranje javnih medijskih storitev</w:t>
            </w:r>
            <w:r>
              <w:t>;</w:t>
            </w:r>
          </w:p>
        </w:tc>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w:t>
            </w:r>
            <w:r>
              <w:rPr>
                <w:b/>
                <w:i/>
              </w:rPr>
              <w:t>zagotovijo</w:t>
            </w:r>
            <w:r>
              <w:t xml:space="preserve">, </w:t>
            </w:r>
            <w:r>
              <w:rPr>
                <w:b/>
                <w:i/>
              </w:rPr>
              <w:t>da so storitve</w:t>
            </w:r>
            <w:r>
              <w:t xml:space="preserve"> javne radiotelevizije </w:t>
            </w:r>
            <w:r>
              <w:rPr>
                <w:b/>
                <w:i/>
              </w:rPr>
              <w:t>neodvisne od političnega vmešavanja</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313</w:t>
      </w:r>
      <w:r>
        <w:rPr>
          <w:rStyle w:val="HideTWBExt"/>
          <w:b w:val="0"/>
        </w:rPr>
        <w:t>&lt;/NumAm&gt;</w:t>
      </w:r>
    </w:p>
    <w:p w:rsidR="00F931B6" w:rsidRPr="00444926" w:rsidRDefault="00F931B6" w:rsidP="00F931B6">
      <w:pPr>
        <w:pStyle w:val="NormalBold"/>
      </w:pPr>
      <w:r>
        <w:rPr>
          <w:rStyle w:val="HideTWBExt"/>
          <w:b w:val="0"/>
        </w:rPr>
        <w:t>&lt;RepeatBlock-By&gt;&lt;Members&gt;</w:t>
      </w:r>
      <w:r>
        <w:t xml:space="preserve">Emmanuel Fragkos, </w:t>
      </w:r>
      <w:r w:rsidR="007C04AE">
        <w:t>Jeadis Jeadi (Geadis Geadi)</w:t>
      </w:r>
      <w:r>
        <w:t xml:space="preserve">, </w:t>
      </w:r>
      <w:r w:rsidR="007C04AE">
        <w:t>Galato Aleksandraki (Galato Alexandraki)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 preprečijo koncentracijo lastništva medijev in se borijo proti dezinformacijam, zlasti z robustnimi zakoni in neodvisnimi regulatorji; poudarja demokratični pomen neodvisne in stabilne javne radiotelevizije in da je treba zagotoviti financiranje javnih medijskih storitev;</w:t>
            </w:r>
          </w:p>
        </w:tc>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se borijo proti dezinformacijam, zlasti z robustnimi zakoni in neodvisnimi regulatorji; </w:t>
            </w:r>
            <w:r>
              <w:rPr>
                <w:b/>
                <w:i/>
              </w:rPr>
              <w:t>poziva, naj se posebna pozornost nameni instrumentaliziranim televizijskim omrežjem, ki so v lasti tretjih držav;</w:t>
            </w:r>
            <w:r>
              <w:t xml:space="preserve"> poudarja demokratični pomen neodvisne in stabilne javne radiotelevizije in da je treba zagotoviti financiranje javnih medijskih storitev;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{EL}</w:t>
      </w:r>
      <w:r w:rsidRPr="00444926">
        <w:t>el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314</w:t>
      </w:r>
      <w:r>
        <w:rPr>
          <w:rStyle w:val="HideTWBExt"/>
          <w:b w:val="0"/>
        </w:rPr>
        <w:t>&lt;/NumAm&gt;</w:t>
      </w:r>
    </w:p>
    <w:p w:rsidR="00F931B6" w:rsidRPr="00444926" w:rsidRDefault="00F931B6" w:rsidP="00F931B6">
      <w:pPr>
        <w:pStyle w:val="NormalBold"/>
      </w:pPr>
      <w:r>
        <w:rPr>
          <w:rStyle w:val="HideTWBExt"/>
          <w:b w:val="0"/>
        </w:rPr>
        <w:t>&lt;RepeatBlock-By&gt;&lt;Members&gt;</w:t>
      </w:r>
      <w:r>
        <w:t>Tomáš Zdechovský</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 preprečijo koncentracijo lastništva medijev in se borijo proti dezinformacijam, zlasti z robustnimi zakoni in neodvisnimi regulatorji; poudarja demokratični pomen neodvisne in stabilne javne radiotelevizije in da je treba zagotoviti financiranje javnih medijskih storitev;</w:t>
            </w:r>
          </w:p>
        </w:tc>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se borijo proti dezinformacijam, zlasti z robustnimi zakoni in neodvisnimi regulatorji; </w:t>
            </w:r>
            <w:r>
              <w:rPr>
                <w:b/>
                <w:i/>
              </w:rPr>
              <w:t>spodbuja popolno preglednost lastništva medijev;</w:t>
            </w:r>
            <w:r>
              <w:t xml:space="preserve"> poudarja demokratični pomen neodvisne in stabilne javne radiotelevizije in da je treba zagotoviti financiranje javnih medijskih storitev;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315</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Chloé Ridel, Abir Al-Sahlani, Alessandro Zan, Fabienne Keller, Lucia Yar, Irena Joveva, Isabel Wiseler-Lima</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 preprečijo koncentracijo lastništva medijev in se borijo proti dezinformacijam, zlasti z robustnimi zakoni in neodvisnimi regulatorji; poudarja demokratični pomen neodvisne in stabilne javne radiotelevizije in da je treba zagotoviti financiranje javnih medijskih storitev;</w:t>
            </w:r>
          </w:p>
        </w:tc>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 preprečijo koncentracijo lastništva medijev</w:t>
            </w:r>
            <w:r>
              <w:rPr>
                <w:b/>
                <w:i/>
              </w:rPr>
              <w:t>, zaščitijo uredniško neodvisnost</w:t>
            </w:r>
            <w:r>
              <w:t xml:space="preserve"> in se borijo proti dezinformacijam, zlasti z robustnimi zakoni in neodvisnimi regulatorji; poudarja demokratični pomen neodvisne in stabilne javne radiotelevizije in da je treba zagotoviti financiranje javnih medijskih storitev;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316</w:t>
      </w:r>
      <w:r>
        <w:rPr>
          <w:rStyle w:val="HideTWBExt"/>
          <w:b w:val="0"/>
        </w:rPr>
        <w:t>&lt;/NumAm&gt;</w:t>
      </w:r>
    </w:p>
    <w:p w:rsidR="00F931B6" w:rsidRPr="00444926" w:rsidRDefault="00F931B6" w:rsidP="00F931B6">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 preprečijo koncentracijo lastništva medijev in se borijo proti dezinformacijam, zlasti z robustnimi zakoni in neodvisnimi regulatorji; poudarja demokratični pomen neodvisne in stabilne javne radiotelevizije in da je treba zagotoviti financiranje javnih medijskih storitev;</w:t>
            </w:r>
          </w:p>
        </w:tc>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se borijo proti dezinformacijam, zlasti z robustnimi zakoni in neodvisnimi regulatorji; poudarja demokratični pomen neodvisne in stabilne javne radiotelevizije in da je treba zagotoviti financiranje </w:t>
            </w:r>
            <w:r>
              <w:rPr>
                <w:b/>
                <w:i/>
              </w:rPr>
              <w:t xml:space="preserve">in proračunsko stabilnost </w:t>
            </w:r>
            <w:r>
              <w:t>javnih medijskih storitev;</w:t>
            </w:r>
          </w:p>
        </w:tc>
      </w:tr>
    </w:tbl>
    <w:p w:rsidR="00F931B6" w:rsidRPr="00BF159C" w:rsidRDefault="00F931B6" w:rsidP="00F931B6">
      <w:pPr>
        <w:pStyle w:val="AmOrLang"/>
        <w:rPr>
          <w:lang w:val="sv-SE"/>
        </w:rPr>
      </w:pPr>
      <w:r w:rsidRPr="00BF159C">
        <w:rPr>
          <w:lang w:val="sv-SE"/>
        </w:rPr>
        <w:t xml:space="preserve">Or. </w:t>
      </w:r>
      <w:r w:rsidRPr="00BF159C">
        <w:rPr>
          <w:rStyle w:val="HideTWBExt"/>
          <w:lang w:val="sv-SE"/>
        </w:rPr>
        <w:t>&lt;Original&gt;</w:t>
      </w:r>
      <w:r w:rsidRPr="00BF159C">
        <w:rPr>
          <w:rStyle w:val="HideTWBInt"/>
          <w:lang w:val="sv-SE"/>
        </w:rPr>
        <w:t>{EN}</w:t>
      </w:r>
      <w:r w:rsidRPr="00BF159C">
        <w:rPr>
          <w:lang w:val="sv-SE"/>
        </w:rPr>
        <w:t>en</w:t>
      </w:r>
      <w:r w:rsidRPr="00BF159C">
        <w:rPr>
          <w:rStyle w:val="HideTWBExt"/>
          <w:lang w:val="sv-SE"/>
        </w:rPr>
        <w:t>&lt;/Original&gt;</w:t>
      </w:r>
    </w:p>
    <w:p w:rsidR="00F931B6" w:rsidRPr="00BF159C" w:rsidRDefault="00F931B6" w:rsidP="00F931B6">
      <w:r>
        <w:rPr>
          <w:rStyle w:val="HideTWBExt"/>
          <w:lang w:val="sv-SE"/>
        </w:rPr>
        <w:t>&lt;/Amend&gt;</w:t>
      </w:r>
    </w:p>
    <w:p w:rsidR="00F931B6" w:rsidRPr="00BF159C" w:rsidRDefault="00F931B6" w:rsidP="00F931B6">
      <w:pPr>
        <w:pStyle w:val="AmNumberTabs"/>
      </w:pPr>
      <w:r w:rsidRPr="00605988">
        <w:rPr>
          <w:rStyle w:val="HideTWBExt"/>
          <w:b w:val="0"/>
          <w:lang w:val="en-GB"/>
        </w:rPr>
        <w:t>&lt;Amend&gt;</w:t>
      </w:r>
      <w:r>
        <w:t>Predlog spremembe</w:t>
      </w:r>
      <w:r>
        <w:tab/>
      </w:r>
      <w:r>
        <w:tab/>
      </w:r>
      <w:r w:rsidRPr="00605988">
        <w:rPr>
          <w:rStyle w:val="HideTWBExt"/>
          <w:b w:val="0"/>
          <w:lang w:val="en-GB"/>
        </w:rPr>
        <w:t>&lt;NumAm&gt;</w:t>
      </w:r>
      <w:r>
        <w:t>317</w:t>
      </w:r>
      <w:r w:rsidRPr="00605988">
        <w:rPr>
          <w:rStyle w:val="HideTWBExt"/>
          <w:b w:val="0"/>
          <w:lang w:val="en-GB"/>
        </w:rPr>
        <w:t>&lt;/NumAm&gt;</w:t>
      </w:r>
    </w:p>
    <w:p w:rsidR="00F931B6" w:rsidRPr="00BF159C" w:rsidRDefault="00F931B6" w:rsidP="00F931B6">
      <w:pPr>
        <w:pStyle w:val="NormalBold"/>
      </w:pPr>
      <w:r w:rsidRPr="00605988">
        <w:rPr>
          <w:rStyle w:val="HideTWBExt"/>
          <w:b w:val="0"/>
          <w:lang w:val="en-GB"/>
        </w:rPr>
        <w:t>&lt;RepeatBlock-By&gt;&lt;Members&gt;</w:t>
      </w:r>
      <w:r>
        <w:t>Sebastian Tynkkynen</w:t>
      </w:r>
      <w:r w:rsidRPr="00605988">
        <w:rPr>
          <w:rStyle w:val="HideTWBExt"/>
          <w:b w:val="0"/>
          <w:lang w:val="en-GB"/>
        </w:rPr>
        <w:t>&lt;/Members&gt;</w:t>
      </w:r>
    </w:p>
    <w:p w:rsidR="00F931B6" w:rsidRPr="00BF159C" w:rsidRDefault="00F931B6" w:rsidP="00F931B6">
      <w:pPr>
        <w:pStyle w:val="NormalBold"/>
      </w:pPr>
      <w:r w:rsidRPr="00605988">
        <w:rPr>
          <w:rStyle w:val="HideTWBExt"/>
          <w:b w:val="0"/>
          <w:lang w:val="en-GB"/>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se borijo proti dezinformacijam, zlasti z robustnimi zakoni in neodvisnimi regulatorji; </w:t>
            </w:r>
            <w:r>
              <w:rPr>
                <w:b/>
                <w:i/>
              </w:rPr>
              <w:t>poudarja demokratični pomen neodvisne in stabilne javne radiotelevizije in da je treba zagotoviti financiranje javnih medijskih storitev;</w:t>
            </w:r>
          </w:p>
        </w:tc>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se borijo proti dezinformacijam, zlasti z robustnimi zakoni in neodvisnimi regulatorji; </w:t>
            </w:r>
            <w:r>
              <w:rPr>
                <w:b/>
                <w:i/>
              </w:rPr>
              <w:t>poudarja, da boj proti dezinformacijam ne bi smel voditi v cenzuro ali preprečiti izražanja različnih političnih stališč;</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{FI}</w:t>
      </w:r>
      <w:r w:rsidRPr="00444926">
        <w:t>fi</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318</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se borijo proti </w:t>
            </w:r>
            <w:r>
              <w:rPr>
                <w:b/>
                <w:i/>
              </w:rPr>
              <w:t>dezinformacijam, zlasti z robustnimi zakoni in neodvisnimi regulatorji</w:t>
            </w:r>
            <w:r>
              <w:t>; poudarja demokratični pomen neodvisne in stabilne javne radiotelevizije in da je treba zagotoviti financiranje javnih medijskih storitev;</w:t>
            </w:r>
          </w:p>
        </w:tc>
        <w:tc>
          <w:tcPr>
            <w:tcW w:w="4876" w:type="dxa"/>
            <w:tcBorders>
              <w:top w:val="nil"/>
              <w:left w:val="nil"/>
              <w:bottom w:val="nil"/>
              <w:right w:val="nil"/>
            </w:tcBorders>
          </w:tcPr>
          <w:p w:rsidR="00F931B6" w:rsidRPr="00444926" w:rsidRDefault="00F931B6" w:rsidP="007C04AE">
            <w:pPr>
              <w:pStyle w:val="Normal6a"/>
            </w:pPr>
            <w:r>
              <w:t>10.</w:t>
            </w:r>
            <w:r>
              <w:tab/>
              <w:t xml:space="preserve">poziva države članice, naj zaščitijo svobodo in pluralnost medijev, preprečijo koncentracijo lastništva medijev in se borijo proti </w:t>
            </w:r>
            <w:r>
              <w:rPr>
                <w:b/>
                <w:i/>
              </w:rPr>
              <w:t>cenzuri in neupravičenemu vmešavanju v svobodo izražanja</w:t>
            </w:r>
            <w:r>
              <w:t>; poudarja demokratični pomen neodvisne in stabilne javne radiotelevizije in da je treba zagotoviti financiranje javnih medijskih storitev;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319</w:t>
      </w:r>
      <w:r>
        <w:rPr>
          <w:rStyle w:val="HideTWBExt"/>
          <w:b w:val="0"/>
        </w:rPr>
        <w:t>&lt;/NumAm&gt;</w:t>
      </w:r>
    </w:p>
    <w:p w:rsidR="00F931B6" w:rsidRPr="00444926" w:rsidRDefault="00F931B6" w:rsidP="00F931B6">
      <w:pPr>
        <w:pStyle w:val="NormalBold"/>
      </w:pPr>
      <w:r>
        <w:rPr>
          <w:rStyle w:val="HideTWBExt"/>
          <w:b w:val="0"/>
        </w:rPr>
        <w:t>&lt;RepeatBlock-By&gt;&lt;Members&gt;</w:t>
      </w:r>
      <w:r>
        <w:t>Romana Tomc</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 preprečijo koncentracijo lastništva medijev in se borijo proti dezinformacijam, zlasti z robustnimi zakoni</w:t>
            </w:r>
            <w:r>
              <w:rPr>
                <w:b/>
                <w:i/>
              </w:rPr>
              <w:t xml:space="preserve"> in neodvisnimi regulatorji</w:t>
            </w:r>
            <w:r>
              <w:t>; poudarja demokratični pomen neodvisne in stabilne javne radiotelevizije in da je treba zagotoviti financiranje javnih medijskih storitev;</w:t>
            </w:r>
          </w:p>
        </w:tc>
        <w:tc>
          <w:tcPr>
            <w:tcW w:w="4876" w:type="dxa"/>
            <w:tcBorders>
              <w:top w:val="nil"/>
              <w:left w:val="nil"/>
              <w:bottom w:val="nil"/>
              <w:right w:val="nil"/>
            </w:tcBorders>
          </w:tcPr>
          <w:p w:rsidR="00F931B6" w:rsidRPr="00444926" w:rsidRDefault="00F931B6" w:rsidP="007C04AE">
            <w:pPr>
              <w:pStyle w:val="Normal6a"/>
            </w:pPr>
            <w:r>
              <w:t>10.</w:t>
            </w:r>
            <w:r>
              <w:tab/>
              <w:t>poziva države članice, naj zaščitijo svobodo in pluralnost medijev, preprečijo koncentracijo lastništva medijev in se borijo proti dezinformacijam, zlasti z robustnimi zakoni; poudarja demokratični pomen neodvisne in stabilne javne radiotelevizije in da je treba zagotoviti financiranje javnih medijskih storitev;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320</w:t>
      </w:r>
      <w:r>
        <w:rPr>
          <w:rStyle w:val="HideTWBExt"/>
          <w:b w:val="0"/>
        </w:rPr>
        <w:t>&lt;/NumAm&gt;</w:t>
      </w:r>
    </w:p>
    <w:p w:rsidR="00F931B6" w:rsidRPr="00444926" w:rsidRDefault="00F931B6" w:rsidP="00F931B6">
      <w:pPr>
        <w:pStyle w:val="NormalBold"/>
      </w:pPr>
      <w:r>
        <w:rPr>
          <w:rStyle w:val="HideTWBExt"/>
          <w:b w:val="0"/>
        </w:rPr>
        <w:t>&lt;RepeatBlock-By&gt;&lt;Members&gt;</w:t>
      </w:r>
      <w:r>
        <w:t>Alessandro Zan, Cecilia Strada, Sandro Ruotolo, Pina Picierno, Marco Tarquinio</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10a.</w:t>
            </w:r>
            <w:r>
              <w:tab/>
            </w:r>
            <w:r>
              <w:rPr>
                <w:b/>
                <w:i/>
              </w:rPr>
              <w:t>ugotavlja, da se položaj novinarjev v Italiji slabša, vključno z vse pogostejšimi primeri strateških tožb za onemogočanje udeležbe javnosti in pravnega ustrahovanja, za čemer stojijo politične osebnosti; obžaluje vse večje težave, s katerimi se spoprijemajo novinarji pri pridobivanju informacij in dostopu do dokumentov v Italiji; ugotavlja, da pri reformi ureditev v zvezi z obrekovanjem ni prišlo do napredka in da je prisoten trend zlorabe pravosodnih orodij in drugih previdnostnih postopkov proti novinarjem na škodo svobode tiska;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321</w:t>
      </w:r>
      <w:r>
        <w:rPr>
          <w:rStyle w:val="HideTWBExt"/>
          <w:b w:val="0"/>
        </w:rPr>
        <w:t>&lt;/NumAm&gt;</w:t>
      </w:r>
    </w:p>
    <w:p w:rsidR="00F931B6" w:rsidRPr="00444926" w:rsidRDefault="00F931B6" w:rsidP="00F931B6">
      <w:pPr>
        <w:pStyle w:val="NormalBold"/>
      </w:pPr>
      <w:r>
        <w:rPr>
          <w:rStyle w:val="HideTWBExt"/>
          <w:b w:val="0"/>
        </w:rPr>
        <w:t>&lt;RepeatBlock-By&gt;&lt;Members&gt;</w:t>
      </w:r>
      <w:r>
        <w:t>Emma Rafowicz, Chloé Ridel, Krzysztof Śmiszek, Hannes Heide</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10a.</w:t>
            </w:r>
            <w:r>
              <w:tab/>
            </w:r>
            <w:r>
              <w:rPr>
                <w:b/>
                <w:i/>
              </w:rPr>
              <w:t>z zaskrbljenostjo ugotavlja, da sta v Franciji ogroženi pluralnost in svoboda medijev; zlasti opozarja na osnutek zakona o reformi javnega avdiovizualnega sektorja, katerega cilj je, da bi francoska vlada združila vse javne avdiovizualne organe, in poudarja, da koncentracija medijev prek javnih in zasebnih akterjev ogroža dostop do zanesljivih in objektivnih informacij, ki so neodvisne od političnih in ideoloških pritiskov;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322</w:t>
      </w:r>
      <w:r>
        <w:rPr>
          <w:rStyle w:val="HideTWBExt"/>
          <w:b w:val="0"/>
        </w:rPr>
        <w:t>&lt;/NumAm&gt;</w:t>
      </w:r>
    </w:p>
    <w:p w:rsidR="00F931B6" w:rsidRPr="00444926" w:rsidRDefault="00F931B6" w:rsidP="00F931B6">
      <w:pPr>
        <w:pStyle w:val="NormalBold"/>
      </w:pPr>
      <w:r>
        <w:rPr>
          <w:rStyle w:val="HideTWBExt"/>
          <w:b w:val="0"/>
        </w:rPr>
        <w:t>&lt;RepeatBlock-By&gt;&lt;Members&gt;</w:t>
      </w:r>
      <w:r>
        <w:t>Chloé Ridel, Emma Rafowicz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10a.</w:t>
            </w:r>
            <w:r>
              <w:tab/>
            </w:r>
            <w:r>
              <w:rPr>
                <w:b/>
                <w:i/>
              </w:rPr>
              <w:t>ugotavlja, da se izzivi v zvezi s preglednostjo lastništva medijev še vedno pojavljajo v Bolgariji, na Češkem, v Franciji, na Nizozemskem in Cipru; poziva vse države članice, naj v celoti izvajajo standarde EU o preglednosti lastništva medijev, tudi z vzpostavitvijo celovitih in javno dostopnih registrov lastništva;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323</w:t>
      </w:r>
      <w:r>
        <w:rPr>
          <w:rStyle w:val="HideTWBExt"/>
          <w:b w:val="0"/>
        </w:rPr>
        <w:t>&lt;/NumAm&gt;</w:t>
      </w:r>
    </w:p>
    <w:p w:rsidR="00F931B6" w:rsidRPr="00444926" w:rsidRDefault="00F931B6" w:rsidP="00F931B6">
      <w:pPr>
        <w:pStyle w:val="NormalBold"/>
      </w:pPr>
      <w:r>
        <w:rPr>
          <w:rStyle w:val="HideTWBExt"/>
          <w:b w:val="0"/>
        </w:rPr>
        <w:t>&lt;RepeatBlock-By&gt;&lt;Members&gt;</w:t>
      </w:r>
      <w:r>
        <w:t>Marco Tarquinio, Alessandro Zan, Damien Carême, Mélissa Camara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10a.</w:t>
            </w:r>
            <w:r>
              <w:tab/>
            </w:r>
            <w:r>
              <w:rPr>
                <w:b/>
                <w:i/>
              </w:rPr>
              <w:t>obsoja širjenje rasističnega in ksenofobičnega sovražnega govora, tudi v osrednjih in družbenih medijih, saj resno ogroža demokracijo in pravno državo; poziva k strožjemu izvrševanju predpisov o medijih, da bi se borili proti rasističnemu diskurzu ter zaščitili raznoliko in vključujoče medijsko okolje;</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324</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Sandro Ruotolo</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10a.</w:t>
            </w:r>
            <w:r>
              <w:tab/>
            </w:r>
            <w:r>
              <w:rPr>
                <w:b/>
                <w:i/>
              </w:rPr>
              <w:t>je seznanjen, da Komisija ugotavlja, da na Madžarskem, v Sloveniji, na Hrvaškem, v Bolgariji, na Poljskem in v Grčiji še vedno obstajajo pomisleki glede neodvisnosti ali nepristranskosti regulatorjev;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325</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10a.</w:t>
            </w:r>
            <w:r>
              <w:tab/>
            </w:r>
            <w:r>
              <w:rPr>
                <w:b/>
                <w:i/>
              </w:rPr>
              <w:t>priporoča ustanovitev namenskega sklada EU za svobodo medijev, ki bi podpiral neodvisno novinarstvo in lokalne medijske hiše;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326</w:t>
      </w:r>
      <w:r>
        <w:rPr>
          <w:rStyle w:val="HideTWBExt"/>
          <w:b w:val="0"/>
        </w:rPr>
        <w:t>&lt;/NumAm&gt;</w:t>
      </w:r>
    </w:p>
    <w:p w:rsidR="00F931B6" w:rsidRPr="00444926" w:rsidRDefault="00F931B6" w:rsidP="00F931B6">
      <w:pPr>
        <w:pStyle w:val="NormalBold"/>
      </w:pPr>
      <w:r>
        <w:rPr>
          <w:rStyle w:val="HideTWBExt"/>
          <w:b w:val="0"/>
        </w:rPr>
        <w:t>&lt;RepeatBlock-By&gt;&lt;Members&gt;</w:t>
      </w:r>
      <w:r>
        <w:t>Alessandro Zan, Cecilia Strada, Sandro Ruotolo, Pina Picierno, Marco Tarquinio</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10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10b.</w:t>
            </w:r>
            <w:r>
              <w:tab/>
            </w:r>
            <w:r>
              <w:rPr>
                <w:b/>
                <w:i/>
              </w:rPr>
              <w:t>je globoko zaskrbljen zaradi nedavnih primerov nezakonite uporabe vohunske programske opreme proti novinarjem in aktivistom v Italiji ter drugim državljanom v Evropi; ugotavlja, da je svoboda tiska eden od ključnih stebrov za ohranjanje pravne države v državah članicah EU; odločno obsoja vsa dejanja, kot je nezakonita uporaba vohunske programske opreme s strani vlad za spremljanje, nadzor in omejevanje svobode tiska, pravic posameznikov in temeljnih svoboščin;</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327</w:t>
      </w:r>
      <w:r>
        <w:rPr>
          <w:rStyle w:val="HideTWBExt"/>
          <w:b w:val="0"/>
        </w:rPr>
        <w:t>&lt;/NumAm&gt;</w:t>
      </w:r>
    </w:p>
    <w:p w:rsidR="00F931B6" w:rsidRPr="00444926" w:rsidRDefault="00F931B6" w:rsidP="00F931B6">
      <w:pPr>
        <w:pStyle w:val="NormalBold"/>
      </w:pPr>
      <w:r>
        <w:rPr>
          <w:rStyle w:val="HideTWBExt"/>
          <w:b w:val="0"/>
        </w:rPr>
        <w:t>&lt;RepeatBlock-By&gt;&lt;Members&gt;</w:t>
      </w:r>
      <w:r>
        <w:t>Romana Tomc</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11.</w:t>
            </w:r>
            <w:r>
              <w:tab/>
              <w:t>ostro obsoja državni nadzor in politično vmešavanje v medijske dejavnosti in poziva k večjim prizadevanjem za varnost in zaščito novinarjev;</w:t>
            </w:r>
          </w:p>
        </w:tc>
        <w:tc>
          <w:tcPr>
            <w:tcW w:w="4876" w:type="dxa"/>
            <w:tcBorders>
              <w:top w:val="nil"/>
              <w:left w:val="nil"/>
              <w:bottom w:val="nil"/>
              <w:right w:val="nil"/>
            </w:tcBorders>
          </w:tcPr>
          <w:p w:rsidR="00F931B6" w:rsidRPr="00444926" w:rsidRDefault="00F931B6" w:rsidP="007C04AE">
            <w:pPr>
              <w:pStyle w:val="Normal6a"/>
            </w:pPr>
            <w:r>
              <w:t>11.</w:t>
            </w:r>
            <w:r>
              <w:tab/>
              <w:t xml:space="preserve">ostro obsoja državni nadzor in politično vmešavanje v medijske dejavnosti in poziva k večjim prizadevanjem za varnost in zaščito novinarjev; </w:t>
            </w:r>
            <w:r>
              <w:rPr>
                <w:b/>
                <w:i/>
              </w:rPr>
              <w:t>poudarja, da morajo prepoznavne javne osebnosti in politiki, vključno s člani vlade, dajati zgled in poskrbeti za spoštljivo razpravo, v kateri ne bo ustrahovanja, napadov, žaljenja in nadlegovanja; v zvezi s tem obsoja izjave slovenskega predsednika vlade, da namerava iz javne radiotelevizije in policije odstraniti člane določene politične stranke;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328</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11.</w:t>
            </w:r>
            <w:r>
              <w:tab/>
              <w:t>ostro obsoja državni nadzor in politično vmešavanje v medijske dejavnosti in poziva k večjim prizadevanjem za varnost in zaščito novinarjev;</w:t>
            </w:r>
          </w:p>
        </w:tc>
        <w:tc>
          <w:tcPr>
            <w:tcW w:w="4876" w:type="dxa"/>
            <w:tcBorders>
              <w:top w:val="nil"/>
              <w:left w:val="nil"/>
              <w:bottom w:val="nil"/>
              <w:right w:val="nil"/>
            </w:tcBorders>
          </w:tcPr>
          <w:p w:rsidR="00F931B6" w:rsidRPr="00444926" w:rsidRDefault="00F931B6" w:rsidP="007C04AE">
            <w:pPr>
              <w:pStyle w:val="Normal6a"/>
            </w:pPr>
            <w:r>
              <w:t>11.</w:t>
            </w:r>
            <w:r>
              <w:tab/>
              <w:t xml:space="preserve">ostro obsoja državni nadzor in politično vmešavanje v medijske dejavnosti in poziva k večjim prizadevanjem za varnost in zaščito novinarjev; </w:t>
            </w:r>
            <w:r>
              <w:rPr>
                <w:b/>
                <w:i/>
              </w:rPr>
              <w:t>meni, da je zlasti to, da je vlada Donalda Tuska nezakonito in prisilno prevzela javne medije na Poljskem in pri tem uporabila metode tajnih služb in kršila vse zakone in standarde, nezdružljivo z evropskimi standardi, ter poziva, naj se te odločitve razveljavijo, določijo ustrezne pravne posledice in odpravi povzročena škoda;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329</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11.</w:t>
            </w:r>
            <w:r>
              <w:tab/>
              <w:t>ostro obsoja državni nadzor in politično vmešavanje v medijske dejavnosti in poziva k večjim prizadevanjem za varnost in zaščito novinarjev;</w:t>
            </w:r>
          </w:p>
        </w:tc>
        <w:tc>
          <w:tcPr>
            <w:tcW w:w="4876" w:type="dxa"/>
            <w:tcBorders>
              <w:top w:val="nil"/>
              <w:left w:val="nil"/>
              <w:bottom w:val="nil"/>
              <w:right w:val="nil"/>
            </w:tcBorders>
          </w:tcPr>
          <w:p w:rsidR="00F931B6" w:rsidRPr="00444926" w:rsidRDefault="00F931B6" w:rsidP="007C04AE">
            <w:pPr>
              <w:pStyle w:val="Normal6a"/>
            </w:pPr>
            <w:r>
              <w:t>11.</w:t>
            </w:r>
            <w:r>
              <w:tab/>
              <w:t>ostro obsoja državni nadzor in politično vmešavanje v medijske dejavnosti in poziva k večjim prizadevanjem za varnost in zaščito novinarjev</w:t>
            </w:r>
            <w:r>
              <w:rPr>
                <w:b/>
                <w:i/>
              </w:rPr>
              <w:t xml:space="preserve"> ter zaščito svobode tiska;</w:t>
            </w:r>
            <w:r>
              <w:t xml:space="preserve"> </w:t>
            </w:r>
            <w:r>
              <w:rPr>
                <w:b/>
                <w:i/>
              </w:rPr>
              <w:t>poziva k uvedbi posebnih obteževalnih okoliščin v kazenskem pravu za kazniva dejanja, storjena zoper novinarje, kadar so ta dejanja posledica njihovih poklicnih dejavnosti ali so z njimi povezana;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330</w:t>
      </w:r>
      <w:r>
        <w:rPr>
          <w:rStyle w:val="HideTWBExt"/>
          <w:b w:val="0"/>
        </w:rPr>
        <w:t>&lt;/NumAm&gt;</w:t>
      </w:r>
    </w:p>
    <w:p w:rsidR="00F931B6" w:rsidRPr="00444926" w:rsidRDefault="00F931B6" w:rsidP="00F931B6">
      <w:pPr>
        <w:pStyle w:val="NormalBold"/>
      </w:pPr>
      <w:r>
        <w:rPr>
          <w:rStyle w:val="HideTWBExt"/>
          <w:b w:val="0"/>
        </w:rPr>
        <w:t>&lt;RepeatBlock-By&gt;&lt;Members&gt;</w:t>
      </w:r>
      <w:r>
        <w:t>Marieke Ehlers, Jorge Buxadé Villalba, Tom Vandendriessche,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11.</w:t>
            </w:r>
            <w:r>
              <w:tab/>
              <w:t>ostro obsoja državni nadzor in politično vmešavanje v medijske dejavnosti in poziva k večjim prizadevanjem za varnost in zaščito novinarjev;</w:t>
            </w:r>
          </w:p>
        </w:tc>
        <w:tc>
          <w:tcPr>
            <w:tcW w:w="4876" w:type="dxa"/>
            <w:tcBorders>
              <w:top w:val="nil"/>
              <w:left w:val="nil"/>
              <w:bottom w:val="nil"/>
              <w:right w:val="nil"/>
            </w:tcBorders>
          </w:tcPr>
          <w:p w:rsidR="00F931B6" w:rsidRPr="00444926" w:rsidRDefault="00F931B6" w:rsidP="007C04AE">
            <w:pPr>
              <w:pStyle w:val="Normal6a"/>
            </w:pPr>
            <w:r>
              <w:t>11.</w:t>
            </w:r>
            <w:r>
              <w:tab/>
              <w:t xml:space="preserve">ostro obsoja državni nadzor in politično vmešavanje v medijske dejavnosti in poziva k večjim prizadevanjem za varnost in zaščito novinarjev; </w:t>
            </w:r>
            <w:r>
              <w:rPr>
                <w:b/>
                <w:i/>
              </w:rPr>
              <w:t>zato poziva EU, naj popolnoma preneha financirati medijske dejavnosti iz proračuna EU, da bi zaščitila neodvisnost medijev;</w:t>
            </w:r>
          </w:p>
        </w:tc>
      </w:tr>
    </w:tbl>
    <w:p w:rsidR="00F931B6" w:rsidRPr="00BF159C" w:rsidRDefault="00F931B6" w:rsidP="00F931B6">
      <w:pPr>
        <w:pStyle w:val="AmOrLang"/>
        <w:rPr>
          <w:lang w:val="sv-SE"/>
        </w:rPr>
      </w:pPr>
      <w:r w:rsidRPr="00BF159C">
        <w:rPr>
          <w:lang w:val="sv-SE"/>
        </w:rPr>
        <w:t xml:space="preserve">Or. </w:t>
      </w:r>
      <w:r w:rsidRPr="00BF159C">
        <w:rPr>
          <w:rStyle w:val="HideTWBExt"/>
          <w:lang w:val="sv-SE"/>
        </w:rPr>
        <w:t>&lt;Original&gt;</w:t>
      </w:r>
      <w:r w:rsidRPr="00BF159C">
        <w:rPr>
          <w:rStyle w:val="HideTWBInt"/>
          <w:lang w:val="sv-SE"/>
        </w:rPr>
        <w:t>{EN}</w:t>
      </w:r>
      <w:r w:rsidRPr="00BF159C">
        <w:rPr>
          <w:lang w:val="sv-SE"/>
        </w:rPr>
        <w:t>en</w:t>
      </w:r>
      <w:r w:rsidRPr="00BF159C">
        <w:rPr>
          <w:rStyle w:val="HideTWBExt"/>
          <w:lang w:val="sv-SE"/>
        </w:rPr>
        <w:t>&lt;/Original&gt;</w:t>
      </w:r>
    </w:p>
    <w:p w:rsidR="00F931B6" w:rsidRPr="00BF159C" w:rsidRDefault="00F931B6" w:rsidP="00F931B6">
      <w:r>
        <w:rPr>
          <w:rStyle w:val="HideTWBExt"/>
          <w:lang w:val="sv-SE"/>
        </w:rPr>
        <w:t>&lt;/Amend&gt;</w:t>
      </w:r>
    </w:p>
    <w:p w:rsidR="00F931B6" w:rsidRPr="004C29F3" w:rsidRDefault="00F931B6" w:rsidP="00F931B6">
      <w:pPr>
        <w:pStyle w:val="AmNumberTabs"/>
      </w:pPr>
      <w:r>
        <w:rPr>
          <w:rStyle w:val="HideTWBExt"/>
          <w:b w:val="0"/>
        </w:rPr>
        <w:t>&lt;Amend&gt;</w:t>
      </w:r>
      <w:r>
        <w:t>Predlog spremembe</w:t>
      </w:r>
      <w:r>
        <w:tab/>
      </w:r>
      <w:r>
        <w:tab/>
      </w:r>
      <w:r>
        <w:rPr>
          <w:rStyle w:val="HideTWBExt"/>
          <w:b w:val="0"/>
        </w:rPr>
        <w:t>&lt;NumAm&gt;</w:t>
      </w:r>
      <w:r>
        <w:t>331</w:t>
      </w:r>
      <w:r>
        <w:rPr>
          <w:rStyle w:val="HideTWBExt"/>
          <w:b w:val="0"/>
        </w:rPr>
        <w:t>&lt;/NumAm&gt;</w:t>
      </w:r>
    </w:p>
    <w:p w:rsidR="00F931B6" w:rsidRPr="004C29F3" w:rsidRDefault="00F931B6" w:rsidP="00F931B6">
      <w:pPr>
        <w:pStyle w:val="NormalBold"/>
      </w:pPr>
      <w:r>
        <w:rPr>
          <w:rStyle w:val="HideTWBExt"/>
          <w:b w:val="0"/>
        </w:rPr>
        <w:t>&lt;RepeatBlock-By&gt;&lt;Members&gt;</w:t>
      </w:r>
      <w:r>
        <w:t>Sebastian Tynkkynen</w:t>
      </w:r>
      <w:r>
        <w:rPr>
          <w:rStyle w:val="HideTWBExt"/>
          <w:b w:val="0"/>
        </w:rPr>
        <w:t>&lt;/Members&gt;</w:t>
      </w:r>
    </w:p>
    <w:p w:rsidR="00F931B6" w:rsidRPr="004C29F3"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11.</w:t>
            </w:r>
            <w:r>
              <w:tab/>
              <w:t xml:space="preserve">ostro obsoja državni nadzor in politično vmešavanje v medijske dejavnosti </w:t>
            </w:r>
            <w:r>
              <w:rPr>
                <w:b/>
                <w:i/>
              </w:rPr>
              <w:t>in</w:t>
            </w:r>
            <w:r>
              <w:t xml:space="preserve"> poziva k </w:t>
            </w:r>
            <w:r>
              <w:rPr>
                <w:b/>
                <w:i/>
              </w:rPr>
              <w:t>večjim prizadevanjem za varnost in zaščito novinarjev</w:t>
            </w:r>
            <w:r>
              <w:t>;</w:t>
            </w:r>
          </w:p>
        </w:tc>
        <w:tc>
          <w:tcPr>
            <w:tcW w:w="4876" w:type="dxa"/>
            <w:tcBorders>
              <w:top w:val="nil"/>
              <w:left w:val="nil"/>
              <w:bottom w:val="nil"/>
              <w:right w:val="nil"/>
            </w:tcBorders>
          </w:tcPr>
          <w:p w:rsidR="00F931B6" w:rsidRPr="00444926" w:rsidRDefault="00F931B6" w:rsidP="007C04AE">
            <w:pPr>
              <w:pStyle w:val="Normal6a"/>
            </w:pPr>
            <w:r>
              <w:t>11.</w:t>
            </w:r>
            <w:r>
              <w:tab/>
              <w:t>ostro obsoja državni nadzor in politično vmešavanje v medijske dejavnosti;</w:t>
            </w:r>
            <w:r>
              <w:rPr>
                <w:b/>
                <w:i/>
              </w:rPr>
              <w:t xml:space="preserve"> poudarja, da bi moralo biti gradivo, ki ga pripravijo javne radiotelevizije, resnično nepristransko in ne bi se smelo nagibati v nobeno politično smer;</w:t>
            </w:r>
            <w:r>
              <w:t xml:space="preserve"> poziva k </w:t>
            </w:r>
            <w:r>
              <w:rPr>
                <w:b/>
                <w:i/>
              </w:rPr>
              <w:t>učinkovitejšim ukrepom za zagotovitev in zaščito varnosti</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{FI}</w:t>
      </w:r>
      <w:r w:rsidRPr="00444926">
        <w:t>fi</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332</w:t>
      </w:r>
      <w:r>
        <w:rPr>
          <w:rStyle w:val="HideTWBExt"/>
          <w:b w:val="0"/>
        </w:rPr>
        <w:t>&lt;/NumAm&gt;</w:t>
      </w:r>
    </w:p>
    <w:p w:rsidR="00F931B6" w:rsidRPr="00444926" w:rsidRDefault="00F931B6" w:rsidP="00F931B6">
      <w:pPr>
        <w:pStyle w:val="NormalBold"/>
      </w:pPr>
      <w:r>
        <w:rPr>
          <w:rStyle w:val="HideTWBExt"/>
          <w:b w:val="0"/>
        </w:rPr>
        <w:t>&lt;RepeatBlock-By&gt;&lt;Members&gt;</w:t>
      </w:r>
      <w:r>
        <w:t>Daniel Freund, Diana Riba i Giner</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11.</w:t>
            </w:r>
            <w:r>
              <w:tab/>
              <w:t xml:space="preserve">ostro obsoja državni nadzor in politično vmešavanje v medijske dejavnosti </w:t>
            </w:r>
            <w:r>
              <w:rPr>
                <w:b/>
                <w:i/>
              </w:rPr>
              <w:t>in</w:t>
            </w:r>
            <w:r>
              <w:t xml:space="preserve"> poziva </w:t>
            </w:r>
            <w:r>
              <w:rPr>
                <w:b/>
                <w:i/>
              </w:rPr>
              <w:t>k večjim prizadevanjem za</w:t>
            </w:r>
            <w:r>
              <w:t xml:space="preserve"> varnost in zaščito novinarjev;</w:t>
            </w:r>
          </w:p>
        </w:tc>
        <w:tc>
          <w:tcPr>
            <w:tcW w:w="4876" w:type="dxa"/>
            <w:tcBorders>
              <w:top w:val="nil"/>
              <w:left w:val="nil"/>
              <w:bottom w:val="nil"/>
              <w:right w:val="nil"/>
            </w:tcBorders>
          </w:tcPr>
          <w:p w:rsidR="00F931B6" w:rsidRPr="00444926" w:rsidRDefault="00F931B6" w:rsidP="007C04AE">
            <w:pPr>
              <w:pStyle w:val="Normal6a"/>
            </w:pPr>
            <w:r>
              <w:t>11.</w:t>
            </w:r>
            <w:r>
              <w:tab/>
              <w:t xml:space="preserve">ostro obsoja državni nadzor in politično vmešavanje v medijske dejavnosti </w:t>
            </w:r>
            <w:r>
              <w:rPr>
                <w:b/>
                <w:i/>
              </w:rPr>
              <w:t>ter</w:t>
            </w:r>
            <w:r>
              <w:t xml:space="preserve"> poziva </w:t>
            </w:r>
            <w:r>
              <w:rPr>
                <w:b/>
                <w:i/>
              </w:rPr>
              <w:t>Komisijo in države članice, naj zagotovijo</w:t>
            </w:r>
            <w:r>
              <w:t xml:space="preserve"> varnost in zaščito</w:t>
            </w:r>
            <w:r>
              <w:rPr>
                <w:b/>
                <w:i/>
              </w:rPr>
              <w:t xml:space="preserve"> </w:t>
            </w:r>
            <w:r>
              <w:t>novinarjev</w:t>
            </w:r>
            <w:r>
              <w:rPr>
                <w:b/>
                <w:i/>
              </w:rPr>
              <w:t>, zlasti preiskovalnih</w:t>
            </w:r>
            <w:r>
              <w:t xml:space="preserve"> </w:t>
            </w:r>
            <w:r>
              <w:rPr>
                <w:b/>
                <w:bCs/>
                <w:i/>
                <w:iCs/>
              </w:rPr>
              <w:t>novinarjev</w:t>
            </w:r>
            <w:r>
              <w:t>;</w:t>
            </w:r>
          </w:p>
        </w:tc>
      </w:tr>
    </w:tbl>
    <w:p w:rsidR="00F931B6" w:rsidRPr="00BF159C" w:rsidRDefault="00F931B6" w:rsidP="00F931B6">
      <w:pPr>
        <w:pStyle w:val="AmOrLang"/>
        <w:rPr>
          <w:lang w:val="de-DE"/>
        </w:rPr>
      </w:pPr>
      <w:r w:rsidRPr="00BF159C">
        <w:rPr>
          <w:lang w:val="de-DE"/>
        </w:rPr>
        <w:t xml:space="preserve">Or. </w:t>
      </w:r>
      <w:r w:rsidRPr="00BF159C">
        <w:rPr>
          <w:rStyle w:val="HideTWBExt"/>
          <w:lang w:val="de-DE"/>
        </w:rPr>
        <w:t>&lt;Original&gt;</w:t>
      </w:r>
      <w:r w:rsidRPr="00BF159C">
        <w:rPr>
          <w:rStyle w:val="HideTWBInt"/>
          <w:lang w:val="de-DE"/>
        </w:rPr>
        <w:t>{EN}</w:t>
      </w:r>
      <w:r w:rsidRPr="00BF159C">
        <w:rPr>
          <w:lang w:val="de-DE"/>
        </w:rPr>
        <w:t>en</w:t>
      </w:r>
      <w:r w:rsidRPr="00BF159C">
        <w:rPr>
          <w:rStyle w:val="HideTWBExt"/>
          <w:lang w:val="de-DE"/>
        </w:rPr>
        <w:t>&lt;/Original&gt;</w:t>
      </w:r>
    </w:p>
    <w:p w:rsidR="00F931B6" w:rsidRPr="00BF159C" w:rsidRDefault="00F931B6" w:rsidP="00F931B6">
      <w:r>
        <w:rPr>
          <w:rStyle w:val="HideTWBExt"/>
          <w:lang w:val="de-DE"/>
        </w:rPr>
        <w:t>&lt;/Amend&gt;</w:t>
      </w:r>
    </w:p>
    <w:p w:rsidR="00F931B6" w:rsidRPr="00BF159C" w:rsidRDefault="00F931B6" w:rsidP="00F931B6">
      <w:pPr>
        <w:pStyle w:val="AmNumberTabs"/>
      </w:pPr>
      <w:r>
        <w:rPr>
          <w:rStyle w:val="HideTWBExt"/>
          <w:b w:val="0"/>
          <w:lang w:val="de-DE"/>
        </w:rPr>
        <w:t>&lt;Amend&gt;</w:t>
      </w:r>
      <w:r>
        <w:t>Predlog spremembe</w:t>
      </w:r>
      <w:r>
        <w:tab/>
      </w:r>
      <w:r>
        <w:tab/>
      </w:r>
      <w:r>
        <w:rPr>
          <w:rStyle w:val="HideTWBExt"/>
          <w:b w:val="0"/>
          <w:lang w:val="de-DE"/>
        </w:rPr>
        <w:t>&lt;NumAm&gt;</w:t>
      </w:r>
      <w:r>
        <w:t>333</w:t>
      </w:r>
      <w:r>
        <w:rPr>
          <w:rStyle w:val="HideTWBExt"/>
          <w:b w:val="0"/>
          <w:lang w:val="de-DE"/>
        </w:rPr>
        <w:t>&lt;/NumAm&gt;</w:t>
      </w:r>
    </w:p>
    <w:p w:rsidR="00F931B6" w:rsidRPr="00BF159C" w:rsidRDefault="00F931B6" w:rsidP="00F931B6">
      <w:pPr>
        <w:pStyle w:val="NormalBold"/>
      </w:pPr>
      <w:r>
        <w:rPr>
          <w:rStyle w:val="HideTWBExt"/>
          <w:b w:val="0"/>
          <w:lang w:val="de-DE"/>
        </w:rPr>
        <w:t>&lt;RepeatBlock-By&gt;&lt;Members&gt;</w:t>
      </w:r>
      <w:r>
        <w:t>Isabel Wiseler-Lima, Sophie Wilmès</w:t>
      </w:r>
      <w:r>
        <w:rPr>
          <w:rStyle w:val="HideTWBExt"/>
          <w:b w:val="0"/>
          <w:lang w:val="de-DE"/>
        </w:rPr>
        <w:t>&lt;/Members&gt;</w:t>
      </w:r>
    </w:p>
    <w:p w:rsidR="00F931B6" w:rsidRPr="00BF159C" w:rsidRDefault="00F931B6" w:rsidP="00F931B6">
      <w:pPr>
        <w:pStyle w:val="NormalBold"/>
      </w:pPr>
      <w:r>
        <w:rPr>
          <w:rStyle w:val="HideTWBExt"/>
          <w:b w:val="0"/>
          <w:lang w:val="de-DE"/>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11.</w:t>
            </w:r>
            <w:r>
              <w:tab/>
              <w:t>ostro obsoja državni nadzor in politično vmešavanje v medijske dejavnosti in poziva k večjim prizadevanjem za varnost in zaščito novinarjev;</w:t>
            </w:r>
          </w:p>
        </w:tc>
        <w:tc>
          <w:tcPr>
            <w:tcW w:w="4876" w:type="dxa"/>
            <w:tcBorders>
              <w:top w:val="nil"/>
              <w:left w:val="nil"/>
              <w:bottom w:val="nil"/>
              <w:right w:val="nil"/>
            </w:tcBorders>
          </w:tcPr>
          <w:p w:rsidR="00F931B6" w:rsidRPr="00444926" w:rsidRDefault="00F931B6" w:rsidP="007C04AE">
            <w:pPr>
              <w:pStyle w:val="Normal6a"/>
            </w:pPr>
            <w:r>
              <w:t>11.</w:t>
            </w:r>
            <w:r>
              <w:tab/>
              <w:t>ostro obsoja državni nadzor in politično vmešavanje v medijske dejavnosti in poziva k večjim prizadevanjem za varnost in zaščito novinarjev</w:t>
            </w:r>
            <w:r>
              <w:rPr>
                <w:b/>
                <w:i/>
              </w:rPr>
              <w:t xml:space="preserve"> in preverjevalcev dejstev, ki so še posebej izpostavljeni</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334</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Marieke Ehlers,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11.</w:t>
            </w:r>
            <w:r>
              <w:tab/>
              <w:t xml:space="preserve">ostro obsoja državni nadzor </w:t>
            </w:r>
            <w:r>
              <w:rPr>
                <w:b/>
                <w:i/>
              </w:rPr>
              <w:t>in</w:t>
            </w:r>
            <w:r>
              <w:t xml:space="preserve"> politično vmešavanje v medijske dejavnosti in poziva k večjim prizadevanjem za varnost in zaščito novinarjev;</w:t>
            </w:r>
          </w:p>
        </w:tc>
        <w:tc>
          <w:tcPr>
            <w:tcW w:w="4876" w:type="dxa"/>
            <w:tcBorders>
              <w:top w:val="nil"/>
              <w:left w:val="nil"/>
              <w:bottom w:val="nil"/>
              <w:right w:val="nil"/>
            </w:tcBorders>
          </w:tcPr>
          <w:p w:rsidR="00F931B6" w:rsidRPr="00444926" w:rsidRDefault="00F931B6" w:rsidP="007C04AE">
            <w:pPr>
              <w:pStyle w:val="Normal6a"/>
            </w:pPr>
            <w:r>
              <w:t>11.</w:t>
            </w:r>
            <w:r>
              <w:tab/>
              <w:t xml:space="preserve">ostro obsoja </w:t>
            </w:r>
            <w:r>
              <w:rPr>
                <w:b/>
                <w:i/>
              </w:rPr>
              <w:t xml:space="preserve">cenzuro in </w:t>
            </w:r>
            <w:r>
              <w:t xml:space="preserve">državni nadzor </w:t>
            </w:r>
            <w:r>
              <w:rPr>
                <w:b/>
                <w:i/>
              </w:rPr>
              <w:t>ter</w:t>
            </w:r>
            <w:r>
              <w:t xml:space="preserve"> politično vmešavanje v medijske dejavnosti in poziva k večjim prizadevanjem za varnost in zaščito novinarjev;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335</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11.</w:t>
            </w:r>
            <w:r>
              <w:tab/>
              <w:t xml:space="preserve">ostro obsoja </w:t>
            </w:r>
            <w:r>
              <w:rPr>
                <w:b/>
                <w:i/>
              </w:rPr>
              <w:t>državni nadzor in</w:t>
            </w:r>
            <w:r>
              <w:t xml:space="preserve"> politično vmešavanje v </w:t>
            </w:r>
            <w:r>
              <w:rPr>
                <w:b/>
                <w:i/>
              </w:rPr>
              <w:t>medijske dejavnosti</w:t>
            </w:r>
            <w:r>
              <w:t xml:space="preserve"> in poziva k večjim prizadevanjem za varnost in zaščito novinarjev;</w:t>
            </w:r>
          </w:p>
        </w:tc>
        <w:tc>
          <w:tcPr>
            <w:tcW w:w="4876" w:type="dxa"/>
            <w:tcBorders>
              <w:top w:val="nil"/>
              <w:left w:val="nil"/>
              <w:bottom w:val="nil"/>
              <w:right w:val="nil"/>
            </w:tcBorders>
          </w:tcPr>
          <w:p w:rsidR="00F931B6" w:rsidRPr="00444926" w:rsidRDefault="00F931B6" w:rsidP="007C04AE">
            <w:pPr>
              <w:pStyle w:val="Normal6a"/>
            </w:pPr>
            <w:r>
              <w:t>11.</w:t>
            </w:r>
            <w:r>
              <w:tab/>
              <w:t xml:space="preserve">ostro obsoja politično vmešavanje v </w:t>
            </w:r>
            <w:r>
              <w:rPr>
                <w:b/>
                <w:i/>
              </w:rPr>
              <w:t>delovanje medijev, ki spoštujejo novinarsko etiko,</w:t>
            </w:r>
            <w:r>
              <w:t xml:space="preserve"> in poziva k večjim prizadevanjem za varnost in zaščito novinarjev;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336</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11a.</w:t>
            </w:r>
            <w:r>
              <w:tab/>
            </w:r>
            <w:r>
              <w:rPr>
                <w:b/>
                <w:i/>
              </w:rPr>
              <w:t>izraža zaskrbljenost, ker je Tuskova vlada izključila opozicijske medijske hiše, zlasti televizijsko postajo „Telewizja Republika“, s tiskovnih konferenc, kar je v nasprotju z mednarodnimi standardi, pa tudi zaradi omejitev, ki jih to prinaša v zvezi z dostopom do informacij in odgovornostjo vlade; zlasti obsoja, da je bila temu televizijskemu kanalu, ki je največji televizijski informativni kanal v državi, zavrnjena udeležba na izrednih tiskovnih konferencah v zvezi z nedavnimi poplavami na Poljskem, saj to ni pomenilo le kršitve pravice do dostopa do informacij, temveč je negativno vplivalo tudi na varnost nekaterih delov družbe; obsoja ukrepe, ki jih je sprejela Tuskova vlada, da bi izvajala pritisk na javna in zasebna podjetja, da bi odstopila od oglaševalskih pogodb, sklenjenih z opozicijskimi medijskimi hišami;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337</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 Ana Catarina Mendes, Moritz Körner, 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11a.</w:t>
            </w:r>
            <w:r>
              <w:tab/>
            </w:r>
            <w:r>
              <w:rPr>
                <w:b/>
                <w:i/>
              </w:rPr>
              <w:t>izraža globoko zaskrbljenost zaradi zlorabe tehnologij za nadzor, vključno z vohunsko programsko opremo, v več državah članicah, zlasti kadar se uporabljajo proti novinarjem, predstavnikom opozicije, akterjem civilne družbe in zagovornikom človekovih pravic; poudarja, da samovoljna ali nezakonita uporaba teh tehnologij resno ogroža temeljne pravice, demokratično upravljanje in neodvisnost sodstva; poziva Komisijo, naj izvaja priporočila preiskovalnega odbora Evropskega parlamenta PEGA, zlasti v zvezi s prepovedjo politično motiviranega nadzora;</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338</w:t>
      </w:r>
      <w:r>
        <w:rPr>
          <w:rStyle w:val="HideTWBExt"/>
          <w:b w:val="0"/>
        </w:rPr>
        <w:t>&lt;/NumAm&gt;</w:t>
      </w:r>
    </w:p>
    <w:p w:rsidR="00F931B6" w:rsidRPr="00444926" w:rsidRDefault="00F931B6" w:rsidP="00F931B6">
      <w:pPr>
        <w:pStyle w:val="NormalBold"/>
      </w:pPr>
      <w:r>
        <w:rPr>
          <w:rStyle w:val="HideTWBExt"/>
          <w:b w:val="0"/>
        </w:rPr>
        <w:t>&lt;RepeatBlock-By&gt;&lt;Members&gt;</w:t>
      </w:r>
      <w:r>
        <w:t>Veronika Cifrová Ostrihoňová</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11a.</w:t>
            </w:r>
            <w:r>
              <w:tab/>
            </w:r>
            <w:r>
              <w:rPr>
                <w:b/>
                <w:i/>
              </w:rPr>
              <w:t>poziva Komisijo, naj analizira vpliv platform družbenih medijev na ekonomsko in demokratično vzdržnost medijskega sektorja; poudarja pomisleke, da lahko algoritemsko ojačevanje, spremembe prihodkov od oglaševanja in platformna distribucija vsebin ogrozijo neodvisno novinarstvo in pluralnost medijev; poziva Komisijo, naj oceni, v kolikšni meri digitalne platforme prispevajo k tržnim neravnovesjem, finančni negotovosti medijskih hiš in širjenju dezinformacij;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339</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11a.</w:t>
            </w:r>
            <w:r>
              <w:tab/>
            </w:r>
            <w:r>
              <w:rPr>
                <w:b/>
                <w:i/>
              </w:rPr>
              <w:t>poziva države članice, naj zagotovijo, da prenos Direktive (EU) 2016/343 o domnevi nedolžnosti ne bo uvedel omejitev pravice do poročanja in obveščanja javnosti o zadevah v javnem interesu, vključno s sodnimi preiskavami, ki v direktivi niso predvidene; poziva države članice, naj pregledajo in po potrebi spremenijo obstoječe nacionalne določbe, ki bi lahko omejevale novinarske svoboščine;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340</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Marieke Ehlers,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11a.</w:t>
            </w:r>
            <w:r>
              <w:tab/>
            </w:r>
            <w:r>
              <w:rPr>
                <w:b/>
                <w:i/>
              </w:rPr>
              <w:t>odločno obsoja vse poskuse cenzuriranja zakonitih vsebin ali nadzora nad političnim diskurzom v družbenih medijih; poziva Komisijo, naj nemudoma predloži predlog za razveljavitev in nadomestitev sedanjega akta o digitalnih storitvah, da bi odpravili spodbujanje moderiranja vsebin in uporabo neodvisnih preverjevalcev dejstev, z novo uredbo, ki bo spodbujala svobodo izražanja in pravico do obveščenosti;</w:t>
            </w:r>
          </w:p>
        </w:tc>
      </w:tr>
    </w:tbl>
    <w:p w:rsidR="00F931B6" w:rsidRPr="00BF159C" w:rsidRDefault="00F931B6" w:rsidP="00F931B6">
      <w:pPr>
        <w:pStyle w:val="AmOrLang"/>
        <w:rPr>
          <w:lang w:val="fr-FR"/>
        </w:rPr>
      </w:pPr>
      <w:r w:rsidRPr="00BF159C">
        <w:rPr>
          <w:lang w:val="fr-FR"/>
        </w:rPr>
        <w:t xml:space="preserve">Or. </w:t>
      </w:r>
      <w:r w:rsidRPr="00BF159C">
        <w:rPr>
          <w:rStyle w:val="HideTWBExt"/>
          <w:lang w:val="fr-FR"/>
        </w:rPr>
        <w:t>&lt;Original&gt;</w:t>
      </w:r>
      <w:r w:rsidRPr="00BF159C">
        <w:rPr>
          <w:rStyle w:val="HideTWBInt"/>
          <w:lang w:val="fr-FR"/>
        </w:rPr>
        <w:t>{EN}</w:t>
      </w:r>
      <w:r w:rsidRPr="00BF159C">
        <w:rPr>
          <w:lang w:val="fr-FR"/>
        </w:rPr>
        <w:t>en</w:t>
      </w:r>
      <w:r w:rsidRPr="00BF159C">
        <w:rPr>
          <w:rStyle w:val="HideTWBExt"/>
          <w:lang w:val="fr-FR"/>
        </w:rPr>
        <w:t>&lt;/Original&gt;</w:t>
      </w:r>
    </w:p>
    <w:p w:rsidR="00F931B6" w:rsidRPr="00BF159C" w:rsidRDefault="00F931B6" w:rsidP="00F931B6">
      <w:r>
        <w:rPr>
          <w:rStyle w:val="HideTWBExt"/>
          <w:lang w:val="fr-FR"/>
        </w:rPr>
        <w:t>&lt;/Amend&gt;</w:t>
      </w:r>
    </w:p>
    <w:p w:rsidR="00F931B6" w:rsidRPr="00BF159C" w:rsidRDefault="00F931B6" w:rsidP="00F931B6">
      <w:pPr>
        <w:pStyle w:val="AmNumberTabs"/>
      </w:pPr>
      <w:r>
        <w:rPr>
          <w:rStyle w:val="HideTWBExt"/>
          <w:b w:val="0"/>
          <w:lang w:val="fr-FR"/>
        </w:rPr>
        <w:t>&lt;Amend&gt;</w:t>
      </w:r>
      <w:r>
        <w:t>Predlog spremembe</w:t>
      </w:r>
      <w:r>
        <w:tab/>
      </w:r>
      <w:r>
        <w:tab/>
      </w:r>
      <w:r>
        <w:rPr>
          <w:rStyle w:val="HideTWBExt"/>
          <w:b w:val="0"/>
          <w:lang w:val="fr-FR"/>
        </w:rPr>
        <w:t>&lt;NumAm&gt;</w:t>
      </w:r>
      <w:r>
        <w:t>341</w:t>
      </w:r>
      <w:r>
        <w:rPr>
          <w:rStyle w:val="HideTWBExt"/>
          <w:b w:val="0"/>
          <w:lang w:val="fr-FR"/>
        </w:rPr>
        <w:t>&lt;/NumAm&gt;</w:t>
      </w:r>
    </w:p>
    <w:p w:rsidR="00F931B6" w:rsidRPr="00BF159C" w:rsidRDefault="00F931B6" w:rsidP="00F931B6">
      <w:pPr>
        <w:pStyle w:val="NormalBold"/>
      </w:pPr>
      <w:r>
        <w:rPr>
          <w:rStyle w:val="HideTWBExt"/>
          <w:b w:val="0"/>
          <w:lang w:val="fr-FR"/>
        </w:rPr>
        <w:t>&lt;RepeatBlock-By&gt;&lt;Members&gt;</w:t>
      </w:r>
      <w:r>
        <w:t>Isabel Serra Sánchez</w:t>
      </w:r>
      <w:r>
        <w:rPr>
          <w:rStyle w:val="HideTWBExt"/>
          <w:b w:val="0"/>
          <w:lang w:val="fr-FR"/>
        </w:rPr>
        <w:t>&lt;/Members&gt;</w:t>
      </w:r>
    </w:p>
    <w:p w:rsidR="00F931B6" w:rsidRPr="00BF159C" w:rsidRDefault="00F931B6" w:rsidP="00F931B6">
      <w:pPr>
        <w:pStyle w:val="NormalBold"/>
      </w:pPr>
      <w:r>
        <w:rPr>
          <w:rStyle w:val="HideTWBExt"/>
          <w:b w:val="0"/>
          <w:lang w:val="fr-FR"/>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11a.</w:t>
            </w:r>
            <w:r>
              <w:tab/>
            </w:r>
            <w:r>
              <w:rPr>
                <w:b/>
                <w:i/>
              </w:rPr>
              <w:t>poudarja, da se je treba nujno boriti proti uporabi desničarskih medijev za utišanje političnih nasprotnikov in vseh, ki izzivajo tiste na oblasti, ustvarjajo protimigrantsko in rasistično retoriko ter si namerno izmišljujejo napačne ali zavajajoče informacije za politično korist;</w:t>
            </w:r>
          </w:p>
        </w:tc>
      </w:tr>
    </w:tbl>
    <w:p w:rsidR="00F931B6" w:rsidRPr="00BF159C" w:rsidRDefault="00F931B6" w:rsidP="00F931B6">
      <w:pPr>
        <w:pStyle w:val="AmOrLang"/>
        <w:rPr>
          <w:lang w:val="de-DE"/>
        </w:rPr>
      </w:pPr>
      <w:r w:rsidRPr="00BF159C">
        <w:rPr>
          <w:lang w:val="de-DE"/>
        </w:rPr>
        <w:t xml:space="preserve">Or. </w:t>
      </w:r>
      <w:r w:rsidRPr="00BF159C">
        <w:rPr>
          <w:rStyle w:val="HideTWBExt"/>
          <w:lang w:val="de-DE"/>
        </w:rPr>
        <w:t>&lt;Original&gt;</w:t>
      </w:r>
      <w:r w:rsidRPr="00BF159C">
        <w:rPr>
          <w:rStyle w:val="HideTWBInt"/>
          <w:lang w:val="de-DE"/>
        </w:rPr>
        <w:t>{EN}</w:t>
      </w:r>
      <w:r w:rsidRPr="00BF159C">
        <w:rPr>
          <w:lang w:val="de-DE"/>
        </w:rPr>
        <w:t>en</w:t>
      </w:r>
      <w:r w:rsidRPr="00BF159C">
        <w:rPr>
          <w:rStyle w:val="HideTWBExt"/>
          <w:lang w:val="de-DE"/>
        </w:rPr>
        <w:t>&lt;/Original&gt;</w:t>
      </w:r>
    </w:p>
    <w:p w:rsidR="00F931B6" w:rsidRPr="00BF159C" w:rsidRDefault="00F931B6" w:rsidP="00F931B6">
      <w:r>
        <w:rPr>
          <w:rStyle w:val="HideTWBExt"/>
          <w:lang w:val="de-DE"/>
        </w:rPr>
        <w:t>&lt;/Amend&gt;</w:t>
      </w:r>
    </w:p>
    <w:p w:rsidR="00F931B6" w:rsidRPr="004C29F3" w:rsidRDefault="00F931B6" w:rsidP="00F931B6">
      <w:pPr>
        <w:pStyle w:val="AmNumberTabs"/>
      </w:pPr>
      <w:r>
        <w:rPr>
          <w:rStyle w:val="HideTWBExt"/>
          <w:b w:val="0"/>
        </w:rPr>
        <w:t>&lt;Amend&gt;</w:t>
      </w:r>
      <w:r>
        <w:t>Predlog spremembe</w:t>
      </w:r>
      <w:r>
        <w:tab/>
      </w:r>
      <w:r>
        <w:tab/>
      </w:r>
      <w:r>
        <w:rPr>
          <w:rStyle w:val="HideTWBExt"/>
          <w:b w:val="0"/>
        </w:rPr>
        <w:t>&lt;NumAm&gt;</w:t>
      </w:r>
      <w:r>
        <w:t>342</w:t>
      </w:r>
      <w:r>
        <w:rPr>
          <w:rStyle w:val="HideTWBExt"/>
          <w:b w:val="0"/>
        </w:rPr>
        <w:t>&lt;/NumAm&gt;</w:t>
      </w:r>
    </w:p>
    <w:p w:rsidR="00F931B6" w:rsidRPr="004C29F3" w:rsidRDefault="00F931B6" w:rsidP="00F931B6">
      <w:pPr>
        <w:pStyle w:val="NormalBold"/>
      </w:pPr>
      <w:r>
        <w:rPr>
          <w:rStyle w:val="HideTWBExt"/>
          <w:b w:val="0"/>
        </w:rPr>
        <w:t>&lt;RepeatBlock-By&gt;&lt;Members&gt;</w:t>
      </w:r>
      <w:r>
        <w:t>Daniel Freund, Diana Riba i Giner</w:t>
      </w:r>
      <w:r>
        <w:rPr>
          <w:rStyle w:val="HideTWBExt"/>
          <w:b w:val="0"/>
        </w:rPr>
        <w:t>&lt;/Members&gt;</w:t>
      </w:r>
    </w:p>
    <w:p w:rsidR="00F931B6" w:rsidRPr="004C29F3"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11a.</w:t>
            </w:r>
            <w:r>
              <w:tab/>
            </w:r>
            <w:r>
              <w:rPr>
                <w:b/>
                <w:i/>
              </w:rPr>
              <w:t>poudarja, da svoboda obveščanja in dostop do informacij v javnem interesu nista le temeljna pravica, temveč tudi eno od bistvenih jamstev za preglednost države;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343</w:t>
      </w:r>
      <w:r>
        <w:rPr>
          <w:rStyle w:val="HideTWBExt"/>
          <w:b w:val="0"/>
        </w:rPr>
        <w:t>&lt;/NumAm&gt;</w:t>
      </w:r>
    </w:p>
    <w:p w:rsidR="00F931B6" w:rsidRPr="00444926" w:rsidRDefault="00F931B6" w:rsidP="00F931B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11a.</w:t>
            </w:r>
            <w:r>
              <w:tab/>
            </w:r>
            <w:r>
              <w:rPr>
                <w:b/>
                <w:i/>
              </w:rPr>
              <w:t>poudarja, da morajo biti medijski regulatorji ustrezno zaščiteni s pravnimi zaščitnimi ukrepi, da se zagotovijo njihova neodvisnost, zadostna proračunska sredstva in odsotnost političnih pritiskov;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344</w:t>
      </w:r>
      <w:r>
        <w:rPr>
          <w:rStyle w:val="HideTWBExt"/>
          <w:b w:val="0"/>
        </w:rPr>
        <w:t>&lt;/NumAm&gt;</w:t>
      </w:r>
    </w:p>
    <w:p w:rsidR="00F931B6" w:rsidRPr="00444926" w:rsidRDefault="00F931B6" w:rsidP="00F931B6">
      <w:pPr>
        <w:pStyle w:val="NormalBold"/>
      </w:pPr>
      <w:r>
        <w:rPr>
          <w:rStyle w:val="HideTWBExt"/>
          <w:b w:val="0"/>
        </w:rPr>
        <w:t>&lt;RepeatBlock-By&gt;&lt;Members&gt;</w:t>
      </w:r>
      <w:r>
        <w:t>Romana Tomc</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11a.</w:t>
            </w:r>
            <w:r>
              <w:tab/>
            </w:r>
            <w:r>
              <w:rPr>
                <w:b/>
                <w:i/>
              </w:rPr>
              <w:t>obsoja slovensko vlado, ki je sprejela nov Zakon o medijih, katerega cilj je prenesti sodna pooblastila na inšpektorje in uvaja podlago za spolitizirano dodeljevanje državnih sredstev;</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345</w:t>
      </w:r>
      <w:r>
        <w:rPr>
          <w:rStyle w:val="HideTWBExt"/>
          <w:b w:val="0"/>
        </w:rPr>
        <w:t>&lt;/NumAm&gt;</w:t>
      </w:r>
    </w:p>
    <w:p w:rsidR="00F931B6" w:rsidRPr="00444926" w:rsidRDefault="00F931B6" w:rsidP="00F931B6">
      <w:pPr>
        <w:pStyle w:val="NormalBold"/>
      </w:pPr>
      <w:r>
        <w:rPr>
          <w:rStyle w:val="HideTWBExt"/>
          <w:b w:val="0"/>
        </w:rPr>
        <w:t>&lt;RepeatBlock-By&gt;&lt;Members&gt;</w:t>
      </w:r>
      <w:r>
        <w:t xml:space="preserve">Emmanuel Fragkos, </w:t>
      </w:r>
      <w:r w:rsidR="007C04AE">
        <w:t>Jeadis Jeadi (Geadis Geadi)</w:t>
      </w:r>
      <w:r>
        <w:t xml:space="preserve">, </w:t>
      </w:r>
      <w:r w:rsidR="007C04AE">
        <w:t>Galato Aleksandraki (Galato Alexandraki)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Podnaslov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Organizacije civilne družbe</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{EL}</w:t>
      </w:r>
      <w:r w:rsidRPr="00444926">
        <w:t>el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346</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Chloé Ridel, Abir Al-Sahlani, Alessandro Zan, Fabienne Keller, Lucia Yar, Isabel Wiseler-Lima, Daniel Freund</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11a.</w:t>
            </w:r>
            <w:r>
              <w:tab/>
            </w:r>
            <w:r>
              <w:rPr>
                <w:b/>
                <w:i/>
              </w:rPr>
              <w:t>poziva države članice, naj vzpostavijo okvir, da bodo ljudje lahko svobodno iskali, prejemali in širili informacije, ter naj zagotovijo, da bodo lahko nacionalni koordinatorji, predvideni v aktu o digitalnih storitvah, v celoti opravljali svojo vlogo pri omogočanju izmenjave informacij in sodelovanja na evropski ravni;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347</w:t>
      </w:r>
      <w:r>
        <w:rPr>
          <w:rStyle w:val="HideTWBExt"/>
          <w:b w:val="0"/>
        </w:rPr>
        <w:t>&lt;/NumAm&gt;</w:t>
      </w:r>
    </w:p>
    <w:p w:rsidR="00F931B6" w:rsidRPr="00444926" w:rsidRDefault="00F931B6" w:rsidP="00F931B6">
      <w:pPr>
        <w:pStyle w:val="NormalBold"/>
      </w:pPr>
      <w:r>
        <w:rPr>
          <w:rStyle w:val="HideTWBExt"/>
          <w:b w:val="0"/>
        </w:rPr>
        <w:t>&lt;RepeatBlock-By&gt;&lt;Members&gt;</w:t>
      </w:r>
      <w:r>
        <w:t xml:space="preserve">Emmanuel Fragkos, </w:t>
      </w:r>
      <w:r w:rsidR="007C04AE">
        <w:t>Jeadis Jeadi (Geadis Geadi)</w:t>
      </w:r>
      <w:r>
        <w:t xml:space="preserve">, </w:t>
      </w:r>
      <w:r w:rsidR="007C04AE">
        <w:t>Galato Aleksandraki (Galato Alexandraki)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12.</w:t>
            </w:r>
            <w:r>
              <w:tab/>
            </w:r>
            <w:r>
              <w:rPr>
                <w:b/>
                <w:i/>
              </w:rPr>
              <w:t>se strinja z oceno Komisije, da so organizacije civilne družbe in zagovorniki človekovih pravic bistveni za ravnovesje moči;</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C29F3" w:rsidRDefault="00F931B6" w:rsidP="00F931B6">
      <w:pPr>
        <w:pStyle w:val="AmOrLang"/>
        <w:rPr>
          <w:lang w:val="es-ES"/>
        </w:rPr>
      </w:pPr>
      <w:r w:rsidRPr="004C29F3">
        <w:rPr>
          <w:lang w:val="es-ES"/>
        </w:rPr>
        <w:t xml:space="preserve">Or. </w:t>
      </w:r>
      <w:r w:rsidRPr="004C29F3">
        <w:rPr>
          <w:rStyle w:val="HideTWBExt"/>
          <w:lang w:val="es-ES"/>
        </w:rPr>
        <w:t>&lt;Original&gt;</w:t>
      </w:r>
      <w:r w:rsidRPr="004C29F3">
        <w:rPr>
          <w:rStyle w:val="HideTWBInt"/>
          <w:lang w:val="es-ES"/>
        </w:rPr>
        <w:t>{EL}</w:t>
      </w:r>
      <w:r w:rsidRPr="004C29F3">
        <w:rPr>
          <w:lang w:val="es-ES"/>
        </w:rPr>
        <w:t>el</w:t>
      </w:r>
      <w:r w:rsidRPr="004C29F3">
        <w:rPr>
          <w:rStyle w:val="HideTWBExt"/>
          <w:lang w:val="es-ES"/>
        </w:rPr>
        <w:t>&lt;/Original&gt;</w:t>
      </w:r>
    </w:p>
    <w:p w:rsidR="00F931B6" w:rsidRPr="004C29F3" w:rsidRDefault="00F931B6" w:rsidP="00F931B6">
      <w:r>
        <w:rPr>
          <w:rStyle w:val="HideTWBExt"/>
          <w:lang w:val="es-ES"/>
        </w:rPr>
        <w:t>&lt;/Amend&gt;</w:t>
      </w:r>
    </w:p>
    <w:p w:rsidR="00F931B6" w:rsidRDefault="00F931B6" w:rsidP="00F931B6">
      <w:pPr>
        <w:pStyle w:val="AmNumberTabs"/>
      </w:pPr>
      <w:r>
        <w:rPr>
          <w:rStyle w:val="HideTWBExt"/>
        </w:rPr>
        <w:t>&lt;Amend&gt;</w:t>
      </w:r>
      <w:r>
        <w:t>Predlog spremembe</w:t>
      </w:r>
      <w:r>
        <w:tab/>
      </w:r>
      <w:r>
        <w:tab/>
      </w:r>
      <w:r>
        <w:rPr>
          <w:rStyle w:val="HideTWBExt"/>
        </w:rPr>
        <w:t>&lt;NumAm&gt;</w:t>
      </w:r>
      <w:r>
        <w:t>348</w:t>
      </w:r>
      <w:r>
        <w:rPr>
          <w:rStyle w:val="HideTWBExt"/>
        </w:rPr>
        <w:t>&lt;/NumAm&gt;</w:t>
      </w:r>
    </w:p>
    <w:p w:rsidR="00F931B6" w:rsidRDefault="00F931B6" w:rsidP="00F931B6">
      <w:pPr>
        <w:pStyle w:val="NormalBold"/>
      </w:pPr>
      <w:r>
        <w:rPr>
          <w:rStyle w:val="HideTWBExt"/>
          <w:b w:val="0"/>
        </w:rPr>
        <w:t>&lt;RepeatBlock-By&gt;&lt;Members&gt;</w:t>
      </w:r>
      <w:r>
        <w:t>Nicolas Bay</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b/>
                <w:i/>
              </w:rPr>
              <w:t>12.</w:t>
            </w:r>
            <w:r>
              <w:tab/>
            </w:r>
            <w:r>
              <w:rPr>
                <w:b/>
                <w:i/>
              </w:rPr>
              <w:t>se strinja z oceno Komisije, da so organizacije civilne družbe in zagovorniki človekovih pravic bistveni za ravnovesje moči;</w:t>
            </w:r>
          </w:p>
        </w:tc>
        <w:tc>
          <w:tcPr>
            <w:tcW w:w="4876" w:type="dxa"/>
            <w:tcBorders>
              <w:top w:val="nil"/>
              <w:left w:val="nil"/>
              <w:bottom w:val="nil"/>
              <w:right w:val="nil"/>
            </w:tcBorders>
          </w:tcPr>
          <w:p w:rsidR="00F931B6" w:rsidRDefault="00F931B6" w:rsidP="007C04AE">
            <w:pPr>
              <w:pStyle w:val="Normal6a"/>
            </w:pPr>
            <w:r>
              <w:rPr>
                <w:b/>
                <w:i/>
              </w:rPr>
              <w:t>črtano</w:t>
            </w:r>
          </w:p>
        </w:tc>
      </w:tr>
    </w:tbl>
    <w:p w:rsidR="00F931B6" w:rsidRDefault="00F931B6" w:rsidP="00F931B6">
      <w:pPr>
        <w:pStyle w:val="AmOrLang"/>
      </w:pPr>
      <w:r>
        <w:t xml:space="preserve">Or. </w:t>
      </w:r>
      <w:r>
        <w:rPr>
          <w:rStyle w:val="HideTWBExt"/>
        </w:rPr>
        <w:t>&lt;Original&gt;</w:t>
      </w:r>
      <w:r>
        <w:rPr>
          <w:rStyle w:val="HideTWBInt"/>
        </w:rPr>
        <w:t>{FR}</w:t>
      </w:r>
      <w:r>
        <w:t>fr</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349</w:t>
      </w:r>
      <w:r>
        <w:rPr>
          <w:rStyle w:val="HideTWBExt"/>
          <w:b w:val="0"/>
        </w:rPr>
        <w:t>&lt;/NumAm&gt;</w:t>
      </w:r>
    </w:p>
    <w:p w:rsidR="00F931B6" w:rsidRPr="00444926" w:rsidRDefault="00F931B6" w:rsidP="00F931B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Michał Wawrykiewicz, Cecilia Strada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12.</w:t>
            </w:r>
            <w:r>
              <w:tab/>
              <w:t>se strinja z oceno Komisije, da so organizacije civilne družbe in zagovorniki človekovih pravic bistveni za ravnovesje moči;</w:t>
            </w:r>
          </w:p>
        </w:tc>
        <w:tc>
          <w:tcPr>
            <w:tcW w:w="4876" w:type="dxa"/>
            <w:tcBorders>
              <w:top w:val="nil"/>
              <w:left w:val="nil"/>
              <w:bottom w:val="nil"/>
              <w:right w:val="nil"/>
            </w:tcBorders>
          </w:tcPr>
          <w:p w:rsidR="00F931B6" w:rsidRPr="00444926" w:rsidRDefault="00F931B6" w:rsidP="007C04AE">
            <w:pPr>
              <w:pStyle w:val="Normal6a"/>
            </w:pPr>
            <w:r>
              <w:t>12.</w:t>
            </w:r>
            <w:r>
              <w:tab/>
              <w:t>se strinja z oceno Komisije, da so organizacije civilne družbe in zagovorniki človekovih pravic bistveni za ravnovesje moči</w:t>
            </w:r>
            <w:r>
              <w:rPr>
                <w:b/>
                <w:i/>
              </w:rPr>
              <w:t>, saj delujejo kot varuhi kršitev pravne države ter dejavno prispevajo k spodbujanju in varstvu temeljnih vrednot Unije;</w:t>
            </w:r>
            <w:r>
              <w:t xml:space="preserve"> </w:t>
            </w:r>
            <w:r>
              <w:rPr>
                <w:b/>
                <w:i/>
              </w:rPr>
              <w:t>v zvezi s tem opozarja, da je Komisija pozvala države članice, naj ustvarijo ugodno okolje za delo teh organizacij in zagovornikov človekovih pravic; poziva Komisijo, naj sprejme ukrepe za okrepitev zaščite organizacij civilne družbe, zaščito aktivistov in nadaljnja prizadevanja za zagotovitev pogojev, ki so potrebni za spodbujanje dejavnosti na področju človekovih pravic;</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350</w:t>
      </w:r>
      <w:r>
        <w:rPr>
          <w:rStyle w:val="HideTWBExt"/>
          <w:b w:val="0"/>
        </w:rPr>
        <w:t>&lt;/NumAm&gt;</w:t>
      </w:r>
    </w:p>
    <w:p w:rsidR="00F931B6" w:rsidRPr="00444926" w:rsidRDefault="00F931B6" w:rsidP="00F931B6">
      <w:pPr>
        <w:pStyle w:val="NormalBold"/>
      </w:pPr>
      <w:r>
        <w:rPr>
          <w:rStyle w:val="HideTWBExt"/>
          <w:b w:val="0"/>
        </w:rPr>
        <w:t>&lt;RepeatBlock-By&gt;&lt;Members&gt;</w:t>
      </w:r>
      <w:r>
        <w:t>András László</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12.</w:t>
            </w:r>
            <w:r>
              <w:tab/>
            </w:r>
            <w:r>
              <w:rPr>
                <w:b/>
                <w:i/>
              </w:rPr>
              <w:t>se strinja z oceno</w:t>
            </w:r>
            <w:r>
              <w:t xml:space="preserve"> Komisije, da so organizacije civilne družbe in zagovorniki človekovih pravic bistveni za ravnovesje moči;</w:t>
            </w:r>
          </w:p>
        </w:tc>
        <w:tc>
          <w:tcPr>
            <w:tcW w:w="4876" w:type="dxa"/>
            <w:tcBorders>
              <w:top w:val="nil"/>
              <w:left w:val="nil"/>
              <w:bottom w:val="nil"/>
              <w:right w:val="nil"/>
            </w:tcBorders>
          </w:tcPr>
          <w:p w:rsidR="00F931B6" w:rsidRPr="00444926" w:rsidRDefault="00F931B6" w:rsidP="007C04AE">
            <w:pPr>
              <w:pStyle w:val="Normal6a"/>
            </w:pPr>
            <w:r>
              <w:t>12.</w:t>
            </w:r>
            <w:r>
              <w:tab/>
            </w:r>
            <w:r>
              <w:rPr>
                <w:b/>
                <w:i/>
              </w:rPr>
              <w:t>je izredno zaskrbljen zaradi ocene</w:t>
            </w:r>
            <w:r>
              <w:t xml:space="preserve"> Komisije, da so organizacije civilne družbe in zagovorniki človekovih pravic</w:t>
            </w:r>
            <w:r>
              <w:rPr>
                <w:b/>
                <w:i/>
              </w:rPr>
              <w:t>, ki jih podpirajo organizacije Open Society Foundations ameriškega multimilijarderja Georgea Sorosa,</w:t>
            </w:r>
            <w:r>
              <w:t xml:space="preserve"> bistveni za ravnovesje moči; </w:t>
            </w:r>
            <w:r>
              <w:rPr>
                <w:b/>
                <w:i/>
              </w:rPr>
              <w:t>poziva Komisijo, naj od nevladnih organizacij, s katerimi sodeluje, zahteva popolno preglednost;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351</w:t>
      </w:r>
      <w:r>
        <w:rPr>
          <w:rStyle w:val="HideTWBExt"/>
          <w:b w:val="0"/>
        </w:rPr>
        <w:t>&lt;/NumAm&gt;</w:t>
      </w:r>
    </w:p>
    <w:p w:rsidR="00F931B6" w:rsidRPr="00444926" w:rsidRDefault="00F931B6" w:rsidP="00F931B6">
      <w:pPr>
        <w:pStyle w:val="NormalBold"/>
      </w:pPr>
      <w:r>
        <w:rPr>
          <w:rStyle w:val="HideTWBExt"/>
          <w:b w:val="0"/>
        </w:rPr>
        <w:t>&lt;RepeatBlock-By&gt;&lt;Members&gt;</w:t>
      </w:r>
      <w:r>
        <w:t xml:space="preserve">Moritz Körner, Hilde Vautmans, </w:t>
      </w:r>
      <w:r w:rsidR="007C04AE">
        <w:t>Nikola Minčev (Nikola Minchev)</w:t>
      </w:r>
      <w:r>
        <w:t>, Veronika Cifrová Ostrihoňová, Chloé Ridel, Abir Al-Sahlani, Fabienne Keller, Lucia Yar, Irena Joveva, Isabel Wiseler-Lima, Daniel Freund</w:t>
      </w:r>
      <w:r>
        <w:rPr>
          <w:rStyle w:val="HideTWBExt"/>
          <w:b w:val="0"/>
        </w:rPr>
        <w:t>&lt;/Members&gt;</w:t>
      </w:r>
    </w:p>
    <w:p w:rsidR="00F931B6" w:rsidRPr="00444926" w:rsidRDefault="00F931B6" w:rsidP="00F931B6">
      <w:r>
        <w:rPr>
          <w:rStyle w:val="HideTWBExt"/>
        </w:rPr>
        <w:t>&lt;AuNomDe&gt;</w:t>
      </w:r>
      <w:r>
        <w:rPr>
          <w:rStyle w:val="HideTWBInt"/>
          <w:color w:val="auto"/>
        </w:rPr>
        <w:t>{LIBE}</w:t>
      </w:r>
      <w:r>
        <w:t>v imenu Odbora za državljanske svoboščine, pravosodje in notranje zadeve</w:t>
      </w:r>
      <w:r>
        <w:rPr>
          <w:rStyle w:val="HideTWBExt"/>
        </w:rPr>
        <w:t>&lt;/AuNomDe&gt;</w:t>
      </w:r>
    </w:p>
    <w:p w:rsidR="00F931B6" w:rsidRPr="00444926" w:rsidRDefault="00F931B6" w:rsidP="00F931B6">
      <w:pPr>
        <w:pStyle w:val="NormalBold"/>
      </w:pPr>
      <w:r>
        <w:rPr>
          <w:rStyle w:val="HideTWBExt"/>
          <w:b w:val="0"/>
        </w:rPr>
        <w:t>&lt;Members&gt;</w:t>
      </w:r>
      <w:r>
        <w:t>Sophie Wilmès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12.</w:t>
            </w:r>
            <w:r>
              <w:tab/>
              <w:t>se strinja z oceno Komisije, da so organizacije civilne družbe in zagovorniki človekovih pravic bistveni za ravnovesje moči;</w:t>
            </w:r>
          </w:p>
        </w:tc>
        <w:tc>
          <w:tcPr>
            <w:tcW w:w="4876" w:type="dxa"/>
            <w:tcBorders>
              <w:top w:val="nil"/>
              <w:left w:val="nil"/>
              <w:bottom w:val="nil"/>
              <w:right w:val="nil"/>
            </w:tcBorders>
          </w:tcPr>
          <w:p w:rsidR="00F931B6" w:rsidRPr="00444926" w:rsidRDefault="00F931B6" w:rsidP="007C04AE">
            <w:pPr>
              <w:pStyle w:val="Normal6a"/>
            </w:pPr>
            <w:r>
              <w:t>12.</w:t>
            </w:r>
            <w:r>
              <w:tab/>
              <w:t>se strinja z oceno Komisije, da so organizacije civilne družbe</w:t>
            </w:r>
            <w:r>
              <w:rPr>
                <w:b/>
                <w:i/>
              </w:rPr>
              <w:t>, neodvisni organi ter varuhi</w:t>
            </w:r>
            <w:r>
              <w:t xml:space="preserve"> in zagovorniki človekovih pravic bistveni za ravnovesje moči; </w:t>
            </w:r>
            <w:r>
              <w:rPr>
                <w:b/>
                <w:i/>
              </w:rPr>
              <w:t>opozarja, da potrebujejo varno, podporno in spodbudno okolje;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352</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Marieke Ehlers,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12.</w:t>
            </w:r>
            <w:r>
              <w:tab/>
            </w:r>
            <w:r>
              <w:rPr>
                <w:b/>
                <w:i/>
              </w:rPr>
              <w:t>se strinja z oceno Komisije, da so</w:t>
            </w:r>
            <w:r>
              <w:t xml:space="preserve"> organizacije civilne družbe in zagovorniki človekovih pravic bistveni za ravnovesje moči;</w:t>
            </w:r>
          </w:p>
        </w:tc>
        <w:tc>
          <w:tcPr>
            <w:tcW w:w="4876" w:type="dxa"/>
            <w:tcBorders>
              <w:top w:val="nil"/>
              <w:left w:val="nil"/>
              <w:bottom w:val="nil"/>
              <w:right w:val="nil"/>
            </w:tcBorders>
          </w:tcPr>
          <w:p w:rsidR="00F931B6" w:rsidRPr="00444926" w:rsidRDefault="00F931B6" w:rsidP="007C04AE">
            <w:pPr>
              <w:pStyle w:val="Normal6a"/>
            </w:pPr>
            <w:r>
              <w:t>12.</w:t>
            </w:r>
            <w:r>
              <w:tab/>
              <w:t xml:space="preserve">organizacije civilne družbe in zagovorniki človekovih pravic </w:t>
            </w:r>
            <w:r>
              <w:rPr>
                <w:b/>
                <w:i/>
              </w:rPr>
              <w:t xml:space="preserve">so </w:t>
            </w:r>
            <w:r>
              <w:t>bistveni za ravnovesje moči</w:t>
            </w:r>
            <w:r>
              <w:rPr>
                <w:b/>
                <w:i/>
              </w:rPr>
              <w:t>, kadar so resnično neodvisni in zastopajo interese državljanov držav članic;</w:t>
            </w:r>
            <w:r>
              <w:t xml:space="preserve"> </w:t>
            </w:r>
            <w:r>
              <w:rPr>
                <w:b/>
                <w:i/>
              </w:rPr>
              <w:t>v zvezi s tem poudarja potrebo po preglednosti njihovega financiranja in ustreznem označevanju tujih organizacij;</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353</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12.</w:t>
            </w:r>
            <w:r>
              <w:tab/>
            </w:r>
            <w:r>
              <w:rPr>
                <w:b/>
                <w:i/>
              </w:rPr>
              <w:t>se strinja z oceno Komisije</w:t>
            </w:r>
            <w:r>
              <w:t xml:space="preserve">, da so organizacije civilne družbe in zagovorniki človekovih pravic bistveni za </w:t>
            </w:r>
            <w:r>
              <w:rPr>
                <w:b/>
                <w:i/>
              </w:rPr>
              <w:t>ravnovesje moč</w:t>
            </w:r>
            <w:r>
              <w:t>i;</w:t>
            </w:r>
          </w:p>
        </w:tc>
        <w:tc>
          <w:tcPr>
            <w:tcW w:w="4876" w:type="dxa"/>
            <w:tcBorders>
              <w:top w:val="nil"/>
              <w:left w:val="nil"/>
              <w:bottom w:val="nil"/>
              <w:right w:val="nil"/>
            </w:tcBorders>
          </w:tcPr>
          <w:p w:rsidR="00F931B6" w:rsidRPr="00444926" w:rsidRDefault="00F931B6" w:rsidP="007C04AE">
            <w:pPr>
              <w:pStyle w:val="Normal6a"/>
            </w:pPr>
            <w:r>
              <w:t>12.</w:t>
            </w:r>
            <w:r>
              <w:tab/>
            </w:r>
            <w:r>
              <w:rPr>
                <w:b/>
                <w:i/>
              </w:rPr>
              <w:t>poudarja</w:t>
            </w:r>
            <w:r>
              <w:t xml:space="preserve">, da so organizacije civilne družbe in zagovorniki človekovih pravic bistveni za </w:t>
            </w:r>
            <w:r>
              <w:rPr>
                <w:b/>
                <w:i/>
              </w:rPr>
              <w:t>pravilno delovanje demokracije</w:t>
            </w:r>
            <w:r>
              <w:t xml:space="preserve">; </w:t>
            </w:r>
            <w:r>
              <w:rPr>
                <w:b/>
                <w:i/>
              </w:rPr>
              <w:t>obžaluje, da institucije EU izsiljujejo podporo za liberalne in levičarske organizacije, s čimer prekoračujejo svoje pristojnosti in izbirajo strani v ideoloških sporih;</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354</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12.</w:t>
            </w:r>
            <w:r>
              <w:tab/>
              <w:t>se strinja z oceno Komisije, da so organizacije civilne družbe in zagovorniki človekovih pravic bistveni za ravnovesje moči;</w:t>
            </w:r>
          </w:p>
        </w:tc>
        <w:tc>
          <w:tcPr>
            <w:tcW w:w="4876" w:type="dxa"/>
            <w:tcBorders>
              <w:top w:val="nil"/>
              <w:left w:val="nil"/>
              <w:bottom w:val="nil"/>
              <w:right w:val="nil"/>
            </w:tcBorders>
          </w:tcPr>
          <w:p w:rsidR="00F931B6" w:rsidRPr="00444926" w:rsidRDefault="00F931B6" w:rsidP="007C04AE">
            <w:pPr>
              <w:pStyle w:val="Normal6a"/>
            </w:pPr>
            <w:r>
              <w:t>12.</w:t>
            </w:r>
            <w:r>
              <w:tab/>
              <w:t>se strinja z oceno Komisije, da so organizacije civilne družbe in zagovorniki človekovih pravic bistveni za ravnovesje moči</w:t>
            </w:r>
            <w:r>
              <w:rPr>
                <w:b/>
                <w:i/>
              </w:rPr>
              <w:t xml:space="preserve"> in za zaščito temeljnih vrednot, ki so temelj EU</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355</w:t>
      </w:r>
      <w:r>
        <w:rPr>
          <w:rStyle w:val="HideTWBExt"/>
          <w:b w:val="0"/>
        </w:rPr>
        <w:t>&lt;/NumAm&gt;</w:t>
      </w:r>
    </w:p>
    <w:p w:rsidR="00F931B6" w:rsidRPr="00444926" w:rsidRDefault="00F931B6" w:rsidP="00F931B6">
      <w:pPr>
        <w:pStyle w:val="NormalBold"/>
      </w:pPr>
      <w:r>
        <w:rPr>
          <w:rStyle w:val="HideTWBExt"/>
          <w:b w:val="0"/>
        </w:rPr>
        <w:t>&lt;RepeatBlock-By&gt;&lt;Members&gt;</w:t>
      </w:r>
      <w:r>
        <w:t>Romana Tomc</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12.</w:t>
            </w:r>
            <w:r>
              <w:tab/>
              <w:t xml:space="preserve">se strinja z oceno Komisije, da so organizacije civilne družbe in zagovorniki človekovih pravic </w:t>
            </w:r>
            <w:r>
              <w:rPr>
                <w:b/>
                <w:i/>
              </w:rPr>
              <w:t>bistveni</w:t>
            </w:r>
            <w:r>
              <w:t xml:space="preserve"> za ravnovesje moči;</w:t>
            </w:r>
          </w:p>
        </w:tc>
        <w:tc>
          <w:tcPr>
            <w:tcW w:w="4876" w:type="dxa"/>
            <w:tcBorders>
              <w:top w:val="nil"/>
              <w:left w:val="nil"/>
              <w:bottom w:val="nil"/>
              <w:right w:val="nil"/>
            </w:tcBorders>
          </w:tcPr>
          <w:p w:rsidR="00F931B6" w:rsidRPr="00444926" w:rsidRDefault="00F931B6" w:rsidP="007C04AE">
            <w:pPr>
              <w:pStyle w:val="Normal6a"/>
            </w:pPr>
            <w:r>
              <w:t>12.</w:t>
            </w:r>
            <w:r>
              <w:tab/>
              <w:t xml:space="preserve">se strinja z oceno Komisije, da so organizacije civilne družbe in zagovorniki človekovih pravic </w:t>
            </w:r>
            <w:r>
              <w:rPr>
                <w:b/>
                <w:i/>
              </w:rPr>
              <w:t>pomembni</w:t>
            </w:r>
            <w:r>
              <w:t xml:space="preserve"> za ravnovesje moči;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356</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12.</w:t>
            </w:r>
            <w:r>
              <w:tab/>
            </w:r>
            <w:r>
              <w:rPr>
                <w:b/>
                <w:i/>
              </w:rPr>
              <w:t>se strinja</w:t>
            </w:r>
            <w:r>
              <w:t xml:space="preserve"> z oceno Komisije, da </w:t>
            </w:r>
            <w:r>
              <w:rPr>
                <w:b/>
                <w:i/>
              </w:rPr>
              <w:t>so</w:t>
            </w:r>
            <w:r>
              <w:t xml:space="preserve"> organizacije civilne družbe in zagovorniki človekovih pravic </w:t>
            </w:r>
            <w:r>
              <w:rPr>
                <w:b/>
                <w:i/>
              </w:rPr>
              <w:t>bistveni za</w:t>
            </w:r>
            <w:r>
              <w:t xml:space="preserve"> ravnovesje moči;</w:t>
            </w:r>
          </w:p>
        </w:tc>
        <w:tc>
          <w:tcPr>
            <w:tcW w:w="4876" w:type="dxa"/>
            <w:tcBorders>
              <w:top w:val="nil"/>
              <w:left w:val="nil"/>
              <w:bottom w:val="nil"/>
              <w:right w:val="nil"/>
            </w:tcBorders>
          </w:tcPr>
          <w:p w:rsidR="00F931B6" w:rsidRPr="00444926" w:rsidRDefault="00F931B6" w:rsidP="007C04AE">
            <w:pPr>
              <w:pStyle w:val="Normal6a"/>
            </w:pPr>
            <w:r>
              <w:t>12.</w:t>
            </w:r>
            <w:r>
              <w:tab/>
            </w:r>
            <w:r>
              <w:rPr>
                <w:b/>
                <w:i/>
              </w:rPr>
              <w:t>je seznanjen</w:t>
            </w:r>
            <w:r>
              <w:t xml:space="preserve"> z oceno Komisije, da organizacije civilne družbe in zagovorniki človekovih pravic </w:t>
            </w:r>
            <w:r>
              <w:rPr>
                <w:b/>
                <w:i/>
              </w:rPr>
              <w:t>vplivajo na</w:t>
            </w:r>
            <w:r>
              <w:t xml:space="preserve"> ravnovesje moči;</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357</w:t>
      </w:r>
      <w:r>
        <w:rPr>
          <w:rStyle w:val="HideTWBExt"/>
          <w:b w:val="0"/>
        </w:rPr>
        <w:t>&lt;/NumAm&gt;</w:t>
      </w:r>
    </w:p>
    <w:p w:rsidR="00F931B6" w:rsidRPr="00444926" w:rsidRDefault="00F931B6" w:rsidP="00F931B6">
      <w:pPr>
        <w:pStyle w:val="NormalBold"/>
      </w:pPr>
      <w:r>
        <w:rPr>
          <w:rStyle w:val="HideTWBExt"/>
          <w:b w:val="0"/>
        </w:rPr>
        <w:t>&lt;RepeatBlock-By&gt;&lt;Members&gt;</w:t>
      </w:r>
      <w:r>
        <w:t>Alessandro Zan, Cecilia Strada, Sandro Ruotolo, Pina Picierno, Marco Tarquinio</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12a.</w:t>
            </w:r>
            <w:r>
              <w:tab/>
            </w:r>
            <w:r>
              <w:rPr>
                <w:b/>
                <w:i/>
              </w:rPr>
              <w:t>je globoko zaskrbljen zaradi izzivov, s katerimi se spoprijema civilna družba v Italiji; opozarja na kritike, ki so jih izrazili Svet Evrope, OECD in Združeni narodi v zvezi z italijanskim osnutkom zakona „Določbe o javni varnosti“ in posledično odpravo pravnega varstva in človekovih pravic; izraža resno zaskrbljenost zaradi omejitev, ki jih ta osnutek zakona pomeni za pravico do svobode in varnosti, prepoved samovoljnega pridržanja, pravico do svobode gibanja, pravico do poštenega sojenja, pravico do zasebnosti, pravico do svobode izražanja in mnenja, svobodo zbiranja in združevanja ter temeljne pravice;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358</w:t>
      </w:r>
      <w:r>
        <w:rPr>
          <w:rStyle w:val="HideTWBExt"/>
          <w:b w:val="0"/>
        </w:rPr>
        <w:t>&lt;/NumAm&gt;</w:t>
      </w:r>
    </w:p>
    <w:p w:rsidR="00F931B6" w:rsidRPr="00444926" w:rsidRDefault="00F931B6" w:rsidP="00F931B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12a.</w:t>
            </w:r>
            <w:r>
              <w:tab/>
            </w:r>
            <w:r>
              <w:rPr>
                <w:b/>
                <w:i/>
              </w:rPr>
              <w:t>močno nasprotuje temu, da bi Komisija in njene agencije financirale organizacije, katerih naloga je vplivati na stališča drugih institucij EU, vključno z Evropskim parlamentom; meni, da je to nesprejemljivo, poziva Komisijo, naj objavi podrobno poročilo o tej temi, in predlaga, naj Evropsko računsko sodišče izvaja preglede na tem področju; meni, da niti Komisija niti druge institucije EU nimajo pravice dodeliti finančnih sredstev ali drugih oblik podpore za kakršne koli ideološke ukrepe, vključno z ukrepi, katerih namen je vplivati na institucije EU in države članice;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{PL}</w:t>
      </w:r>
      <w:r w:rsidRPr="00444926">
        <w:t>pl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359</w:t>
      </w:r>
      <w:r>
        <w:rPr>
          <w:rStyle w:val="HideTWBExt"/>
          <w:b w:val="0"/>
        </w:rPr>
        <w:t>&lt;/NumAm&gt;</w:t>
      </w:r>
    </w:p>
    <w:p w:rsidR="00F931B6" w:rsidRPr="00444926" w:rsidRDefault="00F931B6" w:rsidP="00F931B6">
      <w:pPr>
        <w:pStyle w:val="NormalBold"/>
      </w:pPr>
      <w:r>
        <w:rPr>
          <w:rStyle w:val="HideTWBExt"/>
          <w:b w:val="0"/>
        </w:rPr>
        <w:t>&lt;RepeatBlock-By&gt;&lt;Members&gt;</w:t>
      </w:r>
      <w:r>
        <w:t>Isabel Serra Sánchez, Ana Catarina Mendes</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12a.</w:t>
            </w:r>
            <w:r>
              <w:tab/>
            </w:r>
            <w:r>
              <w:rPr>
                <w:b/>
                <w:i/>
              </w:rPr>
              <w:t>izraža globoko zaskrbljenost zaradi vse pogostejšega preganjanja in kriminalizacije podnebnega aktivizma v več državah članicah EU; obsoja uvrstitev podnebnih aktivistov med člane „kriminalnih organizacij“ ter zlorabo protiterorističnih zakonov in zakonov o organiziranem kriminalu za zatiranje miroljubnih protestnih gibanj; poudarja, da takšni ukrepi ne kršijo le temeljne pravice do mirnega zbiranja in svobode izražanja, temveč imajo tudi zastraševalni učinek, ki odvrača od državljanskega udejstvovanja in demokratične udeležbe; poziva države članice, naj se vzdržijo nesorazmernih pravnih postopkov proti podnebnim aktivistom;</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360</w:t>
      </w:r>
      <w:r>
        <w:rPr>
          <w:rStyle w:val="HideTWBExt"/>
          <w:b w:val="0"/>
        </w:rPr>
        <w:t>&lt;/NumAm&gt;</w:t>
      </w:r>
    </w:p>
    <w:p w:rsidR="00F931B6" w:rsidRPr="00444926" w:rsidRDefault="00F931B6" w:rsidP="00F931B6">
      <w:pPr>
        <w:pStyle w:val="NormalBold"/>
      </w:pPr>
      <w:r>
        <w:rPr>
          <w:rStyle w:val="HideTWBExt"/>
          <w:b w:val="0"/>
        </w:rPr>
        <w:t>&lt;RepeatBlock-By&gt;&lt;Members&gt;</w:t>
      </w:r>
      <w:r>
        <w:t>Mary Khan, Christine Anderson, Milan Uhrík, Ewa Zajączkowska-Hernik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12a.</w:t>
            </w:r>
            <w:r>
              <w:tab/>
            </w:r>
            <w:r>
              <w:rPr>
                <w:b/>
                <w:i/>
              </w:rPr>
              <w:t>je zaskrbljen zaradi vse obsežnejšega financiranja nevladnih organizacij iz proračuna Unije; poudarja, da je pojem nevladnih organizacij, ki jih financira vlada, paradoksalen; poziva k temeljitemu pregledu vseh plačil iz proračuna Unije nevladnim organizacijam, zlasti glede na program lobiranja nekdanjega komisarja Fransa Timmermansa, v okviru katerega je Komisija financirala nevladne organizacije, ki so lobirale pri poslancih Evropskega parlamenta, naj podprejo predloge Komisije;</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361</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Marieke Ehlers,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p>
        </w:tc>
        <w:tc>
          <w:tcPr>
            <w:tcW w:w="4876" w:type="dxa"/>
            <w:tcBorders>
              <w:top w:val="nil"/>
              <w:left w:val="nil"/>
              <w:bottom w:val="nil"/>
              <w:right w:val="nil"/>
            </w:tcBorders>
          </w:tcPr>
          <w:p w:rsidR="00F931B6" w:rsidRPr="00444926" w:rsidRDefault="00F931B6" w:rsidP="007C04AE">
            <w:pPr>
              <w:pStyle w:val="Normal6a"/>
            </w:pPr>
            <w:r>
              <w:rPr>
                <w:b/>
                <w:i/>
              </w:rPr>
              <w:t>12a.</w:t>
            </w:r>
            <w:r>
              <w:tab/>
            </w:r>
            <w:r>
              <w:rPr>
                <w:b/>
                <w:i/>
              </w:rPr>
              <w:t>obsoja, da državni in nedržavni akterji iz tretjih držav uporabljajo organizacije civilne družbe in zagovornike človekovih pravic za izvajanje tujih agend; poudarja, da se Komisija pri oblikovanju novih politik ne bi smela zanašati na organizacije, ki se financirajo iz tujine, saj njihovi cilji niso nujno usklajeni s cilji EU;</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Default="00F931B6" w:rsidP="00F931B6">
      <w:pPr>
        <w:pStyle w:val="AmNumberTabs"/>
      </w:pPr>
      <w:r>
        <w:rPr>
          <w:rStyle w:val="HideTWBExt"/>
        </w:rPr>
        <w:t>&lt;Amend&gt;</w:t>
      </w:r>
      <w:r>
        <w:t>Predlog spremembe</w:t>
      </w:r>
      <w:r>
        <w:tab/>
      </w:r>
      <w:r>
        <w:tab/>
      </w:r>
      <w:r>
        <w:rPr>
          <w:rStyle w:val="HideTWBExt"/>
        </w:rPr>
        <w:t>&lt;NumAm&gt;</w:t>
      </w:r>
      <w:r>
        <w:t>362</w:t>
      </w:r>
      <w:r>
        <w:rPr>
          <w:rStyle w:val="HideTWBExt"/>
        </w:rPr>
        <w:t>&lt;/NumAm&gt;</w:t>
      </w:r>
    </w:p>
    <w:p w:rsidR="00F931B6" w:rsidRDefault="00F931B6" w:rsidP="00F931B6">
      <w:pPr>
        <w:pStyle w:val="NormalBold"/>
      </w:pPr>
      <w:r>
        <w:rPr>
          <w:rStyle w:val="HideTWBExt"/>
          <w:b w:val="0"/>
        </w:rPr>
        <w:t>&lt;RepeatBlock-By&gt;&lt;Members&gt;</w:t>
      </w:r>
      <w:r>
        <w:t>Nicolas Bay</w:t>
      </w:r>
      <w:r>
        <w:rPr>
          <w:rStyle w:val="HideTWBExt"/>
          <w:b w:val="0"/>
        </w:rPr>
        <w:t>&lt;/Members&gt;</w:t>
      </w:r>
    </w:p>
    <w:p w:rsidR="00F931B6" w:rsidRDefault="00F931B6" w:rsidP="00F931B6">
      <w:pPr>
        <w:pStyle w:val="NormalBold"/>
      </w:pPr>
      <w:r>
        <w:rPr>
          <w:rStyle w:val="HideTWBExt"/>
          <w:b w:val="0"/>
        </w:rPr>
        <w:t>&lt;/RepeatBlock-By&gt;</w:t>
      </w:r>
    </w:p>
    <w:p w:rsidR="00F931B6" w:rsidRDefault="00F931B6" w:rsidP="00F931B6">
      <w:pPr>
        <w:pStyle w:val="NormalBold"/>
      </w:pPr>
      <w:r>
        <w:rPr>
          <w:rStyle w:val="HideTWBExt"/>
        </w:rPr>
        <w:t>&lt;DocAmend&gt;</w:t>
      </w:r>
      <w:r>
        <w:t>Predlog resolucije</w:t>
      </w:r>
      <w:r>
        <w:rPr>
          <w:rStyle w:val="HideTWBExt"/>
        </w:rPr>
        <w:t>&lt;/DocAmend&gt;</w:t>
      </w:r>
    </w:p>
    <w:p w:rsidR="00F931B6" w:rsidRDefault="00F931B6" w:rsidP="00F931B6">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Default="00F931B6" w:rsidP="007C04AE"/>
        </w:tc>
      </w:tr>
      <w:tr w:rsidR="00F931B6" w:rsidTr="007C04AE">
        <w:trPr>
          <w:trHeight w:val="240"/>
          <w:jc w:val="center"/>
        </w:trPr>
        <w:tc>
          <w:tcPr>
            <w:tcW w:w="4876" w:type="dxa"/>
            <w:tcBorders>
              <w:top w:val="nil"/>
              <w:left w:val="nil"/>
              <w:bottom w:val="nil"/>
              <w:right w:val="nil"/>
            </w:tcBorders>
          </w:tcPr>
          <w:p w:rsidR="00F931B6" w:rsidRDefault="00F931B6" w:rsidP="007C04AE">
            <w:pPr>
              <w:pStyle w:val="AmColumnHeading"/>
            </w:pPr>
            <w:r>
              <w:t>Predlog resolucije</w:t>
            </w:r>
          </w:p>
        </w:tc>
        <w:tc>
          <w:tcPr>
            <w:tcW w:w="4876" w:type="dxa"/>
            <w:tcBorders>
              <w:top w:val="nil"/>
              <w:left w:val="nil"/>
              <w:bottom w:val="nil"/>
              <w:right w:val="nil"/>
            </w:tcBorders>
          </w:tcPr>
          <w:p w:rsidR="00F931B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Default="00F931B6" w:rsidP="007C04AE">
            <w:pPr>
              <w:pStyle w:val="Normal6a"/>
            </w:pPr>
            <w:r>
              <w:rPr>
                <w:b/>
                <w:i/>
              </w:rPr>
              <w:t>13.</w:t>
            </w:r>
            <w:r>
              <w:tab/>
            </w:r>
            <w:r>
              <w:rPr>
                <w:b/>
                <w:i/>
              </w:rPr>
              <w:t>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financiranje organizacij civilne družbe;</w:t>
            </w:r>
          </w:p>
        </w:tc>
        <w:tc>
          <w:tcPr>
            <w:tcW w:w="4876" w:type="dxa"/>
            <w:tcBorders>
              <w:top w:val="nil"/>
              <w:left w:val="nil"/>
              <w:bottom w:val="nil"/>
              <w:right w:val="nil"/>
            </w:tcBorders>
          </w:tcPr>
          <w:p w:rsidR="00F931B6" w:rsidRDefault="00F931B6" w:rsidP="007C04AE">
            <w:pPr>
              <w:pStyle w:val="Normal6a"/>
            </w:pPr>
            <w:r>
              <w:rPr>
                <w:b/>
                <w:i/>
              </w:rPr>
              <w:t>črtano</w:t>
            </w:r>
          </w:p>
        </w:tc>
      </w:tr>
    </w:tbl>
    <w:p w:rsidR="00F931B6" w:rsidRDefault="00F931B6" w:rsidP="00F931B6">
      <w:pPr>
        <w:pStyle w:val="AmOrLang"/>
      </w:pPr>
      <w:r>
        <w:t xml:space="preserve">Or. </w:t>
      </w:r>
      <w:r>
        <w:rPr>
          <w:rStyle w:val="HideTWBExt"/>
        </w:rPr>
        <w:t>&lt;Original&gt;</w:t>
      </w:r>
      <w:r>
        <w:rPr>
          <w:rStyle w:val="HideTWBInt"/>
        </w:rPr>
        <w:t>{FR}</w:t>
      </w:r>
      <w:r>
        <w:t>fr</w:t>
      </w:r>
      <w:r>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363</w:t>
      </w:r>
      <w:r>
        <w:rPr>
          <w:rStyle w:val="HideTWBExt"/>
          <w:b w:val="0"/>
        </w:rPr>
        <w:t>&lt;/NumAm&gt;</w:t>
      </w:r>
    </w:p>
    <w:p w:rsidR="00F931B6" w:rsidRPr="00444926" w:rsidRDefault="00F931B6" w:rsidP="00F931B6">
      <w:pPr>
        <w:pStyle w:val="NormalBold"/>
      </w:pPr>
      <w:r>
        <w:rPr>
          <w:rStyle w:val="HideTWBExt"/>
          <w:b w:val="0"/>
        </w:rPr>
        <w:t>&lt;RepeatBlock-By&gt;&lt;Members&gt;</w:t>
      </w:r>
      <w:r>
        <w:t xml:space="preserve">Emmanuel Fragkos, </w:t>
      </w:r>
      <w:r w:rsidR="007C04AE">
        <w:t>Jeadis Jeadi (Geadis Geadi)</w:t>
      </w:r>
      <w:r>
        <w:t xml:space="preserve">, </w:t>
      </w:r>
      <w:r w:rsidR="007C04AE">
        <w:t>Galato Aleksandraki (Galato Alexandraki)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13.</w:t>
            </w:r>
            <w:r>
              <w:tab/>
            </w:r>
            <w:r>
              <w:rPr>
                <w:b/>
                <w:i/>
              </w:rPr>
              <w:t>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financiranje organizacij civilne družbe;</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{EL}</w:t>
      </w:r>
      <w:r w:rsidRPr="00444926">
        <w:t>el</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364</w:t>
      </w:r>
      <w:r>
        <w:rPr>
          <w:rStyle w:val="HideTWBExt"/>
          <w:b w:val="0"/>
        </w:rPr>
        <w:t>&lt;/NumAm&gt;</w:t>
      </w:r>
    </w:p>
    <w:p w:rsidR="00F931B6" w:rsidRPr="00444926" w:rsidRDefault="00F931B6" w:rsidP="00F931B6">
      <w:pPr>
        <w:pStyle w:val="NormalBold"/>
      </w:pPr>
      <w:r>
        <w:rPr>
          <w:rStyle w:val="HideTWBExt"/>
          <w:b w:val="0"/>
        </w:rPr>
        <w:t>&lt;RepeatBlock-By&gt;&lt;Members&gt;</w:t>
      </w:r>
      <w:r>
        <w:t>Jorge Buxadé Villalba, Marieke Ehlers, Malika Sorel, Fabrice Leggeri</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rPr>
                <w:b/>
                <w:i/>
              </w:rPr>
              <w:t>13.</w:t>
            </w:r>
            <w:r>
              <w:tab/>
            </w:r>
            <w:r>
              <w:rPr>
                <w:b/>
                <w:i/>
              </w:rPr>
              <w:t>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financiranje organizacij civilne družbe;</w:t>
            </w:r>
          </w:p>
        </w:tc>
        <w:tc>
          <w:tcPr>
            <w:tcW w:w="4876" w:type="dxa"/>
            <w:tcBorders>
              <w:top w:val="nil"/>
              <w:left w:val="nil"/>
              <w:bottom w:val="nil"/>
              <w:right w:val="nil"/>
            </w:tcBorders>
          </w:tcPr>
          <w:p w:rsidR="00F931B6" w:rsidRPr="00444926" w:rsidRDefault="00F931B6" w:rsidP="007C04AE">
            <w:pPr>
              <w:pStyle w:val="Normal6a"/>
            </w:pPr>
            <w:r>
              <w:rPr>
                <w:b/>
                <w:i/>
              </w:rPr>
              <w:t>črtano</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Pr="0044492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365</w:t>
      </w:r>
      <w:r>
        <w:rPr>
          <w:rStyle w:val="HideTWBExt"/>
          <w:b w:val="0"/>
        </w:rPr>
        <w:t>&lt;/NumAm&gt;</w:t>
      </w:r>
    </w:p>
    <w:p w:rsidR="00F931B6" w:rsidRPr="00444926" w:rsidRDefault="00F931B6" w:rsidP="00F931B6">
      <w:pPr>
        <w:pStyle w:val="NormalBold"/>
      </w:pPr>
      <w:r>
        <w:rPr>
          <w:rStyle w:val="HideTWBExt"/>
          <w:b w:val="0"/>
        </w:rPr>
        <w:t>&lt;RepeatBlock-By&gt;&lt;Members&gt;</w:t>
      </w:r>
      <w:r>
        <w:t>Erik Kaliňák</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13.</w:t>
            </w:r>
            <w:r>
              <w:tab/>
              <w:t xml:space="preserve">je zaskrbljen zaradi naraščajočega </w:t>
            </w:r>
            <w:r>
              <w:rPr>
                <w:b/>
                <w:i/>
              </w:rPr>
              <w:t>števila</w:t>
            </w:r>
            <w:r>
              <w:t xml:space="preserve"> organizacij civilne družbe in zagovornikov človekovih pravic</w:t>
            </w:r>
            <w:r>
              <w:rPr>
                <w:b/>
                <w:i/>
              </w:rPr>
              <w:t>, ki se soočajo z dodatnimi pravnimi omejitvami, pomanjkanjem financiranja in napadi</w:t>
            </w:r>
            <w:r>
              <w:t>;</w:t>
            </w:r>
            <w:r>
              <w:rPr>
                <w:b/>
                <w:i/>
              </w:rPr>
              <w:t xml:space="preserve">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financiranje organizacij civilne družbe;</w:t>
            </w:r>
          </w:p>
        </w:tc>
        <w:tc>
          <w:tcPr>
            <w:tcW w:w="4876" w:type="dxa"/>
            <w:tcBorders>
              <w:top w:val="nil"/>
              <w:left w:val="nil"/>
              <w:bottom w:val="nil"/>
              <w:right w:val="nil"/>
            </w:tcBorders>
          </w:tcPr>
          <w:p w:rsidR="00F931B6" w:rsidRPr="00444926" w:rsidRDefault="00F931B6" w:rsidP="007C04AE">
            <w:pPr>
              <w:pStyle w:val="Normal6a"/>
            </w:pPr>
            <w:r>
              <w:t>13.</w:t>
            </w:r>
            <w:r>
              <w:tab/>
              <w:t xml:space="preserve">je zaskrbljen zaradi naraščajočega </w:t>
            </w:r>
            <w:r>
              <w:rPr>
                <w:b/>
                <w:i/>
              </w:rPr>
              <w:t>trenda zlorabe</w:t>
            </w:r>
            <w:r>
              <w:t xml:space="preserve"> organizacij civilne družbe in zagovornikov človekovih pravic</w:t>
            </w:r>
            <w:r>
              <w:rPr>
                <w:b/>
                <w:i/>
              </w:rPr>
              <w:t xml:space="preserve"> kot sredstva za boj proti zakonito izvoljenim vladam</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{SK}</w:t>
      </w:r>
      <w:r w:rsidRPr="00444926">
        <w:t>sk</w:t>
      </w:r>
      <w:r w:rsidRPr="00444926">
        <w:rPr>
          <w:rStyle w:val="HideTWBExt"/>
        </w:rPr>
        <w:t>&lt;/Original&gt;</w:t>
      </w:r>
    </w:p>
    <w:p w:rsidR="00F931B6" w:rsidRDefault="00F931B6" w:rsidP="00F931B6">
      <w:r>
        <w:rPr>
          <w:rStyle w:val="HideTWBExt"/>
        </w:rPr>
        <w:t>&lt;/Amend&gt;</w:t>
      </w:r>
    </w:p>
    <w:p w:rsidR="00F931B6" w:rsidRPr="00444926" w:rsidRDefault="00F931B6" w:rsidP="00F931B6">
      <w:pPr>
        <w:pStyle w:val="AmNumberTabs"/>
      </w:pPr>
      <w:r>
        <w:rPr>
          <w:rStyle w:val="HideTWBExt"/>
          <w:b w:val="0"/>
        </w:rPr>
        <w:t>&lt;Amend&gt;</w:t>
      </w:r>
      <w:r>
        <w:t>Predlog spremembe</w:t>
      </w:r>
      <w:r>
        <w:tab/>
      </w:r>
      <w:r>
        <w:tab/>
      </w:r>
      <w:r>
        <w:rPr>
          <w:rStyle w:val="HideTWBExt"/>
          <w:b w:val="0"/>
        </w:rPr>
        <w:t>&lt;NumAm&gt;</w:t>
      </w:r>
      <w:r>
        <w:t>366</w:t>
      </w:r>
      <w:r>
        <w:rPr>
          <w:rStyle w:val="HideTWBExt"/>
          <w:b w:val="0"/>
        </w:rPr>
        <w:t>&lt;/NumAm&gt;</w:t>
      </w:r>
    </w:p>
    <w:p w:rsidR="00F931B6" w:rsidRPr="00444926" w:rsidRDefault="00F931B6" w:rsidP="00F931B6">
      <w:pPr>
        <w:pStyle w:val="NormalBold"/>
      </w:pPr>
      <w:r>
        <w:rPr>
          <w:rStyle w:val="HideTWBExt"/>
          <w:b w:val="0"/>
        </w:rPr>
        <w:t>&lt;RepeatBlock-By&gt;&lt;Members&gt;</w:t>
      </w:r>
      <w:r>
        <w:t>Michał Wawrykiewicz</w:t>
      </w:r>
      <w:r>
        <w:rPr>
          <w:rStyle w:val="HideTWBExt"/>
          <w:b w:val="0"/>
        </w:rPr>
        <w:t>&lt;/Members&gt;</w:t>
      </w:r>
    </w:p>
    <w:p w:rsidR="00F931B6" w:rsidRPr="00444926" w:rsidRDefault="00F931B6" w:rsidP="00F931B6">
      <w:pPr>
        <w:pStyle w:val="NormalBold"/>
      </w:pPr>
      <w:r>
        <w:rPr>
          <w:rStyle w:val="HideTWBExt"/>
          <w:b w:val="0"/>
        </w:rPr>
        <w:t>&lt;/RepeatBlock-By&gt;</w:t>
      </w:r>
    </w:p>
    <w:p w:rsidR="00F931B6" w:rsidRPr="00444926" w:rsidRDefault="00F931B6" w:rsidP="00F931B6">
      <w:pPr>
        <w:pStyle w:val="NormalBold"/>
      </w:pPr>
      <w:r>
        <w:rPr>
          <w:rStyle w:val="HideTWBExt"/>
          <w:b w:val="0"/>
        </w:rPr>
        <w:t>&lt;DocAmend&gt;</w:t>
      </w:r>
      <w:r>
        <w:t>Predlog resolucije</w:t>
      </w:r>
      <w:r>
        <w:rPr>
          <w:rStyle w:val="HideTWBExt"/>
          <w:b w:val="0"/>
        </w:rPr>
        <w:t>&lt;/DocAmend&gt;</w:t>
      </w:r>
    </w:p>
    <w:p w:rsidR="00F931B6" w:rsidRPr="00444926" w:rsidRDefault="00F931B6" w:rsidP="00F931B6">
      <w:pPr>
        <w:pStyle w:val="NormalBold"/>
      </w:pPr>
      <w:r>
        <w:rPr>
          <w:rStyle w:val="HideTWBExt"/>
          <w:b w:val="0"/>
        </w:rPr>
        <w:t>&lt;Article&gt;</w:t>
      </w:r>
      <w:r>
        <w:t>Odstavek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1B6" w:rsidTr="007C04AE">
        <w:trPr>
          <w:trHeight w:hRule="exact" w:val="240"/>
          <w:jc w:val="center"/>
        </w:trPr>
        <w:tc>
          <w:tcPr>
            <w:tcW w:w="9752" w:type="dxa"/>
            <w:gridSpan w:val="2"/>
            <w:tcBorders>
              <w:top w:val="nil"/>
              <w:left w:val="nil"/>
              <w:bottom w:val="nil"/>
              <w:right w:val="nil"/>
            </w:tcBorders>
          </w:tcPr>
          <w:p w:rsidR="00F931B6" w:rsidRPr="00444926" w:rsidRDefault="00F931B6" w:rsidP="007C04AE"/>
        </w:tc>
      </w:tr>
      <w:tr w:rsidR="00F931B6" w:rsidTr="007C04AE">
        <w:trPr>
          <w:trHeight w:val="240"/>
          <w:jc w:val="center"/>
        </w:trPr>
        <w:tc>
          <w:tcPr>
            <w:tcW w:w="4876" w:type="dxa"/>
            <w:tcBorders>
              <w:top w:val="nil"/>
              <w:left w:val="nil"/>
              <w:bottom w:val="nil"/>
              <w:right w:val="nil"/>
            </w:tcBorders>
          </w:tcPr>
          <w:p w:rsidR="00F931B6" w:rsidRPr="00444926" w:rsidRDefault="00F931B6" w:rsidP="007C04AE">
            <w:pPr>
              <w:pStyle w:val="AmColumnHeading"/>
            </w:pPr>
            <w:r>
              <w:t>Predlog resolucije</w:t>
            </w:r>
          </w:p>
        </w:tc>
        <w:tc>
          <w:tcPr>
            <w:tcW w:w="4876" w:type="dxa"/>
            <w:tcBorders>
              <w:top w:val="nil"/>
              <w:left w:val="nil"/>
              <w:bottom w:val="nil"/>
              <w:right w:val="nil"/>
            </w:tcBorders>
          </w:tcPr>
          <w:p w:rsidR="00F931B6" w:rsidRPr="00444926" w:rsidRDefault="00F931B6" w:rsidP="007C04AE">
            <w:pPr>
              <w:pStyle w:val="AmColumnHeading"/>
            </w:pPr>
            <w:r>
              <w:t>Predlog spremembe</w:t>
            </w:r>
          </w:p>
        </w:tc>
      </w:tr>
      <w:tr w:rsidR="00F931B6" w:rsidTr="007C04AE">
        <w:trPr>
          <w:jc w:val="center"/>
        </w:trPr>
        <w:tc>
          <w:tcPr>
            <w:tcW w:w="4876" w:type="dxa"/>
            <w:tcBorders>
              <w:top w:val="nil"/>
              <w:left w:val="nil"/>
              <w:bottom w:val="nil"/>
              <w:right w:val="nil"/>
            </w:tcBorders>
          </w:tcPr>
          <w:p w:rsidR="00F931B6" w:rsidRPr="00444926" w:rsidRDefault="00F931B6" w:rsidP="007C04AE">
            <w:pPr>
              <w:pStyle w:val="Normal6a"/>
            </w:pPr>
            <w:r>
              <w:t>13.</w:t>
            </w:r>
            <w:r>
              <w:tab/>
              <w:t>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financiranje organizacij civilne družbe;</w:t>
            </w:r>
          </w:p>
        </w:tc>
        <w:tc>
          <w:tcPr>
            <w:tcW w:w="4876" w:type="dxa"/>
            <w:tcBorders>
              <w:top w:val="nil"/>
              <w:left w:val="nil"/>
              <w:bottom w:val="nil"/>
              <w:right w:val="nil"/>
            </w:tcBorders>
          </w:tcPr>
          <w:p w:rsidR="00F931B6" w:rsidRPr="00444926" w:rsidRDefault="00F931B6" w:rsidP="007C04AE">
            <w:pPr>
              <w:pStyle w:val="Normal6a"/>
            </w:pPr>
            <w:r>
              <w:t>13.</w:t>
            </w:r>
            <w:r>
              <w:tab/>
              <w:t>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financiranje organizacij civilne družbe</w:t>
            </w:r>
            <w:r>
              <w:rPr>
                <w:b/>
                <w:i/>
              </w:rPr>
              <w:t>, da bi zagotovile njihovo zmožnost svobodnega in neodvisnega delovanja kot ključnih zagovornikov demokratičnih vrednot in pravne države</w:t>
            </w:r>
            <w:r>
              <w:t>;</w:t>
            </w:r>
          </w:p>
        </w:tc>
      </w:tr>
    </w:tbl>
    <w:p w:rsidR="00F931B6" w:rsidRPr="00444926" w:rsidRDefault="00F931B6" w:rsidP="00F931B6">
      <w:pPr>
        <w:pStyle w:val="AmOrLang"/>
      </w:pPr>
      <w:r w:rsidRPr="00444926">
        <w:t xml:space="preserve">Or. </w:t>
      </w:r>
      <w:r w:rsidRPr="00444926">
        <w:rPr>
          <w:rStyle w:val="HideTWBExt"/>
        </w:rPr>
        <w:t>&lt;Original&gt;</w:t>
      </w:r>
      <w:r w:rsidRPr="00444926">
        <w:rPr>
          <w:rStyle w:val="HideTWBInt"/>
        </w:rPr>
        <w:t>{EN}</w:t>
      </w:r>
      <w:r w:rsidRPr="00444926">
        <w:t>en</w:t>
      </w:r>
      <w:r w:rsidRPr="00444926">
        <w:rPr>
          <w:rStyle w:val="HideTWBExt"/>
        </w:rPr>
        <w:t>&lt;/Original&gt;</w:t>
      </w:r>
    </w:p>
    <w:p w:rsidR="00F931B6" w:rsidRDefault="00F931B6" w:rsidP="00F931B6">
      <w:r>
        <w:rPr>
          <w:rStyle w:val="HideTWBExt"/>
        </w:rPr>
        <w:t>&lt;/Amend&gt;</w:t>
      </w:r>
      <w:r w:rsidRPr="00F931B6">
        <w:rPr>
          <w:rStyle w:val="HideTWBExt"/>
        </w:rPr>
        <w:t>&lt;/RepeatBlock-Amend&gt;</w:t>
      </w:r>
    </w:p>
    <w:p w:rsidR="00A9497D" w:rsidRPr="00A9497D" w:rsidRDefault="00A9497D" w:rsidP="00F931B6">
      <w:bookmarkStart w:id="0" w:name="_GoBack"/>
      <w:bookmarkEnd w:id="0"/>
    </w:p>
    <w:sectPr w:rsidR="00A9497D" w:rsidRPr="00A9497D" w:rsidSect="0011298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4AE" w:rsidRPr="00273277" w:rsidRDefault="007C04AE">
      <w:r w:rsidRPr="00273277">
        <w:separator/>
      </w:r>
    </w:p>
  </w:endnote>
  <w:endnote w:type="continuationSeparator" w:id="0">
    <w:p w:rsidR="007C04AE" w:rsidRPr="00273277" w:rsidRDefault="007C04AE">
      <w:r w:rsidRPr="002732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4AE" w:rsidRPr="00273277" w:rsidRDefault="007C04AE" w:rsidP="00BE6658">
    <w:pPr>
      <w:pStyle w:val="EPFooter"/>
    </w:pPr>
    <w:r w:rsidRPr="00273277">
      <w:t>PE</w:t>
    </w:r>
    <w:r w:rsidRPr="00273277">
      <w:rPr>
        <w:rStyle w:val="HideTWBExt"/>
      </w:rPr>
      <w:t>&lt;NoPE&gt;</w:t>
    </w:r>
    <w:r w:rsidRPr="00601F95">
      <w:t>768.144</w:t>
    </w:r>
    <w:r w:rsidRPr="00273277">
      <w:rPr>
        <w:rStyle w:val="HideTWBExt"/>
      </w:rPr>
      <w:t>&lt;/NoPE&gt;&lt;Version&gt;</w:t>
    </w:r>
    <w:r w:rsidRPr="00273277">
      <w:t>v</w:t>
    </w:r>
    <w:r w:rsidRPr="00601F95">
      <w:t>01-00</w:t>
    </w:r>
    <w:r w:rsidRPr="00273277">
      <w:rPr>
        <w:rStyle w:val="HideTWBExt"/>
      </w:rPr>
      <w:t>&lt;/Version&gt;</w:t>
    </w:r>
    <w:r w:rsidRPr="00273277">
      <w:tab/>
    </w:r>
    <w:r w:rsidRPr="00273277">
      <w:fldChar w:fldCharType="begin"/>
    </w:r>
    <w:r w:rsidRPr="00273277">
      <w:instrText xml:space="preserve"> PAGE </w:instrText>
    </w:r>
    <w:r w:rsidRPr="00273277">
      <w:fldChar w:fldCharType="separate"/>
    </w:r>
    <w:r w:rsidR="001152A9">
      <w:rPr>
        <w:noProof/>
      </w:rPr>
      <w:t>180</w:t>
    </w:r>
    <w:r w:rsidRPr="00273277">
      <w:fldChar w:fldCharType="end"/>
    </w:r>
    <w:r w:rsidRPr="00273277">
      <w:t>/</w:t>
    </w:r>
    <w:r w:rsidRPr="00273277">
      <w:fldChar w:fldCharType="begin"/>
    </w:r>
    <w:r w:rsidRPr="00273277">
      <w:instrText xml:space="preserve"> NUMPAGES </w:instrText>
    </w:r>
    <w:r w:rsidRPr="00273277">
      <w:fldChar w:fldCharType="separate"/>
    </w:r>
    <w:r w:rsidR="001152A9">
      <w:rPr>
        <w:noProof/>
      </w:rPr>
      <w:t>181</w:t>
    </w:r>
    <w:r w:rsidRPr="00273277">
      <w:rPr>
        <w:noProof/>
      </w:rPr>
      <w:fldChar w:fldCharType="end"/>
    </w:r>
    <w:r w:rsidRPr="00273277">
      <w:tab/>
    </w:r>
    <w:r w:rsidRPr="00273277">
      <w:rPr>
        <w:rStyle w:val="HideTWBExt"/>
      </w:rPr>
      <w:t>&lt;PathFdR&gt;</w:t>
    </w:r>
    <w:r w:rsidRPr="00601F95">
      <w:t>AM\1314503SL.docx</w:t>
    </w:r>
    <w:r w:rsidRPr="00273277">
      <w:rPr>
        <w:rStyle w:val="HideTWBExt"/>
      </w:rPr>
      <w:t>&lt;/PathFdR&gt;</w:t>
    </w:r>
  </w:p>
  <w:p w:rsidR="007C04AE" w:rsidRPr="00273277" w:rsidRDefault="007C04AE">
    <w:pPr>
      <w:pStyle w:val="EPFooter2"/>
    </w:pPr>
    <w:r w:rsidRPr="00273277">
      <w:fldChar w:fldCharType="begin"/>
    </w:r>
    <w:r w:rsidRPr="00273277">
      <w:instrText xml:space="preserve"> DOCPROPERTY "&lt;Extension&gt;" </w:instrText>
    </w:r>
    <w:r w:rsidRPr="00273277">
      <w:fldChar w:fldCharType="separate"/>
    </w:r>
    <w:r>
      <w:t>SL</w:t>
    </w:r>
    <w:r w:rsidRPr="0027327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4AE" w:rsidRPr="00273277" w:rsidRDefault="007C04AE" w:rsidP="00BE6658">
    <w:pPr>
      <w:pStyle w:val="EPFooter"/>
    </w:pPr>
    <w:r w:rsidRPr="00273277">
      <w:rPr>
        <w:rStyle w:val="HideTWBExt"/>
      </w:rPr>
      <w:t>&lt;PathFdR&gt;</w:t>
    </w:r>
    <w:r w:rsidRPr="00601F95">
      <w:t>AM\1314503SL.docx</w:t>
    </w:r>
    <w:r w:rsidRPr="00273277">
      <w:rPr>
        <w:rStyle w:val="HideTWBExt"/>
      </w:rPr>
      <w:t>&lt;/PathFdR&gt;</w:t>
    </w:r>
    <w:r w:rsidRPr="00273277">
      <w:tab/>
    </w:r>
    <w:r w:rsidRPr="00273277">
      <w:fldChar w:fldCharType="begin"/>
    </w:r>
    <w:r w:rsidRPr="00273277">
      <w:instrText xml:space="preserve"> PAGE </w:instrText>
    </w:r>
    <w:r w:rsidRPr="00273277">
      <w:fldChar w:fldCharType="separate"/>
    </w:r>
    <w:r w:rsidR="001152A9">
      <w:rPr>
        <w:noProof/>
      </w:rPr>
      <w:t>181</w:t>
    </w:r>
    <w:r w:rsidRPr="00273277">
      <w:fldChar w:fldCharType="end"/>
    </w:r>
    <w:r w:rsidRPr="00273277">
      <w:t>/</w:t>
    </w:r>
    <w:r w:rsidRPr="00273277">
      <w:fldChar w:fldCharType="begin"/>
    </w:r>
    <w:r w:rsidRPr="00273277">
      <w:instrText xml:space="preserve"> NUMPAGES </w:instrText>
    </w:r>
    <w:r w:rsidRPr="00273277">
      <w:fldChar w:fldCharType="separate"/>
    </w:r>
    <w:r w:rsidR="001152A9">
      <w:rPr>
        <w:noProof/>
      </w:rPr>
      <w:t>181</w:t>
    </w:r>
    <w:r w:rsidRPr="00273277">
      <w:rPr>
        <w:noProof/>
      </w:rPr>
      <w:fldChar w:fldCharType="end"/>
    </w:r>
    <w:r w:rsidRPr="00273277">
      <w:tab/>
      <w:t>PE</w:t>
    </w:r>
    <w:r w:rsidRPr="00273277">
      <w:rPr>
        <w:rStyle w:val="HideTWBExt"/>
      </w:rPr>
      <w:t>&lt;NoPE&gt;</w:t>
    </w:r>
    <w:r w:rsidRPr="00601F95">
      <w:t>768.144</w:t>
    </w:r>
    <w:r w:rsidRPr="00273277">
      <w:rPr>
        <w:rStyle w:val="HideTWBExt"/>
      </w:rPr>
      <w:t>&lt;/NoPE&gt;&lt;Version&gt;</w:t>
    </w:r>
    <w:r w:rsidRPr="00273277">
      <w:t>v</w:t>
    </w:r>
    <w:r w:rsidRPr="00601F95">
      <w:t>01-00</w:t>
    </w:r>
    <w:r w:rsidRPr="00273277">
      <w:rPr>
        <w:rStyle w:val="HideTWBExt"/>
      </w:rPr>
      <w:t>&lt;/Version&gt;</w:t>
    </w:r>
  </w:p>
  <w:p w:rsidR="007C04AE" w:rsidRPr="00273277" w:rsidRDefault="007C04AE">
    <w:pPr>
      <w:pStyle w:val="EPFooter2"/>
    </w:pPr>
    <w:r w:rsidRPr="00273277">
      <w:tab/>
    </w:r>
    <w:r w:rsidRPr="00273277">
      <w:tab/>
    </w:r>
    <w:r w:rsidRPr="00273277">
      <w:fldChar w:fldCharType="begin"/>
    </w:r>
    <w:r w:rsidRPr="00273277">
      <w:instrText xml:space="preserve"> DOCPROPERTY "&lt;Extension&gt;" </w:instrText>
    </w:r>
    <w:r w:rsidRPr="00273277">
      <w:fldChar w:fldCharType="separate"/>
    </w:r>
    <w:r>
      <w:t>SL</w:t>
    </w:r>
    <w:r w:rsidRPr="0027327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4AE" w:rsidRPr="00273277" w:rsidRDefault="007C04AE" w:rsidP="00BE6658">
    <w:pPr>
      <w:pStyle w:val="EPFooter"/>
    </w:pPr>
    <w:r w:rsidRPr="00273277">
      <w:rPr>
        <w:rStyle w:val="HideTWBExt"/>
      </w:rPr>
      <w:t>&lt;PathFdR&gt;</w:t>
    </w:r>
    <w:r w:rsidRPr="00601F95">
      <w:t>AM\1314503SL.docx</w:t>
    </w:r>
    <w:r w:rsidRPr="00273277">
      <w:rPr>
        <w:rStyle w:val="HideTWBExt"/>
      </w:rPr>
      <w:t>&lt;/PathFdR&gt;</w:t>
    </w:r>
    <w:r w:rsidRPr="00273277">
      <w:tab/>
    </w:r>
    <w:r w:rsidRPr="00273277">
      <w:tab/>
      <w:t>PE</w:t>
    </w:r>
    <w:r w:rsidRPr="00273277">
      <w:rPr>
        <w:rStyle w:val="HideTWBExt"/>
      </w:rPr>
      <w:t>&lt;NoPE&gt;</w:t>
    </w:r>
    <w:r w:rsidRPr="00601F95">
      <w:t>768.144</w:t>
    </w:r>
    <w:r w:rsidRPr="00273277">
      <w:rPr>
        <w:rStyle w:val="HideTWBExt"/>
      </w:rPr>
      <w:t>&lt;/NoPE&gt;&lt;Version&gt;</w:t>
    </w:r>
    <w:r w:rsidRPr="00273277">
      <w:t>v</w:t>
    </w:r>
    <w:r w:rsidRPr="00601F95">
      <w:t>01-00</w:t>
    </w:r>
    <w:r w:rsidRPr="00273277">
      <w:rPr>
        <w:rStyle w:val="HideTWBExt"/>
      </w:rPr>
      <w:t>&lt;/Version&gt;</w:t>
    </w:r>
  </w:p>
  <w:p w:rsidR="007C04AE" w:rsidRPr="00273277" w:rsidRDefault="007C04AE" w:rsidP="00CF4E9D">
    <w:pPr>
      <w:pStyle w:val="EPFooter2"/>
      <w:tabs>
        <w:tab w:val="clear" w:pos="4535"/>
        <w:tab w:val="center" w:pos="4536"/>
      </w:tabs>
    </w:pPr>
    <w:r w:rsidRPr="00273277">
      <w:fldChar w:fldCharType="begin"/>
    </w:r>
    <w:r w:rsidRPr="00273277">
      <w:instrText xml:space="preserve"> DOCPROPERTY "&lt;Extension&gt;" </w:instrText>
    </w:r>
    <w:r w:rsidRPr="00273277">
      <w:fldChar w:fldCharType="separate"/>
    </w:r>
    <w:r>
      <w:t>SL</w:t>
    </w:r>
    <w:r w:rsidRPr="00273277">
      <w:fldChar w:fldCharType="end"/>
    </w:r>
    <w:r w:rsidRPr="00273277">
      <w:tab/>
    </w:r>
    <w:r>
      <w:rPr>
        <w:b w:val="0"/>
        <w:i/>
        <w:color w:val="C0C0C0"/>
        <w:sz w:val="22"/>
        <w:szCs w:val="22"/>
      </w:rPr>
      <w:t>Združena v raznolikosti</w:t>
    </w:r>
    <w:r w:rsidRPr="00273277">
      <w:tab/>
    </w:r>
    <w:r w:rsidRPr="00273277">
      <w:fldChar w:fldCharType="begin"/>
    </w:r>
    <w:r w:rsidRPr="00273277">
      <w:instrText xml:space="preserve"> DOCPROPERTY "&lt;Extension&gt;" </w:instrText>
    </w:r>
    <w:r w:rsidRPr="00273277">
      <w:fldChar w:fldCharType="separate"/>
    </w:r>
    <w:r>
      <w:t>SL</w:t>
    </w:r>
    <w:r w:rsidRPr="0027327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4AE" w:rsidRPr="00273277" w:rsidRDefault="007C04AE">
      <w:r w:rsidRPr="00273277">
        <w:separator/>
      </w:r>
    </w:p>
  </w:footnote>
  <w:footnote w:type="continuationSeparator" w:id="0">
    <w:p w:rsidR="007C04AE" w:rsidRPr="00273277" w:rsidRDefault="007C04AE">
      <w:r w:rsidRPr="002732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4AE" w:rsidRDefault="007C04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4AE" w:rsidRDefault="007C04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4AE" w:rsidRDefault="007C04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i-FI" w:vendorID="64" w:dllVersion="131078" w:nlCheck="1" w:checkStyle="0"/>
  <w:activeWritingStyle w:appName="MSWord" w:lang="da-DK" w:vendorID="64" w:dllVersion="131078" w:nlCheck="1" w:checkStyle="0"/>
  <w:activeWritingStyle w:appName="MSWord" w:lang="fr-FR" w:vendorID="64" w:dllVersion="131078" w:nlCheck="1" w:checkStyle="0"/>
  <w:activeWritingStyle w:appName="MSWord" w:lang="de-DE" w:vendorID="64" w:dllVersion="131078" w:nlCheck="1" w:checkStyle="0"/>
  <w:activeWritingStyle w:appName="MSWord" w:lang="it-IT" w:vendorID="64" w:dllVersion="131078" w:nlCheck="1" w:checkStyle="0"/>
  <w:activeWritingStyle w:appName="MSWord" w:lang="es-ES" w:vendorID="64" w:dllVersion="131078" w:nlCheck="1" w:checkStyle="0"/>
  <w:activeWritingStyle w:appName="MSWord" w:lang="fr-FR" w:vendorID="9" w:dllVersion="512" w:checkStyle="0"/>
  <w:activeWritingStyle w:appName="MSWord" w:lang="sl-SI" w:vendorID="11" w:dllVersion="512" w:checkStyle="1"/>
  <w:activeWritingStyle w:appName="MSWord" w:lang="sv-SE" w:vendorID="22" w:dllVersion="513" w:checkStyle="1"/>
  <w:activeWritingStyle w:appName="MSWord" w:lang="pl-PL" w:vendorID="12"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LIBE"/>
    <w:docVar w:name="DOCDT" w:val="19/02/2025"/>
    <w:docVar w:name="LastEditedSection" w:val=" 4"/>
    <w:docVar w:name="RepeatBlock-Amend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4361 HideTWBExt;}{\*\cs18 \additive \v\f1\fs20\cf15 _x000d__x000a_\spriority0 \styrsid10294361 HideTWBInt;}{\s19\qr \li0\ri0\sb240\sa240\nowidctlpar\wrapdefault\aspalpha\aspnum\faauto\adjustright\rin0\lin0\itap0 \rtlch\fcs1 \af0\afs20\alang1025 \ltrch\fcs0 \fs24\lang1060\langfe2057\cgrid\langnp1060\langfenp2057 _x000d__x000a_\sbasedon0 \snext19 \spriority0 \styrsid10294361 AmOrLang;}{\s20\ql \li0\ri0\sa120\nowidctlpar\wrapdefault\aspalpha\aspnum\faauto\adjustright\rin0\lin0\itap0 \rtlch\fcs1 \af0\afs20\alang1025 \ltrch\fcs0 _x000d__x000a_\fs24\lang1060\langfe2057\cgrid\langnp1060\langfenp2057 \sbasedon0 \snext20 \spriority0 \styrsid10294361 Normal6a;}{\s21\ql \li0\ri0\nowidctlpar\wrapdefault\aspalpha\aspnum\faauto\adjustright\rin0\lin0\itap0 \rtlch\fcs1 \af0\afs20\alang1025 \ltrch\fcs0 _x000d__x000a_\b\fs24\lang1060\langfe2057\cgrid\langnp1060\langfenp2057 \sbasedon0 \snext21 \spriority0 \styrsid10294361 NormalBold;}{\s22\qc \li0\ri0\sa240\nowidctlpar\wrapdefault\aspalpha\aspnum\faauto\adjustright\rin0\lin0\itap0 \rtlch\fcs1 \af0\afs20\alang1025 _x000d__x000a_\ltrch\fcs0 \i\fs24\lang1060\langfe2057\cgrid\langnp1060\langfenp2057 \sbasedon0 \snext22 \spriority0 \styrsid102943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3 \spriority0 \styrsid10294361 AmNumberTabs;}}{\*\rsidtbl \rsid24658\rsid223860\rsid735077\rsid1718133\rsid2892074\rsid3565327\rsid4666813\rsid5315481\rsid6641733_x000d__x000a_\rsid7823322\rsid9636012\rsid10294361\rsid10377208\rsid11215221\rsid11549030\rsid12154954\rsid14382809\rsid14424199\rsid15204470\rsid15285974\rsid15950462\rsid16324206\rsid16662270}{\mmathPr\mmathFont34\mbrkBin0\mbrkBinSub0\msmallFrac0\mdispDef1\mlMargin0_x000d__x000a_\mrMargin0\mdefJc1\mwrapIndent1440\mintLim0\mnaryLim1}{\info{\author VASIC Sanja}{\operator VASIC Sanja}{\creatim\yr2025\mo2\dy27\hr16\min25}{\revtim\yr2025\mo2\dy27\hr16\min25}{\version1}{\edmins0}{\nofpages1}{\nofwords97}{\nofchars553}{\nofcharsws649}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4361\newtblstyruls\nogrowautofit\usenormstyforlist\noindnmbrts\felnbrelev\nocxsptable\indrlsweleven\noafcnsttbl\afelev\utinl\hwelev\spltpgpar\notcvasp\notbrkcnstfrctbl\notvatxbx\krnprsnet\cachedcolbal _x000d__x000a_\nouicompat \fet0{\*\wgrffmtfilter 013f}\nofeaturethrottle1\ilfomacatclnup0{\*\template C:\\Users\\svasic\\AppData\\Local\\Temp\\Blank1.dotx}{\*\ftnsep \ltrpar \pard\plain \ltrpar_x000d__x000a_\ql \li0\ri0\widctlpar\wrapdefault\aspalpha\aspnum\faauto\adjustright\rin0\lin0\itap0 \rtlch\fcs1 \af0\afs20\alang1025 \ltrch\fcs0 \fs24\lang2057\langfe2057\cgrid\langnp2057\langfenp2057 {\rtlch\fcs1 \af0 \ltrch\fcs0 \insrsid5315481 \chftnsep _x000d__x000a_\par }}{\*\ftnsepc \ltrpar \pard\plain \ltrpar\ql \li0\ri0\widctlpar\wrapdefault\aspalpha\aspnum\faauto\adjustright\rin0\lin0\itap0 \rtlch\fcs1 \af0\afs20\alang1025 \ltrch\fcs0 \fs24\lang2057\langfe2057\cgrid\langnp2057\langfenp2057 {\rtlch\fcs1 \af0 _x000d__x000a_\ltrch\fcs0 \insrsid5315481 \chftnsepc _x000d__x000a_\par }}{\*\aftnsep \ltrpar \pard\plain \ltrpar\ql \li0\ri0\widctlpar\wrapdefault\aspalpha\aspnum\faauto\adjustright\rin0\lin0\itap0 \rtlch\fcs1 \af0\afs20\alang1025 \ltrch\fcs0 \fs24\lang2057\langfe2057\cgrid\langnp2057\langfenp2057 {\rtlch\fcs1 \af0 _x000d__x000a_\ltrch\fcs0 \insrsid5315481 \chftnsep _x000d__x000a_\par }}{\*\aftnsepc \ltrpar \pard\plain \ltrpar\ql \li0\ri0\widctlpar\wrapdefault\aspalpha\aspnum\faauto\adjustright\rin0\lin0\itap0 \rtlch\fcs1 \af0\afs20\alang1025 \ltrch\fcs0 \fs24\lang2057\langfe2057\cgrid\langnp2057\langfenp2057 {\rtlch\fcs1 \af0 _x000d__x000a_\ltrch\fcs0 \insrsid53154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294361 \rtlch\fcs1 _x000d__x000a_\af0\afs20\alang1025 \ltrch\fcs0 \b\fs24\lang1060\langfe2057\cgrid\langnp1060\langfenp2057 {\rtlch\fcs1 \af0 \ltrch\fcs0 \cs17\b0\v\f1\fs20\cf9\lang1024\langfe1024\noproof\insrsid10294361\charrsid2568823 {\*\bkmkstart restart}&lt;Amend&gt;}{\rtlch\fcs1 \af0 _x000d__x000a_\ltrch\fcs0 \insrsid10294361\charrsid2568823 Predlog spremembe\tab \tab }{\rtlch\fcs1 \af0 \ltrch\fcs0 \cs17\b0\v\f1\fs20\cf9\lang1024\langfe1024\noproof\insrsid10294361\charrsid2568823 &lt;NumAm&gt;}{\rtlch\fcs1 \af0 \ltrch\fcs0 _x000d__x000a_\insrsid10294361\charrsid2568823 #}{\rtlch\fcs1 \af1 \ltrch\fcs0 \cs18\v\f1\fs20\cf15\insrsid10294361\charrsid2568823 ENMIENDA@NRAM@}{\rtlch\fcs1 \af0 \ltrch\fcs0 \insrsid10294361\charrsid2568823 #}{\rtlch\fcs1 \af0 \ltrch\fcs0 _x000d__x000a_\cs17\b0\v\f1\fs20\cf9\lang1024\langfe1024\noproof\insrsid10294361\charrsid2568823 &lt;/NumAm&gt;}{\rtlch\fcs1 \af0 \ltrch\fcs0 \insrsid10294361\charrsid2568823 _x000d__x000a_\par }\pard\plain \ltrpar\s21\ql \li0\ri0\nowidctlpar\wrapdefault\aspalpha\aspnum\faauto\adjustright\rin0\lin0\itap0\pararsid10294361 \rtlch\fcs1 \af0\afs20\alang1025 \ltrch\fcs0 \b\fs24\lang1060\langfe2057\cgrid\langnp1060\langfenp2057 {\rtlch\fcs1 \af0 _x000d__x000a_\ltrch\fcs0 \cs17\b0\v\f1\fs20\cf9\lang1024\langfe1024\noproof\insrsid10294361\charrsid2568823 &lt;RepeatBlock-By&gt;}{\rtlch\fcs1 \af0 \ltrch\fcs0 \insrsid10294361\charrsid2568823 #}{\rtlch\fcs1 \af1 \ltrch\fcs0 _x000d__x000a_\cs18\v\f1\fs20\cf15\insrsid10294361\charrsid2568823 (MOD@InsideLoop()}{\rtlch\fcs1 \af0 \ltrch\fcs0 \insrsid10294361\charrsid2568823 ##}{\rtlch\fcs1 \af1 \ltrch\fcs0 \cs18\v\f1\fs20\cf15\insrsid10294361\charrsid2568823 &gt;&gt;&gt;@[ZMEMBERSMSG]@}{\rtlch\fcs1 _x000d__x000a_\af0 \ltrch\fcs0 \insrsid10294361\charrsid2568823 #}{\rtlch\fcs1 \af0 \ltrch\fcs0 \cs17\b0\v\f1\fs20\cf9\lang1024\langfe1024\noproof\insrsid10294361\charrsid2568823 &lt;Members&gt;}{\rtlch\fcs1 \af0 \ltrch\fcs0 \insrsid10294361\charrsid2568823 #}{\rtlch\fcs1 _x000d__x000a_\af1 \ltrch\fcs0 \cs18\v\f1\fs20\cf15\insrsid10294361\charrsid2568823 (MOD@InsideLoop(\'a7)}{\rtlch\fcs1 \af0 \ltrch\fcs0 \insrsid10294361\charrsid2568823 #}{\rtlch\fcs1 \af0 \ltrch\fcs0 \cf10\insrsid10294361\charrsid2568823 \u9668\'3f}{\rtlch\fcs1 \af0 _x000d__x000a_\ltrch\fcs0 \insrsid10294361\charrsid2568823 #}{\rtlch\fcs1 \af1 \ltrch\fcs0 \cs18\v\f1\fs20\cf15\insrsid10294361\charrsid2568823 TVTMEMBERS\'a7@MEMBERS@}{\rtlch\fcs1 \af0 \ltrch\fcs0 \insrsid10294361\charrsid2568823 #}{\rtlch\fcs1 \af0 \ltrch\fcs0 _x000d__x000a_\cf10\insrsid10294361\charrsid2568823 \u9658\'3f}{\rtlch\fcs1 \af0 \ltrch\fcs0 \cs17\b0\v\f1\fs20\cf9\lang1024\langfe1024\noproof\insrsid10294361\charrsid2568823 &lt;/Members&gt;}{\rtlch\fcs1 \af0 \ltrch\fcs0 \insrsid10294361\charrsid2568823 _x000d__x000a_\par }\pard\plain \ltrpar\ql \li0\ri0\widctlpar\wrapdefault\aspalpha\aspnum\faauto\adjustright\rin0\lin0\itap0\pararsid10294361 \rtlch\fcs1 \af0\afs20\alang1025 \ltrch\fcs0 \fs24\lang2057\langfe2057\cgrid\langnp2057\langfenp2057 {\rtlch\fcs1 \af0 \ltrch\fcs0 _x000d__x000a_\cs17\v\f1\fs20\cf9\lang1024\langfe1024\noproof\langnp1060\insrsid10294361\charrsid2568823 &lt;AuNomDe&gt;&lt;OptDel&gt;}{\rtlch\fcs1 \af0 \ltrch\fcs0 \lang1060\langfe2057\langnp1060\insrsid10294361\charrsid2568823 #}{\rtlch\fcs1 \af1 \ltrch\fcs0 _x000d__x000a_\cs18\v\f1\fs20\cf15\lang1060\langfe2057\langnp1060\insrsid10294361\charrsid2568823 MNU[ONBEHALFYES][NOTAPP]@CHOICE@}{\rtlch\fcs1 \af0 \ltrch\fcs0 \lang1060\langfe2057\langnp1060\insrsid10294361\charrsid2568823 #}{\rtlch\fcs1 \af0 \ltrch\fcs0 _x000d__x000a_\cs17\v\f1\fs20\cf9\lang1024\langfe1024\noproof\langnp1060\insrsid10294361\charrsid2568823 &lt;/OptDel&gt;&lt;/AuNomDe&gt;}{\rtlch\fcs1 \af0 \ltrch\fcs0 \lang1060\langfe2057\langnp1060\insrsid10294361\charrsid2568823 _x000d__x000a_\par &lt;&lt;&lt;}{\rtlch\fcs1 \af0 \ltrch\fcs0 \cs17\v\f1\fs20\cf9\lang1024\langfe1024\noproof\langnp1060\insrsid10294361\charrsid2568823 &lt;/RepeatBlock-By&gt;}{\rtlch\fcs1 \af0 \ltrch\fcs0 \lang1060\langfe2057\langnp1060\insrsid10294361\charrsid2568823 _x000d__x000a_\par }\pard\plain \ltrpar\s21\ql \li0\ri0\nowidctlpar\wrapdefault\aspalpha\aspnum\faauto\adjustright\rin0\lin0\itap0\pararsid10294361 \rtlch\fcs1 \af0\afs20\alang1025 \ltrch\fcs0 \b\fs24\lang1060\langfe2057\cgrid\langnp1060\langfenp2057 {\rtlch\fcs1 \af0 _x000d__x000a_\ltrch\fcs0 \cs17\b0\v\f1\fs20\cf9\lang1024\langfe1024\noproof\insrsid10294361\charrsid2568823 &lt;DocAmend&gt;}{\rtlch\fcs1 \af0 \ltrch\fcs0 \insrsid10294361\charrsid2568823 #}{\rtlch\fcs1 \af1 \ltrch\fcs0 \cs18\v\f1\fs20\cf15\insrsid10294361\charrsid2568823 _x000d__x000a_MNU[OPTAMDOCINI][AMDOCA1][OPTAMDOCNLE][AMDOCA1][AMDOCA2][AMDOCA1][AMDOCA1][OPTAMDOCDEC]@CHOICE@CODEMNU}{\rtlch\fcs1 \af0 \ltrch\fcs0 \insrsid10294361\charrsid2568823 #}{\rtlch\fcs1 \af0 \ltrch\fcs0 _x000d__x000a_\cs17\b0\v\f1\fs20\cf9\lang1024\langfe1024\noproof\insrsid10294361\charrsid2568823 &lt;/DocAmend&gt;}{\rtlch\fcs1 \af0 \ltrch\fcs0 \insrsid10294361\charrsid2568823 _x000d__x000a_\par }{\rtlch\fcs1 \af0 \ltrch\fcs0 \cs17\b0\v\f1\fs20\cf9\lang1024\langfe1024\noproof\insrsid10294361\charrsid2568823 &lt;Article&gt;}{\rtlch\fcs1 \af0 \ltrch\fcs0 \cf10\insrsid10294361\charrsid2568823 \u9668\'3f}{\rtlch\fcs1 \af0 \ltrch\fcs0 _x000d__x000a_\insrsid10294361\charrsid2568823 #}{\rtlch\fcs1 \af1 \ltrch\fcs0 \cs18\v\f1\fs20\cf15\insrsid10294361\charrsid2568823 TVTAMPART@AMPART@}{\rtlch\fcs1 \af0 \ltrch\fcs0 \insrsid10294361\charrsid2568823 #}{\rtlch\fcs1 \af0 \ltrch\fcs0 _x000d__x000a_\cf10\insrsid10294361\charrsid2568823 \u9658\'3f}{\rtlch\fcs1 \af0 \ltrch\fcs0 \cs17\b0\v\f1\fs20\cf9\lang1024\langfe1024\noproof\insrsid10294361\charrsid2568823 &lt;/Article&gt;}{\rtlch\fcs1 \af0 \ltrch\fcs0 \insrsid10294361\charrsid2568823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60\langfe2057\langnp1060\insrsid10294361\charrsid2568823 \cell }\pard\plain \ltrpar_x000d__x000a_\ql \li0\ri0\widctlpar\intbl\wrapdefault\aspalpha\aspnum\faauto\adjustright\rin0\lin0 \rtlch\fcs1 \af0\afs20\alang1025 \ltrch\fcs0 \fs24\lang2057\langfe2057\cgrid\langnp2057\langfenp2057 {\rtlch\fcs1 \af0 \ltrch\fcs0 _x000d__x000a_\lang1060\langfe2057\langnp1060\insrsid10294361\charrsid2568823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60\langfe2057\cgrid\langnp1060\langfenp2057 {\rtlch\fcs1 \af0 \ltrch\fcs0 _x000d__x000a_\insrsid10294361\charrsid2568823 #}{\rtlch\fcs1 \af1 \ltrch\fcs0 \cs18\v\f1\fs20\cf15\insrsid10294361\charrsid2568823 MNU[OPTAMDOCINI][AMDOCA1][OPTAMDOCNLE][AMDOCA1][AMDOCA2][AMDOCA1][AMDOCA1][OPTAMDOCDEC]@CHOICE@CODEMNU}{\rtlch\fcs1 \af0 \ltrch\fcs0 _x000d__x000a_\insrsid10294361\charrsid2568823 #\cell Predlog spremembe\cell }\pard\plain \ltrpar\ql \li0\ri0\widctlpar\intbl\wrapdefault\aspalpha\aspnum\faauto\adjustright\rin0\lin0 \rtlch\fcs1 \af0\afs20\alang1025 \ltrch\fcs0 _x000d__x000a_\fs24\lang2057\langfe2057\cgrid\langnp2057\langfenp2057 {\rtlch\fcs1 \af0 \ltrch\fcs0 \lang1060\langfe2057\langnp1060\insrsid10294361\charrsid2568823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60\langfe2057\cgrid\langnp1060\langfenp2057 {\rtlch\fcs1 \af0 \ltrch\fcs0 _x000d__x000a_\insrsid10294361\charrsid2568823 #}{\rtlch\fcs1 \af1 \ltrch\fcs0 \cs18\v\f1\fs20\cf15\insrsid10294361\charrsid2568823 TEXTMSG}{\rtlch\fcs1 \af0 \ltrch\fcs0 \insrsid10294361\charrsid2568823 #\cell #}{\rtlch\fcs1 \af1 \ltrch\fcs0 _x000d__x000a_\cs18\v\f1\fs20\cf15\insrsid10294361\charrsid2568823 TEXTMSG}{\rtlch\fcs1 \af0 \ltrch\fcs0 \insrsid10294361\charrsid2568823 #}{\rtlch\fcs1 \af0\afs24 \ltrch\fcs0 \insrsid10294361\charrsid2568823 \cell }\pard\plain \ltrpar_x000d__x000a_\ql \li0\ri0\widctlpar\intbl\wrapdefault\aspalpha\aspnum\faauto\adjustright\rin0\lin0 \rtlch\fcs1 \af0\afs20\alang1025 \ltrch\fcs0 \fs24\lang2057\langfe2057\cgrid\langnp2057\langfenp2057 {\rtlch\fcs1 \af0 \ltrch\fcs0 _x000d__x000a_\lang1060\langfe2057\langnp1060\insrsid10294361\charrsid2568823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0294361 \rtlch\fcs1 \af0\afs20\alang1025 \ltrch\fcs0 \fs24\lang1060\langfe2057\cgrid\langnp1060\langfenp2057 {\rtlch\fcs1 \af0 \ltrch\fcs0 _x000d__x000a_\insrsid10294361\charrsid2568823 Or. }{\rtlch\fcs1 \af0 \ltrch\fcs0 \cs17\v\f1\fs20\cf9\lang1024\langfe1024\noproof\insrsid10294361\charrsid2568823 &lt;Original&gt;}{\rtlch\fcs1 \af0 \ltrch\fcs0 \insrsid10294361\charrsid2568823 #}{\rtlch\fcs1 \af1 \ltrch\fcs0 _x000d__x000a_\cs18\v\f1\fs20\cf15\insrsid10294361\charrsid2568823 KEY(MAIN/LANGMIN)sh@ORLANGMSG@}{\rtlch\fcs1 \af0 \ltrch\fcs0 \insrsid10294361\charrsid2568823 #}{\rtlch\fcs1 \af0 \ltrch\fcs0 _x000d__x000a_\cs17\v\f1\fs20\cf9\lang1024\langfe1024\noproof\insrsid10294361\charrsid2568823 &lt;/Original&gt;}{\rtlch\fcs1 \af0 \ltrch\fcs0 \insrsid10294361\charrsid2568823 _x000d__x000a_\par }\pard\plain \ltrpar\ql \li0\ri0\widctlpar\wrapdefault\aspalpha\aspnum\faauto\adjustright\rin0\lin0\itap0\pararsid10294361 \rtlch\fcs1 \af0\afs20\alang1025 \ltrch\fcs0 \fs24\lang2057\langfe2057\cgrid\langnp2057\langfenp2057 {\rtlch\fcs1 \af0 \ltrch\fcs0 _x000d__x000a_\cs17\v\f1\fs20\cf9\lang1024\langfe1024\noproof\langnp1060\insrsid10294361\charrsid256882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ed_x000d__x000a_06d22b8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SL"/>
    <w:docVar w:name="TXTLANGUEMIN" w:val="sl"/>
    <w:docVar w:name="TXTNRFIRSTAM" w:val="1"/>
    <w:docVar w:name="TXTNRLASTAM" w:val="366"/>
    <w:docVar w:name="TXTNRPROC" w:val="2024/2078"/>
    <w:docVar w:name="TXTPE" w:val="768.144"/>
    <w:docVar w:name="TXTPEorAP" w:val="PE"/>
    <w:docVar w:name="TXTROUTE" w:val="AM\1314503SL.docx"/>
    <w:docVar w:name="TXTVERSION" w:val="01-00"/>
  </w:docVars>
  <w:rsids>
    <w:rsidRoot w:val="00273277"/>
    <w:rsid w:val="000058AA"/>
    <w:rsid w:val="00072B4B"/>
    <w:rsid w:val="0011298B"/>
    <w:rsid w:val="001152A9"/>
    <w:rsid w:val="0012108E"/>
    <w:rsid w:val="00125041"/>
    <w:rsid w:val="00130C87"/>
    <w:rsid w:val="0015022B"/>
    <w:rsid w:val="001708E6"/>
    <w:rsid w:val="00175062"/>
    <w:rsid w:val="001767FD"/>
    <w:rsid w:val="001B1694"/>
    <w:rsid w:val="001C108E"/>
    <w:rsid w:val="001C6BFC"/>
    <w:rsid w:val="002425CE"/>
    <w:rsid w:val="00262416"/>
    <w:rsid w:val="00273277"/>
    <w:rsid w:val="002A3EAA"/>
    <w:rsid w:val="002B6DE3"/>
    <w:rsid w:val="002B799B"/>
    <w:rsid w:val="002F0149"/>
    <w:rsid w:val="00307E56"/>
    <w:rsid w:val="003C7A69"/>
    <w:rsid w:val="003D7856"/>
    <w:rsid w:val="004106BA"/>
    <w:rsid w:val="0044299E"/>
    <w:rsid w:val="00444941"/>
    <w:rsid w:val="004B02E9"/>
    <w:rsid w:val="004D02AB"/>
    <w:rsid w:val="004E4A92"/>
    <w:rsid w:val="005D04A2"/>
    <w:rsid w:val="005E5FA1"/>
    <w:rsid w:val="00601F95"/>
    <w:rsid w:val="00663E24"/>
    <w:rsid w:val="006838B3"/>
    <w:rsid w:val="00742225"/>
    <w:rsid w:val="00794E41"/>
    <w:rsid w:val="007964AA"/>
    <w:rsid w:val="007B1846"/>
    <w:rsid w:val="007C04AE"/>
    <w:rsid w:val="007C1252"/>
    <w:rsid w:val="007E54B7"/>
    <w:rsid w:val="007F22E4"/>
    <w:rsid w:val="008305E9"/>
    <w:rsid w:val="00866CBA"/>
    <w:rsid w:val="00873A27"/>
    <w:rsid w:val="008836EF"/>
    <w:rsid w:val="0089317E"/>
    <w:rsid w:val="008B040A"/>
    <w:rsid w:val="0093376E"/>
    <w:rsid w:val="0095177E"/>
    <w:rsid w:val="00952F4F"/>
    <w:rsid w:val="009531F4"/>
    <w:rsid w:val="00954A54"/>
    <w:rsid w:val="009B54E9"/>
    <w:rsid w:val="009C2758"/>
    <w:rsid w:val="00A530BE"/>
    <w:rsid w:val="00A57C56"/>
    <w:rsid w:val="00A7559D"/>
    <w:rsid w:val="00A771CC"/>
    <w:rsid w:val="00A804CE"/>
    <w:rsid w:val="00A836A6"/>
    <w:rsid w:val="00A9497D"/>
    <w:rsid w:val="00AD3D9F"/>
    <w:rsid w:val="00AE20EB"/>
    <w:rsid w:val="00B4019F"/>
    <w:rsid w:val="00B43C20"/>
    <w:rsid w:val="00BB13BB"/>
    <w:rsid w:val="00BE6658"/>
    <w:rsid w:val="00BF6585"/>
    <w:rsid w:val="00C4749E"/>
    <w:rsid w:val="00C72F6B"/>
    <w:rsid w:val="00C800F8"/>
    <w:rsid w:val="00C83592"/>
    <w:rsid w:val="00CA7F28"/>
    <w:rsid w:val="00CF4E9D"/>
    <w:rsid w:val="00D2257D"/>
    <w:rsid w:val="00D34123"/>
    <w:rsid w:val="00D35B06"/>
    <w:rsid w:val="00D42F84"/>
    <w:rsid w:val="00DA7120"/>
    <w:rsid w:val="00DC19A9"/>
    <w:rsid w:val="00DC1DD4"/>
    <w:rsid w:val="00DC3244"/>
    <w:rsid w:val="00DC36BD"/>
    <w:rsid w:val="00DF038C"/>
    <w:rsid w:val="00E10280"/>
    <w:rsid w:val="00E67987"/>
    <w:rsid w:val="00EA1780"/>
    <w:rsid w:val="00EF54D2"/>
    <w:rsid w:val="00F15510"/>
    <w:rsid w:val="00F20F19"/>
    <w:rsid w:val="00F457AA"/>
    <w:rsid w:val="00F5166D"/>
    <w:rsid w:val="00F61FB2"/>
    <w:rsid w:val="00F925F1"/>
    <w:rsid w:val="00F931B6"/>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5B4EB"/>
  <w15:chartTrackingRefBased/>
  <w15:docId w15:val="{9D4C7F30-549D-46BB-AFF2-A00B0648F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601F95"/>
    <w:pPr>
      <w:spacing w:before="240" w:after="240"/>
      <w:jc w:val="center"/>
    </w:pPr>
    <w:rPr>
      <w:i/>
      <w:szCs w:val="24"/>
      <w:lang w:val="en-GB" w:eastAsia="en-US"/>
    </w:rPr>
  </w:style>
  <w:style w:type="character" w:customStyle="1" w:styleId="EPFooter2Motto">
    <w:name w:val="EPFooter2Motto"/>
    <w:rsid w:val="00601F95"/>
    <w:rPr>
      <w:rFonts w:ascii="Arial" w:hAnsi="Arial"/>
      <w:b/>
      <w:i/>
      <w:color w:val="C0C0C0"/>
      <w:sz w:val="22"/>
    </w:rPr>
  </w:style>
  <w:style w:type="paragraph" w:customStyle="1" w:styleId="EPFooterLandscape">
    <w:name w:val="EPFooterLandscape"/>
    <w:rsid w:val="00601F95"/>
    <w:pPr>
      <w:widowControl w:val="0"/>
      <w:tabs>
        <w:tab w:val="center" w:pos="6800"/>
        <w:tab w:val="right" w:pos="15020"/>
      </w:tabs>
    </w:pPr>
    <w:rPr>
      <w:sz w:val="22"/>
      <w:lang w:eastAsia="en-US"/>
    </w:rPr>
  </w:style>
  <w:style w:type="paragraph" w:customStyle="1" w:styleId="Normal0">
    <w:name w:val="Normal0"/>
    <w:basedOn w:val="Normal"/>
    <w:rsid w:val="00601F95"/>
    <w:rPr>
      <w:sz w:val="0"/>
      <w:szCs w:val="24"/>
      <w:lang w:val="en-GB" w:eastAsia="en-US"/>
    </w:rPr>
  </w:style>
  <w:style w:type="paragraph" w:customStyle="1" w:styleId="EPFooter2Landscape">
    <w:name w:val="EPFooter2Landscape"/>
    <w:rsid w:val="00601F95"/>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601F95"/>
    <w:rPr>
      <w:rFonts w:ascii="Arial" w:hAnsi="Arial"/>
      <w:b w:val="0"/>
      <w:i/>
      <w:color w:val="AEAAAA"/>
      <w:sz w:val="22"/>
      <w:shd w:val="pct50" w:color="auto" w:fill="auto"/>
    </w:rPr>
  </w:style>
  <w:style w:type="paragraph" w:customStyle="1" w:styleId="PMissingStyle">
    <w:name w:val="P_MissingStyle"/>
    <w:basedOn w:val="Normal"/>
    <w:rsid w:val="00601F95"/>
    <w:rPr>
      <w:color w:val="FFFFFF"/>
      <w:szCs w:val="24"/>
      <w:shd w:val="clear" w:color="000000" w:fill="000000"/>
      <w:lang w:val="en-GB" w:eastAsia="en-US"/>
    </w:rPr>
  </w:style>
  <w:style w:type="character" w:customStyle="1" w:styleId="CMissingStyle">
    <w:name w:val="C_MissingStyle"/>
    <w:rsid w:val="00601F95"/>
    <w:rPr>
      <w:color w:val="FFFFFF"/>
      <w:sz w:val="22"/>
      <w:shd w:val="clear" w:color="000000" w:fill="000000"/>
    </w:rPr>
  </w:style>
  <w:style w:type="paragraph" w:customStyle="1" w:styleId="Normal12a">
    <w:name w:val="Normal12a"/>
    <w:basedOn w:val="Normal"/>
    <w:rsid w:val="00601F95"/>
    <w:pPr>
      <w:spacing w:after="240"/>
    </w:pPr>
    <w:rPr>
      <w:szCs w:val="24"/>
      <w:lang w:val="en-GB" w:eastAsia="en-US"/>
    </w:rPr>
  </w:style>
  <w:style w:type="paragraph" w:styleId="Footer">
    <w:name w:val="footer"/>
    <w:basedOn w:val="Normal"/>
    <w:link w:val="FooterChar"/>
    <w:rsid w:val="00601F95"/>
    <w:pPr>
      <w:tabs>
        <w:tab w:val="center" w:pos="4513"/>
        <w:tab w:val="right" w:pos="9026"/>
      </w:tabs>
    </w:pPr>
    <w:rPr>
      <w:szCs w:val="24"/>
      <w:lang w:val="en-GB" w:eastAsia="en-US"/>
    </w:rPr>
  </w:style>
  <w:style w:type="character" w:customStyle="1" w:styleId="FooterChar">
    <w:name w:val="Footer Char"/>
    <w:basedOn w:val="DefaultParagraphFont"/>
    <w:link w:val="Footer"/>
    <w:rsid w:val="00601F9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39533</Words>
  <Characters>248668</Characters>
  <Application>Microsoft Office Word</Application>
  <DocSecurity>0</DocSecurity>
  <Lines>11303</Lines>
  <Paragraphs>5056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2025-03-21T14:48:00Z</dcterms:created>
  <dcterms:modified xsi:type="dcterms:W3CDTF">2025-03-21T14:48:00Z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1314503</vt:lpwstr>
  </property>
  <property fmtid="{D5CDD505-2E9C-101B-9397-08002B2CF9AE}" pid="6" name="&lt;Type&gt;">
    <vt:lpwstr>AM</vt:lpwstr>
  </property>
  <property fmtid="{D5CDD505-2E9C-101B-9397-08002B2CF9AE}" pid="7" name="&lt;ModelCod&gt;">
    <vt:lpwstr>\\eiciBRUpr1\pdocep$\DocEP\DOCS\General\AM\AM_NonLeg\AM_Com_NonLeg\AM_Com_NonLegReport.dotx(03/03/2023 13:39:05)</vt:lpwstr>
  </property>
  <property fmtid="{D5CDD505-2E9C-101B-9397-08002B2CF9AE}" pid="8" name="&lt;ModelTra&gt;">
    <vt:lpwstr>\\eiciBRUpr1\pdocep$\DocEP\TRANSFIL\SL\AM_Com_NonLegReport.SL(17/08/2024 00:22:09)</vt:lpwstr>
  </property>
  <property fmtid="{D5CDD505-2E9C-101B-9397-08002B2CF9AE}" pid="9" name="&lt;Model&gt;">
    <vt:lpwstr>AM_Com_NonLegReport</vt:lpwstr>
  </property>
  <property fmtid="{D5CDD505-2E9C-101B-9397-08002B2CF9AE}" pid="10" name="FooterPath">
    <vt:lpwstr>AM\1314503SL.docx</vt:lpwstr>
  </property>
  <property fmtid="{D5CDD505-2E9C-101B-9397-08002B2CF9AE}" pid="11" name="PE number">
    <vt:lpwstr>768.144</vt:lpwstr>
  </property>
  <property fmtid="{D5CDD505-2E9C-101B-9397-08002B2CF9AE}" pid="12" name="Bookout">
    <vt:lpwstr>OK - 2025/03/21 15:34</vt:lpwstr>
  </property>
</Properties>
</file>