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913F0" w:rsidRPr="002C61E4">
        <w:trPr>
          <w:trHeight w:hRule="exact" w:val="1417"/>
          <w:jc w:val="center"/>
        </w:trPr>
        <w:tc>
          <w:tcPr>
            <w:tcW w:w="6804" w:type="dxa"/>
            <w:tcBorders>
              <w:top w:val="nil"/>
              <w:left w:val="nil"/>
              <w:bottom w:val="nil"/>
              <w:right w:val="nil"/>
            </w:tcBorders>
            <w:vAlign w:val="center"/>
          </w:tcPr>
          <w:p w:rsidR="00B76CDE" w:rsidRPr="002C61E4" w:rsidRDefault="00E82389">
            <w:pPr>
              <w:pStyle w:val="EPName"/>
            </w:pPr>
            <w:r w:rsidRPr="002C61E4">
              <w:t>Europos Parl</w:t>
            </w:r>
            <w:r w:rsidR="005249FF" w:rsidRPr="002C61E4">
              <w:t>ament</w:t>
            </w:r>
            <w:r w:rsidRPr="002C61E4">
              <w:t>as</w:t>
            </w:r>
          </w:p>
          <w:p w:rsidR="00B76CDE" w:rsidRPr="002C61E4" w:rsidRDefault="005249FF">
            <w:pPr>
              <w:pStyle w:val="EPTerm"/>
            </w:pPr>
            <w:r w:rsidRPr="002C61E4">
              <w:t>2024-2029</w:t>
            </w:r>
          </w:p>
        </w:tc>
        <w:tc>
          <w:tcPr>
            <w:tcW w:w="2268" w:type="dxa"/>
            <w:tcBorders>
              <w:top w:val="nil"/>
              <w:left w:val="nil"/>
              <w:bottom w:val="nil"/>
              <w:right w:val="nil"/>
            </w:tcBorders>
          </w:tcPr>
          <w:p w:rsidR="00B76CDE" w:rsidRPr="002C61E4" w:rsidRDefault="00A440DD">
            <w:pPr>
              <w:pStyle w:val="EPLogo"/>
            </w:pPr>
            <w:r w:rsidRPr="002C61E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B76CDE" w:rsidRPr="002C61E4" w:rsidRDefault="005249FF">
      <w:pPr>
        <w:pStyle w:val="LineTop"/>
      </w:pPr>
      <w:r w:rsidRPr="002C61E4">
        <w:t xml:space="preserve"> </w:t>
      </w:r>
    </w:p>
    <w:p w:rsidR="00B76CDE" w:rsidRPr="002C61E4" w:rsidRDefault="005249FF">
      <w:pPr>
        <w:pStyle w:val="EPBody"/>
      </w:pPr>
      <w:r w:rsidRPr="002C61E4">
        <w:rPr>
          <w:rStyle w:val="HideTWBExt"/>
          <w:rFonts w:eastAsia="Times New Roman"/>
          <w:i w:val="0"/>
        </w:rPr>
        <w:t>&lt;Commission&gt;</w:t>
      </w:r>
      <w:r w:rsidRPr="002C61E4">
        <w:rPr>
          <w:rStyle w:val="HideTWBInt"/>
          <w:i w:val="0"/>
        </w:rPr>
        <w:t>{LIBE}</w:t>
      </w:r>
      <w:r w:rsidR="00E82389" w:rsidRPr="002C61E4">
        <w:t>Piliečių laisvių, teisingumo ir vidaus reikalų komitetas</w:t>
      </w:r>
      <w:r w:rsidRPr="002C61E4">
        <w:rPr>
          <w:rStyle w:val="HideTWBExt"/>
          <w:rFonts w:eastAsia="Times New Roman"/>
          <w:i w:val="0"/>
        </w:rPr>
        <w:t>&lt;/Commission&gt;</w:t>
      </w:r>
    </w:p>
    <w:p w:rsidR="00B76CDE" w:rsidRPr="002C61E4" w:rsidRDefault="005249FF">
      <w:pPr>
        <w:pStyle w:val="LineBottom"/>
      </w:pPr>
      <w:r w:rsidRPr="002C61E4">
        <w:t xml:space="preserve"> </w:t>
      </w:r>
    </w:p>
    <w:p w:rsidR="00B76CDE" w:rsidRPr="002C61E4" w:rsidRDefault="005249FF">
      <w:pPr>
        <w:pStyle w:val="CoverReference"/>
      </w:pPr>
      <w:r w:rsidRPr="002C61E4">
        <w:rPr>
          <w:rStyle w:val="HideTWBExt"/>
          <w:rFonts w:eastAsia="Times New Roman"/>
          <w:b w:val="0"/>
        </w:rPr>
        <w:t>&lt;RefProc&gt;</w:t>
      </w:r>
      <w:r w:rsidRPr="002C61E4">
        <w:t>2024/2078</w:t>
      </w:r>
      <w:r w:rsidRPr="002C61E4">
        <w:rPr>
          <w:rStyle w:val="HideTWBExt"/>
          <w:rFonts w:eastAsia="Times New Roman"/>
          <w:b w:val="0"/>
        </w:rPr>
        <w:t>&lt;/RefProc&gt;&lt;RefTypeProc&gt;</w:t>
      </w:r>
      <w:r w:rsidRPr="002C61E4">
        <w:t>(INI)</w:t>
      </w:r>
      <w:r w:rsidRPr="002C61E4">
        <w:rPr>
          <w:rStyle w:val="HideTWBExt"/>
          <w:rFonts w:eastAsia="Times New Roman"/>
          <w:b w:val="0"/>
        </w:rPr>
        <w:t>&lt;/RefTypeProc&gt;</w:t>
      </w:r>
    </w:p>
    <w:p w:rsidR="00B76CDE" w:rsidRPr="002C61E4" w:rsidRDefault="005249FF">
      <w:pPr>
        <w:pStyle w:val="CoverDate"/>
      </w:pPr>
      <w:r w:rsidRPr="002C61E4">
        <w:rPr>
          <w:rStyle w:val="HideTWBExt"/>
        </w:rPr>
        <w:t>&lt;Date&gt;</w:t>
      </w:r>
      <w:r w:rsidRPr="002C61E4">
        <w:rPr>
          <w:rStyle w:val="HideTWBInt"/>
        </w:rPr>
        <w:t>{19/02/2025}</w:t>
      </w:r>
      <w:r w:rsidRPr="002C61E4">
        <w:t>19.2.2025</w:t>
      </w:r>
      <w:r w:rsidRPr="002C61E4">
        <w:rPr>
          <w:rStyle w:val="HideTWBExt"/>
        </w:rPr>
        <w:t>&lt;/Date&gt;</w:t>
      </w:r>
    </w:p>
    <w:p w:rsidR="00B76CDE" w:rsidRPr="002C61E4" w:rsidRDefault="005249FF">
      <w:pPr>
        <w:pStyle w:val="CoverDocType"/>
      </w:pPr>
      <w:r w:rsidRPr="002C61E4">
        <w:rPr>
          <w:rStyle w:val="HideTWBExt"/>
          <w:b w:val="0"/>
        </w:rPr>
        <w:t>&lt;TypeAM&gt;</w:t>
      </w:r>
      <w:r w:rsidR="00E82389" w:rsidRPr="002C61E4">
        <w:t>PAKEITIMAI</w:t>
      </w:r>
      <w:r w:rsidRPr="002C61E4">
        <w:rPr>
          <w:rStyle w:val="HideTWBExt"/>
          <w:b w:val="0"/>
        </w:rPr>
        <w:t>&lt;/TypeAM&gt;</w:t>
      </w:r>
    </w:p>
    <w:p w:rsidR="00B76CDE" w:rsidRPr="002C61E4" w:rsidRDefault="005249FF">
      <w:pPr>
        <w:pStyle w:val="CoverDocType24a"/>
      </w:pPr>
      <w:r w:rsidRPr="002C61E4">
        <w:rPr>
          <w:rStyle w:val="HideTWBExt"/>
          <w:rFonts w:eastAsia="Times New Roman"/>
          <w:b w:val="0"/>
        </w:rPr>
        <w:t>&lt;RangeAM&gt;</w:t>
      </w:r>
      <w:r w:rsidRPr="002C61E4">
        <w:t>367 - 707</w:t>
      </w:r>
      <w:r w:rsidRPr="002C61E4">
        <w:rPr>
          <w:rStyle w:val="HideTWBExt"/>
          <w:rFonts w:eastAsia="Times New Roman"/>
          <w:b w:val="0"/>
        </w:rPr>
        <w:t>&lt;/RangeAM&gt;</w:t>
      </w:r>
    </w:p>
    <w:p w:rsidR="00B76CDE" w:rsidRPr="002C61E4" w:rsidRDefault="005249FF">
      <w:pPr>
        <w:pStyle w:val="CoverBold"/>
      </w:pPr>
      <w:r w:rsidRPr="002C61E4">
        <w:rPr>
          <w:rStyle w:val="HideTWBExt"/>
          <w:b w:val="0"/>
        </w:rPr>
        <w:t>&lt;TitreType&gt;</w:t>
      </w:r>
      <w:r w:rsidR="00E82389" w:rsidRPr="002C61E4">
        <w:t>Pranešimo projektas</w:t>
      </w:r>
      <w:r w:rsidRPr="002C61E4">
        <w:rPr>
          <w:rStyle w:val="HideTWBExt"/>
          <w:b w:val="0"/>
        </w:rPr>
        <w:t>&lt;/TitreType&gt;</w:t>
      </w:r>
    </w:p>
    <w:p w:rsidR="00B76CDE" w:rsidRPr="002C61E4" w:rsidRDefault="005249FF">
      <w:pPr>
        <w:pStyle w:val="CoverBold"/>
      </w:pPr>
      <w:r w:rsidRPr="002C61E4">
        <w:rPr>
          <w:rStyle w:val="HideTWBExt"/>
          <w:b w:val="0"/>
        </w:rPr>
        <w:t>&lt;Rapporteur&gt;</w:t>
      </w:r>
      <w:r w:rsidRPr="002C61E4">
        <w:t>Ana Catarina Mendes</w:t>
      </w:r>
      <w:r w:rsidRPr="002C61E4">
        <w:rPr>
          <w:rStyle w:val="HideTWBExt"/>
          <w:b w:val="0"/>
        </w:rPr>
        <w:t>&lt;/Rapporteur&gt;</w:t>
      </w:r>
    </w:p>
    <w:p w:rsidR="00B76CDE" w:rsidRPr="002C61E4" w:rsidRDefault="005249FF">
      <w:pPr>
        <w:pStyle w:val="CoverNormal24a"/>
      </w:pPr>
      <w:r w:rsidRPr="002C61E4">
        <w:rPr>
          <w:rStyle w:val="HideTWBExt"/>
        </w:rPr>
        <w:t>&lt;DocRefPE&gt;</w:t>
      </w:r>
      <w:r w:rsidRPr="002C61E4">
        <w:t>(PE767.867v01-00)</w:t>
      </w:r>
      <w:r w:rsidRPr="002C61E4">
        <w:rPr>
          <w:rStyle w:val="HideTWBExt"/>
        </w:rPr>
        <w:t>&lt;/DocRefPE&gt;</w:t>
      </w:r>
    </w:p>
    <w:p w:rsidR="00B76CDE" w:rsidRPr="002C61E4" w:rsidRDefault="005249FF">
      <w:pPr>
        <w:pStyle w:val="CoverNormal"/>
      </w:pPr>
      <w:r w:rsidRPr="002C61E4">
        <w:rPr>
          <w:rStyle w:val="HideTWBExt"/>
        </w:rPr>
        <w:t>&lt;Titre&gt;</w:t>
      </w:r>
      <w:r w:rsidR="00E82389" w:rsidRPr="002C61E4">
        <w:t>Komisijos 2024 m. teisinės valstybės principo taikymo ataskaita</w:t>
      </w:r>
      <w:r w:rsidRPr="002C61E4">
        <w:rPr>
          <w:rStyle w:val="HideTWBExt"/>
        </w:rPr>
        <w:t>&lt;/Titre&gt;</w:t>
      </w:r>
    </w:p>
    <w:p w:rsidR="00B76CDE" w:rsidRPr="002C61E4" w:rsidRDefault="005249FF">
      <w:pPr>
        <w:pStyle w:val="CoverNormal24a"/>
      </w:pPr>
      <w:r w:rsidRPr="002C61E4">
        <w:rPr>
          <w:rStyle w:val="HideTWBExt"/>
        </w:rPr>
        <w:t>&lt;DocRef&gt;</w:t>
      </w:r>
      <w:r w:rsidRPr="002C61E4">
        <w:t>(2024/2078(INI))</w:t>
      </w:r>
      <w:r w:rsidRPr="002C61E4">
        <w:rPr>
          <w:rStyle w:val="HideTWBExt"/>
        </w:rPr>
        <w:t>&lt;/DocRef&gt;</w:t>
      </w:r>
    </w:p>
    <w:p w:rsidR="00B76CDE" w:rsidRPr="002C61E4" w:rsidRDefault="005249FF">
      <w:r w:rsidRPr="002C61E4">
        <w:br w:type="page"/>
      </w:r>
      <w:r w:rsidRPr="002C61E4">
        <w:lastRenderedPageBreak/>
        <w:t>AM_Com_NonLegReport</w:t>
      </w:r>
    </w:p>
    <w:p w:rsidR="00E82389" w:rsidRPr="002C61E4" w:rsidRDefault="005249FF" w:rsidP="00E82389">
      <w:pPr>
        <w:pStyle w:val="AmNumberTabs"/>
      </w:pPr>
      <w:r w:rsidRPr="002C61E4">
        <w:br w:type="page"/>
      </w:r>
      <w:r w:rsidR="00E82389" w:rsidRPr="002C61E4">
        <w:rPr>
          <w:rStyle w:val="HideTWBExt"/>
          <w:b w:val="0"/>
        </w:rPr>
        <w:lastRenderedPageBreak/>
        <w:t>&lt;RepeatBlock-Amend&gt;&lt;Amend&gt;</w:t>
      </w:r>
      <w:r w:rsidR="00E82389" w:rsidRPr="002C61E4">
        <w:t>Pakeitimas</w:t>
      </w:r>
      <w:r w:rsidR="00E82389" w:rsidRPr="002C61E4">
        <w:tab/>
      </w:r>
      <w:r w:rsidR="00E82389" w:rsidRPr="002C61E4">
        <w:tab/>
      </w:r>
      <w:r w:rsidR="00E82389" w:rsidRPr="002C61E4">
        <w:rPr>
          <w:rStyle w:val="HideTWBExt"/>
          <w:b w:val="0"/>
        </w:rPr>
        <w:t>&lt;NumAm&gt;</w:t>
      </w:r>
      <w:r w:rsidR="00E82389" w:rsidRPr="002C61E4">
        <w:t>367</w:t>
      </w:r>
      <w:r w:rsidR="00E82389"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w:t>
            </w:r>
            <w:r w:rsidRPr="002C61E4">
              <w:rPr>
                <w:b/>
                <w:i/>
              </w:rPr>
              <w:t>mano, kad Komisija ir valstybės narės turėtų padidinti PVO finansavimą;</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368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w:t>
            </w:r>
            <w:r w:rsidRPr="002C61E4">
              <w:rPr>
                <w:b/>
                <w:bCs/>
                <w:i/>
                <w:iCs/>
              </w:rPr>
              <w:t>dėl stiprėjančios tendencijos, kad PVO ir žmogaus teisių gynėjai susiduria su papildomais teisiniais apribojimais, finansavimo trūkumu ir išpuoliais;</w:t>
            </w:r>
            <w:r w:rsidRPr="002C61E4">
              <w:rPr>
                <w:b/>
                <w:i/>
              </w:rPr>
              <w:t xml:space="preserve"> </w:t>
            </w:r>
            <w:r w:rsidRPr="002C61E4">
              <w:rPr>
                <w:b/>
                <w:bCs/>
                <w:i/>
                <w:iCs/>
              </w:rPr>
              <w:t>ragina sukurti pilietinę visuomenę įgalinančią ir remiančią sistemą ir pakartotinai pabrėžia Kovos su SLAPP direktyvos ir Komisijos rekomendacijos (ES) 2022/758 svarbą siekiant apsaugoti PVO</w:t>
            </w:r>
            <w:r w:rsidRPr="002C61E4">
              <w:t>;</w:t>
            </w:r>
            <w:r w:rsidRPr="002C61E4">
              <w:rPr>
                <w:b/>
                <w:i/>
              </w:rPr>
              <w:t xml:space="preserve"> </w:t>
            </w:r>
            <w:r w:rsidRPr="002C61E4">
              <w:rPr>
                <w:b/>
                <w:bCs/>
                <w:i/>
                <w:iCs/>
              </w:rPr>
              <w:t>mano, kad Komisija ir valstybės narės turėtų padidinti PVO finansavimą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w:t>
            </w:r>
            <w:r w:rsidRPr="002C61E4">
              <w:rPr>
                <w:b/>
                <w:bCs/>
                <w:i/>
                <w:iCs/>
              </w:rPr>
              <w:t>to, kad, remiantis Nyderlandų spaudos pranešimais, Komisija, paveikta Franso Timmermanso, pagal slaptas sutartis išleido ne mažiau kaip 700 000 EUR vadinamosioms NVO, kad pakartotų Komisijos poziciją dėl žaliojo kurso ir darytų įtaką Europos Parlamento nariams</w:t>
            </w:r>
            <w:r w:rsidRPr="002C61E4">
              <w:t>;</w:t>
            </w:r>
            <w:r w:rsidRPr="002C61E4">
              <w:rPr>
                <w:b/>
                <w:i/>
              </w:rPr>
              <w:t xml:space="preserve"> </w:t>
            </w:r>
            <w:r w:rsidRPr="002C61E4">
              <w:rPr>
                <w:b/>
                <w:bCs/>
                <w:i/>
                <w:iCs/>
              </w:rPr>
              <w:t>ragina Komisiją atskleisti visą su šiuo skandalu susijusią informaciją</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369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Raquel García Hermida-Van Der Walle, Fabienne Keller, Sophie Wilmès, Moritz Körner,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yra susirūpinęs dėl stiprėjančios tendencijos, kad PVO ir žmogaus teisių gynėjai susiduria su papildomais teisiniais apribojimais, finansavimo trūkumu ir išpuoliais</w:t>
            </w:r>
            <w:r w:rsidRPr="002C61E4">
              <w:rPr>
                <w:b/>
                <w:bCs/>
                <w:i/>
                <w:iCs/>
              </w:rPr>
              <w:t>, kurie daro įtaką asociacijų laisvei ir susirinkimų laisvei</w:t>
            </w:r>
            <w:r w:rsidRPr="002C61E4">
              <w:t>;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finansavimą</w:t>
            </w:r>
            <w:r w:rsidRPr="002C61E4">
              <w:rPr>
                <w:b/>
                <w:bCs/>
                <w:i/>
                <w:iCs/>
              </w:rPr>
              <w:t xml:space="preserve"> ir užtikrinti tinkamą PVO ir žmogaus teisių gynėjų apsaugą, įskaitant ankstyvąjį įspėjimą</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w:t>
            </w:r>
            <w:r w:rsidRPr="002C61E4">
              <w:rPr>
                <w:b/>
                <w:i/>
              </w:rPr>
              <w:t>mano, kad Komisija ir valstybės narės turėtų padidinti PVO finansavimą;</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w:t>
            </w:r>
            <w:r w:rsidRPr="002C61E4">
              <w:rPr>
                <w:b/>
                <w:i/>
              </w:rPr>
              <w:t>mano, kad Komisija ir valstybės narės turėtų padidinti PVO finansavimą;</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w:t>
            </w:r>
            <w:r w:rsidRPr="002C61E4">
              <w:rPr>
                <w:b/>
                <w:bCs/>
                <w:i/>
                <w:iCs/>
              </w:rPr>
              <w:t xml:space="preserve">kai kuriose valstybėse narėse </w:t>
            </w:r>
            <w:r w:rsidRPr="002C61E4">
              <w:t>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w:t>
            </w:r>
            <w:r w:rsidRPr="002C61E4">
              <w:rPr>
                <w:b/>
                <w:bCs/>
                <w:i/>
                <w:iCs/>
              </w:rPr>
              <w:t>finansavimą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mano, kad Komisija ir valstybės narės turėtų padidinti PVO </w:t>
            </w:r>
            <w:r w:rsidRPr="002C61E4">
              <w:rPr>
                <w:b/>
                <w:bCs/>
                <w:i/>
                <w:iCs/>
              </w:rPr>
              <w:t>finansavimo skaidrumą ir atvirumą</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w:t>
            </w:r>
            <w:r w:rsidRPr="002C61E4">
              <w:rPr>
                <w:b/>
                <w:bCs/>
                <w:i/>
                <w:iCs/>
              </w:rPr>
              <w:t>mano, kad Komisija ir valstybės narės turėtų</w:t>
            </w:r>
            <w:r w:rsidRPr="002C61E4">
              <w:t xml:space="preserve"> padidinti PVO finansavimą;</w:t>
            </w:r>
          </w:p>
        </w:tc>
        <w:tc>
          <w:tcPr>
            <w:tcW w:w="4876" w:type="dxa"/>
            <w:tcBorders>
              <w:top w:val="nil"/>
              <w:left w:val="nil"/>
              <w:bottom w:val="nil"/>
              <w:right w:val="nil"/>
            </w:tcBorders>
          </w:tcPr>
          <w:p w:rsidR="00E82389" w:rsidRPr="002C61E4" w:rsidRDefault="00E82389" w:rsidP="003B0113">
            <w:pPr>
              <w:pStyle w:val="Normal6a"/>
            </w:pPr>
            <w:r w:rsidRPr="002C61E4">
              <w:t>13.</w:t>
            </w:r>
            <w:r w:rsidRPr="002C61E4">
              <w:tab/>
              <w:t xml:space="preserve">yra susirūpinęs dėl stiprėjančios tendencijos, kad PVO ir žmogaus teisių gynėjai susiduria su papildomais teisiniais apribojimais, finansavimo trūkumu ir išpuoliais; ragina sukurti pilietinę visuomenę įgalinančią ir remiančią sistemą ir pakartotinai pabrėžia Kovos su SLAPP direktyvos ir Komisijos rekomendacijos (ES) 2022/758 svarbą siekiant apsaugoti PVO; </w:t>
            </w:r>
            <w:r w:rsidRPr="002C61E4">
              <w:rPr>
                <w:b/>
                <w:bCs/>
                <w:i/>
                <w:iCs/>
              </w:rPr>
              <w:t>rekomenduoja valstybėms narėms išnagrinėti būdus, kaip</w:t>
            </w:r>
            <w:r w:rsidRPr="002C61E4">
              <w:t xml:space="preserve"> padidinti PVO </w:t>
            </w:r>
            <w:r w:rsidRPr="002C61E4">
              <w:lastRenderedPageBreak/>
              <w:t>finansavimą;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13a.</w:t>
            </w:r>
            <w:r w:rsidRPr="002C61E4">
              <w:tab/>
            </w:r>
            <w:r w:rsidRPr="002C61E4">
              <w:rPr>
                <w:b/>
                <w:i/>
              </w:rPr>
              <w:t>smerkia tai, kad keliose valstybėse narėse valdžios institucijos taikė neproporcingas priemones, pvz., iš anksto uždraudė viešus solidarumo su Palestina susirinkimus, šį sprendimą pagrįsdamos pavojumi „viešajai tvarkai“ ir „saugumui“, taip pat naudojo pernelyg didelę jėgą ir sulaikė protestuotojus, o teisėtą Izraelio valdžios institucijų kritiką prilygino antisemitizmui, dėl to atsirado neigiamas poveikis; pabrėžia, kad keliais atvejais draudimai buvo apskųsti, o teismai ėmėsi priemonių, kad solidarumo su Palestina protestai nebūtų uždrausti; aukščiausiu politiniu lygmeniu smerkia neteisėtus teisės į taikių susirinkimų ir saviraiškos laisvę apribojimus; ragina Komisiją metiniame teisinės valstybės cikle atkreipti dėmesį į šiuos apribojimus ir pateikti rekomendacijas valstybėms narėms visada gerbti teisę į taikius susirinkimus, kaip numatyta tarptautinėje teisėje;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Michał Wawrykiewicz, Ana Catarina Mendes, Moritz Körner, 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 a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pabrėžia, kad pilietinės visuomenės pastangas skatinti demokratines vertybes ir teisinę valstybę turėtų papildyti visuomenės švietimo kampanijos, kuriomis būtų pabrėžiama laisvų ir nepriklausomų teismų svarba užtikrinant teisingumą, sąžiningumą ir atskaitomybę; pabrėžia, kad visuomenės informuotumas apie pagrindinį teisminių institucijų vaidmenį ginant demokratijos principus, užkertant kelią piktnaudžiavimui valdžia ir saugant piliečių teises yra labai svarbus siekiant ugdyti pagarbos teisinei valstybei kultūrą; ragina valstybes nares remti pilietinės visuomenės organizacijas kuriant ir skleidžiant švietimo iniciatyvas, kad būtų užtikrintas platus pasiekiamumas ir prieinamumas;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Marco Tarquinio, Alessandro Zan, Damien Carême, Mélissa Camara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13a.</w:t>
            </w:r>
            <w:r w:rsidRPr="002C61E4">
              <w:tab/>
            </w:r>
            <w:r w:rsidRPr="002C61E4">
              <w:rPr>
                <w:b/>
                <w:i/>
              </w:rPr>
              <w:t>įspėja, kad keliose ES šalyse mažėja pilietinė erdvė kovos su rasizmu organizacijoms ir žmogaus teisių gynėjams, jie susiduria su teisiniais ir finansiniais apribojimais, finansavimo sustabdymu, šmeižto kampanijomis ir bauginimu; ragina Komisiją į teisinės valstybės principo taikymo ataskaitas įtraukti pilietinės visuomenės organizacijų, kovojančių su rasizmu, stebėseną ir remti jų veiklą plečiant ir užtikrinant ES finansavimą su rasizmu kovojančioms PVO;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Evin Incir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13a.</w:t>
            </w:r>
            <w:r w:rsidRPr="002C61E4">
              <w:tab/>
            </w:r>
            <w:r w:rsidRPr="002C61E4">
              <w:rPr>
                <w:b/>
                <w:i/>
              </w:rPr>
              <w:t>yra susirūpinęs dėl to, kad Švedijoje vykdomų pilietinės visuomenės organizacijų finansavimo ir veiklos teisinės sistemos reformos daro neigiamą poveikį pilietinės visuomenės dalyvavimui; pabrėžia, kad gerai veikianti pilietinė visuomenė yra neatsiejama demokratinės visuomenės dalis; ragina Švedijos vyriausybę sukurti atvirą erdvę pilietinės visuomenės ir žmogaus teisių gynėjų veiklai ir panaikinti visus nepagrįstus finansavimo ir veiklos apribojimus;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379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Jorge Buxadé Villalba, Tom Vandendriessche,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13a.</w:t>
            </w:r>
            <w:r w:rsidRPr="002C61E4">
              <w:tab/>
            </w:r>
            <w:r w:rsidRPr="002C61E4">
              <w:rPr>
                <w:b/>
                <w:i/>
              </w:rPr>
              <w:t>reiškia didelį susirūpinimą dėl nepakankamo pilietinės visuomenės organizacijų skaidrumo, ypač jų finansavimo srityje; primena Europos Audito Rūmų specialiąją ataskaitą Nr. 35/2018, kurioje atkreiptas dėmesys į nepakankamą pilietinės visuomenės organizacijų įgyvendinamų ES lėšų skaidrumą ir dėl to kylančią pinigų plovimo ir teroristų finansavimo per ne pelno organizacijas riziką;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13a.</w:t>
            </w:r>
            <w:r w:rsidRPr="002C61E4">
              <w:tab/>
            </w:r>
            <w:r w:rsidRPr="002C61E4">
              <w:rPr>
                <w:b/>
                <w:i/>
              </w:rPr>
              <w:t>griežtai smerkia „užsienio agentų įstatymų“ taikymą ir pažymi, kad šiais įstatymais malšinamas visuomenės nepritarimas, persekiojamos pilietinės visuomenės organizacijos ir ribojamos jų galimybės laisvai veikti; jie daro neigiamą poveikį pilietinei visuomenei ir žmogaus teisių gynėjams;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13a.</w:t>
            </w:r>
            <w:r w:rsidRPr="002C61E4">
              <w:tab/>
            </w:r>
            <w:r w:rsidRPr="002C61E4">
              <w:rPr>
                <w:b/>
                <w:i/>
              </w:rPr>
              <w:t>ragina Komisiją vengti bet kokios veiklos, kuria siekiama įpareigoti nevyriausybines organizacijas užsiimti lobistine veikla, orientuota į konkrečius Europos Parlamento narius ar konkrečius Komisijos skyrius;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 xml:space="preserve">Ana Catarina Mendes, Chloé Ridel, Sandro Ruotolo, Francisco Assis, Hannes Heide, Pina Picierno, Matjaž Nemec, Emma Rafowicz, Krzysztof Śmiszek, Katarina Barley, </w:t>
      </w:r>
      <w:r w:rsidRPr="002C61E4">
        <w:lastRenderedPageBreak/>
        <w:t>Evin Incir, Juan Fernando López Aguilar, Nacho Sánchez Amor, Marco Tarquinio, Javier Moreno Sánchez, Alessandro Zan, Daniel Freund, Isabel Serra Sánchez,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13b.</w:t>
            </w:r>
            <w:r w:rsidRPr="002C61E4">
              <w:tab/>
            </w:r>
            <w:r w:rsidRPr="002C61E4">
              <w:rPr>
                <w:b/>
                <w:i/>
              </w:rPr>
              <w:t>pabrėžia, kad pilietinės visuomenės organizacijos, įskaitant organizacijas, kurios pasisako už teisinės valstybės ir demokratijos principų taikymą, marginalizuotų grupių apsaugą, aplinkos apsaugą ir socialinį teisingumą, atlieka svarbų vaidmenį užtikrinant teisinės valstybės principo laikymąsi ir turėtų būti apsaugotos nuo nepagrįstų apribojimų ar bauginimo; be to, pabrėžia, jog svarbu užtikrinti, kad Europos Sąjunga šioms organizacijoms skirtų pakankamai finansinių išteklių jų veiklai remti, ypač atsižvelgiant į didėjančius iššūkius, pvz., mažėjančią pilietinę erdvę ir didėjančią administracinę naštą; pripažįsta, kad šioms organizacijoms būtinas pakankamas finansavimas, kad jos galėtų veiksmingai prisidėti prie demokratijos, žmogaus teisių ir socialinio teisingumo – Sutartyse įtvirtintų vertybių – skatinimo visose valstybėse narėse;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13b.</w:t>
            </w:r>
            <w:r w:rsidRPr="002C61E4">
              <w:tab/>
            </w:r>
            <w:r w:rsidRPr="002C61E4">
              <w:rPr>
                <w:b/>
                <w:i/>
              </w:rPr>
              <w:t xml:space="preserve">smerkia tai, kad Prancūzija ir Ispanija pasitelkė kovos su terorizmu įstatymus, siekdamos patraukti baudžiamojon atsakomybėn žmogaus </w:t>
            </w:r>
            <w:r w:rsidRPr="002C61E4">
              <w:rPr>
                <w:b/>
                <w:i/>
              </w:rPr>
              <w:lastRenderedPageBreak/>
              <w:t>teisių aktyvistus, kurie solidarizavosi su Palestina; pabrėžia, kad bet koks saviraiškos laisvės apribojimas turi būti būtinas nacionaliniam saugumui apsaugoti ir proporcingas siekiamam teisėtam tikslui, o kovos su terorizmu teisės aktai turėtų būti taikomi tik tokiam turiniui ar veiklai, kurie neabejotinai ir tiesiogiai reiškia smurto naudojimą ar grasinimą smurtu, siekiant skleisti baimę ir išprovokuoti terorą;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Alessandro Zan, Fabienne Keller, Lucia Yar, Irena Joveva,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13a.</w:t>
            </w:r>
            <w:r w:rsidRPr="002C61E4">
              <w:tab/>
            </w:r>
            <w:r w:rsidRPr="002C61E4">
              <w:rPr>
                <w:b/>
                <w:i/>
              </w:rPr>
              <w:t>ragina valstybes nares stiprinti nacionalinių priežiūros institucijų nepriklausomumą, užtikrinant joms reikiamų išteklių skyrimą ir laisvę nuo politinio kišimosi; pabrėžia pilietinės visuomenės ir žmogaus teisių gynėjų svarbą skatinant atskaitomybę ir apsaugant pagrindines teises; apgailestauja dėl pilietinės visuomenės veiklos apribojimų kai kuriose valstybėse narėse;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 Cecilia Strada, Sandro Ruotolo, Pina Picierno, Marco Tarquinio</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4 a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tvirtai pabrėžia, kad teisinės valstybės principo taikymas yra būtina tinkamo mūsų demokratijos veikimo ir pagrindinių teisių apsaugos sąlyga; apgailestauja, kad kai kuriose valstybėse narėse nepasiekta pažangos lygybės ir nediskriminavimo politikos srityje; smerkia įvairiose valstybėse narėse, ypač Italijoje, Vengrijoje, Slovakijoje, Bulgarijoje ir Rumunijoje, didėjančią diskriminaciją, neapykantą ir smurtą prieš tam tikras žmonių grupes;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 neturėtų būti trikdomas dėl diskriminacinės praktikos;</w:t>
            </w:r>
          </w:p>
        </w:tc>
        <w:tc>
          <w:tcPr>
            <w:tcW w:w="4876" w:type="dxa"/>
            <w:tcBorders>
              <w:top w:val="nil"/>
              <w:left w:val="nil"/>
              <w:bottom w:val="nil"/>
              <w:right w:val="nil"/>
            </w:tcBorders>
          </w:tcPr>
          <w:p w:rsidR="00E82389" w:rsidRPr="002C61E4" w:rsidRDefault="00E82389" w:rsidP="003B0113">
            <w:pPr>
              <w:pStyle w:val="Normal6a"/>
            </w:pPr>
            <w:r w:rsidRPr="002C61E4">
              <w:t>14.</w:t>
            </w:r>
            <w:r w:rsidRPr="002C61E4">
              <w:tab/>
            </w:r>
            <w:r w:rsidRPr="002C61E4">
              <w:rPr>
                <w:b/>
                <w:i/>
              </w:rPr>
              <w:t>tvirtai pabrėžia, kad teisinės valstybės principo taikymas yra būtina tinkamo mūsų demokratijos veikimo ir asmens teisių apsaugos sąlyga, remiantis ES sutarties 2 straipsniu;</w:t>
            </w:r>
            <w:r w:rsidRPr="002C61E4">
              <w:t xml:space="preserve"> 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w:t>
            </w:r>
            <w:r w:rsidRPr="002C61E4">
              <w:rPr>
                <w:b/>
                <w:bCs/>
                <w:i/>
                <w:iCs/>
              </w:rPr>
              <w:t>, teisė laisvai judėti ES teritorijoje ir šeimos susijungimas</w:t>
            </w:r>
            <w:r w:rsidRPr="002C61E4">
              <w:t xml:space="preserve"> neturėtų būti trikdomas dėl diskriminacinės praktikos</w:t>
            </w:r>
            <w:r w:rsidRPr="002C61E4">
              <w:rPr>
                <w:b/>
                <w:bCs/>
                <w:i/>
                <w:iCs/>
              </w:rPr>
              <w:t xml:space="preserve">, ir kiekvienas pilietis turi turėti lygias teises ir visapusiškai jomis naudotis, ragina visas valstybes nares teisiškai pripažinti tos </w:t>
            </w:r>
            <w:r w:rsidRPr="002C61E4">
              <w:rPr>
                <w:b/>
                <w:bCs/>
                <w:i/>
                <w:iCs/>
              </w:rPr>
              <w:lastRenderedPageBreak/>
              <w:t>pačios lyties asmenų partnerystę</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 neturėtų būti trikdomas dėl diskriminacinės praktikos;</w:t>
            </w:r>
          </w:p>
        </w:tc>
        <w:tc>
          <w:tcPr>
            <w:tcW w:w="4876" w:type="dxa"/>
            <w:tcBorders>
              <w:top w:val="nil"/>
              <w:left w:val="nil"/>
              <w:bottom w:val="nil"/>
              <w:right w:val="nil"/>
            </w:tcBorders>
          </w:tcPr>
          <w:p w:rsidR="00E82389" w:rsidRPr="002C61E4" w:rsidRDefault="00E82389" w:rsidP="003B0113">
            <w:pPr>
              <w:pStyle w:val="Normal6a"/>
            </w:pPr>
            <w:r w:rsidRPr="002C61E4">
              <w:t>14.</w:t>
            </w:r>
            <w:r w:rsidRPr="002C61E4">
              <w:tab/>
              <w:t xml:space="preserve">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 neturėtų būti trikdomas dėl diskriminacinės praktikos; </w:t>
            </w:r>
            <w:r w:rsidRPr="002C61E4">
              <w:rPr>
                <w:b/>
                <w:i/>
              </w:rPr>
              <w:t>pabrėžia, kad iškilus grėsmei nacionaliniam saugumui, kaip yra instrumentalizuotos migracijos atveju, valstybės narės turi turėti galimybę taikyti išimtines procedūras, įskaitant tarpvalstybinio judumo apribojimus;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 xml:space="preserve">primena, kad valstybių narių teisinėse sistemose turi būti įtvirtintas vienodos teisinės sąlygos, skatinama lygybė ir asmenų teisė nebūti diskriminuojamiems teismo procesuose; ragina Komisiją imtis veiksmų šių principų </w:t>
            </w:r>
            <w:r w:rsidRPr="002C61E4">
              <w:lastRenderedPageBreak/>
              <w:t>nesilaikymo atvejais; pripažįsta, kad laisvas asmenų judėjimas ES neturėtų būti trikdomas dėl diskriminacinės praktikos;</w:t>
            </w:r>
          </w:p>
        </w:tc>
        <w:tc>
          <w:tcPr>
            <w:tcW w:w="4876" w:type="dxa"/>
            <w:tcBorders>
              <w:top w:val="nil"/>
              <w:left w:val="nil"/>
              <w:bottom w:val="nil"/>
              <w:right w:val="nil"/>
            </w:tcBorders>
          </w:tcPr>
          <w:p w:rsidR="00E82389" w:rsidRPr="002C61E4" w:rsidRDefault="00E82389" w:rsidP="003B0113">
            <w:pPr>
              <w:pStyle w:val="Normal6a"/>
            </w:pPr>
            <w:r w:rsidRPr="002C61E4">
              <w:lastRenderedPageBreak/>
              <w:t>14.</w:t>
            </w:r>
            <w:r w:rsidRPr="002C61E4">
              <w:tab/>
              <w:t xml:space="preserve">primena, kad valstybių narių teisinėse sistemose turi būti įtvirtintas vienodos teisinės sąlygos, skatinama lygybė ir asmenų teisė nebūti diskriminuojamiems teismo procesuose; ragina Komisiją imtis veiksmų šių principų </w:t>
            </w:r>
            <w:r w:rsidRPr="002C61E4">
              <w:lastRenderedPageBreak/>
              <w:t xml:space="preserve">nesilaikymo atvejais; pripažįsta, kad laisvas asmenų judėjimas ES neturėtų būti trikdomas dėl diskriminacinės praktikos; </w:t>
            </w:r>
            <w:r w:rsidRPr="002C61E4">
              <w:rPr>
                <w:b/>
                <w:i/>
              </w:rPr>
              <w:t>ragina Komisiją ištirti, ar atvykimo į Šengeno erdvę apribojimai, įskaitant de facto nuolatinius patikrinimus prie Vokietijos sienų, prilygsta profiliavimui dėl pilietybės;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389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primena, kad valstybių narių teisinėse sistemose turi būti įtvirtintas vienodos teisinės sąlygos, skatinama lygybė ir asmenų teisė nebūti diskriminuojamiems teismo procesuose</w:t>
            </w:r>
            <w:r w:rsidRPr="002C61E4">
              <w:rPr>
                <w:b/>
                <w:bCs/>
                <w:i/>
                <w:iCs/>
              </w:rPr>
              <w:t>;</w:t>
            </w:r>
            <w:r w:rsidRPr="002C61E4">
              <w:t xml:space="preserve"> </w:t>
            </w:r>
            <w:r w:rsidRPr="002C61E4">
              <w:rPr>
                <w:b/>
                <w:i/>
              </w:rPr>
              <w:t>ragina Komisiją imtis veiksmų šių principų nesilaikymo atvejais; pripažįsta, kad laisvas asmenų judėjimas ES neturėtų būti trikdomas dėl diskriminacinės praktikos</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14.</w:t>
            </w:r>
            <w:r w:rsidRPr="002C61E4">
              <w:tab/>
              <w:t>primena, kad valstybių narių teisinėse sistemose turi būti įtvirtintas vienodos teisinės sąlygos, skatinama lygybė ir asmenų teisė nebūti diskriminuojamiems teismo procesuose;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Paolo Inselvini, Alessandro Ciriani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 xml:space="preserve">primena, kad valstybių narių teisinėse sistemose turi būti įtvirtintas vienodos teisinės sąlygos, skatinama lygybė ir asmenų teisė nebūti diskriminuojamiems teismo procesuose; </w:t>
            </w:r>
            <w:r w:rsidRPr="002C61E4">
              <w:lastRenderedPageBreak/>
              <w:t>ragina Komisiją imtis veiksmų šių principų nesilaikymo atvejais; pripažįsta, kad laisvas asmenų judėjimas ES neturėtų būti trikdomas dėl diskriminacinės praktikos;</w:t>
            </w:r>
          </w:p>
        </w:tc>
        <w:tc>
          <w:tcPr>
            <w:tcW w:w="4876" w:type="dxa"/>
            <w:tcBorders>
              <w:top w:val="nil"/>
              <w:left w:val="nil"/>
              <w:bottom w:val="nil"/>
              <w:right w:val="nil"/>
            </w:tcBorders>
          </w:tcPr>
          <w:p w:rsidR="00E82389" w:rsidRPr="002C61E4" w:rsidRDefault="00E82389" w:rsidP="003B0113">
            <w:pPr>
              <w:pStyle w:val="Normal6a"/>
            </w:pPr>
            <w:r w:rsidRPr="002C61E4">
              <w:lastRenderedPageBreak/>
              <w:t>14.</w:t>
            </w:r>
            <w:r w:rsidRPr="002C61E4">
              <w:tab/>
              <w:t xml:space="preserve">primena, kad valstybių narių teisinėse sistemose turi būti įtvirtintas vienodos teisinės sąlygos, skatinama lygybė ir asmenų teisė nebūti diskriminuojamiems teismo procesuose; </w:t>
            </w:r>
            <w:r w:rsidRPr="002C61E4">
              <w:lastRenderedPageBreak/>
              <w:t>ragina Komisiją imtis veiksmų šių principų nesilaikymo atvejais; pripažįsta, kad laisvas asmenų judėjimas ES neturėtų būti trikdomas dėl diskriminacinės praktikos</w:t>
            </w:r>
            <w:r w:rsidRPr="002C61E4">
              <w:rPr>
                <w:b/>
                <w:i/>
              </w:rPr>
              <w:t>, tačiau visapusiškai atsižvelgiant į klausimus ir atvejus, už kuriuos pagal subsidiarumo principą atsakingos valstybės narės</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Raquel García Hermida-Van Der Walle, Fabienne Keller, Sophie Wilmès, Moritz Körner,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 neturėtų būti trikdomas dėl diskriminacinės praktikos;</w:t>
            </w:r>
          </w:p>
        </w:tc>
        <w:tc>
          <w:tcPr>
            <w:tcW w:w="4876" w:type="dxa"/>
            <w:tcBorders>
              <w:top w:val="nil"/>
              <w:left w:val="nil"/>
              <w:bottom w:val="nil"/>
              <w:right w:val="nil"/>
            </w:tcBorders>
          </w:tcPr>
          <w:p w:rsidR="00E82389" w:rsidRPr="002C61E4" w:rsidRDefault="00E82389" w:rsidP="003B0113">
            <w:pPr>
              <w:pStyle w:val="Normal6a"/>
            </w:pPr>
            <w:r w:rsidRPr="002C61E4">
              <w:t>14.</w:t>
            </w:r>
            <w:r w:rsidRPr="002C61E4">
              <w:tab/>
              <w:t>primena, kad valstybių narių teisinėse sistemose turi būti įtvirtintas vienodos teisinės sąlygos, skatinama lygybė ir asmenų teisė nebūti diskriminuojamiems teismo procesuose;</w:t>
            </w:r>
            <w:r w:rsidRPr="002C61E4">
              <w:rPr>
                <w:b/>
                <w:i/>
              </w:rPr>
              <w:t xml:space="preserve"> </w:t>
            </w:r>
            <w:r w:rsidRPr="002C61E4">
              <w:rPr>
                <w:b/>
                <w:bCs/>
                <w:i/>
                <w:iCs/>
              </w:rPr>
              <w:t>reiškia susirūpinimą dėl nepakankamo kovos su diskriminacija įstatymų įgyvendinimo;</w:t>
            </w:r>
            <w:r w:rsidRPr="002C61E4">
              <w:t xml:space="preserve"> ragina Komisiją imtis veiksmų šių principų nesilaikymo atvejais; pripažįsta, kad laisvas asmenų judėjimas ES neturėtų būti trikdomas dėl diskriminacinės praktikos;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Alessandro Zan, Fabienne Keller, Lucia Yar, Irena Joveva, Isabel Wiseler-Lima</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 neturėtų būti trikdomas dėl diskriminacinės praktikos;</w:t>
            </w:r>
          </w:p>
        </w:tc>
        <w:tc>
          <w:tcPr>
            <w:tcW w:w="4876" w:type="dxa"/>
            <w:tcBorders>
              <w:top w:val="nil"/>
              <w:left w:val="nil"/>
              <w:bottom w:val="nil"/>
              <w:right w:val="nil"/>
            </w:tcBorders>
          </w:tcPr>
          <w:p w:rsidR="00E82389" w:rsidRPr="002C61E4" w:rsidRDefault="00E82389" w:rsidP="003B0113">
            <w:pPr>
              <w:pStyle w:val="Normal6a"/>
            </w:pPr>
            <w:r w:rsidRPr="002C61E4">
              <w:t>14.</w:t>
            </w:r>
            <w:r w:rsidRPr="002C61E4">
              <w:tab/>
              <w:t xml:space="preserve">primena, kad valstybių narių teisinėse sistemose turi būti įtvirtintas vienodos teisinės sąlygos, skatinama lygybė ir asmenų teisė nebūti diskriminuojamiems teismo procesuose; ragina Komisiją imtis veiksmų šių principų nesilaikymo atvejais; pripažįsta, kad laisvas asmenų judėjimas ES neturėtų būti trikdomas dėl diskriminacinės praktikos; </w:t>
            </w:r>
            <w:r w:rsidRPr="002C61E4">
              <w:rPr>
                <w:b/>
                <w:i/>
              </w:rPr>
              <w:t>smerkia neapykantos kalbą prieš mažumų grupes;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14.</w:t>
            </w:r>
            <w:r w:rsidRPr="002C61E4">
              <w:tab/>
              <w:t xml:space="preserve">primena, kad valstybių narių teisinėse sistemose turi būti įtvirtintas </w:t>
            </w:r>
            <w:r w:rsidRPr="002C61E4">
              <w:rPr>
                <w:b/>
                <w:bCs/>
                <w:i/>
                <w:iCs/>
              </w:rPr>
              <w:t>vienodos teisinės sąlygos, skatinama lygybė ir</w:t>
            </w:r>
            <w:r w:rsidRPr="002C61E4">
              <w:t xml:space="preserve"> asmenų teisė nebūti diskriminuojamiems teismo procesuose;</w:t>
            </w:r>
            <w:r w:rsidRPr="002C61E4">
              <w:rPr>
                <w:b/>
                <w:i/>
              </w:rPr>
              <w:t xml:space="preserve"> </w:t>
            </w:r>
            <w:r w:rsidRPr="002C61E4">
              <w:rPr>
                <w:b/>
                <w:bCs/>
                <w:i/>
                <w:iCs/>
              </w:rPr>
              <w:t>ragina Komisiją imtis veiksmų šių principų nesilaikymo atvejais;</w:t>
            </w:r>
            <w:r w:rsidRPr="002C61E4">
              <w:t xml:space="preserve"> pripažįsta, kad laisvas </w:t>
            </w:r>
            <w:r w:rsidRPr="002C61E4">
              <w:rPr>
                <w:b/>
                <w:bCs/>
                <w:i/>
                <w:iCs/>
              </w:rPr>
              <w:t>asmenų</w:t>
            </w:r>
            <w:r w:rsidRPr="002C61E4">
              <w:t xml:space="preserve"> judėjimas ES neturėtų būti trikdomas dėl diskriminacinės praktikos;</w:t>
            </w:r>
          </w:p>
        </w:tc>
        <w:tc>
          <w:tcPr>
            <w:tcW w:w="4876" w:type="dxa"/>
            <w:tcBorders>
              <w:top w:val="nil"/>
              <w:left w:val="nil"/>
              <w:bottom w:val="nil"/>
              <w:right w:val="nil"/>
            </w:tcBorders>
          </w:tcPr>
          <w:p w:rsidR="00E82389" w:rsidRPr="002C61E4" w:rsidRDefault="00E82389" w:rsidP="003B0113">
            <w:pPr>
              <w:pStyle w:val="Normal6a"/>
            </w:pPr>
            <w:r w:rsidRPr="002C61E4">
              <w:t>14.</w:t>
            </w:r>
            <w:r w:rsidRPr="002C61E4">
              <w:tab/>
            </w:r>
            <w:r w:rsidRPr="002C61E4">
              <w:rPr>
                <w:b/>
                <w:bCs/>
                <w:i/>
                <w:iCs/>
              </w:rPr>
              <w:t>pažymi</w:t>
            </w:r>
            <w:r w:rsidRPr="002C61E4">
              <w:t xml:space="preserve">, kad valstybių narių teisinėse sistemose turi būti </w:t>
            </w:r>
            <w:r w:rsidRPr="002C61E4">
              <w:rPr>
                <w:b/>
                <w:bCs/>
                <w:i/>
                <w:iCs/>
              </w:rPr>
              <w:t xml:space="preserve">plačiu mastu </w:t>
            </w:r>
            <w:r w:rsidRPr="002C61E4">
              <w:t xml:space="preserve">įtvirtintas </w:t>
            </w:r>
            <w:r w:rsidRPr="002C61E4">
              <w:rPr>
                <w:b/>
                <w:bCs/>
                <w:i/>
                <w:iCs/>
              </w:rPr>
              <w:t>vienodų sąlygų principas</w:t>
            </w:r>
            <w:r w:rsidRPr="002C61E4">
              <w:t xml:space="preserve"> ir asmenų teisė nebūti diskriminuojamiems </w:t>
            </w:r>
            <w:r w:rsidRPr="002C61E4">
              <w:rPr>
                <w:b/>
                <w:bCs/>
                <w:i/>
                <w:iCs/>
              </w:rPr>
              <w:t xml:space="preserve">ne tik </w:t>
            </w:r>
            <w:r w:rsidRPr="002C61E4">
              <w:t xml:space="preserve">teismo procesuose; pripažįsta, kad laisvas </w:t>
            </w:r>
            <w:r w:rsidRPr="002C61E4">
              <w:rPr>
                <w:b/>
                <w:bCs/>
                <w:i/>
                <w:iCs/>
              </w:rPr>
              <w:t>ES piliečių</w:t>
            </w:r>
            <w:r w:rsidRPr="002C61E4">
              <w:t xml:space="preserve"> judėjimas ES neturėtų būti trikdomas dėl diskriminacinės praktikos;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Emma Rafowicz, Chloé Ridel, Birgit Sippel, Krzysztof Śmiszek, Hannes Heide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14a.</w:t>
            </w:r>
            <w:r w:rsidRPr="002C61E4">
              <w:tab/>
            </w:r>
            <w:r w:rsidRPr="002C61E4">
              <w:rPr>
                <w:b/>
                <w:i/>
              </w:rPr>
              <w:t>susirūpinęs atkreipia dėmesį į vis dažnesnį ir platesnį dirbtinio intelekto naudojimą nacionalinio saugumo ir teisėsaugos tikslais visoje Europos Sąjungoje; šiomis aplinkybėmis primena Prancūzijos nacionalinės konsultacinės žmogaus teisių komisijos nuomonę</w:t>
            </w:r>
            <w:r w:rsidRPr="002C61E4">
              <w:rPr>
                <w:b/>
                <w:i/>
                <w:vertAlign w:val="superscript"/>
              </w:rPr>
              <w:t>2a</w:t>
            </w:r>
            <w:r w:rsidRPr="002C61E4">
              <w:rPr>
                <w:b/>
                <w:i/>
              </w:rPr>
              <w:t xml:space="preserve"> dėl Prancūzijos valdžios institucijų naudojamos algoritminės vaizdo stebėjimo sistemos ir su ja susijusių grėsmių pagrindinėms teisėms ir laisvėms; pabrėžia, kad kontrolės, skaidrumo stoka ir precedento neturintis privačių subjektų, pvz., programinės įrangos kūrėjų dalyvavimas vykdant suverenią viešosios tvarkos valdymo užduotį kelia susirūpinimą, ir ragina Europos Komisiją stiprinti ES </w:t>
            </w:r>
            <w:r w:rsidRPr="002C61E4">
              <w:rPr>
                <w:b/>
              </w:rPr>
              <w:t>acquis</w:t>
            </w:r>
            <w:r w:rsidRPr="002C61E4">
              <w:rPr>
                <w:b/>
                <w:i/>
              </w:rPr>
              <w:t xml:space="preserve"> šioje srityje, kad ją pasitelkiant būtų užkirstas kelias masiniam stebėjimui ir diskriminacijai; taip pat primena ir pabrėžia visą Europos Teisingumo Teismo jurisprudenciją pagrindinių teisių stebėsenos ir apsaugos srityse, taip pat griežtą būtinumo ir proporcingumo kriterijų visuose teisės aktuose, kuriais būtų ribojamos pagrindinės teisės;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tc>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2a</w:t>
            </w:r>
            <w:r w:rsidRPr="002C61E4">
              <w:t xml:space="preserve"> </w:t>
            </w:r>
            <w:r w:rsidRPr="002C61E4">
              <w:rPr>
                <w:b/>
                <w:i/>
              </w:rPr>
              <w:t>Nacionalinė konsultacinė žmogaus teisių komisija yra Jungtinių Tautų akredituota Prancūzijos žmogaus teisių apsaugos ir skatinimo institucija.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Emma Rafowicz, Alessandro Zan, Birgit Sippel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14a.</w:t>
            </w:r>
            <w:r w:rsidRPr="002C61E4">
              <w:tab/>
            </w:r>
            <w:r w:rsidRPr="002C61E4">
              <w:rPr>
                <w:b/>
                <w:i/>
              </w:rPr>
              <w:t xml:space="preserve">pažymi, kad kyla nerimas dėl 2024 m. keliose valstybėse narėse </w:t>
            </w:r>
            <w:r w:rsidRPr="002C61E4">
              <w:rPr>
                <w:b/>
                <w:i/>
              </w:rPr>
              <w:lastRenderedPageBreak/>
              <w:t>padaugėjusių neapykantos nusikaltimų ir neapykantos kalbos, nukreiptos prieš LGBTIQ+ asmenis, o tai dar labiau sustiprino politinė retorika ir nepakankamas kovos su diskriminacija įstatymų vykdymas; apgailestauja, kad, nepaisant galiojančių ES teisės aktų, pvz., Direktyvos 2000/78/EB dėl vienodo požiūrio, vis dar esama įgyvendinimo spragų, todėl aukos neturi tinkamų teisinių priemonių; yra susirūpinęs, kad Komisijos teisinės valstybės principo taikymo ataskaitoje pažymėta, jog kai kurios valstybės narės nesugebėjo veiksmingai patraukti baudžiamojon atsakomybėn už neapykantos nusikaltimus arba suteikti pakankamos pagalbos aukoms, o tai pakirto pasitikėjimą teismų sistemomis ir įtvirtino nelygybę prieš įstatymą;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 Cecilia Strada, Sandro Ruotolo, Pina Picierno</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14a.</w:t>
            </w:r>
            <w:r w:rsidRPr="002C61E4">
              <w:tab/>
            </w:r>
            <w:r w:rsidRPr="002C61E4">
              <w:rPr>
                <w:b/>
                <w:i/>
              </w:rPr>
              <w:t xml:space="preserve">smerkia Italijos vyriausybės priemones ir nurodymus, kuriais ribojamos tėvų teisės ir draudžiama registruoti tos pačios lyties porų vaikų gimimo liudijimus; pripažįsta, kad šie sprendimai tiesiogiai kenkia ne tik tos pačios lyties tėvams, bet ir vaiko interesams; pažymi, kad šiais veiksmais pažeidžiamos vaiko teisės, nurodytos 1989 m. JT vaiko teisių konvencijoje; pabrėžia, kad šie sprendimai yra platesnės prieš LGBTQIA+ asmenis nukreiptos kampanijos, kuriai vadovauja Italijos vyriausybė, dalis; primygtinai ragina Italijos vyriausybę nedelsiant panaikinti </w:t>
            </w:r>
            <w:r w:rsidRPr="002C61E4">
              <w:rPr>
                <w:b/>
                <w:i/>
              </w:rPr>
              <w:lastRenderedPageBreak/>
              <w:t>šiuos sprendimus;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Chloé Ridel, Emma Rafowicz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14a.</w:t>
            </w:r>
            <w:r w:rsidRPr="002C61E4">
              <w:tab/>
            </w:r>
            <w:r w:rsidRPr="002C61E4">
              <w:rPr>
                <w:b/>
                <w:i/>
              </w:rPr>
              <w:t>ragina valstybes nares nuodugniai ištirti visus teisėsaugos pareigūnų perteklinio jėgos naudojimo ar diskriminacinio elgesio atvejus, visų pirma Prancūzijoje, ir užtikrinti sistemingas garantijas, kad tokio piktnaudžiavimo nebus; susirūpinęs atkreipia dėmesį į tai, kad vis dažniau taikomas administracinis sulaikymas siekiant užkirsti kelią žmonėms dalyvauti protestuose; apgailestauja, kad susirinkimų, saviraiškos ir asociacijų laisvės apribojimai ir pernelyg didelės jėgos naudojimas daro neproporcingai didelę įtaką mažumoms, vaikams ir moterims;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14a.</w:t>
            </w:r>
            <w:r w:rsidRPr="002C61E4">
              <w:tab/>
            </w:r>
            <w:r w:rsidRPr="002C61E4">
              <w:rPr>
                <w:b/>
                <w:i/>
              </w:rPr>
              <w:t xml:space="preserve">palankiai vertina Komisijos pasiūlymą dėl Tarybos reglamento dėl </w:t>
            </w:r>
            <w:r w:rsidRPr="002C61E4">
              <w:rPr>
                <w:b/>
                <w:i/>
              </w:rPr>
              <w:lastRenderedPageBreak/>
              <w:t>tėvystės pripažinimo valstybėse narėse; ragina Tarybą nutraukti derybas, kad būtų greitai pasiektas susitarimas; primena Europos Parlamento nuomonę, kuria remiamas tėvystės pripažinimas visoje ES, nepriklausomai nuo to, kaip vaikas pradėtas, gimė ar kokią šeimą jis turi;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399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14a.</w:t>
            </w:r>
            <w:r w:rsidRPr="002C61E4">
              <w:tab/>
            </w:r>
            <w:r w:rsidRPr="002C61E4">
              <w:rPr>
                <w:b/>
                <w:i/>
              </w:rPr>
              <w:t>PVO ir žmogaus teisių gynėjai gauna nemažai Europos lėšų iš valstybių narių nacionalinių biudžetų; nerimauja, kad šios lėšos gali būti skirstomos taip, kad prieštarautų numatytiems Europos fondų tikslams arba jiems pakenktų; ragina naudojant mokesčių mokėtojų pinigus užtikrinti visišką skaidrumą;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Alessandro Zan, Birgit Sippel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14b.</w:t>
            </w:r>
            <w:r w:rsidRPr="002C61E4">
              <w:tab/>
            </w:r>
            <w:r w:rsidRPr="002C61E4">
              <w:rPr>
                <w:b/>
                <w:i/>
              </w:rPr>
              <w:t xml:space="preserve">primena, kad 2024 m. kelios valstybės narės ir toliau įgyvendino arba toliau vykdė įstatymus ir politiką, kuriais pažeidžiamos LGBTIQ+ asmenų teisės ir kurie prieštarauja ES lygybės ir nediskriminavimo principams; primena, </w:t>
            </w:r>
            <w:r w:rsidRPr="002C61E4">
              <w:rPr>
                <w:b/>
                <w:i/>
              </w:rPr>
              <w:lastRenderedPageBreak/>
              <w:t>kad tai apima LGBTIQ+ grupių saviraiškos ir susirinkimų laisvės apribojimus, taip pat teisines kliūtis, trukdančias pripažinti tos pačios lyties asmenų partnerystę ar tėvystę kitose šalyse; įspėja, kad tokia praktika ne tik trukdo laisvam LGBTIQ+ šeimų judėjimui ES, bet ir pažeidžia Pagrindinių teisių chartijoje įtvirtintas pagrindines teises; ragina Komisiją šiuos klausimus pripažinti reikšmingais teisinės valstybės principų pažeidimais ir atkreipti dėmesį į tai, kad LGBTIQ+ asmenims valstybėse narėse netaikoma vienoda apsauga;</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14b.</w:t>
            </w:r>
            <w:r w:rsidRPr="002C61E4">
              <w:tab/>
            </w:r>
            <w:r w:rsidRPr="002C61E4">
              <w:rPr>
                <w:b/>
                <w:i/>
              </w:rPr>
              <w:t>palankiai vertina Komisijos pasiūlymą dėl reglamento dėl tėvystės pripažinimo valstybėse narėse; primena Parlamento nuomonę, kuria remiamas tėvystės pripažinimas visoje ES, nepriklausomai nuo to, kaip vaikas pradėtas, gimė ar kokią šeimą jis turi; ragina Tarybą visapusiškai atsižvelgti į šias rekomendacijas ir apsaugoti pagrindines vaikų teises, veikti atsižvelgiant į vaiko interesus, didinti teisinį tikrumą ir mažinti tos pačios lyties tėvų vaikų diskriminaciją;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Alessandro Zan, Daniel Freund, Isabel Serra Sánchez, Cecilia Strada</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14b.</w:t>
            </w:r>
            <w:r w:rsidRPr="002C61E4">
              <w:tab/>
            </w:r>
            <w:r w:rsidRPr="002C61E4">
              <w:rPr>
                <w:b/>
                <w:i/>
              </w:rPr>
              <w:t>primygtinai ragina ES uždrausti konversijos praktiką, privalomą visose valstybėse narėse; pabrėžia, koks svarbus yra LGBTQIA+ asmenų apsisprendimas, ir ragina saugoti ir stiprinti LGBTQIA+ asmenų fizinę ir psichikos sveikatą;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 Cecilia Strada, Sandro Ruotolo, Pina Picierno, Marco Tarquinio</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14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14c.</w:t>
            </w:r>
            <w:r w:rsidRPr="002C61E4">
              <w:tab/>
            </w:r>
            <w:r w:rsidRPr="002C61E4">
              <w:rPr>
                <w:b/>
                <w:i/>
              </w:rPr>
              <w:t>yra labai susirūpinęs dėl Bulgarijoje ir Vengrijoje įvestų ir Slovakijoje siūlomų diskriminacinių priemonių, nukreiptų prieš vadinamąją LGBTQIA+ propagandą, taip pat dėl Italijos Respublikos Deputatų Rūmų patvirtintos rezoliucijos, nukreiptos prieš vadinamąją lyčių ideologiją; pabrėžia, kad jos daro neigiamą poveikį vaikams, šeimoms ir darbuotojams; pabrėžia, kad šiais veiksmais skatinama LGBTQIA+ asmenų diskriminacija ir jie prieštarauja ES reglamentams ir principams;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15.</w:t>
            </w:r>
            <w:r w:rsidRPr="002C61E4">
              <w:tab/>
            </w:r>
            <w:r w:rsidRPr="002C61E4">
              <w:rPr>
                <w:b/>
                <w:i/>
              </w:rPr>
              <w:t>ragina Komisiją ir valstybes nares išplėsti ES teisinį pagrindą šioje srityje ir pateikti pasiūlymą dėl kovos su neapykantos nusikaltimais ir neapykantos kalba; ragina Tarybą priimti Direktyvą 2008/140</w:t>
            </w:r>
            <w:r w:rsidRPr="002C61E4">
              <w:rPr>
                <w:b/>
                <w:i/>
                <w:vertAlign w:val="superscript"/>
              </w:rPr>
              <w:t>42</w:t>
            </w:r>
            <w:r w:rsidRPr="002C61E4">
              <w:rPr>
                <w:b/>
                <w:i/>
              </w:rPr>
              <w:t>;</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t xml:space="preserve"> </w:t>
            </w:r>
            <w:r w:rsidRPr="002C61E4">
              <w:rPr>
                <w:b/>
                <w:i/>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15.</w:t>
            </w:r>
            <w:r w:rsidRPr="002C61E4">
              <w:tab/>
            </w:r>
            <w:r w:rsidRPr="002C61E4">
              <w:rPr>
                <w:b/>
                <w:i/>
              </w:rPr>
              <w:t>ragina Komisiją ir valstybes nares išplėsti ES teisinį pagrindą šioje srityje ir pateikti pasiūlymą dėl kovos su neapykantos nusikaltimais ir neapykantos kalba; ragina Tarybą priimti Direktyvą 2008/140</w:t>
            </w:r>
            <w:r w:rsidRPr="002C61E4">
              <w:rPr>
                <w:b/>
                <w:i/>
                <w:vertAlign w:val="superscript"/>
              </w:rPr>
              <w:t>42</w:t>
            </w:r>
            <w:r w:rsidRPr="002C61E4">
              <w:rPr>
                <w:b/>
                <w:i/>
              </w:rPr>
              <w:t>;</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rPr>
                <w:b/>
                <w:i/>
              </w:rPr>
              <w:t xml:space="preserve"> 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15.</w:t>
            </w:r>
            <w:r w:rsidRPr="002C61E4">
              <w:tab/>
            </w:r>
            <w:r w:rsidRPr="002C61E4">
              <w:rPr>
                <w:b/>
                <w:i/>
              </w:rPr>
              <w:t>ragina Komisiją ir valstybes nares išplėsti ES teisinį pagrindą šioje srityje ir pateikti pasiūlymą dėl kovos su neapykantos nusikaltimais ir neapykantos kalba; ragina Tarybą priimti Direktyvą 2008/140</w:t>
            </w:r>
            <w:r w:rsidRPr="002C61E4">
              <w:rPr>
                <w:b/>
                <w:i/>
                <w:vertAlign w:val="superscript"/>
              </w:rPr>
              <w:t>42</w:t>
            </w:r>
            <w:r w:rsidRPr="002C61E4">
              <w:rPr>
                <w:b/>
                <w:i/>
              </w:rPr>
              <w:t>;</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t xml:space="preserve"> </w:t>
            </w:r>
            <w:r w:rsidRPr="002C61E4">
              <w:rPr>
                <w:b/>
                <w:i/>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Ewa Zajączkowska-Hernik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15.</w:t>
            </w:r>
            <w:r w:rsidRPr="002C61E4">
              <w:tab/>
            </w:r>
            <w:r w:rsidRPr="002C61E4">
              <w:rPr>
                <w:b/>
                <w:i/>
              </w:rPr>
              <w:t>ragina Komisiją ir valstybes nares išplėsti ES teisinį pagrindą šioje srityje ir pateikti pasiūlymą dėl kovos su neapykantos nusikaltimais ir neapykantos kalba; ragina Tarybą priimti Direktyvą 2008/140</w:t>
            </w:r>
            <w:r w:rsidRPr="002C61E4">
              <w:rPr>
                <w:b/>
                <w:i/>
                <w:vertAlign w:val="superscript"/>
              </w:rPr>
              <w:t>42</w:t>
            </w:r>
            <w:r w:rsidRPr="002C61E4">
              <w:rPr>
                <w:b/>
                <w:i/>
              </w:rPr>
              <w:t>;</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t xml:space="preserve"> </w:t>
            </w:r>
            <w:r w:rsidRPr="002C61E4">
              <w:rPr>
                <w:b/>
                <w:i/>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408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 Alice Kuhnke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15.</w:t>
            </w:r>
            <w:r w:rsidRPr="002C61E4">
              <w:tab/>
              <w:t>ragina Komisiją ir valstybes nares išplėsti ES teisinį pagrindą šioje srityje ir pateikti pasiūlymą dėl kovos su neapykantos nusikaltimais ir neapykantos kalba; ragina Tarybą priimti Direktyvą</w:t>
            </w:r>
            <w:r w:rsidRPr="002C61E4">
              <w:rPr>
                <w:b/>
                <w:bCs/>
                <w:i/>
                <w:iCs/>
              </w:rPr>
              <w:t xml:space="preserve"> 2008/140</w:t>
            </w:r>
            <w:r w:rsidRPr="002C61E4">
              <w:rPr>
                <w:b/>
                <w:bCs/>
                <w:i/>
                <w:iCs/>
                <w:vertAlign w:val="superscript"/>
              </w:rPr>
              <w:t>42</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15.</w:t>
            </w:r>
            <w:r w:rsidRPr="002C61E4">
              <w:tab/>
              <w:t xml:space="preserve">ragina Komisiją ir valstybes nares išplėsti ES teisinį pagrindą šioje srityje ir pateikti pasiūlymą dėl kovos su neapykantos nusikaltimais ir neapykantos kalba; </w:t>
            </w:r>
            <w:r w:rsidRPr="002C61E4">
              <w:rPr>
                <w:b/>
                <w:bCs/>
                <w:i/>
                <w:iCs/>
              </w:rPr>
              <w:t>apgailestauja dėl Komisijos ketinimo atsiimti pasiūlymą dėl Horizontaliosios kovos su diskriminacija direktyvos</w:t>
            </w:r>
            <w:r w:rsidRPr="002C61E4">
              <w:rPr>
                <w:b/>
                <w:bCs/>
                <w:i/>
                <w:iCs/>
                <w:vertAlign w:val="superscript"/>
              </w:rPr>
              <w:t>42</w:t>
            </w:r>
            <w:r w:rsidRPr="002C61E4">
              <w:rPr>
                <w:b/>
                <w:bCs/>
                <w:i/>
                <w:iCs/>
              </w:rPr>
              <w:t xml:space="preserve"> ir primygtinai</w:t>
            </w:r>
            <w:r w:rsidRPr="002C61E4">
              <w:t xml:space="preserve"> ragina Tarybą </w:t>
            </w:r>
            <w:r w:rsidRPr="002C61E4">
              <w:rPr>
                <w:b/>
                <w:bCs/>
                <w:i/>
                <w:iCs/>
              </w:rPr>
              <w:t>nedelsiant</w:t>
            </w:r>
            <w:r w:rsidRPr="002C61E4">
              <w:t xml:space="preserve"> priimti </w:t>
            </w:r>
            <w:r w:rsidRPr="002C61E4">
              <w:rPr>
                <w:b/>
                <w:bCs/>
                <w:i/>
                <w:iCs/>
              </w:rPr>
              <w:t>šią</w:t>
            </w:r>
            <w:r w:rsidRPr="002C61E4">
              <w:t xml:space="preserve"> direktyvą;</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t xml:space="preserve"> </w:t>
            </w:r>
            <w:r w:rsidRPr="002C61E4">
              <w:rPr>
                <w:b/>
                <w:i/>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t xml:space="preserve"> </w:t>
            </w:r>
            <w:r w:rsidRPr="002C61E4">
              <w:rPr>
                <w:b/>
                <w:i/>
              </w:rPr>
              <w:t>Pasiūlymas dėl Tarybos direktyvos, kuria įgyvendinamas vienodo požiūrio į asmenis, nepaisant jų religijos ar tikėjimo, negalios, amžiaus arba seksualinės orientacijos, principas (COM(2008)0426).</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409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Mary Khan, Christine Anderson, Milan Uhrík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15.</w:t>
            </w:r>
            <w:r w:rsidRPr="002C61E4">
              <w:tab/>
            </w:r>
            <w:r w:rsidRPr="002C61E4">
              <w:rPr>
                <w:b/>
                <w:bCs/>
                <w:i/>
                <w:iCs/>
              </w:rPr>
              <w:t>ragina Komisiją ir valstybes nares išplėsti ES teisinį pagrindą šioje srityje ir pateikti pasiūlymą</w:t>
            </w:r>
            <w:r w:rsidRPr="002C61E4">
              <w:t xml:space="preserve"> dėl kovos su neapykantos nusikaltimais ir neapykantos kalba; </w:t>
            </w:r>
            <w:r w:rsidRPr="002C61E4">
              <w:rPr>
                <w:b/>
                <w:bCs/>
                <w:i/>
                <w:iCs/>
              </w:rPr>
              <w:t>ragina Tarybą priimti Direktyvą 2008/140</w:t>
            </w:r>
            <w:r w:rsidRPr="002C61E4">
              <w:rPr>
                <w:b/>
                <w:bCs/>
                <w:i/>
                <w:iCs/>
                <w:vertAlign w:val="superscript"/>
              </w:rPr>
              <w:t>42</w:t>
            </w:r>
            <w:r w:rsidRPr="002C61E4">
              <w:rPr>
                <w:b/>
                <w:bCs/>
                <w:i/>
                <w:iCs/>
              </w:rPr>
              <w:t>;</w:t>
            </w:r>
          </w:p>
        </w:tc>
        <w:tc>
          <w:tcPr>
            <w:tcW w:w="4876" w:type="dxa"/>
            <w:tcBorders>
              <w:top w:val="nil"/>
              <w:left w:val="nil"/>
              <w:bottom w:val="nil"/>
              <w:right w:val="nil"/>
            </w:tcBorders>
          </w:tcPr>
          <w:p w:rsidR="00E82389" w:rsidRPr="002C61E4" w:rsidRDefault="00E82389" w:rsidP="003B0113">
            <w:pPr>
              <w:pStyle w:val="Normal6a"/>
            </w:pPr>
            <w:r w:rsidRPr="002C61E4">
              <w:t>15.</w:t>
            </w:r>
            <w:r w:rsidRPr="002C61E4">
              <w:tab/>
            </w:r>
            <w:r w:rsidRPr="002C61E4">
              <w:rPr>
                <w:b/>
                <w:bCs/>
                <w:i/>
                <w:iCs/>
              </w:rPr>
              <w:t>nepritaria jokiam Komisijos pasiūlymui</w:t>
            </w:r>
            <w:r w:rsidRPr="002C61E4">
              <w:t xml:space="preserve"> dėl kovos su neapykantos nusikaltimais ir neapykantos kalba;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t xml:space="preserve"> </w:t>
            </w:r>
            <w:r w:rsidRPr="002C61E4">
              <w:rPr>
                <w:b/>
                <w:i/>
              </w:rPr>
              <w:t xml:space="preserve">Pasiūlymas dėl Tarybos direktyvos, kuria įgyvendinamas vienodo požiūrio į asmenis, nepaisant jų religijos ar tikėjimo, negalios, amžiaus arba seksualinės </w:t>
            </w:r>
            <w:r w:rsidRPr="002C61E4">
              <w:rPr>
                <w:b/>
                <w:i/>
              </w:rPr>
              <w:lastRenderedPageBreak/>
              <w:t>orientacijos, principas (COM(2008)0426).</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15.</w:t>
            </w:r>
            <w:r w:rsidRPr="002C61E4">
              <w:tab/>
              <w:t xml:space="preserve">ragina Komisiją ir valstybes nares </w:t>
            </w:r>
            <w:r w:rsidRPr="002C61E4">
              <w:rPr>
                <w:b/>
                <w:bCs/>
                <w:i/>
                <w:iCs/>
              </w:rPr>
              <w:t>išplėsti ES teisinį pagrindą šioje srityje ir pateikti pasiūlymą dėl kovos su neapykantos nusikaltimais ir neapykantos kalba</w:t>
            </w:r>
            <w:r w:rsidRPr="002C61E4">
              <w:t>;</w:t>
            </w:r>
            <w:r w:rsidRPr="002C61E4">
              <w:rPr>
                <w:b/>
                <w:i/>
              </w:rPr>
              <w:t xml:space="preserve"> </w:t>
            </w:r>
            <w:r w:rsidRPr="002C61E4">
              <w:rPr>
                <w:b/>
                <w:bCs/>
                <w:i/>
                <w:iCs/>
              </w:rPr>
              <w:t>ragina Tarybą priimti Direktyvą</w:t>
            </w:r>
            <w:r w:rsidRPr="002C61E4">
              <w:t xml:space="preserve"> 2008/140</w:t>
            </w:r>
            <w:r w:rsidRPr="002C61E4">
              <w:rPr>
                <w:vertAlign w:val="superscript"/>
              </w:rPr>
              <w:t>42</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15.</w:t>
            </w:r>
            <w:r w:rsidRPr="002C61E4">
              <w:tab/>
              <w:t xml:space="preserve">ragina Komisiją ir valstybes nares </w:t>
            </w:r>
            <w:r w:rsidRPr="002C61E4">
              <w:rPr>
                <w:b/>
                <w:bCs/>
                <w:i/>
                <w:iCs/>
              </w:rPr>
              <w:t>peržiūrėti šios srities reguliavimo sistemą ir gerbti žodžio ir saviraiškos laisvę</w:t>
            </w:r>
            <w:r w:rsidRPr="002C61E4">
              <w:t>;</w:t>
            </w:r>
            <w:r w:rsidRPr="002C61E4">
              <w:rPr>
                <w:b/>
                <w:i/>
              </w:rPr>
              <w:t xml:space="preserve"> </w:t>
            </w:r>
            <w:r w:rsidRPr="002C61E4">
              <w:rPr>
                <w:b/>
                <w:bCs/>
                <w:i/>
                <w:iCs/>
              </w:rPr>
              <w:t>nepritaria cenzūros įvedimui skiriant bausmes už „neapykantos kalbą“ ir Direktyvos</w:t>
            </w:r>
            <w:r w:rsidRPr="002C61E4">
              <w:t xml:space="preserve"> 2008/140</w:t>
            </w:r>
            <w:r w:rsidRPr="002C61E4">
              <w:rPr>
                <w:vertAlign w:val="superscript"/>
              </w:rPr>
              <w:t>42</w:t>
            </w:r>
            <w:r w:rsidRPr="002C61E4">
              <w:t xml:space="preserve"> </w:t>
            </w:r>
            <w:r w:rsidRPr="002C61E4">
              <w:rPr>
                <w:b/>
                <w:bCs/>
                <w:i/>
                <w:iCs/>
              </w:rPr>
              <w:t>analizei šiuo požiūriu</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42</w:t>
            </w:r>
            <w:r w:rsidRPr="002C61E4">
              <w:t xml:space="preserve"> 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42</w:t>
            </w:r>
            <w:r w:rsidRPr="002C61E4">
              <w:t xml:space="preserve"> Pasiūlymas dėl Tarybos direktyvos, kuria įgyvendinamas vienodo požiūrio į asmenis, nepaisant jų religijos ar tikėjimo, negalios, amžiaus arba seksualinės orientacijos, principas (COM(2008)0426).</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15.</w:t>
            </w:r>
            <w:r w:rsidRPr="002C61E4">
              <w:tab/>
              <w:t>ragina Komisiją ir valstybes nares išplėsti ES teisinį pagrindą šioje srityje ir pateikti pasiūlymą dėl kovos su neapykantos nusikaltimais ir neapykantos kalba; ragina Tarybą priimti Direktyvą 2008/140</w:t>
            </w:r>
            <w:r w:rsidRPr="002C61E4">
              <w:rPr>
                <w:vertAlign w:val="superscript"/>
              </w:rPr>
              <w:t>42</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15.</w:t>
            </w:r>
            <w:r w:rsidRPr="002C61E4">
              <w:tab/>
            </w:r>
            <w:r w:rsidRPr="002C61E4">
              <w:rPr>
                <w:b/>
                <w:bCs/>
                <w:i/>
                <w:iCs/>
              </w:rPr>
              <w:t xml:space="preserve">pabrėžia, kad reikia kovoti su visų rūšių diskriminacija ir </w:t>
            </w:r>
            <w:r w:rsidRPr="002C61E4">
              <w:t>ragina Komisiją ir valstybes nares išplėsti ES teisinį pagrindą šioje srityje ir pateikti pasiūlymą dėl kovos su neapykantos nusikaltimais ir neapykantos kalba; ragina Tarybą priimti Direktyvą 2008/140</w:t>
            </w:r>
            <w:r w:rsidRPr="002C61E4">
              <w:rPr>
                <w:vertAlign w:val="superscript"/>
              </w:rPr>
              <w:t>42</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42</w:t>
            </w:r>
            <w:r w:rsidRPr="002C61E4">
              <w:t xml:space="preserve"> 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42</w:t>
            </w:r>
            <w:r w:rsidRPr="002C61E4">
              <w:t xml:space="preserve"> Pasiūlymas dėl Tarybos direktyvos, kuria įgyvendinamas vienodo požiūrio į asmenis, nepaisant jų religijos ar tikėjimo, negalios, amžiaus arba seksualinės orientacijos, principas (COM(2008)0426).</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15.</w:t>
            </w:r>
            <w:r w:rsidRPr="002C61E4">
              <w:tab/>
              <w:t>ragina Komisiją</w:t>
            </w:r>
            <w:r w:rsidRPr="002C61E4">
              <w:rPr>
                <w:b/>
                <w:bCs/>
                <w:i/>
                <w:iCs/>
              </w:rPr>
              <w:t xml:space="preserve"> ir valstybes nares išplėsti ES teisinį pagrindą</w:t>
            </w:r>
            <w:r w:rsidRPr="002C61E4">
              <w:t xml:space="preserve"> šioje srityje </w:t>
            </w:r>
            <w:r w:rsidRPr="002C61E4">
              <w:rPr>
                <w:b/>
                <w:bCs/>
                <w:i/>
                <w:iCs/>
              </w:rPr>
              <w:t>ir pateikti pasiūlymą dėl kovos su neapykantos nusikaltimais ir neapykantos kalba</w:t>
            </w:r>
            <w:r w:rsidRPr="002C61E4">
              <w:t xml:space="preserve">; </w:t>
            </w:r>
            <w:r w:rsidRPr="002C61E4">
              <w:rPr>
                <w:b/>
                <w:bCs/>
                <w:i/>
                <w:iCs/>
              </w:rPr>
              <w:t>ragina Tarybą priimti Direktyvą 2008/140</w:t>
            </w:r>
            <w:r w:rsidRPr="002C61E4">
              <w:rPr>
                <w:b/>
                <w:bCs/>
                <w:i/>
                <w:iCs/>
                <w:vertAlign w:val="superscript"/>
              </w:rPr>
              <w:t>42</w:t>
            </w:r>
            <w:r w:rsidRPr="002C61E4">
              <w:rPr>
                <w:b/>
                <w:bCs/>
                <w:i/>
                <w:iCs/>
              </w:rPr>
              <w:t>;</w:t>
            </w:r>
          </w:p>
        </w:tc>
        <w:tc>
          <w:tcPr>
            <w:tcW w:w="4876" w:type="dxa"/>
            <w:tcBorders>
              <w:top w:val="nil"/>
              <w:left w:val="nil"/>
              <w:bottom w:val="nil"/>
              <w:right w:val="nil"/>
            </w:tcBorders>
          </w:tcPr>
          <w:p w:rsidR="00E82389" w:rsidRPr="002C61E4" w:rsidRDefault="00E82389" w:rsidP="003B0113">
            <w:pPr>
              <w:pStyle w:val="Normal6a"/>
            </w:pPr>
            <w:r w:rsidRPr="002C61E4">
              <w:t>15.</w:t>
            </w:r>
            <w:r w:rsidRPr="002C61E4">
              <w:tab/>
              <w:t xml:space="preserve">ragina Komisiją šioje srityje </w:t>
            </w:r>
            <w:r w:rsidRPr="002C61E4">
              <w:rPr>
                <w:b/>
                <w:bCs/>
                <w:i/>
                <w:iCs/>
              </w:rPr>
              <w:t>visapusiškai atsižvelgti į esamą ES ir jos valstybių narių kompetencijos pasidalijimą</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t xml:space="preserve"> </w:t>
            </w:r>
            <w:r w:rsidRPr="002C61E4">
              <w:rPr>
                <w:b/>
                <w:i/>
              </w:rPr>
              <w:t>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Emmanuel Fragkos, Geadis Geadi, Galato Alexandraki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15.</w:t>
            </w:r>
            <w:r w:rsidRPr="002C61E4">
              <w:tab/>
              <w:t xml:space="preserve">ragina Komisiją ir valstybes nares išplėsti ES teisinį pagrindą šioje srityje ir pateikti pasiūlymą dėl kovos su neapykantos nusikaltimais ir neapykantos </w:t>
            </w:r>
            <w:r w:rsidRPr="002C61E4">
              <w:lastRenderedPageBreak/>
              <w:t xml:space="preserve">kalba; </w:t>
            </w:r>
            <w:r w:rsidRPr="002C61E4">
              <w:rPr>
                <w:b/>
                <w:bCs/>
                <w:i/>
                <w:iCs/>
              </w:rPr>
              <w:t>ragina Tarybą priimti Direktyvą 2008/140</w:t>
            </w:r>
            <w:r w:rsidRPr="002C61E4">
              <w:rPr>
                <w:b/>
                <w:bCs/>
                <w:i/>
                <w:iCs/>
                <w:vertAlign w:val="superscript"/>
              </w:rPr>
              <w:t>42</w:t>
            </w:r>
            <w:r w:rsidRPr="002C61E4">
              <w:rPr>
                <w:b/>
                <w:bCs/>
                <w:i/>
                <w:iCs/>
              </w:rPr>
              <w:t>;</w:t>
            </w:r>
          </w:p>
        </w:tc>
        <w:tc>
          <w:tcPr>
            <w:tcW w:w="4876" w:type="dxa"/>
            <w:tcBorders>
              <w:top w:val="nil"/>
              <w:left w:val="nil"/>
              <w:bottom w:val="nil"/>
              <w:right w:val="nil"/>
            </w:tcBorders>
          </w:tcPr>
          <w:p w:rsidR="00E82389" w:rsidRPr="002C61E4" w:rsidRDefault="00E82389" w:rsidP="003B0113">
            <w:pPr>
              <w:pStyle w:val="Normal6a"/>
            </w:pPr>
            <w:r w:rsidRPr="002C61E4">
              <w:lastRenderedPageBreak/>
              <w:t>15.</w:t>
            </w:r>
            <w:r w:rsidRPr="002C61E4">
              <w:tab/>
              <w:t xml:space="preserve">ragina Komisiją ir valstybes nares išplėsti ES teisinį pagrindą šioje srityje ir pateikti pasiūlymą dėl kovos su neapykantos nusikaltimais ir neapykantos </w:t>
            </w:r>
            <w:r w:rsidRPr="002C61E4">
              <w:lastRenderedPageBreak/>
              <w:t>kalba;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42</w:t>
            </w:r>
            <w:r w:rsidRPr="002C61E4">
              <w:rPr>
                <w:b/>
                <w:i/>
              </w:rPr>
              <w:t xml:space="preserve"> Pasiūlymas dėl Tarybos direktyvos, kuria įgyvendinamas vienodo požiūrio į asmenis, nepaisant jų religijos ar tikėjimo, negalios, amžiaus arba seksualinės orientacijos, principas (COM(2008)0426).</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{EL}</w:t>
      </w:r>
      <w:r w:rsidRPr="002C61E4">
        <w:t>el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Alessandro Zan,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15a.</w:t>
            </w:r>
            <w:r w:rsidRPr="002C61E4">
              <w:tab/>
            </w:r>
            <w:r w:rsidRPr="002C61E4">
              <w:rPr>
                <w:b/>
                <w:i/>
              </w:rPr>
              <w:t>prašo Komisijos į savo ataskaitą pagal 1 ramstį dėl teismų sistemų įtraukti papildomą ramstį, skirtą neapykantos nusikaltimų registravimui ir stebėsenai;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Emmanuel Fragkos, Geadis Geadi, Galato Alexandraki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15a.</w:t>
            </w:r>
            <w:r w:rsidRPr="002C61E4">
              <w:tab/>
            </w:r>
            <w:r w:rsidRPr="002C61E4">
              <w:rPr>
                <w:b/>
                <w:i/>
              </w:rPr>
              <w:t>ragina Komisiją spręsti kalnuotų ir salų regionų gyventojų diskriminacijos problemą, kaip nurodyta SESV 174 straipsnyje.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{EL}</w:t>
      </w:r>
      <w:r w:rsidRPr="002C61E4">
        <w:t>el</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Javier Zarzalejos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15a.</w:t>
            </w:r>
            <w:r w:rsidRPr="002C61E4">
              <w:tab/>
            </w:r>
            <w:r w:rsidRPr="002C61E4">
              <w:rPr>
                <w:b/>
                <w:i/>
              </w:rPr>
              <w:t>ragina Komisiją nustatyti bendrus apsaugos standartus, kad būtų užtikrintas policijos pareigūnų ir teisėsaugos atstovų saugumas;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16.</w:t>
            </w:r>
            <w:r w:rsidRPr="002C61E4">
              <w:tab/>
            </w:r>
            <w:r w:rsidRPr="002C61E4">
              <w:rPr>
                <w:b/>
                <w:i/>
              </w:rPr>
              <w:t>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16.</w:t>
            </w:r>
            <w:r w:rsidRPr="002C61E4">
              <w:tab/>
            </w:r>
            <w:r w:rsidRPr="002C61E4">
              <w:rPr>
                <w:b/>
                <w:i/>
              </w:rPr>
              <w:t xml:space="preserve">ragina užtikrinti teisinę moterų apsaugą, smurtą dėl lyties įtraukti kaip </w:t>
            </w:r>
            <w:r w:rsidRPr="002C61E4">
              <w:rPr>
                <w:b/>
                <w:i/>
              </w:rPr>
              <w:lastRenderedPageBreak/>
              <w:t>nusikaltimą pagal ES teisę, parengti ES pasiūlymą dėl teisės aktų dėl išžaginimo nusikaltimų remiantis sutikimo koncepcija, ir įtvirtinti Chartijoje galimybę saugiai ir teisėtai nutraukti nėštumą;</w:t>
            </w:r>
          </w:p>
        </w:tc>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419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w:t>
            </w:r>
            <w:r w:rsidRPr="002C61E4">
              <w:rPr>
                <w:b/>
                <w:bCs/>
                <w:i/>
                <w:iCs/>
              </w:rPr>
              <w:t>, smurtą dėl lyties įtraukti kaip nusikaltimą pagal ES teisę, parengti ES pasiūlymą dėl teisės aktų dėl išžaginimo nusikaltimų remiantis sutikimo koncepcija,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užtikrinti teisinę </w:t>
            </w:r>
            <w:r w:rsidRPr="002C61E4">
              <w:rPr>
                <w:b/>
                <w:i/>
              </w:rPr>
              <w:t>moterų</w:t>
            </w:r>
            <w:r w:rsidRPr="002C61E4">
              <w:t xml:space="preserve"> apsaugą</w:t>
            </w:r>
            <w:r w:rsidRPr="002C61E4">
              <w:rPr>
                <w:b/>
                <w:i/>
              </w:rPr>
              <w:t>, smurtą dėl lyties įtraukti kaip nusikaltimą pagal ES teisę, parengti ES pasiūlymą dėl teisės aktų dėl išžaginimo nusikaltimų remiantis sutikimo koncepcija,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užtikrinti </w:t>
            </w:r>
            <w:r w:rsidRPr="002C61E4">
              <w:rPr>
                <w:b/>
                <w:i/>
              </w:rPr>
              <w:t>vienodą</w:t>
            </w:r>
            <w:r w:rsidRPr="002C61E4">
              <w:t xml:space="preserve"> teisinę </w:t>
            </w:r>
            <w:r w:rsidRPr="002C61E4">
              <w:rPr>
                <w:b/>
                <w:i/>
              </w:rPr>
              <w:t>visų piliečių</w:t>
            </w:r>
            <w:r w:rsidRPr="002C61E4">
              <w:t xml:space="preserve"> apsaugą</w:t>
            </w:r>
            <w:r w:rsidRPr="002C61E4">
              <w:rPr>
                <w:b/>
                <w:i/>
              </w:rPr>
              <w:t>; primena, kad baudžiamosiose bylose valstybės yra suverenios</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r>
            <w:r w:rsidRPr="002C61E4">
              <w:rPr>
                <w:b/>
                <w:i/>
              </w:rPr>
              <w:t>pabrėžia, kad smurtas dėl lyties internete ir realiame gyvenime yra sunkus ir plačiai paplitęs nusikaltimas, kuriuo sistemingai pažeidžiamos pagrindinės teisės ir laisvės;</w:t>
            </w:r>
            <w:r w:rsidRPr="002C61E4">
              <w:t xml:space="preserve"> 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r>
            <w:r w:rsidRPr="002C61E4">
              <w:rPr>
                <w:b/>
                <w:bCs/>
                <w:i/>
                <w:iCs/>
              </w:rPr>
              <w:t>ragina užtikrinti teisinę moterų apsaugą,</w:t>
            </w:r>
            <w:r w:rsidRPr="002C61E4">
              <w:t xml:space="preserve"> smurtą dėl lyties </w:t>
            </w:r>
            <w:r w:rsidRPr="002C61E4">
              <w:rPr>
                <w:b/>
                <w:bCs/>
                <w:i/>
                <w:iCs/>
              </w:rPr>
              <w:t>įtraukti kaip nusikaltimą pagal ES teisę, parengti ES pasiūlymą dėl teisės aktų dėl išžaginimo nusikaltimų remiantis sutikimo koncepcija,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r>
            <w:r w:rsidRPr="002C61E4">
              <w:rPr>
                <w:b/>
                <w:bCs/>
                <w:i/>
                <w:iCs/>
              </w:rPr>
              <w:t>pabrėžia, kad moterų ir vyrų lygybė yra principas, įrašytas į Europos Sąjungos valstybes nares vienijančias Sutartis;</w:t>
            </w:r>
            <w:r w:rsidRPr="002C61E4">
              <w:rPr>
                <w:b/>
                <w:i/>
              </w:rPr>
              <w:t xml:space="preserve"> primygtinai ragina valstybes nares įgyvendinti nacionalinę politiką, kad moterų ir vyrų lygybė taptų realybe; </w:t>
            </w:r>
            <w:r w:rsidRPr="002C61E4">
              <w:rPr>
                <w:b/>
                <w:bCs/>
                <w:i/>
                <w:iCs/>
              </w:rPr>
              <w:t xml:space="preserve">pabrėžia, kad valstybės narės pirmiausia yra atsakingos už nacionalinių įstatymų priėmimą, pavyzdžiui, kad būtų </w:t>
            </w:r>
            <w:r w:rsidRPr="002C61E4">
              <w:rPr>
                <w:b/>
                <w:bCs/>
                <w:i/>
                <w:iCs/>
              </w:rPr>
              <w:lastRenderedPageBreak/>
              <w:t>baudžiama už</w:t>
            </w:r>
            <w:r w:rsidRPr="002C61E4">
              <w:t xml:space="preserve"> smurtą dėl lyties</w:t>
            </w:r>
            <w:r w:rsidRPr="002C61E4">
              <w:rPr>
                <w:b/>
                <w:bCs/>
                <w:i/>
                <w:iCs/>
              </w:rPr>
              <w:t>, pavyzdžiui, išžaginimą ir žudymą dėl garbės</w:t>
            </w:r>
            <w:r w:rsidRPr="002C61E4">
              <w:t xml:space="preserve">; </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Alessandro Zan,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 </w:t>
            </w:r>
            <w:r w:rsidRPr="002C61E4">
              <w:rPr>
                <w:b/>
                <w:i/>
              </w:rPr>
              <w:t>ragina imtis kovos su smurtu dėl lyties internete ir realiame gyvenime priemonių;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Tom Vandendriessche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w:t>
            </w:r>
            <w:r w:rsidRPr="002C61E4">
              <w:rPr>
                <w:b/>
                <w:bCs/>
                <w:i/>
                <w:iCs/>
              </w:rPr>
              <w:t>, įskaitant moterų lyties organų žalojimą,</w:t>
            </w:r>
            <w:r w:rsidRPr="002C61E4">
              <w:t xml:space="preserve"> įtraukti kaip nusikaltimą pagal ES teisę, parengti ES pasiūlymą dėl teisės aktų dėl išžaginimo nusikaltimų remiantis sutikimo koncepcija, ir įtvirtinti Chartijoje galimybę </w:t>
            </w:r>
            <w:r w:rsidRPr="002C61E4">
              <w:lastRenderedPageBreak/>
              <w:t>saugiai ir teisėtai nutraukti nėštumą;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Ewa Zajączkowska-Hernik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w:t>
            </w:r>
            <w:r w:rsidRPr="002C61E4">
              <w:rPr>
                <w:b/>
                <w:bCs/>
                <w:i/>
                <w:iCs/>
              </w:rPr>
              <w:t>,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w:t>
            </w:r>
            <w:r w:rsidRPr="002C61E4">
              <w:rPr>
                <w:b/>
                <w:bCs/>
                <w:i/>
                <w:iCs/>
              </w:rPr>
              <w:t>,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w:t>
            </w:r>
            <w:r w:rsidRPr="002C61E4">
              <w:rPr>
                <w:b/>
                <w:bCs/>
                <w:i/>
                <w:iCs/>
              </w:rPr>
              <w:t>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w:t>
            </w:r>
            <w:r w:rsidRPr="002C61E4">
              <w:rPr>
                <w:b/>
                <w:bCs/>
                <w:i/>
                <w:iCs/>
              </w:rPr>
              <w:t>apsaugoti moteris, ypač toje aplinkoje, kurioje jos patiria sisteminį smurtą, įskaitant tą, kurioje jos tampa radikalaus islamo ir šariato teisės, vaikų santuokų, prievartavimų ar lyties organų žalojimo aukomis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užtikrinti teisinę moterų apsaugą, smurtą dėl lyties įtraukti kaip nusikaltimą pagal ES teisę, parengti ES pasiūlymą dėl </w:t>
            </w:r>
            <w:r w:rsidRPr="002C61E4">
              <w:rPr>
                <w:b/>
                <w:bCs/>
                <w:i/>
                <w:iCs/>
              </w:rPr>
              <w:t>teisės aktų</w:t>
            </w:r>
            <w:r w:rsidRPr="002C61E4">
              <w:t xml:space="preserve"> dėl </w:t>
            </w:r>
            <w:r w:rsidRPr="002C61E4">
              <w:rPr>
                <w:b/>
                <w:bCs/>
                <w:i/>
                <w:iCs/>
              </w:rPr>
              <w:t>išžaginimo nusikaltimų remiantis</w:t>
            </w:r>
            <w:r w:rsidRPr="002C61E4">
              <w:t xml:space="preserve"> sutikimo </w:t>
            </w:r>
            <w:r w:rsidRPr="002C61E4">
              <w:rPr>
                <w:b/>
                <w:bCs/>
                <w:i/>
                <w:iCs/>
              </w:rPr>
              <w:t>koncepcija</w:t>
            </w:r>
            <w:r w:rsidRPr="002C61E4">
              <w:t>, ir įtvirtinti Chartijoje galimybę saugiai ir teisėtai nutraukti nėštumą;</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užtikrinti teisinę moterų apsaugą, smurtą dėl lyties įtraukti kaip nusikaltimą pagal ES teisę, parengti ES pasiūlymą dėl </w:t>
            </w:r>
            <w:r w:rsidRPr="002C61E4">
              <w:rPr>
                <w:b/>
                <w:bCs/>
                <w:i/>
                <w:iCs/>
              </w:rPr>
              <w:t>teisėkūros procedūra priimamo akto</w:t>
            </w:r>
            <w:r w:rsidRPr="002C61E4">
              <w:t xml:space="preserve"> dėl </w:t>
            </w:r>
            <w:r w:rsidRPr="002C61E4">
              <w:rPr>
                <w:b/>
                <w:bCs/>
                <w:i/>
                <w:iCs/>
              </w:rPr>
              <w:t>kovos su išžaginimu, , remiantis</w:t>
            </w:r>
            <w:r w:rsidRPr="002C61E4">
              <w:t xml:space="preserve"> sutikimo </w:t>
            </w:r>
            <w:r w:rsidRPr="002C61E4">
              <w:rPr>
                <w:b/>
                <w:bCs/>
                <w:i/>
                <w:iCs/>
              </w:rPr>
              <w:t>nebuvimu</w:t>
            </w:r>
            <w:r w:rsidRPr="002C61E4">
              <w:t>, ir įtvirtinti Chartijoje galimybę saugiai ir teisėtai nutraukti nėštumą;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429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Javier Zarzalejos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užtikrinti teisinę moterų </w:t>
            </w:r>
            <w:r w:rsidRPr="002C61E4">
              <w:lastRenderedPageBreak/>
              <w:t>apsaugą, smurtą dėl lyties įtraukti kaip nusikaltimą pagal ES teisę</w:t>
            </w:r>
            <w:r w:rsidRPr="002C61E4">
              <w:rPr>
                <w:b/>
                <w:bCs/>
                <w:i/>
                <w:iCs/>
              </w:rPr>
              <w:t>, parengti ES pasiūlymą</w:t>
            </w:r>
            <w:r w:rsidRPr="002C61E4">
              <w:t xml:space="preserve"> dėl teisės aktų dėl išžaginimo nusikaltimų remiantis sutikimo koncepcija</w:t>
            </w:r>
            <w:r w:rsidRPr="002C61E4">
              <w:rPr>
                <w:b/>
                <w:bCs/>
                <w:i/>
                <w:iCs/>
              </w:rPr>
              <w:t>,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lastRenderedPageBreak/>
              <w:t>16.</w:t>
            </w:r>
            <w:r w:rsidRPr="002C61E4">
              <w:tab/>
              <w:t xml:space="preserve">ragina užtikrinti teisinę moterų </w:t>
            </w:r>
            <w:r w:rsidRPr="002C61E4">
              <w:lastRenderedPageBreak/>
              <w:t>apsaugą, smurtą dėl lyties įtraukti kaip nusikaltimą pagal ES teisę</w:t>
            </w:r>
            <w:r w:rsidRPr="002C61E4">
              <w:rPr>
                <w:b/>
                <w:bCs/>
                <w:i/>
                <w:iCs/>
              </w:rPr>
              <w:t>;</w:t>
            </w:r>
            <w:r w:rsidRPr="002C61E4">
              <w:rPr>
                <w:b/>
                <w:i/>
              </w:rPr>
              <w:t xml:space="preserve"> </w:t>
            </w:r>
            <w:r w:rsidRPr="002C61E4">
              <w:rPr>
                <w:b/>
                <w:bCs/>
                <w:i/>
                <w:iCs/>
              </w:rPr>
              <w:t>laukia diskusijos dėl pasiūlymo</w:t>
            </w:r>
            <w:r w:rsidRPr="002C61E4">
              <w:t xml:space="preserve"> dėl teisės aktų dėl išžaginimo nusikaltimų remiantis sutikimo koncepcija;</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 smurtą dėl lyties įtraukti kaip nusikaltimą pagal ES teisę, parengti ES pasiūlymą dėl teisės aktų dėl išžaginimo nusikaltimų remiantis sutikimo koncepcija, ir įtvirtinti Chartijoje galimybę saugiai ir teisėtai nutraukti nėštumą;</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t xml:space="preserve">ragina užtikrinti teisinę moterų apsaugą, smurtą </w:t>
            </w:r>
            <w:r w:rsidRPr="002C61E4">
              <w:rPr>
                <w:b/>
                <w:bCs/>
                <w:i/>
                <w:iCs/>
              </w:rPr>
              <w:t xml:space="preserve">ir neapykantą </w:t>
            </w:r>
            <w:r w:rsidRPr="002C61E4">
              <w:t>dėl lyties įtraukti kaip nusikaltimą pagal ES teisę, parengti ES pasiūlymą dėl teisės aktų dėl išžaginimo nusikaltimų remiantis sutikimo koncepcija, ir įtvirtinti Chartijoje galimybę saugiai ir teisėtai nutraukti nėštumą;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16.</w:t>
            </w:r>
            <w:r w:rsidRPr="002C61E4">
              <w:tab/>
              <w:t>ragina užtikrinti teisinę moterų apsaugą</w:t>
            </w:r>
            <w:r w:rsidRPr="002C61E4">
              <w:rPr>
                <w:b/>
                <w:bCs/>
                <w:i/>
                <w:iCs/>
              </w:rPr>
              <w:t>, smurtą dėl lyties įtraukti kaip nusikaltimą pagal ES teisę, parengti ES pasiūlymą dėl teisės aktų dėl išžaginimo nusikaltimų remiantis sutikimo koncepcija, ir įtvirtinti Chartijoje galimybę saugiai ir teisėtai nutraukti nėštumą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16.</w:t>
            </w:r>
            <w:r w:rsidRPr="002C61E4">
              <w:tab/>
            </w:r>
            <w:r w:rsidRPr="002C61E4">
              <w:rPr>
                <w:b/>
                <w:i/>
              </w:rPr>
              <w:t xml:space="preserve">primena, kad valstybės narės pagal ES sutarties 2 straipsnį ir Pagrindinių teisių chartiją privalo užtikrinti, saugoti ir skatinti lyčių lygybę; </w:t>
            </w:r>
            <w:r w:rsidRPr="002C61E4">
              <w:rPr>
                <w:b/>
                <w:bCs/>
                <w:i/>
                <w:iCs/>
              </w:rPr>
              <w:t>griežtai smerkia bet kokias smurto prieš moteris formas ir</w:t>
            </w:r>
            <w:r w:rsidRPr="002C61E4">
              <w:t xml:space="preserve"> ragina užtikrinti teisinę moterų apsaugą;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Maria Walsh</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16a.</w:t>
            </w:r>
            <w:r w:rsidRPr="002C61E4">
              <w:tab/>
            </w:r>
            <w:r w:rsidRPr="002C61E4">
              <w:rPr>
                <w:b/>
                <w:i/>
              </w:rPr>
              <w:t>atsižvelgdama į smurto dėl lyties mastą, Komisija turėtų laikyti smurto internete, nuo kurio kenčia moterys, didėjimą rimtu nusikaltimu ir taikyti griežtesnę skaitmeninių platformų kontrolę. Be to, ji turėtų užtikrinti, kad aukoms būtų taikoma teisinė apsauga, siekiant sukurti saugesnę internetinę aplinką moterims;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{GA}</w:t>
      </w:r>
      <w:r w:rsidRPr="002C61E4">
        <w:t>ga</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16a.</w:t>
            </w:r>
            <w:r w:rsidRPr="002C61E4">
              <w:tab/>
            </w:r>
            <w:r w:rsidRPr="002C61E4">
              <w:rPr>
                <w:b/>
                <w:i/>
              </w:rPr>
              <w:t>pabrėžia, kad, pagal SESV 168 straipsnį, sveikatos priežiūros paslaugos priskiriamos valstybių kompetencijai;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17.</w:t>
            </w:r>
            <w:r w:rsidRPr="002C61E4">
              <w:tab/>
            </w:r>
            <w:r w:rsidRPr="002C61E4">
              <w:rPr>
                <w:b/>
                <w:i/>
              </w:rPr>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17.</w:t>
            </w:r>
            <w:r w:rsidRPr="002C61E4">
              <w:tab/>
            </w:r>
            <w:r w:rsidRPr="002C61E4">
              <w:rPr>
                <w:b/>
                <w:i/>
              </w:rPr>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17.</w:t>
            </w:r>
            <w:r w:rsidRPr="002C61E4">
              <w:tab/>
            </w:r>
            <w:r w:rsidRPr="002C61E4">
              <w:rPr>
                <w:b/>
                <w:i/>
              </w:rPr>
              <w:t xml:space="preserve">pabrėžia, kad visi piliečiai, </w:t>
            </w:r>
            <w:r w:rsidRPr="002C61E4">
              <w:rPr>
                <w:b/>
                <w:i/>
              </w:rPr>
              <w:lastRenderedPageBreak/>
              <w:t>nepriklausomai nuo jų pilietybės, gimimo vietos ar atvykimo į valstybes nares teisėtumo,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Ewa Zajączkowska-Hernik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17.</w:t>
            </w:r>
            <w:r w:rsidRPr="002C61E4">
              <w:tab/>
            </w:r>
            <w:r w:rsidRPr="002C61E4">
              <w:rPr>
                <w:b/>
                <w:i/>
              </w:rPr>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 Cecilia Strada, Sandro Ruotolo, Pina Picierno, Marco Tarquinio</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gimimo </w:t>
            </w:r>
            <w:r w:rsidRPr="002C61E4">
              <w:lastRenderedPageBreak/>
              <w:t xml:space="preserve">vietos ar atvykimo į valstybes nares teisėtumo, turi būti lygūs prieš įstatymą, </w:t>
            </w:r>
            <w:r w:rsidRPr="002C61E4">
              <w:rPr>
                <w:b/>
                <w:bCs/>
                <w:i/>
                <w:iCs/>
              </w:rPr>
              <w:t>ir</w:t>
            </w:r>
            <w:r w:rsidRPr="002C61E4">
              <w:t xml:space="preserve"> 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lastRenderedPageBreak/>
              <w:t>17.</w:t>
            </w:r>
            <w:r w:rsidRPr="002C61E4">
              <w:tab/>
              <w:t xml:space="preserve">pabrėžia, kad visi piliečiai, nepriklausomai nuo jų pilietybės, gimimo </w:t>
            </w:r>
            <w:r w:rsidRPr="002C61E4">
              <w:lastRenderedPageBreak/>
              <w:t>vietos ar atvykimo į valstybes nares teisėtumo, turi būti lygūs prieš įstatymą,</w:t>
            </w:r>
            <w:r w:rsidRPr="002C61E4">
              <w:rPr>
                <w:b/>
                <w:bCs/>
                <w:i/>
                <w:iCs/>
              </w:rPr>
              <w:t xml:space="preserve"> visapusiškai naudotis savo teisėmis, patirti sąžiningą ir humanišką elgesį ir turėti galimybę pasinaudoti teisingomis tarptautinės apsaugos procedūromis, visapusiškai laikantis tarptautinės teisės ir negrąžinimo principo;</w:t>
            </w:r>
            <w:r w:rsidRPr="002C61E4">
              <w:rPr>
                <w:b/>
                <w:i/>
              </w:rPr>
              <w:t xml:space="preserve"> pažymi, kad migracijos išorės ir ekstrateritorinio valdymo priemonės, pavyzdžiui, dvišaliai valstybių narių ir trečiųjų šalių susitarimai, kelia pavojų šiems principams, bendrai Europos prieglobsčio sistemai, kenkia bendrų ES standartų įgyvendinimui, ES teisės tikslams ir migrantų teisėms;</w:t>
            </w:r>
            <w:r w:rsidRPr="002C61E4">
              <w:t xml:space="preserve"> ragina Komisiją ir valstybes nares toliau kovoti su diskriminacija dėl pilietybės; ragina Komisiją užtikrinti, kad valstybės narės, įgyvendindamos Migracijos ir prieglobsčio paktą, savo nacionaliniuose planuose laikytųsi teisinės valstybės principo</w:t>
            </w:r>
            <w:r w:rsidRPr="002C61E4">
              <w:rPr>
                <w:b/>
                <w:bCs/>
                <w:i/>
                <w:iCs/>
              </w:rPr>
              <w:t xml:space="preserve"> ir ES pagrindinių teisių chartijoje bei tarptautinėje teisėje įtvirtintų principų</w:t>
            </w:r>
            <w:r w:rsidRPr="002C61E4">
              <w:t xml:space="preserve">; </w:t>
            </w:r>
            <w:r w:rsidRPr="002C61E4">
              <w:rPr>
                <w:b/>
                <w:i/>
              </w:rPr>
              <w:t>griežtai smerkia bet kokius savavališkus ir neteisėtus migrantų asmens teisių apribojimus, pernelyg didelį rėmimąsi sulaikymo praktika ir ribotą teisinę pagalbą, kaip jau pranešta Italijoje;</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439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gimimo vietos ar atvykimo į valstybes nares teisėtumo, turi būti lygūs prieš įstatymą, </w:t>
            </w:r>
            <w:r w:rsidRPr="002C61E4">
              <w:rPr>
                <w:b/>
                <w:bCs/>
                <w:i/>
                <w:iCs/>
              </w:rPr>
              <w:t>ir</w:t>
            </w:r>
            <w:r w:rsidRPr="002C61E4">
              <w:t xml:space="preserve"> </w:t>
            </w:r>
            <w:r w:rsidRPr="002C61E4">
              <w:lastRenderedPageBreak/>
              <w:t>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lastRenderedPageBreak/>
              <w:t>17.</w:t>
            </w:r>
            <w:r w:rsidRPr="002C61E4">
              <w:tab/>
              <w:t>pabrėžia, kad visi piliečiai, nepriklausomai nuo jų pilietybės, gimimo vietos ar atvykimo į valstybes nares teisėtumo, turi būti lygūs prieš įstatymą,</w:t>
            </w:r>
            <w:r w:rsidRPr="002C61E4">
              <w:rPr>
                <w:b/>
                <w:bCs/>
                <w:i/>
                <w:iCs/>
              </w:rPr>
              <w:t xml:space="preserve"> </w:t>
            </w:r>
            <w:r w:rsidRPr="002C61E4">
              <w:rPr>
                <w:b/>
                <w:bCs/>
                <w:i/>
                <w:iCs/>
              </w:rPr>
              <w:lastRenderedPageBreak/>
              <w:t>visapusiškai naudotis savo teisėmis, patirti vienodą ir humanišką elgesį, taip pat turėti galimybę pasinaudoti teisingomis tarptautinės apsaugos procedūromis, visapusiškai laikantis tarptautinės teisės ir negrąžinimo principo;</w:t>
            </w:r>
            <w:r w:rsidRPr="002C61E4">
              <w:rPr>
                <w:b/>
                <w:i/>
              </w:rPr>
              <w:t xml:space="preserve"> pažymi, kad išorės ir ekstrateritorinis migracijos valdymas, pavyzdžiui, valstybių narių dvišaliai susitarimai su trečiosiomis valstybėmis, jokiomis aplinkybėmis neturėtų pažeisti šių principų ir ES teisės aktuose nustatytų kriterijų;</w:t>
            </w:r>
            <w:r w:rsidRPr="002C61E4">
              <w:t xml:space="preserve"> ragina Komisiją ir valstybes nares toliau kovoti su diskriminacija dėl pilietybės; ragina Komisiją užtikrinti, kad valstybės narės, įgyvendindamos Migracijos ir prieglobsčio paktą, savo nacionaliniuose planuose laikytųsi teisinės valstybės principo;</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w:t>
            </w:r>
            <w:r w:rsidRPr="002C61E4">
              <w:rPr>
                <w:b/>
                <w:bCs/>
                <w:i/>
                <w:iCs/>
              </w:rPr>
              <w:t>piliečiai</w:t>
            </w:r>
            <w:r w:rsidRPr="002C61E4">
              <w:t>, nepriklausomai nuo jų pilietybės</w:t>
            </w:r>
            <w:r w:rsidRPr="002C61E4">
              <w:rPr>
                <w:b/>
                <w:bCs/>
                <w:i/>
                <w:iCs/>
              </w:rPr>
              <w:t>,</w:t>
            </w:r>
            <w:r w:rsidRPr="002C61E4">
              <w:t xml:space="preserve"> gimimo vietos </w:t>
            </w:r>
            <w:r w:rsidRPr="002C61E4">
              <w:rPr>
                <w:b/>
                <w:bCs/>
                <w:i/>
                <w:iCs/>
              </w:rPr>
              <w:t>ar atvykimo į valstybes nares teisėtumo</w:t>
            </w:r>
            <w:r w:rsidRPr="002C61E4">
              <w:t>, turi būti lygūs prieš įstatymą</w:t>
            </w:r>
            <w:r w:rsidRPr="002C61E4">
              <w:rPr>
                <w:b/>
                <w:bCs/>
                <w:i/>
                <w:iCs/>
              </w:rPr>
              <w:t>, ir ragina Komisiją ir valstybes nares toliau kovoti su diskriminacija dėl pilietybės</w:t>
            </w:r>
            <w:r w:rsidRPr="002C61E4">
              <w:t xml:space="preserve">; </w:t>
            </w:r>
            <w:r w:rsidRPr="002C61E4">
              <w:rPr>
                <w:b/>
                <w:i/>
              </w:rPr>
              <w:t>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w:t>
            </w:r>
            <w:r w:rsidRPr="002C61E4">
              <w:rPr>
                <w:b/>
                <w:bCs/>
                <w:i/>
                <w:iCs/>
              </w:rPr>
              <w:t>asmenys</w:t>
            </w:r>
            <w:r w:rsidRPr="002C61E4">
              <w:t xml:space="preserve">, nepriklausomai nuo jų pilietybės </w:t>
            </w:r>
            <w:r w:rsidRPr="002C61E4">
              <w:rPr>
                <w:b/>
                <w:bCs/>
                <w:i/>
                <w:iCs/>
              </w:rPr>
              <w:t>ar</w:t>
            </w:r>
            <w:r w:rsidRPr="002C61E4">
              <w:t xml:space="preserve"> gimimo vietos, turi būti lygūs prieš įstatymą</w:t>
            </w:r>
            <w:r w:rsidRPr="002C61E4">
              <w:rPr>
                <w:b/>
                <w:bCs/>
                <w:i/>
                <w:iCs/>
              </w:rPr>
              <w:t xml:space="preserve"> tiek teisių, tiek pareigų atžvilgiu;</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Loránt Vincze</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w:t>
            </w:r>
            <w:r w:rsidRPr="002C61E4">
              <w:rPr>
                <w:b/>
                <w:bCs/>
                <w:i/>
                <w:iCs/>
              </w:rPr>
              <w:t>gimimo vietos ar atvykimo į valstybes nares teisėtumo,</w:t>
            </w:r>
            <w:r w:rsidRPr="002C61E4">
              <w:t xml:space="preserve"> turi būti lygūs prieš įstatymą, ir ragina Komisiją ir valstybes nares toliau kovoti su diskriminacija dėl pilietybės; </w:t>
            </w:r>
            <w:r w:rsidRPr="002C61E4">
              <w:rPr>
                <w:b/>
                <w:i/>
              </w:rPr>
              <w:t>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turi būti lygūs prieš įstatymą, ir ragina Komisiją ir valstybes nares toliau kovoti su diskriminacija dėl pilietybės;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w:t>
            </w:r>
            <w:r w:rsidRPr="002C61E4">
              <w:rPr>
                <w:b/>
                <w:bCs/>
                <w:i/>
                <w:iCs/>
              </w:rPr>
              <w:t>,</w:t>
            </w:r>
            <w:r w:rsidRPr="002C61E4">
              <w:t xml:space="preserve"> gimimo vietos </w:t>
            </w:r>
            <w:r w:rsidRPr="002C61E4">
              <w:rPr>
                <w:b/>
                <w:bCs/>
                <w:i/>
                <w:iCs/>
              </w:rPr>
              <w:t>ar atvykimo į valstybes nares teisėtumo</w:t>
            </w:r>
            <w:r w:rsidRPr="002C61E4">
              <w:t xml:space="preserve">, turi būti lygūs prieš įstatymą, ir ragina Komisiją ir valstybes nares toliau kovoti su diskriminacija dėl pilietybės; </w:t>
            </w:r>
            <w:r w:rsidRPr="002C61E4">
              <w:rPr>
                <w:b/>
                <w:i/>
              </w:rPr>
              <w:t>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w:t>
            </w:r>
            <w:r w:rsidRPr="002C61E4">
              <w:rPr>
                <w:b/>
                <w:bCs/>
                <w:i/>
                <w:iCs/>
              </w:rPr>
              <w:t xml:space="preserve">ES </w:t>
            </w:r>
            <w:r w:rsidRPr="002C61E4">
              <w:t>piliečiai, nepriklausomai nuo jų pilietybės</w:t>
            </w:r>
            <w:r w:rsidRPr="002C61E4">
              <w:rPr>
                <w:b/>
                <w:bCs/>
                <w:i/>
                <w:iCs/>
              </w:rPr>
              <w:t xml:space="preserve"> ir</w:t>
            </w:r>
            <w:r w:rsidRPr="002C61E4">
              <w:t xml:space="preserve"> gimimo vietos, turi būti lygūs prieš įstatymą, ir ragina Komisiją ir valstybes nares toliau kovoti su diskriminacija dėl pilietybės;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Mary Khan, Milan Uhrík</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w:t>
            </w:r>
            <w:r w:rsidRPr="002C61E4">
              <w:rPr>
                <w:b/>
                <w:bCs/>
                <w:i/>
                <w:iCs/>
              </w:rPr>
              <w:t>,</w:t>
            </w:r>
            <w:r w:rsidRPr="002C61E4">
              <w:t xml:space="preserve"> gimimo vietos </w:t>
            </w:r>
            <w:r w:rsidRPr="002C61E4">
              <w:rPr>
                <w:b/>
                <w:bCs/>
                <w:i/>
                <w:iCs/>
              </w:rPr>
              <w:t>ar atvykimo į valstybes nares teisėtumo</w:t>
            </w:r>
            <w:r w:rsidRPr="002C61E4">
              <w:t>, turi būti lygūs prieš įstatymą</w:t>
            </w:r>
            <w:r w:rsidRPr="002C61E4">
              <w:rPr>
                <w:b/>
                <w:bCs/>
                <w:i/>
                <w:iCs/>
              </w:rPr>
              <w:t>, ir ragina Komisiją ir valstybes nares toliau kovoti su diskriminacija dėl pilietybės</w:t>
            </w:r>
            <w:r w:rsidRPr="002C61E4">
              <w:t>;</w:t>
            </w:r>
            <w:r w:rsidRPr="002C61E4">
              <w:rPr>
                <w:b/>
                <w:i/>
              </w:rPr>
              <w:t xml:space="preserve"> </w:t>
            </w:r>
            <w:r w:rsidRPr="002C61E4">
              <w:rPr>
                <w:b/>
                <w:bCs/>
                <w:i/>
                <w:iCs/>
              </w:rPr>
              <w:t>ragina Komisiją užtikrinti, kad valstybės narės, įgyvendindamos Migracijos ir prieglobsčio paktą,</w:t>
            </w:r>
            <w:r w:rsidRPr="002C61E4">
              <w:t xml:space="preserve"> savo </w:t>
            </w:r>
            <w:r w:rsidRPr="002C61E4">
              <w:rPr>
                <w:b/>
                <w:bCs/>
                <w:i/>
                <w:iCs/>
              </w:rPr>
              <w:t>nacionaliniuose planuose laikytųsi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w:t>
            </w:r>
            <w:r w:rsidRPr="002C61E4">
              <w:rPr>
                <w:b/>
                <w:bCs/>
                <w:i/>
                <w:iCs/>
              </w:rPr>
              <w:t>ar</w:t>
            </w:r>
            <w:r w:rsidRPr="002C61E4">
              <w:t xml:space="preserve"> gimimo vietos, turi būti lygūs prieš įstatymą;</w:t>
            </w:r>
            <w:r w:rsidRPr="002C61E4">
              <w:rPr>
                <w:b/>
                <w:i/>
              </w:rPr>
              <w:t xml:space="preserve"> </w:t>
            </w:r>
            <w:r w:rsidRPr="002C61E4">
              <w:rPr>
                <w:b/>
                <w:bCs/>
                <w:i/>
                <w:iCs/>
              </w:rPr>
              <w:t>pripažįsta valstybių narių suverenią teisę pačioms nustatyti savo imigracijos politiką</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Emmanuel Fragkos, Geadis Geadi, Galato Alexandraki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gimimo vietos ar atvykimo į valstybes nares teisėtumo, turi būti lygūs prieš įstatymą, ir ragina Komisiją ir valstybes nares toliau kovoti su diskriminacija dėl pilietybės; </w:t>
            </w:r>
            <w:r w:rsidRPr="002C61E4">
              <w:rPr>
                <w:b/>
                <w:i/>
              </w:rPr>
              <w:t>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gimimo vietos ar atvykimo į valstybes nares teisėtumo, turi būti lygūs prieš įstatymą, ir ragina Komisiją ir valstybes nares toliau kovoti su diskriminacija dėl pilietybės;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{EL}</w:t>
      </w:r>
      <w:r w:rsidRPr="002C61E4">
        <w:t>el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gimimo vietos ar atvykimo į valstybes nares teisėtumo, turi būti lygūs prieš įstatymą</w:t>
            </w:r>
            <w:r w:rsidRPr="002C61E4">
              <w:rPr>
                <w:b/>
                <w:bCs/>
                <w:i/>
                <w:iCs/>
              </w:rPr>
              <w:t>, ir ragina Komisiją ir valstybes nares toliau kovoti su diskriminacija dėl pilietybės</w:t>
            </w:r>
            <w:r w:rsidRPr="002C61E4">
              <w:t xml:space="preserve">; ragina Komisiją </w:t>
            </w:r>
            <w:r w:rsidRPr="002C61E4">
              <w:rPr>
                <w:b/>
                <w:bCs/>
                <w:i/>
                <w:iCs/>
              </w:rPr>
              <w:t>užtikrinti, kad valstybės narės, įgyvendindamos</w:t>
            </w:r>
            <w:r w:rsidRPr="002C61E4">
              <w:t xml:space="preserve"> Migracijos ir prieglobsčio </w:t>
            </w:r>
            <w:r w:rsidRPr="002C61E4">
              <w:rPr>
                <w:b/>
                <w:bCs/>
                <w:i/>
                <w:iCs/>
              </w:rPr>
              <w:t>paktą, savo nacionaliniuose planuose laikytųsi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gimimo vietos ar atvykimo į valstybes nares teisėtumo, turi būti lygūs prieš įstatymą</w:t>
            </w:r>
            <w:r w:rsidRPr="002C61E4">
              <w:rPr>
                <w:b/>
                <w:i/>
              </w:rPr>
              <w:t xml:space="preserve"> </w:t>
            </w:r>
            <w:r w:rsidRPr="002C61E4">
              <w:rPr>
                <w:b/>
                <w:bCs/>
                <w:i/>
                <w:iCs/>
              </w:rPr>
              <w:t>šiuo atžvilgiu pabrėžia, koks svarbus yra grąžinimo sistemos veiksmingumas;</w:t>
            </w:r>
            <w:r w:rsidRPr="002C61E4">
              <w:t xml:space="preserve"> ragina Komisiją atlikti būtinus Migracijos ir prieglobsčio </w:t>
            </w:r>
            <w:r w:rsidRPr="002C61E4">
              <w:rPr>
                <w:b/>
                <w:bCs/>
                <w:i/>
                <w:iCs/>
              </w:rPr>
              <w:t>pakto pakeitimus siekiant užtikrinti, kad visi valstybių narių priimti sprendimai grąžinti būtų nedelsiant vykdomi, ir pasiūlyti naujas sankcijas ir (arba) tarifus nebendradarbiaujančioms trečiosioms šalims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 įgyvendindamos Migracijos ir prieglobsčio paktą</w:t>
            </w:r>
            <w:r w:rsidRPr="002C61E4">
              <w:rPr>
                <w:b/>
                <w:bCs/>
                <w:i/>
                <w:iCs/>
              </w:rPr>
              <w:t xml:space="preserve"> ir Šengeno </w:t>
            </w:r>
            <w:r w:rsidRPr="002C61E4">
              <w:rPr>
                <w:b/>
                <w:bCs/>
              </w:rPr>
              <w:t>acquis</w:t>
            </w:r>
            <w:r w:rsidRPr="002C61E4">
              <w:t xml:space="preserve">, savo nacionaliniuose planuose laikytųsi teisinės valstybės principo; </w:t>
            </w:r>
            <w:r w:rsidRPr="002C61E4">
              <w:rPr>
                <w:b/>
                <w:i/>
              </w:rPr>
              <w:t>pakartoja, kad bet kokiomis aplinkybėmis priverstinis apgręžimas pažeidžia ES ir tarptautinę teisę;</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w:t>
            </w:r>
            <w:r w:rsidRPr="002C61E4">
              <w:rPr>
                <w:b/>
                <w:bCs/>
                <w:i/>
                <w:iCs/>
              </w:rPr>
              <w:t>, įgyvendindamos Migracijos ir prieglobsčio paktą,</w:t>
            </w:r>
            <w:r w:rsidRPr="002C61E4">
              <w:t xml:space="preserve">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pabrėžia, kad visi piliečiai, nepriklausomai nuo jų pilietybės, gimimo vietos ar atvykimo į valstybes nares teisėtumo, turi būti lygūs prieš įstatymą, ir ragina Komisiją ir valstybes nares toliau kovoti su diskriminacija dėl pilietybės; ragina Komisiją užtikrinti, kad valstybės narės savo nacionaliniuose planuose laikytųsi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448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gimimo vietos ar atvykimo į valstybes nares teisėtumo, turi būti lygūs prieš įstatymą, ir ragina Komisiją ir valstybes nares toliau kovoti su diskriminacija dėl pilietybės; ragina Komisiją </w:t>
            </w:r>
            <w:r w:rsidRPr="002C61E4">
              <w:rPr>
                <w:b/>
                <w:bCs/>
                <w:i/>
                <w:iCs/>
              </w:rPr>
              <w:t>užtikrinti, kad valstybės narės, įgyvendindamos</w:t>
            </w:r>
            <w:r w:rsidRPr="002C61E4">
              <w:t xml:space="preserve"> Migracijos ir prieglobsčio </w:t>
            </w:r>
            <w:r w:rsidRPr="002C61E4">
              <w:rPr>
                <w:b/>
                <w:bCs/>
                <w:i/>
                <w:iCs/>
              </w:rPr>
              <w:t>paktą, savo nacionaliniuose planuose laikytųsi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gimimo vietos ar atvykimo į valstybes nares teisėtumo, turi būti lygūs prieš įstatymą, ir ragina Komisiją ir valstybes nares toliau kovoti su diskriminacija dėl pilietybės; ragina Komisiją </w:t>
            </w:r>
            <w:r w:rsidRPr="002C61E4">
              <w:rPr>
                <w:b/>
                <w:bCs/>
                <w:i/>
                <w:iCs/>
              </w:rPr>
              <w:t>atsisakyti</w:t>
            </w:r>
            <w:r w:rsidRPr="002C61E4">
              <w:t xml:space="preserve"> Migracijos ir prieglobsčio </w:t>
            </w:r>
            <w:r w:rsidRPr="002C61E4">
              <w:rPr>
                <w:b/>
                <w:bCs/>
                <w:i/>
                <w:iCs/>
              </w:rPr>
              <w:t>pakto arba suteikti valstybėms narėms galimybę atsisakyti šio pakto</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449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gimimo vietos ar </w:t>
            </w:r>
            <w:r w:rsidRPr="002C61E4">
              <w:rPr>
                <w:b/>
                <w:bCs/>
                <w:i/>
                <w:iCs/>
              </w:rPr>
              <w:t>atvykimo į valstybes nares teisėtumo</w:t>
            </w:r>
            <w:r w:rsidRPr="002C61E4">
              <w:t>,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17.</w:t>
            </w:r>
            <w:r w:rsidRPr="002C61E4">
              <w:tab/>
              <w:t xml:space="preserve">pabrėžia, kad visi piliečiai, nepriklausomai nuo jų pilietybės, gimimo vietos ar </w:t>
            </w:r>
            <w:r w:rsidRPr="002C61E4">
              <w:rPr>
                <w:b/>
                <w:bCs/>
                <w:i/>
                <w:iCs/>
              </w:rPr>
              <w:t>gyventojo statuso</w:t>
            </w:r>
            <w:r w:rsidRPr="002C61E4">
              <w:t>, turi būti lygūs prieš įstatymą, ir ragina Komisiją ir valstybes nares toliau kovoti su diskriminacija dėl pilietybės; ragina Komisiją užtikrinti, kad valstybės narės, įgyvendindamos Migracijos ir prieglobsčio paktą, savo nacionaliniuose planuose laikytųsi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 Cecilia Strada, Sandro Ruotolo, Pina Picierno, Marco Tarquinio</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17a.</w:t>
            </w:r>
            <w:r w:rsidRPr="002C61E4">
              <w:tab/>
            </w:r>
            <w:r w:rsidRPr="002C61E4">
              <w:rPr>
                <w:b/>
                <w:i/>
              </w:rPr>
              <w:t>pripažįsta, kad kompetentingos institucijos, nustatydamos trečiąją šalį kaip saugią kilmės šalį, visada turi laikytis demokratijos principų, taigi ir teisinės valstybės principo, ES teisės aktuose nustatytų kriterijų, gerbti ESTT sprendimus ir laikytis tarptautinės teisės; pabrėžia ES ir tarptautinėje teisėje nustatytą pareigą suteikti tarptautinę apsaugą persekiojamiems asmenims ir (arba) asmenims, patiriantiems didelę žalą dėl rasinės ir etninės kilmės, religijos ar tikėjimo, pilietybės, politinių pažiūrų, kalbos, negalios, amžiaus, lyties, įskaitant lytinę tapatybę ir lyties išraišką, ir seksualinės orientacijos;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17a.</w:t>
            </w:r>
            <w:r w:rsidRPr="002C61E4">
              <w:tab/>
            </w:r>
            <w:r w:rsidRPr="002C61E4">
              <w:rPr>
                <w:b/>
                <w:i/>
              </w:rPr>
              <w:t>pripažįsta, kad kompetentingos institucijos, nustatydamos trečiąją šalį kaip saugią kilmės šalį, visada turi laikytis teisinės valstybės principų, ES teisės aktuose nustatytų kriterijų, gerbti ESTT sprendimus ir laikytis tarptautinės teisės; pabrėžia ES ir tarptautinėje teisėje nustatytą pareigą suteikti tarptautinę apsaugą persekiojamiems asmenims ir (arba) didelę žalą patiriantiems asmenims;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17a.</w:t>
            </w:r>
            <w:r w:rsidRPr="002C61E4">
              <w:tab/>
            </w:r>
            <w:r w:rsidRPr="002C61E4">
              <w:rPr>
                <w:b/>
                <w:i/>
              </w:rPr>
              <w:t>pabrėžia, kad būtina laikytis visų piliečių lygybės prieš įstatymą principo; ragina Komisiją užtikrinti, kad Migracijos ir prieglobsčio paktas būtų įgyvendinamas atsižvelgiant į valstybių kompetenciją saugumo, viešosios tvarkos ir sienų kontrolės srityje ir visapusiškai atsižvelgiant į kitų teisėkūros institucijų sprendimus;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Marco Tarquinio, Alessandro Zan, Damien Carême, Mélissa Camara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17a.</w:t>
            </w:r>
            <w:r w:rsidRPr="002C61E4">
              <w:tab/>
            </w:r>
            <w:r w:rsidRPr="002C61E4">
              <w:rPr>
                <w:b/>
                <w:i/>
              </w:rPr>
              <w:t>pabrėžia, kad atskaitomybės trūkumas daro neproporcingai didelę įtaką rasinėms bendruomenėms, kurios dažnai susiduria su sistemine atskirtimi nuo viešųjų paslaugų, sąžiningo politinio atstovavimo ir ekonominių galimybių; ragina didinti viešųjų sprendimų priėmimo procesų skaidrumą, kad būtų užtikrintas įtraukus ir teisingas valdymas;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Marco Tarquinio, Alessandro Zan, Damien Carême, Mélissa Camara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17b.</w:t>
            </w:r>
            <w:r w:rsidRPr="002C61E4">
              <w:tab/>
            </w:r>
            <w:r w:rsidRPr="002C61E4">
              <w:rPr>
                <w:b/>
                <w:i/>
              </w:rPr>
              <w:t>apgailestauja, kad valstybėse narėse dažnai nebaudžiama už policijos smurtą ir neproporcingą teisėsaugos institucijų jėgos naudojimą prieš rasines mažumas; pabrėžia, kad atskaitomybė ir nepriklausoma priežiūra yra labai svarbios siekiant spręsti institucinio rasizmo problemą teisėsaugos srityje;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Marco Tarquinio, Alessandro Zan, Damien Carême, Mélissa Camara</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17c.</w:t>
            </w:r>
            <w:r w:rsidRPr="002C61E4">
              <w:tab/>
            </w:r>
            <w:r w:rsidRPr="002C61E4">
              <w:rPr>
                <w:b/>
                <w:i/>
              </w:rPr>
              <w:t>pažymi, kad rasinės ir etninės mažumos teismų sistemoje susiduria su struktūrine diskriminacija, įskaitant rasinį profiliavimą, pernelyg didelį policijos pareigūnų skaičių, kitą diskriminacinę policijos praktiką ir susiduria su kliūtimis norėdami kreiptis į teismą; ragina valstybes nares įgyvendinti priemones, kuriomis būtų užtikrintas vienodas požiūris teismo procese, ir rinkti išskaidytus duomenis apie rasinius skirtumus teisėsaugos ir bausmių skyrimo srityse;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Marco Tarquinio, Alessandro Zan, Damien Carême, Mélissa Camara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17 d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17d.</w:t>
            </w:r>
            <w:r w:rsidRPr="002C61E4">
              <w:tab/>
            </w:r>
            <w:r w:rsidRPr="002C61E4">
              <w:rPr>
                <w:b/>
                <w:i/>
              </w:rPr>
              <w:t>ragina valstybes nares visapusiškai įgyvendinti Direktyvą 2024/1500 ir Direktyvą 2024/1499, kuriomis nustatomi būtiniausi lygybės įstaigoms taikomi standartai; primygtinai ragina imtis konkrečių priemonių, kad būtų užtikrintas lygybės institucijų nepriklausomumas ir jų veiksmingumas skatinant lygybę;</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18.</w:t>
            </w:r>
            <w:r w:rsidRPr="002C61E4">
              <w:tab/>
            </w:r>
            <w:r w:rsidRPr="002C61E4">
              <w:rPr>
                <w:b/>
                <w:i/>
              </w:rPr>
              <w:t>ragina toliau imtis veiksmų kovojant su mažumų grupių ir tautinių, etninių, kalbinių bei religinių mažumų diskriminacija ir prieš juos nukreiptais nusikaltimais; primygtinai ragina Komisiją į metinę teisinės valstybės principo taikymo ataskaitą įtraukti ramstį dėl kovos su visų formų diskriminacija stiprinimo;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 xml:space="preserve">18. </w:t>
            </w:r>
            <w:r w:rsidRPr="002C61E4">
              <w:tab/>
            </w:r>
            <w:r w:rsidRPr="002C61E4">
              <w:rPr>
                <w:b/>
                <w:i/>
              </w:rPr>
              <w:t>ragina toliau imtis veiksmų kovojant su mažumų grupių ir tautinių, etninių, kalbinių bei religinių mažumų diskriminacija ir prieš juos nukreiptais nusikaltimais; primygtinai ragina Komisiją į metinę teisinės valstybės principo taikymo ataskaitą įtraukti ramstį dėl kovos su visų formų diskriminacija stiprinimo;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459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18.</w:t>
            </w:r>
            <w:r w:rsidRPr="002C61E4">
              <w:tab/>
              <w:t xml:space="preserve">ragina toliau imtis veiksmų </w:t>
            </w:r>
            <w:r w:rsidRPr="002C61E4">
              <w:lastRenderedPageBreak/>
              <w:t xml:space="preserve">kovojant su </w:t>
            </w:r>
            <w:r w:rsidRPr="002C61E4">
              <w:rPr>
                <w:b/>
                <w:bCs/>
                <w:i/>
                <w:iCs/>
              </w:rPr>
              <w:t>mažumų</w:t>
            </w:r>
            <w:r w:rsidRPr="002C61E4">
              <w:t xml:space="preserve"> grupių </w:t>
            </w:r>
            <w:r w:rsidRPr="002C61E4">
              <w:rPr>
                <w:b/>
                <w:bCs/>
                <w:i/>
                <w:iCs/>
              </w:rPr>
              <w:t>ir tautinių, etninių, kalbinių bei religinių mažumų</w:t>
            </w:r>
            <w:r w:rsidRPr="002C61E4">
              <w:t xml:space="preserve"> diskriminacija ir prieš juos nukreiptais nusikaltimais; </w:t>
            </w:r>
            <w:r w:rsidRPr="002C61E4">
              <w:rPr>
                <w:b/>
                <w:i/>
              </w:rPr>
              <w:t>primygtinai ragina Komisiją į metinę teisinės valstybės principo taikymo ataskaitą įtraukti ramstį dėl kovos su visų formų diskriminacija stiprinimo;</w:t>
            </w:r>
          </w:p>
        </w:tc>
        <w:tc>
          <w:tcPr>
            <w:tcW w:w="4876" w:type="dxa"/>
            <w:tcBorders>
              <w:top w:val="nil"/>
              <w:left w:val="nil"/>
              <w:bottom w:val="nil"/>
              <w:right w:val="nil"/>
            </w:tcBorders>
          </w:tcPr>
          <w:p w:rsidR="00E82389" w:rsidRPr="002C61E4" w:rsidRDefault="00E82389" w:rsidP="003B0113">
            <w:pPr>
              <w:pStyle w:val="Normal6a"/>
            </w:pPr>
            <w:r w:rsidRPr="002C61E4">
              <w:lastRenderedPageBreak/>
              <w:t>18.</w:t>
            </w:r>
            <w:r w:rsidRPr="002C61E4">
              <w:tab/>
              <w:t xml:space="preserve">ragina toliau imtis veiksmų </w:t>
            </w:r>
            <w:r w:rsidRPr="002C61E4">
              <w:lastRenderedPageBreak/>
              <w:t xml:space="preserve">kovojant su </w:t>
            </w:r>
            <w:r w:rsidRPr="002C61E4">
              <w:rPr>
                <w:b/>
                <w:bCs/>
                <w:i/>
                <w:iCs/>
              </w:rPr>
              <w:t>pažeidžiamų</w:t>
            </w:r>
            <w:r w:rsidRPr="002C61E4">
              <w:t xml:space="preserve"> grupių diskriminacija ir prieš juos nukreiptais nusikaltimais;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18.</w:t>
            </w:r>
            <w:r w:rsidRPr="002C61E4">
              <w:tab/>
              <w:t>ragina toliau imtis veiksmų kovojant su mažumų grupių ir tautinių, etninių, kalbinių bei religinių mažumų diskriminacija ir prieš juos nukreiptais nusikaltimais; primygtinai ragina Komisiją į metinę teisinės valstybės principo taikymo ataskaitą įtraukti ramstį dėl kovos su visų formų diskriminacija stiprinimo;</w:t>
            </w:r>
          </w:p>
        </w:tc>
        <w:tc>
          <w:tcPr>
            <w:tcW w:w="4876" w:type="dxa"/>
            <w:tcBorders>
              <w:top w:val="nil"/>
              <w:left w:val="nil"/>
              <w:bottom w:val="nil"/>
              <w:right w:val="nil"/>
            </w:tcBorders>
          </w:tcPr>
          <w:p w:rsidR="00E82389" w:rsidRPr="002C61E4" w:rsidRDefault="00E82389" w:rsidP="003B0113">
            <w:pPr>
              <w:pStyle w:val="Normal6a"/>
            </w:pPr>
            <w:r w:rsidRPr="002C61E4">
              <w:t>18.</w:t>
            </w:r>
            <w:r w:rsidRPr="002C61E4">
              <w:tab/>
              <w:t>ragina toliau imtis veiksmų kovojant su mažumų grupių ir tautinių, etninių, kalbinių bei religinių mažumų diskriminacija ir prieš juos nukreiptais nusikaltimais;</w:t>
            </w:r>
            <w:r w:rsidRPr="002C61E4">
              <w:rPr>
                <w:b/>
                <w:i/>
              </w:rPr>
              <w:t xml:space="preserve"> </w:t>
            </w:r>
            <w:r w:rsidRPr="002C61E4">
              <w:rPr>
                <w:b/>
                <w:bCs/>
                <w:i/>
                <w:iCs/>
              </w:rPr>
              <w:t>griežtai smerkia vis dažnėjančius išpuolius prieš krikščionis, taip pat antisemitizmo plitimą ES po 2023 m. spalio 7 d. Izraelyje įvykdyto teroro akto.</w:t>
            </w:r>
            <w:r w:rsidRPr="002C61E4">
              <w:t xml:space="preserve"> primygtinai ragina Komisiją į metinę teisinės valstybės principo taikymo ataskaitą įtraukti ramstį dėl kovos su visų formų diskriminacija stiprinimo;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18.</w:t>
            </w:r>
            <w:r w:rsidRPr="002C61E4">
              <w:tab/>
              <w:t xml:space="preserve">ragina toliau imtis veiksmų kovojant su mažumų grupių ir tautinių, etninių, kalbinių bei religinių mažumų </w:t>
            </w:r>
            <w:r w:rsidRPr="002C61E4">
              <w:lastRenderedPageBreak/>
              <w:t>diskriminacija ir prieš juos nukreiptais nusikaltimais; primygtinai ragina Komisiją į metinę teisinės valstybės principo taikymo ataskaitą įtraukti ramstį dėl kovos su visų formų diskriminacija stiprinimo;</w:t>
            </w:r>
          </w:p>
        </w:tc>
        <w:tc>
          <w:tcPr>
            <w:tcW w:w="4876" w:type="dxa"/>
            <w:tcBorders>
              <w:top w:val="nil"/>
              <w:left w:val="nil"/>
              <w:bottom w:val="nil"/>
              <w:right w:val="nil"/>
            </w:tcBorders>
          </w:tcPr>
          <w:p w:rsidR="00E82389" w:rsidRPr="002C61E4" w:rsidRDefault="00E82389" w:rsidP="003B0113">
            <w:pPr>
              <w:pStyle w:val="Normal6a"/>
            </w:pPr>
            <w:r w:rsidRPr="002C61E4">
              <w:lastRenderedPageBreak/>
              <w:t>18.</w:t>
            </w:r>
            <w:r w:rsidRPr="002C61E4">
              <w:tab/>
              <w:t xml:space="preserve">ragina toliau imtis veiksmų kovojant su mažumų grupių ir tautinių, etninių, kalbinių bei religinių mažumų </w:t>
            </w:r>
            <w:r w:rsidRPr="002C61E4">
              <w:lastRenderedPageBreak/>
              <w:t xml:space="preserve">diskriminacija ir prieš juos nukreiptais nusikaltimais; </w:t>
            </w:r>
            <w:r w:rsidRPr="002C61E4">
              <w:rPr>
                <w:b/>
                <w:i/>
              </w:rPr>
              <w:t>yra labai susirūpinęs dėl antisemitizmo paplitimo Europoje;</w:t>
            </w:r>
            <w:r w:rsidRPr="002C61E4">
              <w:t xml:space="preserve"> primygtinai ragina Komisiją į metinę teisinės valstybės principo taikymo ataskaitą įtraukti ramstį dėl kovos su visų formų diskriminacija stiprinimo;</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18.</w:t>
            </w:r>
            <w:r w:rsidRPr="002C61E4">
              <w:tab/>
              <w:t xml:space="preserve">ragina toliau imtis veiksmų kovojant su mažumų grupių ir tautinių, etninių, kalbinių bei religinių mažumų diskriminacija ir prieš juos nukreiptais nusikaltimais; </w:t>
            </w:r>
            <w:r w:rsidRPr="002C61E4">
              <w:rPr>
                <w:b/>
                <w:i/>
              </w:rPr>
              <w:t>primygtinai ragina Komisiją į metinę teisinės valstybės principo taikymo ataskaitą įtraukti ramstį dėl kovos su visų formų diskriminacija stiprinimo;</w:t>
            </w:r>
          </w:p>
        </w:tc>
        <w:tc>
          <w:tcPr>
            <w:tcW w:w="4876" w:type="dxa"/>
            <w:tcBorders>
              <w:top w:val="nil"/>
              <w:left w:val="nil"/>
              <w:bottom w:val="nil"/>
              <w:right w:val="nil"/>
            </w:tcBorders>
          </w:tcPr>
          <w:p w:rsidR="00E82389" w:rsidRPr="002C61E4" w:rsidRDefault="00E82389" w:rsidP="003B0113">
            <w:pPr>
              <w:pStyle w:val="Normal6a"/>
            </w:pPr>
            <w:r w:rsidRPr="002C61E4">
              <w:t>18.</w:t>
            </w:r>
            <w:r w:rsidRPr="002C61E4">
              <w:tab/>
              <w:t xml:space="preserve">ragina toliau imtis veiksmų kovojant su mažumų grupių ir tautinių, etninių, kalbinių bei religinių mažumų diskriminacija ir prieš juos nukreiptais nusikaltimais; </w:t>
            </w:r>
            <w:r w:rsidRPr="002C61E4">
              <w:rPr>
                <w:b/>
                <w:bCs/>
                <w:i/>
                <w:iCs/>
              </w:rPr>
              <w:t>pabrėžia, kad šių veiksmų turėtų būti imtasi nacionaliniu lygmeniu</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Raquel García Hermida-Van Der Walle, Fabienne Keller, Sophie Wilmès, Moritz Körner,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18.</w:t>
            </w:r>
            <w:r w:rsidRPr="002C61E4">
              <w:tab/>
              <w:t>ragina toliau imtis veiksmų kovojant su mažumų grupių ir tautinių, etninių, kalbinių</w:t>
            </w:r>
            <w:r w:rsidRPr="002C61E4">
              <w:rPr>
                <w:b/>
                <w:bCs/>
                <w:i/>
                <w:iCs/>
              </w:rPr>
              <w:t xml:space="preserve"> bei</w:t>
            </w:r>
            <w:r w:rsidRPr="002C61E4">
              <w:t xml:space="preserve"> religinių mažumų diskriminacija ir prieš juos nukreiptais nusikaltimais; primygtinai ragina Komisiją </w:t>
            </w:r>
            <w:r w:rsidRPr="002C61E4">
              <w:lastRenderedPageBreak/>
              <w:t>į metinę teisinės valstybės principo taikymo ataskaitą įtraukti ramstį dėl kovos su visų formų diskriminacija stiprinimo;</w:t>
            </w:r>
          </w:p>
        </w:tc>
        <w:tc>
          <w:tcPr>
            <w:tcW w:w="4876" w:type="dxa"/>
            <w:tcBorders>
              <w:top w:val="nil"/>
              <w:left w:val="nil"/>
              <w:bottom w:val="nil"/>
              <w:right w:val="nil"/>
            </w:tcBorders>
          </w:tcPr>
          <w:p w:rsidR="00E82389" w:rsidRPr="002C61E4" w:rsidRDefault="00E82389" w:rsidP="003B0113">
            <w:pPr>
              <w:pStyle w:val="Normal6a"/>
            </w:pPr>
            <w:r w:rsidRPr="002C61E4">
              <w:lastRenderedPageBreak/>
              <w:t>18.</w:t>
            </w:r>
            <w:r w:rsidRPr="002C61E4">
              <w:tab/>
              <w:t>ragina toliau imtis veiksmų kovojant su mažumų grupių ir tautinių, etninių, kalbinių</w:t>
            </w:r>
            <w:r w:rsidRPr="002C61E4">
              <w:rPr>
                <w:b/>
                <w:bCs/>
                <w:i/>
                <w:iCs/>
              </w:rPr>
              <w:t>,</w:t>
            </w:r>
            <w:r w:rsidRPr="002C61E4">
              <w:t xml:space="preserve"> religinių</w:t>
            </w:r>
            <w:r w:rsidRPr="002C61E4">
              <w:rPr>
                <w:b/>
                <w:bCs/>
                <w:i/>
                <w:iCs/>
              </w:rPr>
              <w:t xml:space="preserve"> ir seksualinių</w:t>
            </w:r>
            <w:r w:rsidRPr="002C61E4">
              <w:t xml:space="preserve"> mažumų diskriminacija ir prieš juos nukreiptais nusikaltimais; primygtinai </w:t>
            </w:r>
            <w:r w:rsidRPr="002C61E4">
              <w:lastRenderedPageBreak/>
              <w:t>ragina Komisiją į metinę teisinės valstybės principo taikymo ataskaitą įtraukti ramstį dėl kovos su visų formų diskriminacija stiprinimo;</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18.</w:t>
            </w:r>
            <w:r w:rsidRPr="002C61E4">
              <w:tab/>
              <w:t xml:space="preserve">ragina toliau imtis veiksmų kovojant su mažumų grupių ir tautinių, etninių, kalbinių bei religinių mažumų diskriminacija ir prieš juos nukreiptais nusikaltimais; primygtinai ragina Komisiją </w:t>
            </w:r>
            <w:r w:rsidRPr="002C61E4">
              <w:rPr>
                <w:b/>
                <w:bCs/>
                <w:i/>
                <w:iCs/>
              </w:rPr>
              <w:t>į metinę teisinės valstybės principo taikymo</w:t>
            </w:r>
            <w:r w:rsidRPr="002C61E4">
              <w:t xml:space="preserve"> ataskaitą </w:t>
            </w:r>
            <w:r w:rsidRPr="002C61E4">
              <w:rPr>
                <w:b/>
                <w:bCs/>
                <w:i/>
                <w:iCs/>
              </w:rPr>
              <w:t>įtraukti ramstį dėl kovos su visų formų diskriminacija stiprinimo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18.</w:t>
            </w:r>
            <w:r w:rsidRPr="002C61E4">
              <w:tab/>
              <w:t xml:space="preserve">ragina toliau imtis veiksmų kovojant su mažumų grupių ir tautinių, etninių, kalbinių bei religinių mažumų diskriminacija ir prieš juos nukreiptais nusikaltimais; primygtinai ragina Komisiją </w:t>
            </w:r>
            <w:r w:rsidRPr="002C61E4">
              <w:rPr>
                <w:b/>
                <w:bCs/>
                <w:i/>
                <w:iCs/>
              </w:rPr>
              <w:t>ištirti ES institucijų atsilikimą nuo demokratijos ir pateikti</w:t>
            </w:r>
            <w:r w:rsidRPr="002C61E4">
              <w:t xml:space="preserve"> ataskaitą </w:t>
            </w:r>
            <w:r w:rsidRPr="002C61E4">
              <w:rPr>
                <w:b/>
                <w:bCs/>
                <w:i/>
                <w:iCs/>
              </w:rPr>
              <w:t>dėl jo</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Alessandro Zan,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dalies 1 punktas (naujas)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w:t>
            </w:r>
            <w:r w:rsidRPr="002C61E4">
              <w:tab/>
            </w:r>
            <w:r w:rsidRPr="002C61E4">
              <w:rPr>
                <w:b/>
                <w:i/>
              </w:rPr>
              <w:t>ragina valstybes nares ginti LGBTIQ asmenų teises ir užtikrinti, kad jos būtų gerbiamos visoje ES;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466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18a.</w:t>
            </w:r>
            <w:r w:rsidRPr="002C61E4">
              <w:tab/>
            </w:r>
            <w:r w:rsidRPr="002C61E4">
              <w:rPr>
                <w:b/>
                <w:i/>
              </w:rPr>
              <w:t>atkreipia dėmesį į akivaizdžią prastėjančių teisinės valstybės principo laikymosi standartų ir pagrindinių teisių bei mažumų teisių pažeidimų sąsają, pvz., perteklinės teisėsaugos institucijų jėgos naudojimą per protestus ES pasienyje, garantijų nesuteikimą sulaikytiesiems asmenims ir tinkamo proceso nesilaikymą, politikos veikėjų kurstomą neapykantą, valdžios institucijų įgaliojimų didinimą, kad jos galėtų vykdyti masinį sekimą ir masiškai kaupti perimtus duomenis, bei finansavimą iš užsienio gaunančioms arba dėl jų religinių įsitikinimų įvestus apribojimus pilietinės visuomenės organizacijoms;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Paolo Inselvini, Alessandro Ciriani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18a.</w:t>
            </w:r>
            <w:r w:rsidRPr="002C61E4">
              <w:tab/>
            </w:r>
            <w:r w:rsidRPr="002C61E4">
              <w:rPr>
                <w:b/>
                <w:i/>
              </w:rPr>
              <w:t xml:space="preserve">pabrėžia, kad demografinis tvarumas yra esminis teisinės valstybės elementas, nes jis turi įtakos ekonominiam stabilumui, demokratiniam atstovavimui ir kartų tarpusavio teisingumui; ragina Komisiją į metinę teisinės valstybės ataskaitą įtraukti skyrių, skirtą valstybių narių demografinės politikos poveikio pagarbai socialinėms teisėms, gerovės sistemų tvarumui ir socialinei sanglaudai, taip pat paramos šeimai ir gimstamumui politikai </w:t>
            </w:r>
            <w:r w:rsidRPr="002C61E4">
              <w:rPr>
                <w:b/>
                <w:i/>
              </w:rPr>
              <w:lastRenderedPageBreak/>
              <w:t>stebėsenai;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Loránt Vincze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18a.</w:t>
            </w:r>
            <w:r w:rsidRPr="002C61E4">
              <w:tab/>
            </w:r>
            <w:r w:rsidRPr="002C61E4">
              <w:rPr>
                <w:b/>
                <w:i/>
              </w:rPr>
              <w:t>pabrėžia, kad reikia sukurti demokratijos, teisinės valstybės ir pagrindinių teisių mechanizmą, kuris apimtų visas ES sutarties 2 straipsnyje išdėstytas vertybes; ragina ES mastu stebėti vietos tautinių ir kalbinių mažumų padėtį;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469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Mary Khan, Milan Uhrík, Ewa Zajączkowska-Hernik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18a.</w:t>
            </w:r>
            <w:r w:rsidRPr="002C61E4">
              <w:tab/>
            </w:r>
            <w:r w:rsidRPr="002C61E4">
              <w:rPr>
                <w:b/>
                <w:i/>
              </w:rPr>
              <w:t>pripažįsta, kad svarbu išsaugoti nacionalinį identitetą ir kultūrą, užtikrinant, kad ES teisinės valstybės mechanizmai nesikiš į tokias sritis kaip šeimos teisė, švietimas ir socialinė politika;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 Ana Catarina Mendes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18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18b.</w:t>
            </w:r>
            <w:r w:rsidRPr="002C61E4">
              <w:tab/>
            </w:r>
            <w:r w:rsidRPr="002C61E4">
              <w:rPr>
                <w:b/>
                <w:i/>
              </w:rPr>
              <w:t>yra susirūpinęs dėl visoje ES didėjančio rasizmo ir ksenofobijos lygio; smerkia neapykantos nusikaltimus ir neapykantą kurstančias kalbas, kurių priežastis yra rasizmas, ksenofobija ar religinė netolerancija arba šališkumas dėl negalios, seksualinės orientacijos, lytinės tapatybės, lytinių požymių ar mažumos statuso; ragina Komisiją ir valstybes nares aktyviau keistis geriausios praktikos pavyzdžiais ir stiprinti savo bendradarbiavimą kovojant su rasizmu, ksenofobija, homofobija, transfobija ir kitų formų netolerancija, visapusiškai dalyvaujant pilietinei visuomenei ir prisidedant atitinkamiems suinteresuotiesiems subjektams, pavyzdžiui, FRA;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Loránt Vincze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18b.</w:t>
            </w:r>
            <w:r w:rsidRPr="002C61E4">
              <w:tab/>
            </w:r>
            <w:r w:rsidRPr="002C61E4">
              <w:rPr>
                <w:b/>
                <w:i/>
              </w:rPr>
              <w:t>dar kartą ragina Europos Sąjungą prisijungti prie Tautinių mažumų apsaugos pagrindų konvencijos ir Europos regioninių arba mažumų kalbų chartijos; ragina užmegzti glaudesnius ES ir Europos Tarybos ryšius mažumų teisių srityje, be kita ko, atsižvelgiant į plėtros procesą;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472</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18c.</w:t>
            </w:r>
            <w:r w:rsidRPr="002C61E4">
              <w:tab/>
            </w:r>
            <w:r w:rsidRPr="002C61E4">
              <w:rPr>
                <w:b/>
                <w:i/>
              </w:rPr>
              <w:t>yra labai susirūpinęs dėl didėjančio prieš musulmonus nukreipto rasizmo ir stiprėjančio musulmonų laikymo „įtartina bendruomene“; ragina valstybes nares peržiūrėti su kova su terorizmu ir ekstremizmu susijusius teisės aktus ir politiką, siekiant užtikrinti, kad jais tiesiogiai ar netiesiogiai nebūtų diskriminuojami musulmonai, ir panaikinti visas teisės nuostatas ir reglamentus, kurie laikomi diskriminaciniais;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5 paantraštė</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Bendroji rinka ir teisinė valstybė</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Lukas Mandl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5 paantraštė</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rPr>
              <w:t>Bendroji rinka</w:t>
            </w:r>
            <w:r w:rsidRPr="002C61E4">
              <w:t xml:space="preserve"> ir </w:t>
            </w:r>
            <w:r w:rsidRPr="002C61E4">
              <w:rPr>
                <w:b/>
                <w:bCs/>
                <w:i/>
                <w:iCs/>
              </w:rPr>
              <w:t>teisinė valstybė</w:t>
            </w:r>
          </w:p>
        </w:tc>
        <w:tc>
          <w:tcPr>
            <w:tcW w:w="4876" w:type="dxa"/>
            <w:tcBorders>
              <w:top w:val="nil"/>
              <w:left w:val="nil"/>
              <w:bottom w:val="nil"/>
              <w:right w:val="nil"/>
            </w:tcBorders>
          </w:tcPr>
          <w:p w:rsidR="00E82389" w:rsidRPr="002C61E4" w:rsidRDefault="00E82389" w:rsidP="003B0113">
            <w:pPr>
              <w:pStyle w:val="Normal6a"/>
            </w:pPr>
            <w:r w:rsidRPr="002C61E4">
              <w:rPr>
                <w:b/>
                <w:bCs/>
                <w:i/>
                <w:iCs/>
              </w:rPr>
              <w:t>Ekonominis</w:t>
            </w:r>
            <w:r w:rsidRPr="002C61E4">
              <w:t xml:space="preserve"> ir </w:t>
            </w:r>
            <w:r w:rsidRPr="002C61E4">
              <w:rPr>
                <w:b/>
                <w:bCs/>
                <w:i/>
                <w:iCs/>
              </w:rPr>
              <w:t>bendrosios rinkos teisinės valstybės aspektas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18a.</w:t>
            </w:r>
            <w:r w:rsidRPr="002C61E4">
              <w:tab/>
            </w:r>
            <w:r w:rsidRPr="002C61E4">
              <w:rPr>
                <w:b/>
                <w:i/>
              </w:rPr>
              <w:t>yra sunerimęs dėl pastaruoju metu išaugusio antisemitizmo, įskaitant smurto veiksmus, bauginimą ir viešosiose erdvėse demonstruojamus neapykantos simbolius;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18a.</w:t>
            </w:r>
            <w:r w:rsidRPr="002C61E4">
              <w:tab/>
            </w:r>
            <w:r w:rsidRPr="002C61E4">
              <w:rPr>
                <w:b/>
                <w:i/>
              </w:rPr>
              <w:t xml:space="preserve">ragina Europos Komisiją toliau stebėti teisinės valstybės principo taikymo padėtį visoje ES ir teikti ataskaitas apie ją, ypatingą dėmesį skiriant tam, kaip teisinės valstybės principų pažeidimai veikia bendrąją rinką; primygtinai ragina Komisiją pasinaudoti visomis turimomis teisinėmis priemonėmis, kad būtų pašalinti teisinės valstybės principo taikymo trūkumai, įskaitant pažeidimų nagrinėjimo procedūrų pradėjimą, kai tai būtina, siekiant išsaugoti vidaus rinkos </w:t>
            </w:r>
            <w:r w:rsidRPr="002C61E4">
              <w:rPr>
                <w:b/>
                <w:i/>
              </w:rPr>
              <w:lastRenderedPageBreak/>
              <w:t>veikimą;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Lukas Mandl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18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18a.</w:t>
            </w:r>
            <w:r w:rsidRPr="002C61E4">
              <w:tab/>
            </w:r>
            <w:r w:rsidRPr="002C61E4">
              <w:rPr>
                <w:b/>
                <w:i/>
              </w:rPr>
              <w:t>ragina stiprinti teisinės valstybės principą vidaus rinkoje; pabrėžia, kad patikimos ir stabilios teisinės valstybės struktūros yra labai svarbūs ramsčiai investicijoms ir prekybai, kurie yra būtini konkurencingumui ir atitinkamai Europos Sąjungos gerovės sistemai ir darbo rinkai; apgailestauja dėl valstybių narių priemonių šioje srityje, kuriomis pažeidžiama Sąjungos teisė, pavyzdžiui, tam tikrų protekcionistinių priemonių;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478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Klára Dobrev, Csaba Molnár, Birgit Sippel, Krzysztof Śmiszek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5 a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ragina valstybes nares įsteigti nacionalines žmogaus teisių institucijas pagal JT Paryžiaus principus, garantuoti jų nepriklausomumą ir užtikrinti, kad jos būtų pajėgios veiksmingai vykdyti savo užduotis;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479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19.</w:t>
            </w:r>
            <w:r w:rsidRPr="002C61E4">
              <w:tab/>
            </w:r>
            <w:r w:rsidRPr="002C61E4">
              <w:rPr>
                <w:b/>
                <w:i/>
              </w:rPr>
              <w:t>pabrėžia teisinės valstybės principo svarbą užtikrinant bendrosios rinkos veikimą ir dar kartą patvirtina, kad teisminės sistemos, veiksmingos kovos su korupcija sistemos ir žiniasklaidos laisvės apsauga yra labai svarbios siekiant užtikrinti sąžiningą konkurenciją, teisinį tikrumą ir ekonominės veiklos vykdytojų tarpusavio pasitikėjimą</w:t>
            </w:r>
            <w:r w:rsidRPr="002C61E4">
              <w:rPr>
                <w:b/>
                <w:i/>
                <w:vertAlign w:val="superscript"/>
              </w:rPr>
              <w:t>43</w:t>
            </w:r>
            <w:r w:rsidRPr="002C61E4">
              <w:rPr>
                <w:b/>
                <w:i/>
              </w:rPr>
              <w:t>;</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43</w:t>
            </w:r>
            <w:r w:rsidRPr="002C61E4">
              <w:t xml:space="preserve"> </w:t>
            </w:r>
            <w:r w:rsidRPr="002C61E4">
              <w:rPr>
                <w:b/>
                <w:i/>
              </w:rPr>
              <w:t>2024 m. liepos 24 d. Komisijos komunikatas „2024 m. teisinės valstybės principo taikymo ataskaita“ (COM(2024)0800), p. 5.</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Ioan-Rareş Bogdan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19.</w:t>
            </w:r>
            <w:r w:rsidRPr="002C61E4">
              <w:tab/>
              <w:t xml:space="preserve">pabrėžia teisinės valstybės principo svarbą užtikrinant bendrosios rinkos veikimą ir dar kartą patvirtina, kad teisminės sistemos, veiksmingos kovos su korupcija sistemos ir žiniasklaidos laisvės apsauga yra labai svarbios siekiant </w:t>
            </w:r>
            <w:r w:rsidRPr="002C61E4">
              <w:rPr>
                <w:b/>
                <w:bCs/>
                <w:i/>
                <w:iCs/>
              </w:rPr>
              <w:t>užtikrinti</w:t>
            </w:r>
            <w:r w:rsidRPr="002C61E4">
              <w:t xml:space="preserve"> sąžiningą konkurenciją, teisinį tikrumą ir ekonominės veiklos vykdytojų tarpusavio pasitikėjimą</w:t>
            </w:r>
            <w:r w:rsidRPr="002C61E4">
              <w:rPr>
                <w:vertAlign w:val="superscript"/>
              </w:rPr>
              <w:t>43</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19.</w:t>
            </w:r>
            <w:r w:rsidRPr="002C61E4">
              <w:tab/>
              <w:t xml:space="preserve">pabrėžia teisinės valstybės principo svarbą užtikrinant </w:t>
            </w:r>
            <w:r w:rsidRPr="002C61E4">
              <w:rPr>
                <w:b/>
                <w:bCs/>
                <w:i/>
                <w:iCs/>
              </w:rPr>
              <w:t xml:space="preserve">sklandų ir efektyvų </w:t>
            </w:r>
            <w:r w:rsidRPr="002C61E4">
              <w:t xml:space="preserve">bendrosios rinkos veikimą ir dar kartą patvirtina, kad </w:t>
            </w:r>
            <w:r w:rsidRPr="002C61E4">
              <w:rPr>
                <w:b/>
                <w:bCs/>
                <w:i/>
                <w:iCs/>
              </w:rPr>
              <w:t xml:space="preserve">tinkamai veikiančios </w:t>
            </w:r>
            <w:r w:rsidRPr="002C61E4">
              <w:t xml:space="preserve">teisminės sistemos, veiksmingos kovos su korupcija sistemos ir </w:t>
            </w:r>
            <w:r w:rsidRPr="002C61E4">
              <w:rPr>
                <w:b/>
                <w:bCs/>
                <w:i/>
                <w:iCs/>
              </w:rPr>
              <w:t xml:space="preserve">patikima </w:t>
            </w:r>
            <w:r w:rsidRPr="002C61E4">
              <w:t xml:space="preserve">žiniasklaidos laisvės apsauga yra labai svarbios siekiant </w:t>
            </w:r>
            <w:r w:rsidRPr="002C61E4">
              <w:rPr>
                <w:b/>
                <w:bCs/>
                <w:i/>
                <w:iCs/>
              </w:rPr>
              <w:t>išsaugoti</w:t>
            </w:r>
            <w:r w:rsidRPr="002C61E4">
              <w:t xml:space="preserve"> sąžiningą konkurenciją, teisinį tikrumą ir </w:t>
            </w:r>
            <w:r w:rsidRPr="002C61E4">
              <w:rPr>
                <w:b/>
                <w:bCs/>
                <w:i/>
                <w:iCs/>
              </w:rPr>
              <w:t xml:space="preserve">skatinti </w:t>
            </w:r>
            <w:r w:rsidRPr="002C61E4">
              <w:t>ekonominės veiklos vykdytojų tarpusavio pasitikėjimą</w:t>
            </w:r>
            <w:r w:rsidRPr="002C61E4">
              <w:rPr>
                <w:vertAlign w:val="superscript"/>
              </w:rPr>
              <w:t>43</w:t>
            </w:r>
            <w:r w:rsidRPr="002C61E4">
              <w:t xml:space="preserve">; </w:t>
            </w:r>
            <w:r w:rsidRPr="002C61E4">
              <w:rPr>
                <w:b/>
                <w:i/>
              </w:rPr>
              <w:t xml:space="preserve">pabrėžia, kad šiais elementais ne tik užtikrinamas sąveikos rinkoje vientisumas, bet ir prisidedama </w:t>
            </w:r>
            <w:r w:rsidRPr="002C61E4">
              <w:rPr>
                <w:b/>
                <w:i/>
              </w:rPr>
              <w:lastRenderedPageBreak/>
              <w:t>prie stabilios ir nuspėjamos verslo aplinkos, skatinančios investicijas ir ekonomikos augimą;</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43</w:t>
            </w:r>
            <w:r w:rsidRPr="002C61E4">
              <w:t xml:space="preserve"> 2024 m. liepos 24 d. Komisijos komunikatas „2024 m. teisinės valstybės principo taikymo ataskaita“ (COM(2024)0800), p. 5.</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43</w:t>
            </w:r>
            <w:r w:rsidRPr="002C61E4">
              <w:t xml:space="preserve"> 2024 m. liepos 24 d. Komisijos komunikatas „2024 m. teisinės valstybės principo taikymo ataskaita“ (COM(2024)0800), p. 5.</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19.</w:t>
            </w:r>
            <w:r w:rsidRPr="002C61E4">
              <w:tab/>
              <w:t>pabrėžia teisinės valstybės principo svarbą užtikrinant bendrosios rinkos veikimą ir dar kartą patvirtina, kad teisminės sistemos, veiksmingos kovos su korupcija sistemos ir žiniasklaidos laisvės apsauga yra labai svarbios siekiant užtikrinti sąžiningą konkurenciją, teisinį tikrumą ir ekonominės veiklos vykdytojų tarpusavio pasitikėjimą</w:t>
            </w:r>
            <w:r w:rsidRPr="002C61E4">
              <w:rPr>
                <w:vertAlign w:val="superscript"/>
              </w:rPr>
              <w:t>43</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19.</w:t>
            </w:r>
            <w:r w:rsidRPr="002C61E4">
              <w:tab/>
              <w:t>pabrėžia teisinės valstybės principo</w:t>
            </w:r>
            <w:r w:rsidRPr="002C61E4">
              <w:rPr>
                <w:b/>
                <w:bCs/>
                <w:i/>
                <w:iCs/>
              </w:rPr>
              <w:t>, be kita ko, patikimos teisingumo sistemos,</w:t>
            </w:r>
            <w:r w:rsidRPr="002C61E4">
              <w:t xml:space="preserve"> svarbą užtikrinant bendrosios rinkos </w:t>
            </w:r>
            <w:r w:rsidRPr="002C61E4">
              <w:rPr>
                <w:b/>
                <w:bCs/>
                <w:i/>
                <w:iCs/>
              </w:rPr>
              <w:t xml:space="preserve">ir rinkos ekonomikos </w:t>
            </w:r>
            <w:r w:rsidRPr="002C61E4">
              <w:t>veikimą ir dar kartą patvirtina, kad teisminės sistemos, veiksmingos kovos su korupcija sistemos ir žiniasklaidos laisvės apsauga yra labai svarbios siekiant užtikrinti sąžiningą konkurenciją, teisinį tikrumą ir ekonominės veiklos vykdytojų tarpusavio pasitikėjimą</w:t>
            </w:r>
            <w:r w:rsidRPr="002C61E4">
              <w:rPr>
                <w:vertAlign w:val="superscript"/>
              </w:rPr>
              <w:t>43</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43</w:t>
            </w:r>
            <w:r w:rsidRPr="002C61E4">
              <w:t xml:space="preserve"> 2024 m. liepos 24 d. Komisijos komunikatas „2024 m. teisinės valstybės principo taikymo ataskaita“ (COM(2024)0800), p. 5.</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43</w:t>
            </w:r>
            <w:r w:rsidRPr="002C61E4">
              <w:t xml:space="preserve"> 2024 m. liepos 24 d. Komisijos komunikatas „2024 m. teisinės valstybės principo taikymo ataskaita“ (COM(2024)0800), p. 5.</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Birgit Sippel, Klára Dobrev</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19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19.</w:t>
            </w:r>
            <w:r w:rsidRPr="002C61E4">
              <w:tab/>
              <w:t>pabrėžia teisinės valstybės principo svarbą užtikrinant bendrosios rinkos veikimą ir dar kartą patvirtina, kad teisminės sistemos, veiksmingos kovos su korupcija sistemos ir žiniasklaidos laisvės apsauga yra labai svarbios siekiant užtikrinti sąžiningą konkurenciją, teisinį tikrumą ir ekonominės veiklos vykdytojų tarpusavio pasitikėjimą</w:t>
            </w:r>
            <w:r w:rsidRPr="002C61E4">
              <w:rPr>
                <w:vertAlign w:val="superscript"/>
              </w:rPr>
              <w:t>43</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19.</w:t>
            </w:r>
            <w:r w:rsidRPr="002C61E4">
              <w:tab/>
              <w:t xml:space="preserve">pabrėžia teisinės valstybės principo svarbą užtikrinant bendrosios rinkos veikimą ir dar kartą patvirtina, kad </w:t>
            </w:r>
            <w:r w:rsidRPr="002C61E4">
              <w:rPr>
                <w:b/>
                <w:bCs/>
                <w:i/>
                <w:iCs/>
              </w:rPr>
              <w:t xml:space="preserve">nepriklausomos </w:t>
            </w:r>
            <w:r w:rsidRPr="002C61E4">
              <w:t>teisminės sistemos, veiksmingos kovos su korupcija sistemos ir žiniasklaidos laisvės apsauga yra labai svarbios siekiant užtikrinti sąžiningą konkurenciją, teisinį tikrumą ir ekonominės veiklos vykdytojų tarpusavio pasitikėjimą</w:t>
            </w:r>
            <w:r w:rsidRPr="002C61E4">
              <w:rPr>
                <w:vertAlign w:val="superscript"/>
              </w:rPr>
              <w:t>43</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43</w:t>
            </w:r>
            <w:r w:rsidRPr="002C61E4">
              <w:t xml:space="preserve"> 2024 m. liepos 24 d. Komisijos komunikatas „2024 m. teisinės valstybės principo taikymo ataskaita“ (COM(2024)0800), p. 5.</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43</w:t>
            </w:r>
            <w:r w:rsidRPr="002C61E4">
              <w:t xml:space="preserve"> 2024 m. liepos 24 d. Komisijos komunikatas „2024 m. teisinės valstybės principo taikymo ataskaita“ (COM(2024)0800), p. 5.</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Michał Wawrykiewicz, Ana Catarina Mendes, Moritz Körner, 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5 a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 xml:space="preserve">pabrėžia, kad patikimos ir stabilios teisinės valstybės struktūros yra labai svarbūs ramsčiai investicijoms ir prekybai, kurie yra būtini konkurencingumui ir atitinkamai Europos Sąjungos gerovės sistemai ir darbo rinkai; pabrėžia, kad dėl sisteminių teisinės valstybės principo taikymo pažeidimų mažėja teisinis tikrumas, atgrasoma nuo investicijų ir skaldoma vidaus rinka, o tai silpnina bendrą ES ekonominį stabilumą; ragina Komisiją aiškiau įtraukti ekonominį teisinės valstybės aspektą į savo stebėsenos mechanizmus, užtikrinant, kad valstybių narių teisinės valstybės principų </w:t>
            </w:r>
            <w:r w:rsidRPr="002C61E4">
              <w:rPr>
                <w:b/>
                <w:i/>
              </w:rPr>
              <w:lastRenderedPageBreak/>
              <w:t>laikymasis būtų vertinamas ne tik demokratiniu ir teisminiu požiūriu, bet ir atsižvelgiant į jo ekonominį poveikį bendrajai rinkai ir finansiniam stabilumui;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19a.</w:t>
            </w:r>
            <w:r w:rsidRPr="002C61E4">
              <w:tab/>
            </w:r>
            <w:r w:rsidRPr="002C61E4">
              <w:rPr>
                <w:b/>
                <w:i/>
              </w:rPr>
              <w:t>primena, kad Sutarčių taikymo srityje pagal Chartiją draudžiama bet kokia diskriminacija dėl pilietybės ir kad įsisteigimo laisvė, laisvė teikti paslaugas ir laisvas kapitalo judėjimas yra pagrindinės bendrosios rinkos laisvės; pabrėžia, kad taisyklėmis dėl reikalavimų taikyti vienodas sąlygas draudžiama atvira ir paslėpta diskriminacija dėl pilietybės arba, bendrovės atveju, dėl jos buveinės; primena, kad smerkia sisteminę diskriminacinę, neskaidrią ir nesąžiningą praktiką prieš įmones kai kuriose valstybėse narėse ir ES lėšų naudojimą vyriausybės politinių sąjungininkų praturtėjimo tikslais, kuri prieštarauja ES konkurencijos ir viešųjų pirkimų taisyklėms;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19a.</w:t>
            </w:r>
            <w:r w:rsidRPr="002C61E4">
              <w:tab/>
            </w:r>
            <w:r w:rsidRPr="002C61E4">
              <w:rPr>
                <w:b/>
                <w:i/>
              </w:rPr>
              <w:t>palankiai vertina tai, kad 2024 m. gegužės 24 d. priimta Įmonių tvarumo išsamaus patikrinimo direktyva, kurioje nustatyti žmogaus teisių standartai ES veikiančioms didelėms įmonėms; remia tolesnį naudojimąsi bendrąja rinka siekiant skatinti atsakingą verslo praktiką ir užtikrinti, kad įmonės laikytųsi aplinkosaugos, socialinių ir valdymo standartų, laikydamosi teisinės valstybės principų;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19a.</w:t>
            </w:r>
            <w:r w:rsidRPr="002C61E4">
              <w:tab/>
            </w:r>
            <w:r w:rsidRPr="002C61E4">
              <w:rPr>
                <w:b/>
                <w:i/>
              </w:rPr>
              <w:t>ragina Komisiją sugriežtinti importo kontrolę siekiant užtikrinti, kad iš trečiųjų šalių į ES įvežami pramonės ir žemės ūkio produktai atitiktų tuos pačius kokybės ir gamybos reikalavimus, kaip ir vietoje gaminami produktai, kad būtų išvengta nesąžiningos konkurencijos;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Birgit Sippel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19a.</w:t>
            </w:r>
            <w:r w:rsidRPr="002C61E4">
              <w:tab/>
            </w:r>
            <w:r w:rsidRPr="002C61E4">
              <w:rPr>
                <w:b/>
                <w:i/>
              </w:rPr>
              <w:t xml:space="preserve">pabrėžia, kad svarbu spręsti </w:t>
            </w:r>
            <w:r w:rsidRPr="002C61E4">
              <w:rPr>
                <w:b/>
                <w:i/>
              </w:rPr>
              <w:lastRenderedPageBreak/>
              <w:t>ekonominės nelygybės ir socialinės atskirties, keliančių grėsmę demokratiniam dalyvavimui ir teisinės valstybės principo taikymo, problemas; primygtinai ragina valstybes nares įgyvendinti progresinius mokesčius ir patikimas minimalios socialinės apsaugos sistemas;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 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19a.</w:t>
            </w:r>
            <w:r w:rsidRPr="002C61E4">
              <w:tab/>
            </w:r>
            <w:r w:rsidRPr="002C61E4">
              <w:rPr>
                <w:b/>
                <w:i/>
              </w:rPr>
              <w:t>pabrėžia neigiamą ekonominį poveikį, kurį korupcija ir silpnos teismų sistemos daro investuotojų pasitikėjimui ir tarpvalstybiniam bendradarbiavimui;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489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19b.</w:t>
            </w:r>
            <w:r w:rsidRPr="002C61E4">
              <w:tab/>
            </w:r>
            <w:r w:rsidRPr="002C61E4">
              <w:rPr>
                <w:b/>
                <w:i/>
              </w:rPr>
              <w:t xml:space="preserve">nerimauja, kad nacionalinės vyriausybės ir institucijos, kurios nesilaiko teisinės valstybės principo, gali leisti klestėti antikonkurenciniam elgesiui arba net aktyviai jį skatinti, siekdamos politinės ar ekonominės naudos, taip galėdamos pakenkti ES ekonomikai ir </w:t>
            </w:r>
            <w:r w:rsidRPr="002C61E4">
              <w:rPr>
                <w:b/>
                <w:i/>
              </w:rPr>
              <w:lastRenderedPageBreak/>
              <w:t>pakenkti vidaus rinkos sąžiningumui (pvz., žiniasklaidos, mažmeninės prekybos ar nekilnojamojo turto sektoriuose);</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Alessandro Zan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19b.</w:t>
            </w:r>
            <w:r w:rsidRPr="002C61E4">
              <w:tab/>
            </w:r>
            <w:r w:rsidRPr="002C61E4">
              <w:rPr>
                <w:b/>
                <w:i/>
              </w:rPr>
              <w:t>ragina valstybes nares stiprinti darbuotojų teisių, kolektyvinių derybų ir profesinių sąjungų laisvių apsaugą, nes tai yra esminiai demokratinės kontrolės ir pusiausvyros elementai; susirūpinęs atkreipia dėmesį į tai, kad keliose valstybėse narėse mažėja darbuotojų teisių;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 Ana Catarina Mendes, 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19c.</w:t>
            </w:r>
            <w:r w:rsidRPr="002C61E4">
              <w:tab/>
            </w:r>
            <w:r w:rsidRPr="002C61E4">
              <w:rPr>
                <w:b/>
                <w:i/>
              </w:rPr>
              <w:t>ragina Komisiją aktyviau stebėti ekonominį teisinės valstybės aspektą, kaip sisteminiai teisinės valstybės trūkumai gali iškreipti bendrąją rinką dėl nesąžiningos konkurencijos, diskriminacinės praktikos ar korumpuotų viešųjų pirkimų;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 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d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19d.</w:t>
            </w:r>
            <w:r w:rsidRPr="002C61E4">
              <w:tab/>
            </w:r>
            <w:r w:rsidRPr="002C61E4">
              <w:rPr>
                <w:b/>
                <w:i/>
              </w:rPr>
              <w:t>prašo Komisijos į 2025 m. teisinės valstybės principo taikymo ataskaitą įtraukti specialų skyrių, skirtą bendrosios rinkos aspektui, kuriame būtų išsamiai aprašyta, kaip teisinės valstybės principo pažeidimai veikia sąžiningą konkurenciją ir vidaus rinkos veikimą valstybėse narėse;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e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19e.</w:t>
            </w:r>
            <w:r w:rsidRPr="002C61E4">
              <w:tab/>
            </w:r>
            <w:r w:rsidRPr="002C61E4">
              <w:rPr>
                <w:b/>
                <w:i/>
              </w:rPr>
              <w:t>tikisi, kad konkurencijos teisės aktų vykdymas bus integruotas į ES teisinės valstybės principo stebėsenos sistemą, įsteigiant bendrą Konkurencijos ir Teisingumo generalinių direktoratų komandą, kuriai bus pavesta veiksmingai įgyvendinti priemones, skirtas kovoti su konkurenciją ribojančiais teisinės valstybės principo taikymo trūkumais;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494</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Lukas Mandl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6 paantraštė</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Teisinės valstybės priemonės ir ekonominis aspektas</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Abir Al-Sahlani, Fabienne Keller, Lucia Yar, Irena Joveva</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19a.</w:t>
            </w:r>
            <w:r w:rsidRPr="002C61E4">
              <w:tab/>
            </w:r>
            <w:r w:rsidRPr="002C61E4">
              <w:rPr>
                <w:b/>
                <w:i/>
              </w:rPr>
              <w:t>ragina Komisiją į šį naują aspektą įtraukti visus teisinės valstybės klausimus, kurie daro įtaką įmonėms, ypač MVĮ, veikiančioms tarpvalstybiniu mastu;</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Lukas Mandl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19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19a.</w:t>
            </w:r>
            <w:r w:rsidRPr="002C61E4">
              <w:tab/>
            </w:r>
            <w:r w:rsidRPr="002C61E4">
              <w:rPr>
                <w:b/>
                <w:i/>
              </w:rPr>
              <w:t>pabrėžia, kad dėl Europos reglamentų nesilaikymo ir apėjimo labai iškraipoma konkurencija vidaus rinkoje; ragina daugiau dėmesio skirti vienodam ir greitam galiojančių teisės aktų taikymui, įgyvendinimui ir vykdymui;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20.</w:t>
            </w:r>
            <w:r w:rsidRPr="002C61E4">
              <w:tab/>
            </w:r>
            <w:r w:rsidRPr="002C61E4">
              <w:rPr>
                <w:b/>
                <w:i/>
              </w:rPr>
              <w:t>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20.</w:t>
            </w:r>
            <w:r w:rsidRPr="002C61E4">
              <w:tab/>
            </w:r>
            <w:r w:rsidRPr="002C61E4">
              <w:rPr>
                <w:b/>
                <w:i/>
              </w:rPr>
              <w:t>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499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20.</w:t>
            </w:r>
            <w:r w:rsidRPr="002C61E4">
              <w:tab/>
            </w:r>
            <w:r w:rsidRPr="002C61E4">
              <w:rPr>
                <w:b/>
                <w:i/>
              </w:rPr>
              <w:t>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20.</w:t>
            </w:r>
            <w:r w:rsidRPr="002C61E4">
              <w:tab/>
              <w:t xml:space="preserve">ragina Komisiją toliau plėtoti tiesioginę prevencinių ir reagavimo priemonių sąsają ir pradėti pažeidimo nagrinėjimo procedūras taikant ES sutarties 7 straipsnį, </w:t>
            </w:r>
            <w:r w:rsidRPr="002C61E4">
              <w:rPr>
                <w:b/>
                <w:bCs/>
                <w:i/>
                <w:iCs/>
              </w:rPr>
              <w:t>bendrą</w:t>
            </w:r>
            <w:r w:rsidRPr="002C61E4">
              <w:t xml:space="preserve"> sąlygų </w:t>
            </w:r>
            <w:r w:rsidRPr="002C61E4">
              <w:rPr>
                <w:b/>
                <w:bCs/>
                <w:i/>
                <w:iCs/>
              </w:rPr>
              <w:t>mechanizmą ir Chartijoje įtvirtintas horizontaliąsias sąlygas, sudarančias sąlygas imtis veiksmų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20.</w:t>
            </w:r>
            <w:r w:rsidRPr="002C61E4">
              <w:tab/>
              <w:t xml:space="preserve">ragina Komisiją toliau plėtoti tiesioginę prevencinių ir reagavimo priemonių sąsają ir </w:t>
            </w:r>
            <w:r w:rsidRPr="002C61E4">
              <w:rPr>
                <w:b/>
                <w:bCs/>
                <w:i/>
                <w:iCs/>
              </w:rPr>
              <w:t>nedelsiant, ryžtingai ir koordinuotai</w:t>
            </w:r>
            <w:r w:rsidRPr="002C61E4">
              <w:t xml:space="preserve"> pradėti pažeidimo nagrinėjimo procedūras, </w:t>
            </w:r>
            <w:r w:rsidRPr="002C61E4">
              <w:rPr>
                <w:b/>
                <w:bCs/>
                <w:i/>
                <w:iCs/>
              </w:rPr>
              <w:t>taikyti</w:t>
            </w:r>
            <w:r w:rsidRPr="002C61E4">
              <w:t xml:space="preserve"> ES sutarties 7 straipsnį, Sąlygų </w:t>
            </w:r>
            <w:r w:rsidRPr="002C61E4">
              <w:rPr>
                <w:b/>
                <w:bCs/>
                <w:i/>
                <w:iCs/>
              </w:rPr>
              <w:t>reglamentą ir atitinkamas Finansinio reglamento bei Bendrųjų nuostatų reglamento nuostatas, kai metinėje teisinės valstybės principo taikymo ataskaitoje nurodomi teisinės valstybės principų pažeidimai</w:t>
            </w:r>
            <w:r w:rsidRPr="002C61E4">
              <w:t xml:space="preserve">; </w:t>
            </w:r>
            <w:r w:rsidRPr="002C61E4">
              <w:rPr>
                <w:b/>
                <w:i/>
              </w:rPr>
              <w:t>pabrėžia, kad tiek reaktyviųjų priemonių taikymas, tiek atitinkamų procedūrų užbaigimas turi būti grindžiamas objektyviais kriterijais, t. y. atitiktimi teisinės valstybės principui, ES ir tarptautinei teisei, kaip ją aiškina atitinkamos institucijos, o ne politiniais sumetimais ar derybų rezultatais;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501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20.</w:t>
            </w:r>
            <w:r w:rsidRPr="002C61E4">
              <w:tab/>
              <w:t>ragina Komisiją</w:t>
            </w:r>
            <w:r w:rsidRPr="002C61E4">
              <w:rPr>
                <w:b/>
                <w:bCs/>
                <w:i/>
                <w:iCs/>
              </w:rPr>
              <w:t xml:space="preserve"> toliau plėtoti tiesioginę</w:t>
            </w:r>
            <w:r w:rsidRPr="002C61E4">
              <w:t xml:space="preserve"> prevencinių ir reagavimo priemonių </w:t>
            </w:r>
            <w:r w:rsidRPr="002C61E4">
              <w:rPr>
                <w:b/>
                <w:bCs/>
                <w:i/>
                <w:iCs/>
              </w:rPr>
              <w:t>sąsają</w:t>
            </w:r>
            <w:r w:rsidRPr="002C61E4">
              <w:t xml:space="preserve"> ir pradėti pažeidimo nagrinėjimo procedūras taikant ES sutarties 7 straipsnį, </w:t>
            </w:r>
            <w:r w:rsidRPr="002C61E4">
              <w:rPr>
                <w:b/>
                <w:bCs/>
                <w:i/>
                <w:iCs/>
              </w:rPr>
              <w:t>bendrą sąlygų mechanizmą ir Chartijoje įtvirtintas horizontaliąsias sąlygas, sudarančias sąlygas imtis veiksmų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20.</w:t>
            </w:r>
            <w:r w:rsidRPr="002C61E4">
              <w:tab/>
              <w:t>ragina Komisiją išnagrinėti</w:t>
            </w:r>
            <w:r w:rsidRPr="002C61E4">
              <w:rPr>
                <w:b/>
                <w:bCs/>
                <w:i/>
                <w:iCs/>
              </w:rPr>
              <w:t xml:space="preserve"> Sutartyje numatytą tiesioginės</w:t>
            </w:r>
            <w:r w:rsidRPr="002C61E4">
              <w:t xml:space="preserve"> prevencinių ir reagavimo priemonių </w:t>
            </w:r>
            <w:r w:rsidRPr="002C61E4">
              <w:rPr>
                <w:b/>
                <w:bCs/>
                <w:i/>
                <w:iCs/>
              </w:rPr>
              <w:t>sąsajos pagrindą ir susilaikyti nuo ES įgaliojimų išplėtimo peržengiant Sutarčių taikymo sritį, įtraukiant kompetencijas, kurių valstybės narės jai niekada neperdavė, pavyzdžiui, teismų sistemos organizavimą, ir nepiktnaudžiauti</w:t>
            </w:r>
            <w:r w:rsidRPr="002C61E4">
              <w:t xml:space="preserve"> pažeidimo </w:t>
            </w:r>
            <w:r w:rsidRPr="002C61E4">
              <w:rPr>
                <w:b/>
                <w:bCs/>
                <w:i/>
                <w:iCs/>
              </w:rPr>
              <w:t>procedūrų pradėjimo procedūromis ir jų nepolitizuoti</w:t>
            </w:r>
            <w:r w:rsidRPr="002C61E4">
              <w:t xml:space="preserve"> taikant ES sutarties 7 straipsnį, </w:t>
            </w:r>
            <w:r w:rsidRPr="002C61E4">
              <w:rPr>
                <w:b/>
                <w:bCs/>
                <w:i/>
                <w:iCs/>
              </w:rPr>
              <w:t>kuris yra vienintelis Sutartyje numatytas vertybių apsaugos mechanizmas;</w:t>
            </w:r>
            <w:r w:rsidRPr="002C61E4">
              <w:rPr>
                <w:b/>
                <w:i/>
              </w:rPr>
              <w:t xml:space="preserve"> </w:t>
            </w:r>
            <w:r w:rsidRPr="002C61E4">
              <w:rPr>
                <w:b/>
                <w:bCs/>
                <w:i/>
                <w:iCs/>
              </w:rPr>
              <w:t>pabrėžia, kad Sutartyse nenumatytas joks teisinis pagrindas, suteikiantis institucijoms teisę sukurti naują mechanizmą, skirtą kontroliuoti, kaip valstybės narės laikosi teisinės valstybės principo</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20.</w:t>
            </w:r>
            <w:r w:rsidRPr="002C61E4">
              <w:tab/>
              <w:t xml:space="preserve">ragina Komisiją toliau plėtoti tiesioginę prevencinių ir reagavimo priemonių sąsają ir pradėti pažeidimo nagrinėjimo procedūras taikant ES sutarties 7 straipsnį, bendrą sąlygų mechanizmą ir </w:t>
            </w:r>
            <w:r w:rsidRPr="002C61E4">
              <w:lastRenderedPageBreak/>
              <w:t>Chartijoje įtvirtintas horizontaliąsias sąlygas, sudarančias sąlygas imtis veiksmų;</w:t>
            </w:r>
          </w:p>
        </w:tc>
        <w:tc>
          <w:tcPr>
            <w:tcW w:w="4876" w:type="dxa"/>
            <w:tcBorders>
              <w:top w:val="nil"/>
              <w:left w:val="nil"/>
              <w:bottom w:val="nil"/>
              <w:right w:val="nil"/>
            </w:tcBorders>
          </w:tcPr>
          <w:p w:rsidR="00E82389" w:rsidRPr="002C61E4" w:rsidRDefault="00E82389" w:rsidP="003B0113">
            <w:pPr>
              <w:pStyle w:val="Normal6a"/>
            </w:pPr>
            <w:r w:rsidRPr="002C61E4">
              <w:lastRenderedPageBreak/>
              <w:t>20.</w:t>
            </w:r>
            <w:r w:rsidRPr="002C61E4">
              <w:tab/>
            </w:r>
            <w:r w:rsidRPr="002C61E4">
              <w:rPr>
                <w:b/>
                <w:i/>
              </w:rPr>
              <w:t xml:space="preserve">palankiai vertina teisinės valstybės priemonių rinkinio prevencines priemones, pvz., metinį teisinės valstybės ciklą, ES teisingumo rezultatų suvestinę, Europos semestrą, ES fondus pilietinei </w:t>
            </w:r>
            <w:r w:rsidRPr="002C61E4">
              <w:rPr>
                <w:b/>
                <w:i/>
              </w:rPr>
              <w:lastRenderedPageBreak/>
              <w:t>visuomenei, teismų tinklams, žiniasklaidos pliuralizmui ir laisvei remti, taip pat teisinės valstybės tarpinių reikšmių nustatymą pagal Ekonomikos gaivinimo ir atsparumo didinimo priemonę;</w:t>
            </w:r>
            <w:r w:rsidRPr="002C61E4">
              <w:t xml:space="preserve"> 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20.</w:t>
            </w:r>
            <w:r w:rsidRPr="002C61E4">
              <w:tab/>
            </w:r>
            <w:r w:rsidRPr="002C61E4">
              <w:rPr>
                <w:b/>
                <w:bCs/>
                <w:i/>
                <w:iCs/>
              </w:rPr>
              <w:t>ragina Komisiją toliau plėtoti tiesioginę prevencinių ir reagavimo priemonių sąsają ir pradėti pažeidimo nagrinėjimo procedūras taikant</w:t>
            </w:r>
            <w:r w:rsidRPr="002C61E4">
              <w:t xml:space="preserve"> ES </w:t>
            </w:r>
            <w:r w:rsidRPr="002C61E4">
              <w:rPr>
                <w:b/>
                <w:bCs/>
                <w:i/>
                <w:iCs/>
              </w:rPr>
              <w:t>sutarties 7 straipsnį, bendrą sąlygų mechanizmą ir Chartijoje įtvirtintas horizontaliąsias sąlygas, sudarančias sąlygas imtis veiksmų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20.</w:t>
            </w:r>
            <w:r w:rsidRPr="002C61E4">
              <w:tab/>
            </w:r>
            <w:r w:rsidRPr="002C61E4">
              <w:rPr>
                <w:b/>
                <w:bCs/>
                <w:i/>
                <w:iCs/>
              </w:rPr>
              <w:t>pabrėžia, kad ši ataskaita negali būti naudojama kaip pagrindas kitiems</w:t>
            </w:r>
            <w:r w:rsidRPr="002C61E4">
              <w:t xml:space="preserve"> ES </w:t>
            </w:r>
            <w:r w:rsidRPr="002C61E4">
              <w:rPr>
                <w:b/>
                <w:bCs/>
                <w:i/>
                <w:iCs/>
              </w:rPr>
              <w:t>mechanizmams ir procedūroms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20.</w:t>
            </w:r>
            <w:r w:rsidRPr="002C61E4">
              <w:tab/>
              <w:t xml:space="preserve">ragina Komisiją </w:t>
            </w:r>
            <w:r w:rsidRPr="002C61E4">
              <w:rPr>
                <w:b/>
                <w:bCs/>
                <w:i/>
                <w:iCs/>
              </w:rPr>
              <w:t xml:space="preserve">toliau plėtoti tiesioginę prevencinių ir reagavimo priemonių sąsają ir pradėti pažeidimo </w:t>
            </w:r>
            <w:r w:rsidRPr="002C61E4">
              <w:rPr>
                <w:b/>
                <w:bCs/>
                <w:i/>
                <w:iCs/>
              </w:rPr>
              <w:lastRenderedPageBreak/>
              <w:t>nagrinėjimo procedūras taikant ES sutarties 7 straipsnį, bendrą sąlygų mechanizmą ir Chartijoje įtvirtintas horizontaliąsias sąlygas, sudarančias sąlygas imtis veiksmų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lastRenderedPageBreak/>
              <w:t>20.</w:t>
            </w:r>
            <w:r w:rsidRPr="002C61E4">
              <w:tab/>
              <w:t xml:space="preserve">ragina Komisiją </w:t>
            </w:r>
            <w:r w:rsidRPr="002C61E4">
              <w:rPr>
                <w:b/>
                <w:bCs/>
                <w:i/>
                <w:iCs/>
              </w:rPr>
              <w:t xml:space="preserve">naudotis esamomis teisinės valstybės apsaugos priemonėmis ir mechanizmais ir nekurti </w:t>
            </w:r>
            <w:r w:rsidRPr="002C61E4">
              <w:rPr>
                <w:b/>
                <w:bCs/>
                <w:i/>
                <w:iCs/>
              </w:rPr>
              <w:lastRenderedPageBreak/>
              <w:t>naujų, besidubliuojančių priemonių</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Chloé Ridel, Jean-Marc Germain, Emma Rafowicz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20.</w:t>
            </w:r>
            <w:r w:rsidRPr="002C61E4">
              <w:tab/>
              <w:t>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tc>
        <w:tc>
          <w:tcPr>
            <w:tcW w:w="4876" w:type="dxa"/>
            <w:tcBorders>
              <w:top w:val="nil"/>
              <w:left w:val="nil"/>
              <w:bottom w:val="nil"/>
              <w:right w:val="nil"/>
            </w:tcBorders>
          </w:tcPr>
          <w:p w:rsidR="00E82389" w:rsidRPr="002C61E4" w:rsidRDefault="00E82389" w:rsidP="003B0113">
            <w:pPr>
              <w:pStyle w:val="Normal6a"/>
            </w:pPr>
            <w:r w:rsidRPr="002C61E4">
              <w:t>20.</w:t>
            </w:r>
            <w:r w:rsidRPr="002C61E4">
              <w:tab/>
              <w:t xml:space="preserve">ragina Komisiją toliau plėtoti tiesioginę prevencinių ir reagavimo priemonių sąsają ir pradėti pažeidimo nagrinėjimo procedūras taikant ES sutarties 7 straipsnį, bendrą sąlygų mechanizmą ir </w:t>
            </w:r>
            <w:r w:rsidRPr="002C61E4">
              <w:rPr>
                <w:b/>
                <w:bCs/>
                <w:i/>
                <w:iCs/>
              </w:rPr>
              <w:t xml:space="preserve">kitus ES biudžeto apsaugos lygmenis, įskaitant </w:t>
            </w:r>
            <w:r w:rsidRPr="002C61E4">
              <w:t>Chartijoje įtvirtintas horizontaliąsias sąlygas, sudarančias sąlygas imtis veiksmų;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Tomáš Zdechovský</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20.</w:t>
            </w:r>
            <w:r w:rsidRPr="002C61E4">
              <w:tab/>
              <w:t>ragina Komisiją toliau plėtoti tiesioginę prevencinių ir reagavimo priemonių sąsają ir pradėti pažeidimo nagrinėjimo procedūras taikant ES sutarties 7 straipsnį, bendrą sąlygų mechanizmą ir Chartijoje įtvirtintas horizontaliąsias sąlygas, sudarančias sąlygas imtis veiksmų;</w:t>
            </w:r>
          </w:p>
        </w:tc>
        <w:tc>
          <w:tcPr>
            <w:tcW w:w="4876" w:type="dxa"/>
            <w:tcBorders>
              <w:top w:val="nil"/>
              <w:left w:val="nil"/>
              <w:bottom w:val="nil"/>
              <w:right w:val="nil"/>
            </w:tcBorders>
          </w:tcPr>
          <w:p w:rsidR="00E82389" w:rsidRPr="002C61E4" w:rsidRDefault="00E82389" w:rsidP="003B0113">
            <w:pPr>
              <w:pStyle w:val="Normal6a"/>
            </w:pPr>
            <w:r w:rsidRPr="002C61E4">
              <w:t>20.</w:t>
            </w:r>
            <w:r w:rsidRPr="002C61E4">
              <w:tab/>
              <w:t xml:space="preserve">ragina Komisiją toliau plėtoti tiesioginę prevencinių ir reagavimo priemonių sąsają ir pradėti pažeidimo nagrinėjimo procedūras </w:t>
            </w:r>
            <w:r w:rsidRPr="002C61E4">
              <w:rPr>
                <w:b/>
                <w:bCs/>
                <w:i/>
                <w:iCs/>
              </w:rPr>
              <w:t xml:space="preserve">nedelsiant </w:t>
            </w:r>
            <w:r w:rsidRPr="002C61E4">
              <w:t>taikant ES sutarties 7 straipsnį, bendrą sąlygų mechanizmą ir Chartijoje įtvirtintas horizontaliąsias sąlygas, sudarančias sąlygas imtis veiksmų;</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20a.</w:t>
            </w:r>
            <w:r w:rsidRPr="002C61E4">
              <w:tab/>
            </w:r>
            <w:r w:rsidRPr="002C61E4">
              <w:rPr>
                <w:b/>
                <w:i/>
              </w:rPr>
              <w:t>smerkia akivaizdžiai politinį ES sutarties 7 straipsnio naudojimą siekiant šantažuoti valstybes nares ir taip įgyvendinti tam tikrų kitų valstybių narių ir politinių jėgų politinius tikslus bei išplėsti ES įgaliojimus, viršijančius Sutarčių taikymo sritį; apgailestauja dėl nepagrįstai pagal ES sutarties 7 straipsnį pradėtos procedūros prieš Lenkiją ir vėlesnio jos panaudojimo politiniais sumetimais; su pasibjaurėjimu pažymi, kad procedūra prieš Lenkiją buvo nutraukta iš karto po parlamento rinkimų Lenkijoje ir prieš pat rinkimus į Europos Parlamentą, ir kad prieš šį žingsnį, nepaisant bandymų šantažuoti buvusią vyriausybę, nebuvo priimta jokių teisės aktų pakeitimų, o tai aiškiai rodo, kad tariami teisinės valstybės principo pažeidimai turi politinį aspektą;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20a.</w:t>
            </w:r>
            <w:r w:rsidRPr="002C61E4">
              <w:tab/>
            </w:r>
            <w:r w:rsidRPr="002C61E4">
              <w:rPr>
                <w:b/>
                <w:i/>
              </w:rPr>
              <w:t xml:space="preserve">ragina Komisiją susilaikyti nuo ES lėšų skirstymo kaip politinio ginklo kišantis į valstybių narių demokratinius </w:t>
            </w:r>
            <w:r w:rsidRPr="002C61E4">
              <w:rPr>
                <w:b/>
                <w:i/>
              </w:rPr>
              <w:lastRenderedPageBreak/>
              <w:t>procesus; šiuo atžvilgiu pabrėžia, kad siekiant užkirsti kelią korupcijai ir neteisėtam ES lėšų pasisavinimui, svarbu turėti tvirtą teisinę sistemą, kuri būtų vienodai taikoma visose valstybėse narėse;</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509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20a.</w:t>
            </w:r>
            <w:r w:rsidRPr="002C61E4">
              <w:tab/>
            </w:r>
            <w:r w:rsidRPr="002C61E4">
              <w:rPr>
                <w:b/>
                <w:i/>
              </w:rPr>
              <w:t>apgailestauja, kad vykdant procedūrą pagal ES sutarties 7 straipsnio 1 dalį visiškai nepadaryta pažangos; primygtinai reikalauja, kad bet kokiame procese pagal ES sutarties 7 straipsnį Parlamentui būtų suteikta galimybė pateikti motyvuotą pasiūlymą Tarybai, dalyvauti pagal ES sutarties 7 straipsnį rengiamuose klausymuose ir jis turėtų būti nedelsiant ir išsamiai informuojamas kiekvienu procedūros etapu;</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20a.</w:t>
            </w:r>
            <w:r w:rsidRPr="002C61E4">
              <w:tab/>
            </w:r>
            <w:r w:rsidRPr="002C61E4">
              <w:rPr>
                <w:b/>
                <w:i/>
              </w:rPr>
              <w:t xml:space="preserve">apgailestauja, kad Taryba nepagreitino pagal ES sutarties 7 </w:t>
            </w:r>
            <w:r w:rsidRPr="002C61E4">
              <w:rPr>
                <w:b/>
                <w:i/>
              </w:rPr>
              <w:lastRenderedPageBreak/>
              <w:t>straipsnį vykstančių procedūrų, kad užtikrintų tinkamą Sutarčių taikymą, ir taip sumažino ES patikimumą užtikrinant teisinės valstybės principų laikymąsi;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20a.</w:t>
            </w:r>
            <w:r w:rsidRPr="002C61E4">
              <w:tab/>
            </w:r>
            <w:r w:rsidRPr="002C61E4">
              <w:rPr>
                <w:b/>
                <w:i/>
              </w:rPr>
              <w:t>pabrėžia, kad ES sutarties 7 straipsnyje numatytos procedūros yra skirtos ES vertybėms apsaugoti; ragina Komisiją sąžiningai, skaidriai ir nešališkai taikyti sąlygiškumo mechanizmą;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Lukas Mandl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20a.</w:t>
            </w:r>
            <w:r w:rsidRPr="002C61E4">
              <w:tab/>
            </w:r>
            <w:r w:rsidRPr="002C61E4">
              <w:rPr>
                <w:b/>
                <w:i/>
              </w:rPr>
              <w:t>ragina Komisiją „į teisinės valstybės principo taikymo ataskaitą įtraukti bendrosios rinkos aspektą, kad būtų sprendžiami teisinės valstybės klausimai, turintys įtakos tarpvalstybinę veiklą vykdančioms įmonėms, ypač MVĮ“</w:t>
            </w:r>
            <w:r w:rsidRPr="002C61E4">
              <w:rPr>
                <w:b/>
                <w:i/>
                <w:vertAlign w:val="superscript"/>
              </w:rPr>
              <w:t>1b</w:t>
            </w:r>
            <w:r w:rsidRPr="002C61E4">
              <w:rPr>
                <w:b/>
                <w:i/>
              </w:rPr>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tc>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1b</w:t>
            </w:r>
            <w:r w:rsidRPr="002C61E4">
              <w:t xml:space="preserve"> </w:t>
            </w:r>
            <w:r w:rsidRPr="002C61E4">
              <w:rPr>
                <w:b/>
                <w:i/>
              </w:rPr>
              <w:t>Iš misijos laiško Komisijos nariui M. McGrathui</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Chloé Ridel, Jean-Marc Germain, Emma Rafowicz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20a.</w:t>
            </w:r>
            <w:r w:rsidRPr="002C61E4">
              <w:tab/>
            </w:r>
            <w:r w:rsidRPr="002C61E4">
              <w:rPr>
                <w:b/>
                <w:i/>
              </w:rPr>
              <w:t>ragina Komisiją nuo 2025 m. metinėje teisinės valstybės principo taikymo ataskaitoje nurodyti, kokiu mastu nustatyti teisinės valstybės režimo trūkumai gali kelti pavojų Sąjungos biudžetui;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Lukas Mandl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20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20b.</w:t>
            </w:r>
            <w:r w:rsidRPr="002C61E4">
              <w:tab/>
            </w:r>
            <w:r w:rsidRPr="002C61E4">
              <w:rPr>
                <w:b/>
                <w:i/>
              </w:rPr>
              <w:t>primena, kad smerkia nurodytą ir vis dar vykdomą sisteminę diskriminacinę, neskaidrią ir nesąžiningą praktiką prieš tam tikrų Vengrijos sektorių įmones ir ES lėšų naudojimą vyriausybės politinių sąjungininkų praturtėjimo tikslais, kuri prieštarauja ES konkurencijos ir viešųjų pirkimų taisyklėms; yra labai susirūpinęs dėl didėjančios su dabartine vyriausybe susijusių oligarchų, kurie viešai pranešė ketinantys vykdyti pirkimus šiuose sektoriuose, verslo koncentracijos, taip pat dėl veiksmų, kuriais kėsinamasi į šių įmonių konkurentus;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515</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21.</w:t>
            </w:r>
            <w:r w:rsidRPr="002C61E4">
              <w:tab/>
            </w:r>
            <w:r w:rsidRPr="002C61E4">
              <w:rPr>
                <w:b/>
                <w:i/>
              </w:rPr>
              <w:t>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21.</w:t>
            </w:r>
            <w:r w:rsidRPr="002C61E4">
              <w:tab/>
            </w:r>
            <w:r w:rsidRPr="002C61E4">
              <w:rPr>
                <w:b/>
                <w:i/>
              </w:rPr>
              <w:t>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21.</w:t>
            </w:r>
            <w:r w:rsidRPr="002C61E4">
              <w:tab/>
            </w:r>
            <w:r w:rsidRPr="002C61E4">
              <w:rPr>
                <w:b/>
                <w:i/>
              </w:rPr>
              <w:t>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t xml:space="preserve">pabrėžia, kad reikia visapusiško </w:t>
            </w:r>
            <w:r w:rsidRPr="002C61E4">
              <w:rPr>
                <w:b/>
                <w:bCs/>
                <w:i/>
                <w:iCs/>
              </w:rPr>
              <w:t>sąlygų mechanizmo</w:t>
            </w:r>
            <w:r w:rsidRPr="002C61E4">
              <w:t xml:space="preserve">, kuriuo būtų užtikrinama, kad visoje ES teisėje būtų laikomasi teisinės valstybės principo, atsižvelgiant ne tik į biudžeto aspektus; primygtinai ragina Komisiją pateikti </w:t>
            </w:r>
            <w:r w:rsidRPr="002C61E4">
              <w:rPr>
                <w:b/>
                <w:bCs/>
                <w:i/>
                <w:iCs/>
              </w:rPr>
              <w:t>pasiūlymą</w:t>
            </w:r>
            <w:r w:rsidRPr="002C61E4">
              <w:t xml:space="preserve">, </w:t>
            </w:r>
            <w:r w:rsidRPr="002C61E4">
              <w:rPr>
                <w:b/>
                <w:bCs/>
                <w:i/>
                <w:iCs/>
              </w:rPr>
              <w:t>kuriuo</w:t>
            </w:r>
            <w:r w:rsidRPr="002C61E4">
              <w:t xml:space="preserve"> būtų išplėsta šio </w:t>
            </w:r>
            <w:r w:rsidRPr="002C61E4">
              <w:rPr>
                <w:b/>
                <w:bCs/>
                <w:i/>
                <w:iCs/>
              </w:rPr>
              <w:t>mechanizmo</w:t>
            </w:r>
            <w:r w:rsidRPr="002C61E4">
              <w:t xml:space="preserve"> taikymo sritis;</w:t>
            </w:r>
          </w:p>
        </w:tc>
        <w:tc>
          <w:tcPr>
            <w:tcW w:w="4876" w:type="dxa"/>
            <w:tcBorders>
              <w:top w:val="nil"/>
              <w:left w:val="nil"/>
              <w:bottom w:val="nil"/>
              <w:right w:val="nil"/>
            </w:tcBorders>
          </w:tcPr>
          <w:p w:rsidR="00E82389" w:rsidRPr="002C61E4" w:rsidRDefault="00E82389" w:rsidP="003B0113">
            <w:pPr>
              <w:pStyle w:val="Normal6a"/>
            </w:pPr>
            <w:r w:rsidRPr="002C61E4">
              <w:t>21.</w:t>
            </w:r>
            <w:r w:rsidRPr="002C61E4">
              <w:tab/>
              <w:t xml:space="preserve">pabrėžia, kad reikia visapusiško </w:t>
            </w:r>
            <w:r w:rsidRPr="002C61E4">
              <w:rPr>
                <w:b/>
                <w:bCs/>
                <w:i/>
                <w:iCs/>
              </w:rPr>
              <w:t>priemonių rinkinio</w:t>
            </w:r>
            <w:r w:rsidRPr="002C61E4">
              <w:t>, kuriuo būtų užtikrinama, kad visoje ES teisėje būtų laikomasi teisinės valstybės principo</w:t>
            </w:r>
            <w:r w:rsidRPr="002C61E4">
              <w:rPr>
                <w:b/>
                <w:bCs/>
                <w:i/>
                <w:iCs/>
              </w:rPr>
              <w:t xml:space="preserve"> ir kitų ES sutarties 2 straipsnyje įtvirtintų vertybių</w:t>
            </w:r>
            <w:r w:rsidRPr="002C61E4">
              <w:t xml:space="preserve">, atsižvelgiant ne tik į biudžeto aspektus; </w:t>
            </w:r>
            <w:r w:rsidRPr="002C61E4">
              <w:rPr>
                <w:b/>
                <w:i/>
              </w:rPr>
              <w:t>atkakliai tvirtina, kad priemonių rinkinys turėtų apimti visas Sąjungos vertybes, visą ES biudžetą ir juo turėtų būti užtikrinta, kad neblogėtų su visomis priemonėmis susijusi padėtis; pabrėžia, kad reikia daug daugiau skaidrumo ir nuoseklumo taikant Sąjungos vertybių apsaugos priemones ir stiprinti Parlamento vaidmenį taikant ir tikrinant tokias priemones; be to, primygtinai tvirtina, kad vertinant teisinės valstybės principo ir kitų vertybių pažeidimus valstybėse narėse reikia užtikrinti priemonių nuoseklumą;</w:t>
            </w:r>
            <w:r w:rsidRPr="002C61E4">
              <w:t xml:space="preserve"> primygtinai ragina Komisiją </w:t>
            </w:r>
            <w:r w:rsidRPr="002C61E4">
              <w:rPr>
                <w:b/>
                <w:bCs/>
                <w:i/>
                <w:iCs/>
              </w:rPr>
              <w:t xml:space="preserve">nustatyti trūkumus ir </w:t>
            </w:r>
            <w:r w:rsidRPr="002C61E4">
              <w:t xml:space="preserve">pateikti </w:t>
            </w:r>
            <w:r w:rsidRPr="002C61E4">
              <w:rPr>
                <w:b/>
                <w:bCs/>
                <w:i/>
                <w:iCs/>
              </w:rPr>
              <w:t>atitinkamus pasiūlymus</w:t>
            </w:r>
            <w:r w:rsidRPr="002C61E4">
              <w:t xml:space="preserve">, </w:t>
            </w:r>
            <w:r w:rsidRPr="002C61E4">
              <w:rPr>
                <w:b/>
                <w:bCs/>
                <w:i/>
                <w:iCs/>
              </w:rPr>
              <w:t>kuriais</w:t>
            </w:r>
            <w:r w:rsidRPr="002C61E4">
              <w:t xml:space="preserve"> būtų išplėsta šio </w:t>
            </w:r>
            <w:r w:rsidRPr="002C61E4">
              <w:rPr>
                <w:b/>
                <w:bCs/>
                <w:i/>
                <w:iCs/>
              </w:rPr>
              <w:t>priemonių rinkinio</w:t>
            </w:r>
            <w:r w:rsidRPr="002C61E4">
              <w:t xml:space="preserve"> taikymo sritis; </w:t>
            </w:r>
            <w:r w:rsidRPr="002C61E4">
              <w:rPr>
                <w:b/>
                <w:i/>
              </w:rPr>
              <w:t>nurodo, kad sisteminių pažeidimų atveju tarpusavio pripažinimo principo taikymas turėtų būti sustabdytas;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519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Tomas Tobé, Mika Aaltola, Pekka Toveri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t>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t>21.</w:t>
            </w:r>
            <w:r w:rsidRPr="002C61E4">
              <w:tab/>
              <w:t xml:space="preserve">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 </w:t>
            </w:r>
            <w:r w:rsidRPr="002C61E4">
              <w:rPr>
                <w:b/>
                <w:i/>
              </w:rPr>
              <w:t>šiuo atžvilgiu remia 2024 m. rugsėjo 16 d. Suomijos ir Švedijos vyriausybių pateiktus pasiūlymus, kuriais Komisija primygtinai raginama laikytis visapusiško požiūrio į teisinės valstybės principų laikymąsi, visų pirma griežčiau taikant Sąlygų reglamentą, su teisine valstybe susijusias kompleksines ES finansavimo programų ir priemonių sąlygas ir platesnę mūsų bendrų vertybių apsaugą ES finansavimo programose ir priemonėse; ragina Komisiją įgyvendinti šiuos pasiūlymus;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t xml:space="preserve">pabrėžia, kad </w:t>
            </w:r>
            <w:r w:rsidRPr="002C61E4">
              <w:rPr>
                <w:b/>
                <w:bCs/>
                <w:i/>
                <w:iCs/>
              </w:rPr>
              <w:t>reikia visapusiško</w:t>
            </w:r>
            <w:r w:rsidRPr="002C61E4">
              <w:t xml:space="preserve"> sąlygų </w:t>
            </w:r>
            <w:r w:rsidRPr="002C61E4">
              <w:rPr>
                <w:b/>
                <w:bCs/>
                <w:i/>
                <w:iCs/>
              </w:rPr>
              <w:t>mechanizmo, kuriuo būtų</w:t>
            </w:r>
            <w:r w:rsidRPr="002C61E4">
              <w:t xml:space="preserve"> užtikrinama, kad visoje ES teisėje būtų laikomasi teisinės valstybės principo, atsižvelgiant ne tik į biudžeto aspektus; </w:t>
            </w:r>
            <w:r w:rsidRPr="002C61E4">
              <w:lastRenderedPageBreak/>
              <w:t xml:space="preserve">primygtinai ragina Komisiją </w:t>
            </w:r>
            <w:r w:rsidRPr="002C61E4">
              <w:rPr>
                <w:b/>
                <w:bCs/>
                <w:i/>
                <w:iCs/>
              </w:rPr>
              <w:t>pateikti pasiūlymą, kuriuo būtų išplėsta šio mechanizmo taikymo sritis</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lastRenderedPageBreak/>
              <w:t>21.</w:t>
            </w:r>
            <w:r w:rsidRPr="002C61E4">
              <w:tab/>
              <w:t xml:space="preserve">pabrėžia, kad </w:t>
            </w:r>
            <w:r w:rsidRPr="002C61E4">
              <w:rPr>
                <w:b/>
                <w:bCs/>
                <w:i/>
                <w:iCs/>
              </w:rPr>
              <w:t>pagal ESTT pateiktus išaiškinimus</w:t>
            </w:r>
            <w:r w:rsidRPr="002C61E4">
              <w:t xml:space="preserve"> sąlygų </w:t>
            </w:r>
            <w:r w:rsidRPr="002C61E4">
              <w:rPr>
                <w:b/>
                <w:bCs/>
                <w:i/>
                <w:iCs/>
              </w:rPr>
              <w:t>mechanizmu siekiama apsaugoti tik ES biudžetą, o ne teisinę valstybę;</w:t>
            </w:r>
            <w:r w:rsidRPr="002C61E4">
              <w:rPr>
                <w:b/>
                <w:i/>
              </w:rPr>
              <w:t xml:space="preserve"> </w:t>
            </w:r>
            <w:r w:rsidRPr="002C61E4">
              <w:rPr>
                <w:b/>
                <w:bCs/>
                <w:i/>
                <w:iCs/>
              </w:rPr>
              <w:t xml:space="preserve">primena, kad ES nėra federacija, ir įspėja, kad </w:t>
            </w:r>
            <w:r w:rsidRPr="002C61E4">
              <w:rPr>
                <w:b/>
                <w:bCs/>
                <w:i/>
                <w:iCs/>
              </w:rPr>
              <w:lastRenderedPageBreak/>
              <w:t>nereikėtų nustatyti sudėtingo sąlygų mechanizmo, kuris, prisidengiant, kad juo tariamai</w:t>
            </w:r>
            <w:r w:rsidRPr="002C61E4">
              <w:t xml:space="preserve"> užtikrinama, kad visoje ES teisėje būtų laikomasi teisinės valstybės principo, atsižvelgiant ne tik į biudžeto aspektus</w:t>
            </w:r>
            <w:r w:rsidRPr="002C61E4">
              <w:rPr>
                <w:b/>
                <w:bCs/>
                <w:i/>
                <w:iCs/>
              </w:rPr>
              <w:t>, galiausiai gali iškreipti Bendrijos tikslus ir kelti pavojų ES ateičiai</w:t>
            </w:r>
            <w:r w:rsidRPr="002C61E4">
              <w:t xml:space="preserve">; primygtinai ragina Komisiją </w:t>
            </w:r>
            <w:r w:rsidRPr="002C61E4">
              <w:rPr>
                <w:b/>
                <w:bCs/>
                <w:i/>
                <w:iCs/>
              </w:rPr>
              <w:t>taikyti šį mechanizmą sąžiningai ir tik tais atvejais, kai iš tikrųjų tenkinamos nustatytos sąlygos, ir susilaikyti nuo dvigubų standartų taikymo taikant šį mechanizmą, kurio pagrįstumas vis dar kelia abejonių</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Pekka Toveri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t>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t>21.</w:t>
            </w:r>
            <w:r w:rsidRPr="002C61E4">
              <w:tab/>
            </w:r>
            <w:r w:rsidRPr="002C61E4">
              <w:rPr>
                <w:b/>
                <w:i/>
              </w:rPr>
              <w:t>palankiai vertina Komisijos siekį stiprinti teisinės valstybės principo taikymo ataskaitoje pateiktų rekomendacijų ir iš ES biudžeto skiriamo finansavimo sąsają;</w:t>
            </w:r>
            <w:r w:rsidRPr="002C61E4">
              <w:t xml:space="preserve"> pabrėžia, kad reikia visapusiško sąlygų mechanizmo, kuriuo būtų užtikrinama, kad visoje ES teisėje būtų laikomasi teisinės valstybės principo, atsižvelgiant ne tik į biudžeto aspektus; primygtinai ragina Komisiją pateikti pasiūlymą, kuriuo būtų išplėsta šio mechanizmo taikymo sritis;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r>
            <w:r w:rsidRPr="002C61E4">
              <w:rPr>
                <w:b/>
                <w:i/>
              </w:rPr>
              <w:t xml:space="preserve">pabrėžia, kad reikia visapusiško sąlygų mechanizmo, kuriuo būtų užtikrinama, kad visoje ES teisėje būtų laikomasi teisinės valstybės principo, atsižvelgiant ne tik į biudžeto aspektus; </w:t>
            </w:r>
            <w:r w:rsidRPr="002C61E4">
              <w:rPr>
                <w:b/>
                <w:bCs/>
                <w:i/>
                <w:iCs/>
              </w:rPr>
              <w:t>primygtinai ragina Komisiją pateikti pasiūlymą, kuriuo būtų išplėsta šio mechanizmo taikymo sritis</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21.</w:t>
            </w:r>
            <w:r w:rsidRPr="002C61E4">
              <w:tab/>
            </w:r>
            <w:r w:rsidRPr="002C61E4">
              <w:rPr>
                <w:b/>
                <w:i/>
              </w:rPr>
              <w:t>pabrėžia, kad ši ataskaita negali būti naudojama kaip pagrindas kitiems ES mechanizmams ir procedūroms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t xml:space="preserve">pabrėžia, kad </w:t>
            </w:r>
            <w:r w:rsidRPr="002C61E4">
              <w:rPr>
                <w:b/>
                <w:bCs/>
                <w:i/>
                <w:iCs/>
              </w:rPr>
              <w:t>reikia visapusiško sąlygų</w:t>
            </w:r>
            <w:r w:rsidRPr="002C61E4">
              <w:t xml:space="preserve"> mechanizmo, kuriuo būtų užtikrinama, kad </w:t>
            </w:r>
            <w:r w:rsidRPr="002C61E4">
              <w:rPr>
                <w:b/>
                <w:bCs/>
                <w:i/>
                <w:iCs/>
              </w:rPr>
              <w:t>visoje ES teisėje</w:t>
            </w:r>
            <w:r w:rsidRPr="002C61E4">
              <w:t xml:space="preserve"> būtų laikomasi teisinės valstybės principo, </w:t>
            </w:r>
            <w:r w:rsidRPr="002C61E4">
              <w:rPr>
                <w:b/>
                <w:bCs/>
                <w:i/>
                <w:iCs/>
              </w:rPr>
              <w:t>atsižvelgiant ne tik į biudžeto aspektus</w:t>
            </w:r>
            <w:r w:rsidRPr="002C61E4">
              <w:t>;</w:t>
            </w:r>
            <w:r w:rsidRPr="002C61E4">
              <w:rPr>
                <w:b/>
                <w:i/>
              </w:rPr>
              <w:t xml:space="preserve"> 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t>21.</w:t>
            </w:r>
            <w:r w:rsidRPr="002C61E4">
              <w:tab/>
              <w:t>pabrėžia, kad</w:t>
            </w:r>
            <w:r w:rsidRPr="002C61E4">
              <w:rPr>
                <w:b/>
                <w:bCs/>
                <w:i/>
                <w:iCs/>
              </w:rPr>
              <w:t xml:space="preserve"> nereikia kurti dar vieno</w:t>
            </w:r>
            <w:r w:rsidRPr="002C61E4">
              <w:t xml:space="preserve"> mechanizmo, kuriuo būtų užtikrinama, kad būtų laikomasi teisinės valstybės principo, </w:t>
            </w:r>
            <w:r w:rsidRPr="002C61E4">
              <w:rPr>
                <w:b/>
                <w:bCs/>
                <w:i/>
                <w:iCs/>
              </w:rPr>
              <w:t>nes esamų mechanizmų pakanka</w:t>
            </w:r>
            <w:r w:rsidRPr="002C61E4">
              <w:t>;</w:t>
            </w:r>
            <w:r w:rsidRPr="002C61E4">
              <w:rPr>
                <w:b/>
                <w:i/>
              </w:rPr>
              <w:t>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Chloé Ridel, Jean-Marc Germain, Emma Rafowicz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t>pabrėžia, kad reikia visapusiško sąlygų mechanizmo, kuriuo būtų užtikrinama, kad visoje ES teisėje būtų laikomasi teisinės valstybės principo</w:t>
            </w:r>
            <w:r w:rsidRPr="002C61E4">
              <w:rPr>
                <w:b/>
                <w:bCs/>
                <w:i/>
                <w:iCs/>
              </w:rPr>
              <w:t>, atsižvelgiant ne tik į biudžeto aspektus</w:t>
            </w:r>
            <w:r w:rsidRPr="002C61E4">
              <w:t xml:space="preserve">; </w:t>
            </w:r>
            <w:r w:rsidRPr="002C61E4">
              <w:rPr>
                <w:b/>
                <w:i/>
              </w:rPr>
              <w:lastRenderedPageBreak/>
              <w:t>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lastRenderedPageBreak/>
              <w:t>21.</w:t>
            </w:r>
            <w:r w:rsidRPr="002C61E4">
              <w:tab/>
              <w:t>pabrėžia, kad reikia visapusiško sąlygų mechanizmo, kuriuo būtų užtikrinama, kad visoje ES teisėje būtų laikomasi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21.</w:t>
            </w:r>
            <w:r w:rsidRPr="002C61E4">
              <w:tab/>
              <w:t xml:space="preserve">pabrėžia, kad reikia visapusiško </w:t>
            </w:r>
            <w:r w:rsidRPr="002C61E4">
              <w:rPr>
                <w:b/>
                <w:bCs/>
                <w:i/>
                <w:iCs/>
              </w:rPr>
              <w:t>sąlygų</w:t>
            </w:r>
            <w:r w:rsidRPr="002C61E4">
              <w:t xml:space="preserve"> mechanizmo, kuriuo būtų užtikrinama, kad visoje ES teisėje būtų laikomasi teisinės valstybės principo, atsižvelgiant ne tik į biudžeto aspektus; primygtinai ragina Komisiją pateikti pasiūlymą, kuriuo būtų išplėsta šio mechanizmo taikymo sritis;</w:t>
            </w:r>
          </w:p>
        </w:tc>
        <w:tc>
          <w:tcPr>
            <w:tcW w:w="4876" w:type="dxa"/>
            <w:tcBorders>
              <w:top w:val="nil"/>
              <w:left w:val="nil"/>
              <w:bottom w:val="nil"/>
              <w:right w:val="nil"/>
            </w:tcBorders>
          </w:tcPr>
          <w:p w:rsidR="00E82389" w:rsidRPr="002C61E4" w:rsidRDefault="00E82389" w:rsidP="003B0113">
            <w:pPr>
              <w:pStyle w:val="Normal6a"/>
            </w:pPr>
            <w:r w:rsidRPr="002C61E4">
              <w:t>21.</w:t>
            </w:r>
            <w:r w:rsidRPr="002C61E4">
              <w:tab/>
              <w:t>pabrėžia, kad reikia visapusiško mechanizmo, kuriuo būtų užtikrinama, kad visoje ES teisėje būtų laikomasi teisinės valstybės principo, atsižvelgiant ne tik į biudžeto aspektus; primygtinai ragina Komisiją pateikti pasiūlymą, kuriuo būtų išplėsta šio mechanizmo taikymo sritis;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21a.</w:t>
            </w:r>
            <w:r w:rsidRPr="002C61E4">
              <w:tab/>
            </w:r>
            <w:r w:rsidRPr="002C61E4">
              <w:rPr>
                <w:b/>
                <w:i/>
              </w:rPr>
              <w:t>primena, kad Teisinės valstybės sąlygų reglamente nustatyta, kad iš galutinių gavėjų negali būti atimta galimybė pasinaudoti ES lėšomis, kai jų vyriausybei taikomos sankcijos; mano, kad iki šiol ši apsaugos nuostata nebuvo veiksminga;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527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21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21b.</w:t>
            </w:r>
            <w:r w:rsidRPr="002C61E4">
              <w:tab/>
            </w:r>
            <w:r w:rsidRPr="002C61E4">
              <w:rPr>
                <w:b/>
                <w:i/>
              </w:rPr>
              <w:t>reiškia susirūpinimą dėl to, kad nacionalinės vyriausybės, kurioms taikomos sankcijos, gali piktnaudžiauti ES lėšų sustabdymu kaip politiniu ginklu, kad būtų atimtos pilietinės visuomenės, taip pat vietos ir regionų valdžios institucijų teisės;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22.</w:t>
            </w:r>
            <w:r w:rsidRPr="002C61E4">
              <w:tab/>
            </w:r>
            <w:r w:rsidRPr="002C61E4">
              <w:rPr>
                <w:b/>
                <w:i/>
              </w:rPr>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529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22.</w:t>
            </w:r>
            <w:r w:rsidRPr="002C61E4">
              <w:tab/>
            </w:r>
            <w:r w:rsidRPr="002C61E4">
              <w:rPr>
                <w:b/>
                <w:i/>
              </w:rPr>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Lukas Mandl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22.</w:t>
            </w:r>
            <w:r w:rsidRPr="002C61E4">
              <w:tab/>
            </w:r>
            <w:r w:rsidRPr="002C61E4">
              <w:rPr>
                <w:b/>
                <w:i/>
              </w:rPr>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22.</w:t>
            </w:r>
            <w:r w:rsidRPr="002C61E4">
              <w:tab/>
            </w:r>
            <w:r w:rsidRPr="002C61E4">
              <w:rPr>
                <w:b/>
                <w:i/>
              </w:rPr>
              <w:t xml:space="preserve">ragina pradėti taikyti pažangias sąlygas, pagal kurias ES lėšos būtų tiesiogiai paskirstomos savivaldybėms, nevyriausybinėms organizacijoms ir kitiems subjektams, puoselėjantiems ES </w:t>
            </w:r>
            <w:r w:rsidRPr="002C61E4">
              <w:rPr>
                <w:b/>
                <w:i/>
              </w:rPr>
              <w:lastRenderedPageBreak/>
              <w:t>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22.</w:t>
            </w:r>
            <w:r w:rsidRPr="002C61E4">
              <w:tab/>
            </w:r>
            <w:r w:rsidRPr="002C61E4">
              <w:rPr>
                <w:b/>
                <w:i/>
              </w:rPr>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Dainius Žalimas, Lucia Yar, Fabienne Keller, Raquel García Hermida-Van Der Walle, Abir Al-Sahlani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ragina pradėti</w:t>
            </w:r>
            <w:r w:rsidRPr="002C61E4">
              <w:t xml:space="preserve"> taikyti </w:t>
            </w:r>
            <w:r w:rsidRPr="002C61E4">
              <w:rPr>
                <w:b/>
                <w:bCs/>
                <w:i/>
                <w:iCs/>
              </w:rPr>
              <w:t>pažangias sąlygas, pagal kurias ES lėšos būtų</w:t>
            </w:r>
            <w:r w:rsidRPr="002C61E4">
              <w:t xml:space="preserve"> tiesiogiai </w:t>
            </w:r>
            <w:r w:rsidRPr="002C61E4">
              <w:rPr>
                <w:b/>
                <w:bCs/>
                <w:i/>
                <w:iCs/>
              </w:rPr>
              <w:t>paskirstomos savivaldybėms, nevyriausybinėms organizacijoms ir kitiems subjektams, puoselėjantiems ES vertybes, apeinant nacionalines vyriausybes, nesilaikančias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pabrėžia, kad svarbu</w:t>
            </w:r>
            <w:r w:rsidRPr="002C61E4">
              <w:t xml:space="preserve"> taikyti </w:t>
            </w:r>
            <w:r w:rsidRPr="002C61E4">
              <w:rPr>
                <w:b/>
                <w:bCs/>
                <w:i/>
                <w:iCs/>
              </w:rPr>
              <w:t>pažangių sąlygų metodą, kad paramos gavėjai nebūtų baudžiami už savo vyriausybės veiksmus;</w:t>
            </w:r>
            <w:r w:rsidRPr="002C61E4">
              <w:rPr>
                <w:b/>
                <w:i/>
              </w:rPr>
              <w:t xml:space="preserve"> </w:t>
            </w:r>
            <w:r w:rsidRPr="002C61E4">
              <w:rPr>
                <w:b/>
                <w:bCs/>
                <w:i/>
                <w:iCs/>
              </w:rPr>
              <w:t xml:space="preserve">ragina Komisiją priimti papildomas priemones, kuriomis būtų užtikrinta, kad vietos ir regionų valdžios institucijos, pilietinė visuomenė ir kiti paramos gavėjai galėtų toliau naudotis Sąjungos finansavimu tais atvejais, kai nacionalinės vyriausybės pažeidžia teisinės valstybės principą, </w:t>
            </w:r>
            <w:r w:rsidRPr="002C61E4">
              <w:rPr>
                <w:b/>
                <w:bCs/>
                <w:i/>
                <w:iCs/>
              </w:rPr>
              <w:lastRenderedPageBreak/>
              <w:t>nesusilpninant Sąlygų reglamento taikymo</w:t>
            </w:r>
            <w:r w:rsidRPr="002C61E4">
              <w:t>;</w:t>
            </w:r>
            <w:r w:rsidRPr="002C61E4">
              <w:rPr>
                <w:b/>
                <w:i/>
              </w:rPr>
              <w:t xml:space="preserve"> </w:t>
            </w:r>
            <w:r w:rsidRPr="002C61E4">
              <w:rPr>
                <w:b/>
                <w:bCs/>
                <w:i/>
                <w:iCs/>
              </w:rPr>
              <w:t>mano, kad šios papildomos priemonės turėtų apimti panaikintų lėšų perskirstymą į Komisijos</w:t>
            </w:r>
            <w:r w:rsidRPr="002C61E4">
              <w:t xml:space="preserve"> tiesiogiai </w:t>
            </w:r>
            <w:r w:rsidRPr="002C61E4">
              <w:rPr>
                <w:b/>
                <w:bCs/>
                <w:i/>
                <w:iCs/>
              </w:rPr>
              <w:t>valdomas finansavimo schemas;</w:t>
            </w:r>
            <w:r w:rsidRPr="002C61E4">
              <w:rPr>
                <w:b/>
                <w:i/>
              </w:rPr>
              <w:t xml:space="preserve"> </w:t>
            </w:r>
            <w:r w:rsidRPr="002C61E4">
              <w:rPr>
                <w:b/>
                <w:bCs/>
                <w:i/>
                <w:iCs/>
              </w:rPr>
              <w:t>pabrėžia, kad siekiant išvengti pernelyg didelės administracinės naštos Komisijai, vadovaujančiųjų institucijų vaidmenį turėtų prisiimti kompetentingos regionų ir vietos valdžios institucijos, pusiau nepriklausomos įstaigos, pvz., JASPERS ar Europos investicijų bankas, arba nepriklausomi profesionalūs fondų operatoriai, turintys reikiamų organizacinių pajėgumų ir atrinkti konkurso būdu, pvz., įmonės, teikiančios konsultacinę ir techninę paramą tarptautiniams plėtros projektams;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r w:rsidRPr="002C61E4">
              <w:rPr>
                <w:b/>
                <w:bCs/>
                <w:i/>
                <w:iCs/>
              </w:rPr>
              <w:t>, kartu išlaikant visą taikomų priemonių poveikį</w:t>
            </w:r>
            <w:r w:rsidRPr="002C61E4">
              <w:t xml:space="preserve">; </w:t>
            </w:r>
            <w:r w:rsidRPr="002C61E4">
              <w:rPr>
                <w:b/>
                <w:i/>
              </w:rPr>
              <w:t xml:space="preserve">pabrėžia, kad tokios pažangios sąlygos galėtų apimti ne tik lėšų įšaldymą kartu su valstybės narės įsipareigojimu mokėti pagal Sąjungos teisę, bet ir galimybę įprastas pasidalijamojo valdymo procedūras pakeisti specialia procedūra, kurioje vietoj atitinkamos valstybės narės valdžios institucijų dalyvautų nepriklausoma trečioji šalis, taip pat supaprastintą lėšų, </w:t>
            </w:r>
            <w:r w:rsidRPr="002C61E4">
              <w:rPr>
                <w:b/>
                <w:i/>
              </w:rPr>
              <w:lastRenderedPageBreak/>
              <w:t>skirtų atitinkamai valstybei narei, perskirstymą programoms, susijusioms su tiesioginiu ir netiesioginiu valdymu, pvz., Piliečių, lygybės, teisių ir vertybių programai, programai „Kūrybiška Europa“ ar bet kuriai paskesnei programai;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Chloé Ridel, Jean-Marc Germain, Emma Rafowicz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ragina pradėti</w:t>
            </w:r>
            <w:r w:rsidRPr="002C61E4">
              <w:t xml:space="preserve"> taikyti </w:t>
            </w:r>
            <w:r w:rsidRPr="002C61E4">
              <w:rPr>
                <w:b/>
                <w:bCs/>
                <w:i/>
                <w:iCs/>
              </w:rPr>
              <w:t>pažangias sąlygas, pagal kurias ES lėšos būtų tiesiogiai paskirstomos savivaldybėms, nevyriausybinėms organizacijoms ir kitiems subjektams, puoselėjantiems ES vertybes, apeinant nacionalines vyriausybes, nesilaikančias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i/>
              </w:rPr>
              <w:t xml:space="preserve">primena, kad Teisinės valstybės sąlygų reglamente nustatyta, kad iš galutinių gavėjų neturėtų būti atimta galimybė pasinaudoti ES lėšomis, jei jų vyriausybei būtų taikomos sankcijos; </w:t>
            </w:r>
            <w:r w:rsidRPr="002C61E4">
              <w:rPr>
                <w:b/>
                <w:bCs/>
                <w:i/>
                <w:iCs/>
              </w:rPr>
              <w:t>mano, kad iki šiol ši nuostata nebuvo veiksminga, ir pabrėžia, jog svarbu</w:t>
            </w:r>
            <w:r w:rsidRPr="002C61E4">
              <w:t xml:space="preserve"> taikyti </w:t>
            </w:r>
            <w:r w:rsidRPr="002C61E4">
              <w:rPr>
                <w:b/>
                <w:bCs/>
                <w:i/>
                <w:iCs/>
              </w:rPr>
              <w:t>pažangių sąlygų metodą, kad paramos gavėjai nebūtų baudžiami dėl vyriausybės veiksmų;</w:t>
            </w:r>
            <w:r w:rsidRPr="002C61E4">
              <w:rPr>
                <w:b/>
                <w:i/>
              </w:rPr>
              <w:t xml:space="preserve"> </w:t>
            </w:r>
            <w:r w:rsidRPr="002C61E4">
              <w:rPr>
                <w:b/>
                <w:bCs/>
                <w:i/>
                <w:iCs/>
              </w:rPr>
              <w:t>ragina Komisiją išnagrinėti papildomus būdus, kaip užtikrinti, kad vietos ir regionų valdžios institucijos, pilietinė visuomenė ir kiti paramos gavėjai galėtų toliau naudotis Sąjungos finansavimu tais atvejais, kai nacionalinės vyriausybės pažeidžia teisinės valstybės principą, nesusilpninant reglamento taikymo</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Jorge Buxadé Villalba, Tom Vandendriessche,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 xml:space="preserve">pakartoja, kad priimdama Teisinės valstybės sąlygų reglamentą ES veikė </w:t>
            </w:r>
            <w:r w:rsidRPr="002C61E4">
              <w:rPr>
                <w:b/>
                <w:bCs/>
              </w:rPr>
              <w:t>ultra vires</w:t>
            </w:r>
            <w:r w:rsidRPr="002C61E4">
              <w:rPr>
                <w:b/>
                <w:bCs/>
                <w:i/>
                <w:iCs/>
              </w:rPr>
              <w:t>, nes viršijo jai valstybių narių suteiktus įgaliojimus;</w:t>
            </w:r>
            <w:r w:rsidRPr="002C61E4">
              <w:rPr>
                <w:b/>
                <w:i/>
              </w:rPr>
              <w:t xml:space="preserve"> toliau primygtinai teigia, kad reglamentas pažeidžia teisinio tikrumo principą; todėl nepritaria Teisinės valstybės sąlygų reglamentui visa jo apimtimi; </w:t>
            </w:r>
            <w:r w:rsidRPr="002C61E4">
              <w:rPr>
                <w:b/>
                <w:bCs/>
                <w:i/>
                <w:iCs/>
              </w:rPr>
              <w:t>taip pat mano, kad Teisinės valstybės sąlygų reglamentas pažeidžia ES sutarties 7 straipsnyje nustatytą vienbalsiškumo principą, todėl pažeidžia ES teisę</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Javier Zarzalejos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w:t>
            </w:r>
            <w:r w:rsidRPr="002C61E4">
              <w:rPr>
                <w:b/>
                <w:bCs/>
                <w:i/>
                <w:iCs/>
              </w:rPr>
              <w:t>pradėti taikyti pažangias sąlygas, pagal kurias ES lėšos būtų tiesiogiai paskirstomos savivaldybėms, nevyriausybinėms organizacijoms ir kitiems subjektams, puoselėjantiems ES vertybes, apeinant nacionalines vyriausybes, nesilaikančias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w:t>
            </w:r>
            <w:r w:rsidRPr="002C61E4">
              <w:rPr>
                <w:b/>
                <w:bCs/>
                <w:i/>
                <w:iCs/>
              </w:rPr>
              <w:t>įdiegti griežtesnius ES lėšų skirstymo stebėsenos mechanizmus, kad būtų užtikrintas teisinės valstybės standartų laikymasis;</w:t>
            </w:r>
            <w:r w:rsidRPr="002C61E4">
              <w:rPr>
                <w:b/>
                <w:i/>
              </w:rPr>
              <w:t xml:space="preserve"> pabrėžia, kad reikia griežtai kontroliuoti galimus interesų konfliktus, politinį instrumentalizavimą ar lėšų paskirstymo neskaidrumą nacionaliniu lygmeniu; </w:t>
            </w:r>
            <w:r w:rsidRPr="002C61E4">
              <w:rPr>
                <w:b/>
                <w:bCs/>
                <w:i/>
                <w:iCs/>
              </w:rPr>
              <w:t>primygtinai ragina Komisiją, vadovaujantis Sąlygų reglamentu, sistemingai atlikti auditą, kad būtų užkirstas kelias piktnaudžiavimui</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Emma Rafowicz, Chloé Ridel, Birgit Sippel, Krzysztof Śmiszek, Hannes Heide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t>ragina pradėti taikyti pažangias sąlygas, pagal kurias ES lėšos būtų tiesiogiai paskirstomos savivaldybėms, nevyriausybinėms organizacijoms ir kitiems subjektams, puoselėjantiems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pradėti taikyti pažangias sąlygas, pagal kurias ES lėšos būtų tiesiogiai paskirstomos savivaldybėms, nevyriausybinėms organizacijoms ir kitiems subjektams, puoselėjantiems ES vertybes, apeinant nacionalines vyriausybes, nesilaikančias teisinės valstybės principo, </w:t>
            </w:r>
            <w:r w:rsidRPr="002C61E4">
              <w:rPr>
                <w:b/>
                <w:bCs/>
                <w:i/>
                <w:iCs/>
              </w:rPr>
              <w:t>ir kitus subjektus, kurie laikosi Sąjungos vertybių ir yra pakankamai nepriklausomi nuo atitinkamos valstybės narės valdžios institucijų</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539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w:t>
            </w:r>
            <w:r w:rsidRPr="002C61E4">
              <w:rPr>
                <w:b/>
                <w:bCs/>
                <w:i/>
                <w:iCs/>
              </w:rPr>
              <w:t>pradėti taikyti pažangias sąlygas</w:t>
            </w:r>
            <w:r w:rsidRPr="002C61E4">
              <w:t xml:space="preserve">, pagal kurias ES lėšos būtų tiesiogiai paskirstomos savivaldybėms, nevyriausybinėms organizacijoms ir kitiems subjektams, puoselėjantiems ES vertybes, apeinant nacionalines vyriausybes, </w:t>
            </w:r>
            <w:r w:rsidRPr="002C61E4">
              <w:rPr>
                <w:b/>
                <w:bCs/>
                <w:i/>
                <w:iCs/>
              </w:rPr>
              <w:t>nesilaikančias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pabrėžia, kad bet kokia iniciatyva, panaši į pažangių sąlygų</w:t>
            </w:r>
            <w:r w:rsidRPr="002C61E4">
              <w:t xml:space="preserve">, pagal kurias ES lėšos būtų tiesiogiai paskirstomos savivaldybėms, nevyriausybinėms organizacijoms ir kitiems subjektams, apeinant nacionalines vyriausybes, </w:t>
            </w:r>
            <w:r w:rsidRPr="002C61E4">
              <w:rPr>
                <w:b/>
                <w:bCs/>
                <w:i/>
                <w:iCs/>
              </w:rPr>
              <w:t>taikymą, būtų nesuderinama su Sutartimis ir pažeistų ES vertybes ir teisės aktus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pradėti taikyti pažangias sąlygas, pagal kurias ES </w:t>
            </w:r>
            <w:r w:rsidRPr="002C61E4">
              <w:rPr>
                <w:b/>
                <w:bCs/>
                <w:i/>
                <w:iCs/>
              </w:rPr>
              <w:t>lėšos</w:t>
            </w:r>
            <w:r w:rsidRPr="002C61E4">
              <w:t xml:space="preserve"> būtų </w:t>
            </w:r>
            <w:r w:rsidRPr="002C61E4">
              <w:rPr>
                <w:b/>
                <w:bCs/>
                <w:i/>
                <w:iCs/>
              </w:rPr>
              <w:t>tiesiogiai paskirstomos savivaldybėms, nevyriausybinėms organizacijoms ir kitiems subjektams, puoselėjantiems ES vertybes, apeinant</w:t>
            </w:r>
            <w:r w:rsidRPr="002C61E4">
              <w:t xml:space="preserve">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nustatyti pažangias sąlygas, pagal kurias ES </w:t>
            </w:r>
            <w:r w:rsidRPr="002C61E4">
              <w:rPr>
                <w:b/>
                <w:bCs/>
                <w:i/>
                <w:iCs/>
              </w:rPr>
              <w:t>lėšoms</w:t>
            </w:r>
            <w:r w:rsidRPr="002C61E4">
              <w:t xml:space="preserve"> būtų </w:t>
            </w:r>
            <w:r w:rsidRPr="002C61E4">
              <w:rPr>
                <w:b/>
                <w:bCs/>
                <w:i/>
                <w:iCs/>
              </w:rPr>
              <w:t>galima apeiti</w:t>
            </w:r>
            <w:r w:rsidRPr="002C61E4">
              <w:t xml:space="preserve"> nacionalines vyriausybes, nesilaikančias teisinės valstybės principo</w:t>
            </w:r>
            <w:r w:rsidRPr="002C61E4">
              <w:rPr>
                <w:b/>
                <w:bCs/>
                <w:i/>
                <w:iCs/>
              </w:rPr>
              <w:t>, ir jas būtų galima skirti paramai Ukrainai – tai būtų vienas iš apčiuopiamiausių būdų ginti visą Europą ir jos pagrindines vertybes kovojant su Rusijos invazija</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pradėti taikyti </w:t>
            </w:r>
            <w:r w:rsidRPr="002C61E4">
              <w:rPr>
                <w:b/>
                <w:bCs/>
                <w:i/>
                <w:iCs/>
              </w:rPr>
              <w:t>pažangias sąlygas</w:t>
            </w:r>
            <w:r w:rsidRPr="002C61E4">
              <w:t xml:space="preserve">, pagal </w:t>
            </w:r>
            <w:r w:rsidRPr="002C61E4">
              <w:rPr>
                <w:b/>
                <w:bCs/>
                <w:i/>
                <w:iCs/>
              </w:rPr>
              <w:t>kurias</w:t>
            </w:r>
            <w:r w:rsidRPr="002C61E4">
              <w:t xml:space="preserve"> ES lėšos būtų tiesiogiai paskirstomos savivaldybėms</w:t>
            </w:r>
            <w:r w:rsidRPr="002C61E4">
              <w:rPr>
                <w:b/>
                <w:bCs/>
                <w:i/>
                <w:iCs/>
              </w:rPr>
              <w:t>, nevyriausybinėms organizacijoms ir kitiems subjektams</w:t>
            </w:r>
            <w:r w:rsidRPr="002C61E4">
              <w:t xml:space="preserve">, </w:t>
            </w:r>
            <w:r w:rsidRPr="002C61E4">
              <w:rPr>
                <w:b/>
                <w:bCs/>
                <w:i/>
                <w:iCs/>
              </w:rPr>
              <w:t>puoselėjantiems</w:t>
            </w:r>
            <w:r w:rsidRPr="002C61E4">
              <w:t xml:space="preserve"> ES 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t xml:space="preserve">ragina pradėti taikyti </w:t>
            </w:r>
            <w:r w:rsidRPr="002C61E4">
              <w:rPr>
                <w:b/>
                <w:bCs/>
                <w:i/>
                <w:iCs/>
              </w:rPr>
              <w:t>mechanizmą</w:t>
            </w:r>
            <w:r w:rsidRPr="002C61E4">
              <w:t xml:space="preserve">, pagal </w:t>
            </w:r>
            <w:r w:rsidRPr="002C61E4">
              <w:rPr>
                <w:b/>
                <w:bCs/>
                <w:i/>
                <w:iCs/>
              </w:rPr>
              <w:t>kurį</w:t>
            </w:r>
            <w:r w:rsidRPr="002C61E4">
              <w:t xml:space="preserve"> ES lėšos būtų tiesiogiai paskirstomos savivaldybėms, </w:t>
            </w:r>
            <w:r w:rsidRPr="002C61E4">
              <w:rPr>
                <w:b/>
                <w:bCs/>
                <w:i/>
                <w:iCs/>
              </w:rPr>
              <w:t>puoselėjančioms</w:t>
            </w:r>
            <w:r w:rsidRPr="002C61E4">
              <w:t xml:space="preserve"> ES vertybes, apeinant nacionalines vyriausybes, nesilaikančias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Mary Khan, Ewa Zajączkowska-Hernik, Milan Uhrík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ragina pradėti taikyti pažangias sąlygas</w:t>
            </w:r>
            <w:r w:rsidRPr="002C61E4">
              <w:t xml:space="preserve">, pagal kurias ES lėšos būtų tiesiogiai paskirstomos savivaldybėms, nevyriausybinėms organizacijoms ir kitiems subjektams, puoselėjantiems ES </w:t>
            </w:r>
            <w:r w:rsidRPr="002C61E4">
              <w:lastRenderedPageBreak/>
              <w:t>vertybes, apeinant nacionalines vyriausybes, nesilaikančias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lastRenderedPageBreak/>
              <w:t>22.</w:t>
            </w:r>
            <w:r w:rsidRPr="002C61E4">
              <w:tab/>
            </w:r>
            <w:r w:rsidRPr="002C61E4">
              <w:rPr>
                <w:b/>
                <w:bCs/>
                <w:i/>
                <w:iCs/>
              </w:rPr>
              <w:t>apgailestauja dėl bet kokio pažangių sąlygų</w:t>
            </w:r>
            <w:r w:rsidRPr="002C61E4">
              <w:t xml:space="preserve">, pagal kurias ES lėšos būtų tiesiogiai paskirstomos savivaldybėms, nevyriausybinėms organizacijoms ir kitiems subjektams, </w:t>
            </w:r>
            <w:r w:rsidRPr="002C61E4">
              <w:lastRenderedPageBreak/>
              <w:t xml:space="preserve">puoselėjantiems ES vertybes, apeinant nacionalines vyriausybes, </w:t>
            </w:r>
            <w:r w:rsidRPr="002C61E4">
              <w:rPr>
                <w:b/>
                <w:bCs/>
                <w:i/>
                <w:iCs/>
              </w:rPr>
              <w:t xml:space="preserve">tariamai </w:t>
            </w:r>
            <w:r w:rsidRPr="002C61E4">
              <w:t>nesilaikančias teisinės valstybės principo, taikymo;</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ragina pradėti taikyti pažangias sąlygas, pagal kurias ES lėšos būtų tiesiogiai paskirstomos savivaldybėms, nevyriausybinėms organizacijoms ir kitiems subjektams, puoselėjantiems ES vertybes, apeinant</w:t>
            </w:r>
            <w:r w:rsidRPr="002C61E4">
              <w:t xml:space="preserve"> nacionalines vyriausybes</w:t>
            </w:r>
            <w:r w:rsidRPr="002C61E4">
              <w:rPr>
                <w:b/>
                <w:bCs/>
                <w:i/>
                <w:iCs/>
              </w:rPr>
              <w:t>, nesilaikančias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22.</w:t>
            </w:r>
            <w:r w:rsidRPr="002C61E4">
              <w:tab/>
            </w:r>
            <w:r w:rsidRPr="002C61E4">
              <w:rPr>
                <w:b/>
                <w:bCs/>
                <w:i/>
                <w:iCs/>
              </w:rPr>
              <w:t>apgailestauja dėl Europos kairiųjų mėginimo apeiti</w:t>
            </w:r>
            <w:r w:rsidRPr="002C61E4">
              <w:t xml:space="preserve"> nacionalines vyriausybes </w:t>
            </w:r>
            <w:r w:rsidRPr="002C61E4">
              <w:rPr>
                <w:b/>
                <w:bCs/>
                <w:i/>
                <w:iCs/>
              </w:rPr>
              <w:t>nustatant vadinamąsias pažangias sąlygas, nes taip iš tikrųjų būtų kišamasi į valstybių narių suverenitetą</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22a.</w:t>
            </w:r>
            <w:r w:rsidRPr="002C61E4">
              <w:tab/>
            </w:r>
            <w:r w:rsidRPr="002C61E4">
              <w:rPr>
                <w:b/>
                <w:i/>
              </w:rPr>
              <w:t xml:space="preserve">siūlo įsteigti nuolatinę žymių asmenybių grupę („išminčių grupę“), kurią sudarytų nepriklausomi teisės, akademinės bendruomenės ir žmogaus teisių ekspertai ir kuriai būtų pavesta sistemingai stebėti teisinės valstybės raidą valstybėse narėse ir reguliariai teikti Europos Komisijai vertinimus, rekomendacijas ir išankstinius įspėjimus; pabrėžia, kad reikia užtikrinti visišką šios įstaigos sudėties ir veiklos </w:t>
            </w:r>
            <w:r w:rsidRPr="002C61E4">
              <w:rPr>
                <w:b/>
                <w:i/>
              </w:rPr>
              <w:lastRenderedPageBreak/>
              <w:t>nepriklausomumą ir objektyvumą, semiantis įkvėpimo iš Nepriklausomų žymių asmenų komiteto, įsteigto pagal Reglamentą Nr. 1141/2014, kartu pritaikant jo įgaliojimus konkrečiai teisinės valstybės principo taikymo problemai spręsti;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Dainius Žalimas, Lucia Yar, Fabienne Keller, Raquel García Hermida-Van Der Walle, Abir Al-Sahlani, Veronika Cifrová Ostrihoňová, 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22a.</w:t>
            </w:r>
            <w:r w:rsidRPr="002C61E4">
              <w:tab/>
            </w:r>
            <w:r w:rsidRPr="002C61E4">
              <w:rPr>
                <w:b/>
                <w:i/>
              </w:rPr>
              <w:t>ragina sukurti skaidrią sistemą, pagal kurią vietos valdžios institucijos galėtų tiesiogiai prašyti ES lėšų, kai nacionalinės vyriausybės blokuoja arba netinkamai naudoja ES lėšas;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22b.</w:t>
            </w:r>
            <w:r w:rsidRPr="002C61E4">
              <w:tab/>
            </w:r>
            <w:r w:rsidRPr="002C61E4">
              <w:rPr>
                <w:b/>
                <w:i/>
              </w:rPr>
              <w:t>pabrėžia, kad sprendimai sustabdyti arba sumažinti Sąjungos finansavimą dėl teisinės valstybės principo pažeidimų turi būti grindžiami objektyviais kriterijais ir neturi būti atsižvelgiama į kitas aplinkybes ir vadovaujamasi derybų rezultatu;</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22c.</w:t>
            </w:r>
            <w:r w:rsidRPr="002C61E4">
              <w:tab/>
            </w:r>
            <w:r w:rsidRPr="002C61E4">
              <w:rPr>
                <w:b/>
                <w:i/>
              </w:rPr>
              <w:t>pakartoja, kad nė viena valstybė narė neturėtų būti atleista nuo nuolatinio tikrinimo, nepriklausomai nuo to, kokiai politinei partijai priklauso jos vyriausybė;</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Dainius Žalimas, Lucia Yar, Fabienne Keller, Sophie Wilmès, Raquel García Hermida-Van Der Walle, Abir Al-Sahlani, Veronika Cifrová Ostrihoňová, 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d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22d.</w:t>
            </w:r>
            <w:r w:rsidRPr="002C61E4">
              <w:tab/>
            </w:r>
            <w:r w:rsidRPr="002C61E4">
              <w:rPr>
                <w:b/>
                <w:i/>
              </w:rPr>
              <w:t>pripažįsta, kad Europos prokuratūra yra svarbi Sąjungos finansinių interesų gynėja; ragina visas valstybes nares prisijungti prie Europos prokuratūros ir ragina išplėsti jos įgaliojimus, kad būtų galima geriau kovoti su korupcija ir finansiniais nusikaltimais visoje ES;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549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e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22e.</w:t>
            </w:r>
            <w:r w:rsidRPr="002C61E4">
              <w:tab/>
            </w:r>
            <w:r w:rsidRPr="002C61E4">
              <w:rPr>
                <w:b/>
                <w:i/>
              </w:rPr>
              <w:t>ragina užtikrinti glaudesnį Europolo, Eurojusto, Europos Audito Rūmų, OLAF ir Europos prokuratūros operatyvinį bendradarbiavimą, kad būtų sukurtas vientisas tinklas, skirtas užkirsti kelią korupcijai ir sukčiavimui, kenkiantiems Sąjungos finansiniams interesams, juos tirti ir už juos patraukti baudžiamojon atsakomybėn;</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Fabienne Keller, Lucia Yar, Irena Joveva, Isabel Wiseler-Lima</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22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22a.</w:t>
            </w:r>
            <w:r w:rsidRPr="002C61E4">
              <w:tab/>
            </w:r>
            <w:r w:rsidRPr="002C61E4">
              <w:rPr>
                <w:b/>
                <w:i/>
              </w:rPr>
              <w:t>ragina Komisiją įvertinti žmogiškuosius išteklius, būtinus nuosekliai ir veiksmingai vykdyti savo užduotis ir taikyti Sąlygų reglamentą, ir išaiškinti, kas yra pakankamai tiesioginis ryšys tarp teisinės valstybės principų pažeidimų ir ES finansinių interesų, taip pat nustatyti biudžeto ir taisomųjų priemonių veiksmingumo vertinimo kriterijus, kaip to reikalauja Europos Audito Rūmai; ragina Komisiją sistemingai nustatyti, įvertinti ir dokumentais pagrįsti, kaip pagal Sąlygų reglamentą buvo atsižvelgta į teisinės valstybės principo taikymą visose valstybėse narėse; primena, kad bet koks pasiūlymas panaikinti biudžetines priemones turėtų būti pagrįstas patikima, išsamia ir naujausia informacija;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valstybes nares </w:t>
            </w:r>
            <w:r w:rsidRPr="002C61E4">
              <w:rPr>
                <w:b/>
                <w:bCs/>
                <w:i/>
                <w:iCs/>
              </w:rPr>
              <w:t>susilaikyti nuo pernelyg dažno paspartintų procedūrų naudojimo</w:t>
            </w:r>
            <w:r w:rsidRPr="002C61E4">
              <w:t xml:space="preserve">, nes jos </w:t>
            </w:r>
            <w:r w:rsidRPr="002C61E4">
              <w:rPr>
                <w:b/>
                <w:bCs/>
                <w:i/>
                <w:iCs/>
              </w:rPr>
              <w:t>daro</w:t>
            </w:r>
            <w:r w:rsidRPr="002C61E4">
              <w:t xml:space="preserve"> neigiamą poveikį teisėkūros kokybei ir demokratijai; ragina 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r>
            <w:r w:rsidRPr="002C61E4">
              <w:rPr>
                <w:b/>
                <w:bCs/>
                <w:i/>
                <w:iCs/>
              </w:rPr>
              <w:t>atsižvelgdamas į didžiulį iššūkių ir grėsmių mastą,</w:t>
            </w:r>
            <w:r w:rsidRPr="002C61E4">
              <w:t xml:space="preserve"> ragina valstybes nares </w:t>
            </w:r>
            <w:r w:rsidRPr="002C61E4">
              <w:rPr>
                <w:b/>
                <w:bCs/>
                <w:i/>
                <w:iCs/>
              </w:rPr>
              <w:t>apdairiai naudotis paspartintomis procedūromis</w:t>
            </w:r>
            <w:r w:rsidRPr="002C61E4">
              <w:t xml:space="preserve">, nes jos </w:t>
            </w:r>
            <w:r w:rsidRPr="002C61E4">
              <w:rPr>
                <w:b/>
                <w:bCs/>
                <w:i/>
                <w:iCs/>
              </w:rPr>
              <w:t>gali turėti</w:t>
            </w:r>
            <w:r w:rsidRPr="002C61E4">
              <w:t xml:space="preserve"> neigiamą poveikį teisėkūros kokybei ir demokratijai; ragina valstybes nares po sistemingų konsultacijų su įvairiais suinteresuotaisiais subjektais nustatyti skaidrius teisėkūros procesus</w:t>
            </w:r>
            <w:r w:rsidRPr="002C61E4">
              <w:rPr>
                <w:b/>
                <w:bCs/>
                <w:i/>
                <w:iCs/>
              </w:rPr>
              <w:t>, visapusiškai laikantis skaidrumo principo bei atsižvelgiant į valstybių narių interesus ir bendrąją gerovę</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 naudojimo, nes jos daro neigiamą poveikį teisėkūros kokybei ir demokratijai; ragina 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w:t>
            </w:r>
            <w:r w:rsidRPr="002C61E4">
              <w:rPr>
                <w:b/>
                <w:bCs/>
                <w:i/>
                <w:iCs/>
              </w:rPr>
              <w:t>, kuriomis apeinamos konsultacijos su suinteresuotaisiais subjektais, įskaitant parlamentinį ir pilietinės visuomenės tikrinimą</w:t>
            </w:r>
            <w:r w:rsidRPr="002C61E4">
              <w:t xml:space="preserve"> naudojimo, nes jos daro neigiamą poveikį teisėkūros kokybei ir demokratijai; ragina valstybes nares po sistemingų konsultacijų su įvairiais suinteresuotaisiais subjektais nustatyti skaidrius teisėkūros procesus;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 naudojimo</w:t>
            </w:r>
            <w:r w:rsidRPr="002C61E4">
              <w:rPr>
                <w:b/>
                <w:bCs/>
                <w:i/>
                <w:iCs/>
              </w:rPr>
              <w:t>, nes jos daro neigiamą poveikį teisėkūros kokybei ir demokratijai</w:t>
            </w:r>
            <w:r w:rsidRPr="002C61E4">
              <w:t xml:space="preserve">; </w:t>
            </w:r>
            <w:r w:rsidRPr="002C61E4">
              <w:rPr>
                <w:b/>
                <w:i/>
              </w:rPr>
              <w:t>ragina 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valstybes nares susilaikyti nuo pernelyg dažno paspartintų procedūrų naudojimo </w:t>
            </w:r>
            <w:r w:rsidRPr="002C61E4">
              <w:rPr>
                <w:b/>
                <w:bCs/>
                <w:i/>
                <w:iCs/>
              </w:rPr>
              <w:t>kaip taisyklės priimant teisės aktus</w:t>
            </w:r>
            <w:r w:rsidRPr="002C61E4">
              <w:t>;</w:t>
            </w:r>
            <w:r w:rsidRPr="002C61E4">
              <w:rPr>
                <w:b/>
                <w:i/>
              </w:rPr>
              <w:t xml:space="preserve"> </w:t>
            </w:r>
            <w:r w:rsidRPr="002C61E4">
              <w:rPr>
                <w:b/>
                <w:bCs/>
                <w:i/>
                <w:iCs/>
              </w:rPr>
              <w:t>visapusiškai gerbia valstybių narių teisę savo nuožiūra koreguoti teisės aktų priėmimo procedūras;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Javier Zarzalejos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 naudojimo, nes jos daro neigiamą poveikį teisėkūros kokybei ir demokratijai; ragina 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valstybes nares susilaikyti nuo pernelyg dažno paspartintų procedūrų naudojimo, nes jos daro neigiamą poveikį teisėkūros kokybei ir demokratijai; ragina valstybes nares po sistemingų konsultacijų su įvairiais suinteresuotaisiais subjektais </w:t>
            </w:r>
            <w:r w:rsidRPr="002C61E4">
              <w:rPr>
                <w:b/>
                <w:bCs/>
                <w:i/>
                <w:iCs/>
              </w:rPr>
              <w:t xml:space="preserve">ir patariamaisiais organais </w:t>
            </w:r>
            <w:r w:rsidRPr="002C61E4">
              <w:t>nustatyti skaidrius teisėkūros procesus;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Fabienne Keller, Lucia Yar, Irena Joveva, Daniel Freund</w:t>
      </w:r>
      <w:r w:rsidRPr="002C61E4">
        <w:rPr>
          <w:rStyle w:val="HideTWBExt"/>
          <w:b w:val="0"/>
        </w:rPr>
        <w:t>&lt;/Members&gt;</w:t>
      </w:r>
    </w:p>
    <w:p w:rsidR="00E82389" w:rsidRPr="002C61E4" w:rsidRDefault="00E82389" w:rsidP="00E82389">
      <w:r w:rsidRPr="002C61E4">
        <w:rPr>
          <w:rStyle w:val="HideTWBExt"/>
        </w:rPr>
        <w:lastRenderedPageBreak/>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 naudojimo, nes jos daro neigiamą poveikį teisėkūros kokybei ir demokratijai; ragina 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valstybes nares susilaikyti nuo pernelyg dažno paspartintų procedūrų </w:t>
            </w:r>
            <w:r w:rsidRPr="002C61E4">
              <w:rPr>
                <w:b/>
                <w:bCs/>
                <w:i/>
                <w:iCs/>
              </w:rPr>
              <w:t xml:space="preserve">ar nepaprastųjų dekretų </w:t>
            </w:r>
            <w:r w:rsidRPr="002C61E4">
              <w:t xml:space="preserve">naudojimo, nes jos daro neigiamą poveikį teisėkūros </w:t>
            </w:r>
            <w:r w:rsidRPr="002C61E4">
              <w:rPr>
                <w:b/>
                <w:bCs/>
                <w:i/>
                <w:iCs/>
              </w:rPr>
              <w:t xml:space="preserve">stabilumui ir </w:t>
            </w:r>
            <w:r w:rsidRPr="002C61E4">
              <w:t>kokybei ir demokratijai; ragina valstybes nares po sistemingų konsultacijų su įvairiais suinteresuotaisiais subjektais nustatyti skaidrius teisėkūros procesus;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Jorge Buxadé Villalba, Tom Vandendriessche,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 naudojimo, nes jos daro neigiamą poveikį teisėkūros kokybei ir demokratijai; ragina 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w:t>
            </w:r>
            <w:r w:rsidRPr="002C61E4">
              <w:rPr>
                <w:b/>
                <w:bCs/>
                <w:i/>
                <w:iCs/>
              </w:rPr>
              <w:t xml:space="preserve">Komisiją ir </w:t>
            </w:r>
            <w:r w:rsidRPr="002C61E4">
              <w:t xml:space="preserve">valstybes nares susilaikyti nuo pernelyg dažno paspartintų procedūrų naudojimo, nes jos daro neigiamą poveikį teisėkūros kokybei ir demokratijai; ragina </w:t>
            </w:r>
            <w:r w:rsidRPr="002C61E4">
              <w:rPr>
                <w:b/>
                <w:bCs/>
                <w:i/>
                <w:iCs/>
              </w:rPr>
              <w:t xml:space="preserve">Komisiją ir </w:t>
            </w:r>
            <w:r w:rsidRPr="002C61E4">
              <w:t>valstybes nares po sistemingų konsultacijų su įvairiais suinteresuotaisiais subjektais nustatyti skaidrius teisėkūros procesus;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valstybes nares susilaikyti nuo pernelyg dažno paspartintų procedūrų naudojimo, nes jos daro neigiamą poveikį teisėkūros kokybei ir demokratijai; ragina valstybes nares </w:t>
            </w:r>
            <w:r w:rsidRPr="002C61E4">
              <w:rPr>
                <w:b/>
                <w:i/>
              </w:rPr>
              <w:t>po sistemingų konsultacijų su įvairiais suinteresuotaisiais subjektais</w:t>
            </w:r>
            <w:r w:rsidRPr="002C61E4">
              <w:t xml:space="preserve">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 naudojimo, nes jos daro neigiamą poveikį teisėkūros kokybei ir demokratijai; ragina valstybes nares nustatyti skaidrius teisėkūros procesus;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ragina valstybes nares susilaikyti nuo pernelyg dažno paspartintų procedūrų naudojimo, nes jos daro neigiamą poveikį teisėkūros kokybei ir demokratijai; ragina 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valstybes nares susilaikyti nuo pernelyg dažno paspartintų procedūrų </w:t>
            </w:r>
            <w:r w:rsidRPr="002C61E4">
              <w:rPr>
                <w:b/>
                <w:bCs/>
                <w:i/>
                <w:iCs/>
              </w:rPr>
              <w:t xml:space="preserve">ir nepaprastosios padėties įgaliojimų </w:t>
            </w:r>
            <w:r w:rsidRPr="002C61E4">
              <w:t>naudojimo, nes jos daro neigiamą poveikį teisėkūros kokybei ir demokratijai; ragina valstybes nares po sistemingų konsultacijų su įvairiais suinteresuotaisiais subjektais nustatyti skaidrius teisėkūros procesus;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559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23.</w:t>
            </w:r>
            <w:r w:rsidRPr="002C61E4">
              <w:tab/>
              <w:t xml:space="preserve">ragina valstybes nares susilaikyti nuo pernelyg dažno paspartintų procedūrų naudojimo, nes jos daro neigiamą poveikį teisėkūros kokybei ir demokratijai; ragina </w:t>
            </w:r>
            <w:r w:rsidRPr="002C61E4">
              <w:lastRenderedPageBreak/>
              <w:t>valstybes nares po sistemingų konsultacijų su įvairiais suinteresuotaisiais subjektais nustatyti skaidrius teisėkūros procesus;</w:t>
            </w:r>
          </w:p>
        </w:tc>
        <w:tc>
          <w:tcPr>
            <w:tcW w:w="4876" w:type="dxa"/>
            <w:tcBorders>
              <w:top w:val="nil"/>
              <w:left w:val="nil"/>
              <w:bottom w:val="nil"/>
              <w:right w:val="nil"/>
            </w:tcBorders>
          </w:tcPr>
          <w:p w:rsidR="00E82389" w:rsidRPr="002C61E4" w:rsidRDefault="00E82389" w:rsidP="003B0113">
            <w:pPr>
              <w:pStyle w:val="Normal6a"/>
            </w:pPr>
            <w:r w:rsidRPr="002C61E4">
              <w:lastRenderedPageBreak/>
              <w:t>23.</w:t>
            </w:r>
            <w:r w:rsidRPr="002C61E4">
              <w:tab/>
              <w:t xml:space="preserve">ragina valstybes nares susilaikyti nuo pernelyg dažno paspartintų procedūrų naudojimo, nes jos daro neigiamą poveikį teisėkūros kokybei ir demokratijai; ragina </w:t>
            </w:r>
            <w:r w:rsidRPr="002C61E4">
              <w:lastRenderedPageBreak/>
              <w:t xml:space="preserve">valstybes nares po sistemingų </w:t>
            </w:r>
            <w:r w:rsidRPr="002C61E4">
              <w:rPr>
                <w:b/>
                <w:bCs/>
                <w:i/>
                <w:iCs/>
              </w:rPr>
              <w:t xml:space="preserve">ir viešų </w:t>
            </w:r>
            <w:r w:rsidRPr="002C61E4">
              <w:t>konsultacijų su įvairiais suinteresuotaisiais subjektais nustatyti skaidrius teisėkūros procesus;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Jorge Buxadé Villalba, Tom Vandendriessche,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23a.</w:t>
            </w:r>
            <w:r w:rsidRPr="002C61E4">
              <w:tab/>
            </w:r>
            <w:r w:rsidRPr="002C61E4">
              <w:rPr>
                <w:b/>
                <w:i/>
              </w:rPr>
              <w:t>primena, kad, remiantis gero valdymo principais, reikalaujama, kad Komisija prieš pradėdama vykdyti teisėkūros iniciatyvą atliktų poveikio vertinimą, kurio tikslas – įvertinti galimas siūlomo teisės akto ekonomines, socialines ir aplinkosaugines pasekmes; šiuo atžvilgiu apgailestauja, kad Komisija vis dažniau nusprendžia neatlikti poveikio vertinimo, motyvuodama skuba arba „pasiūlymo pobūdžiu“, kaip matyti iš naujausių pavyzdžių, kaip antai Ekonomikos gaivinimo ir atsparumo didinimo priemonės, laikinąją valstybės pagalbos sistemą, tam tikras muitinės ir pasienio kontrolės priemones dėl „Brexit’o“, Europos skaitmeninės tapatybės reglamentą ir Moldovos Respublikai skirtą reformų ir augimo priemonę; smerkia Komisiją už tai, kad ji vis dažniau neatlieka teisėkūros pasiūlymų poveikio vertinimų;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23a.</w:t>
            </w:r>
            <w:r w:rsidRPr="002C61E4">
              <w:tab/>
            </w:r>
            <w:r w:rsidRPr="002C61E4">
              <w:rPr>
                <w:b/>
                <w:i/>
              </w:rPr>
              <w:t>mano, kad teisminė ir parlamentinė vyriausybės ir jos atstovų kontrolė yra gyvybiškai svarbi teisinei valstybei ir demokratijai, ypač vadinamųjų specialiųjų tarnybų, kurių veikla paprastai laikoma paslaptyje, atžvilgiu; pabrėžia, kad valstybės saugumo ir žvalgybos tarnybos, kurių poreikis negali kelti abejonių, vis dėlto neturi tapti „valstybe valstybėje“, kuriai netaikoma atsakomybė už veiksmus, nes toks atsakomybės nebuvimas lemia pavojingą nebaudžiamumo kultūrą, kuri kenkia patiems demokratinių institucijų pagrindams; šiuo atžvilgiu smerkia tai, kad Ispanijoje vis dar galioja iki konstitucinis Valstybės paslapčių įstatymas;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Emma Rafowicz, Alessandro Zan, Birgit Sippel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23a.</w:t>
            </w:r>
            <w:r w:rsidRPr="002C61E4">
              <w:tab/>
            </w:r>
            <w:r w:rsidRPr="002C61E4">
              <w:rPr>
                <w:b/>
                <w:i/>
              </w:rPr>
              <w:t>reiškia susirūpinimą dėl to, kad valstybių narių vyriausybės vis dažniau naudoja žurnalistų, aktyvistų, opozicijos veikėjų ir Europos institucijų darbuotojų sekimo technologijas; ragina visoje ES griežtai reglamentuoti šnipinėjimo programų ir kitų intervencinio sekimo priemonių naudojimą;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563</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David Casa, Chloé Ridel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23a.</w:t>
            </w:r>
            <w:r w:rsidRPr="002C61E4">
              <w:tab/>
            </w:r>
            <w:r w:rsidRPr="002C61E4">
              <w:rPr>
                <w:b/>
                <w:i/>
              </w:rPr>
              <w:t>ragina Komisiją proaktyviai stebėti ir greitai reaguoti į pavojų, kad teisinės valstybės padėtis gali blogėti teismų nepriklausomumo ir teisės kreiptis į teismą srityse, laikantis nekintamumo principo, kaip išaiškinta naujausioje ESTT jurisprudencijoje;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23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23a.</w:t>
            </w:r>
            <w:r w:rsidRPr="002C61E4">
              <w:tab/>
            </w:r>
            <w:r w:rsidRPr="002C61E4">
              <w:rPr>
                <w:b/>
                <w:i/>
              </w:rPr>
              <w:t>ragina nacionalines vyriausybes ir parlamentus skelbti viešai prieinamus kiekvieno svarbaus pasiūlymo dėl teisėkūros procedūra priimamo akto poveikio vertinimus ir konsultacijų išvadas;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24.</w:t>
            </w:r>
            <w:r w:rsidRPr="002C61E4">
              <w:tab/>
            </w:r>
            <w:r w:rsidRPr="002C61E4">
              <w:rPr>
                <w:b/>
                <w:i/>
              </w:rPr>
              <w:t xml:space="preserve">ragina valstybes nares stiprinti nacionalinių priežiūros institucijų </w:t>
            </w:r>
            <w:r w:rsidRPr="002C61E4">
              <w:rPr>
                <w:b/>
                <w:i/>
              </w:rPr>
              <w:lastRenderedPageBreak/>
              <w:t>nepriklausomumą, užtikrinant joms reikiamų išteklių skyrimą ir laisvę nuo politinio kišimosi; pabrėžia pilietinės visuomenės ir žmogaus teisių gynėjų svarbą skatinant atskaitomybę ir apsaugant pagrindines teises; apgailestauja dėl pilietinės visuomenės veiklos apribojimų;</w:t>
            </w:r>
          </w:p>
        </w:tc>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Fabienne Keller, Lucia Yar, Irena Joveva</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24.</w:t>
            </w:r>
            <w:r w:rsidRPr="002C61E4">
              <w:tab/>
            </w:r>
            <w:r w:rsidRPr="002C61E4">
              <w:rPr>
                <w:b/>
                <w:i/>
              </w:rPr>
              <w:t>ragina valstybes nares stiprinti nacionalinių priežiūros institucijų nepriklausomumą, užtikrinant joms reikiamų išteklių skyrimą ir laisvę nuo politinio kišimosi; pabrėžia pilietinės visuomenės ir žmogaus teisių gynėjų svarbą skatinant atskaitomybę ir apsaugant pagrindines teises; apgailestauja dėl pilietinės visuomenės veiklos apribojimų;</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24.</w:t>
            </w:r>
            <w:r w:rsidRPr="002C61E4">
              <w:tab/>
              <w:t xml:space="preserve">ragina valstybes nares stiprinti nacionalinių priežiūros institucijų </w:t>
            </w:r>
            <w:r w:rsidRPr="002C61E4">
              <w:lastRenderedPageBreak/>
              <w:t>nepriklausomumą, užtikrinant joms reikiamų išteklių skyrimą ir laisvę nuo politinio kišimosi</w:t>
            </w:r>
            <w:r w:rsidRPr="002C61E4">
              <w:rPr>
                <w:b/>
                <w:bCs/>
                <w:i/>
                <w:iCs/>
              </w:rPr>
              <w:t>;</w:t>
            </w:r>
            <w:r w:rsidRPr="002C61E4">
              <w:t xml:space="preserve"> </w:t>
            </w:r>
            <w:r w:rsidRPr="002C61E4">
              <w:rPr>
                <w:b/>
                <w:i/>
              </w:rPr>
              <w:t>pabrėžia pilietinės visuomenės ir žmogaus teisių gynėjų svarbą skatinant atskaitomybę ir apsaugant pagrindines teises; apgailestauja dėl pilietinės visuomenės veiklos apribojimų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lastRenderedPageBreak/>
              <w:t>24.</w:t>
            </w:r>
            <w:r w:rsidRPr="002C61E4">
              <w:tab/>
              <w:t xml:space="preserve">ragina valstybes nares stiprinti nacionalinių priežiūros institucijų </w:t>
            </w:r>
            <w:r w:rsidRPr="002C61E4">
              <w:lastRenderedPageBreak/>
              <w:t>nepriklausomumą, užtikrinant joms reikiamų išteklių skyrimą ir laisvę nuo politinio kišimosi;</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Tom Vandendriessche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24.</w:t>
            </w:r>
            <w:r w:rsidRPr="002C61E4">
              <w:tab/>
              <w:t xml:space="preserve">ragina valstybes nares stiprinti nacionalinių priežiūros institucijų nepriklausomumą, užtikrinant joms reikiamų išteklių skyrimą ir laisvę nuo politinio kišimosi; pabrėžia pilietinės visuomenės ir žmogaus teisių gynėjų svarbą skatinant atskaitomybę ir apsaugant pagrindines teises; </w:t>
            </w:r>
            <w:r w:rsidRPr="002C61E4">
              <w:rPr>
                <w:b/>
                <w:bCs/>
                <w:i/>
                <w:iCs/>
              </w:rPr>
              <w:t>apgailestauja dėl</w:t>
            </w:r>
            <w:r w:rsidRPr="002C61E4">
              <w:t xml:space="preserve"> pilietinės visuomenės veiklos </w:t>
            </w:r>
            <w:r w:rsidRPr="002C61E4">
              <w:rPr>
                <w:b/>
                <w:bCs/>
                <w:i/>
                <w:iCs/>
              </w:rPr>
              <w:t>apribojimų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24.</w:t>
            </w:r>
            <w:r w:rsidRPr="002C61E4">
              <w:tab/>
              <w:t xml:space="preserve">ragina </w:t>
            </w:r>
            <w:r w:rsidRPr="002C61E4">
              <w:rPr>
                <w:b/>
                <w:bCs/>
                <w:i/>
                <w:iCs/>
              </w:rPr>
              <w:t xml:space="preserve">Komisiją ir </w:t>
            </w:r>
            <w:r w:rsidRPr="002C61E4">
              <w:t xml:space="preserve">valstybes nares stiprinti nacionalinių </w:t>
            </w:r>
            <w:r w:rsidRPr="002C61E4">
              <w:rPr>
                <w:b/>
                <w:bCs/>
                <w:i/>
                <w:iCs/>
              </w:rPr>
              <w:t xml:space="preserve">ir ES </w:t>
            </w:r>
            <w:r w:rsidRPr="002C61E4">
              <w:t xml:space="preserve">priežiūros institucijų nepriklausomumą, užtikrinant joms reikiamų išteklių skyrimą ir laisvę nuo politinio kišimosi; pabrėžia pilietinės visuomenės ir žmogaus teisių gynėjų svarbą skatinant atskaitomybę ir apsaugant pagrindines teises; </w:t>
            </w:r>
            <w:r w:rsidRPr="002C61E4">
              <w:rPr>
                <w:b/>
                <w:bCs/>
                <w:i/>
                <w:iCs/>
              </w:rPr>
              <w:t>ragina valstybes nares tinkamai suderinti teisėtą</w:t>
            </w:r>
            <w:r w:rsidRPr="002C61E4">
              <w:t xml:space="preserve"> pilietinės visuomenės veiklos </w:t>
            </w:r>
            <w:r w:rsidRPr="002C61E4">
              <w:rPr>
                <w:b/>
                <w:bCs/>
                <w:i/>
                <w:iCs/>
              </w:rPr>
              <w:t>reguliavimą, pavyzdžiui, finansinio skaidrumo reikalavimus, su šių organizacijų laisve laisvai veikti demokratinėse diskusijose</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569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24.</w:t>
            </w:r>
            <w:r w:rsidRPr="002C61E4">
              <w:tab/>
              <w:t xml:space="preserve">ragina </w:t>
            </w:r>
            <w:r w:rsidRPr="002C61E4">
              <w:rPr>
                <w:b/>
                <w:bCs/>
                <w:i/>
                <w:iCs/>
              </w:rPr>
              <w:t>valstybes nares</w:t>
            </w:r>
            <w:r w:rsidRPr="002C61E4">
              <w:t xml:space="preserve"> stiprinti </w:t>
            </w:r>
            <w:r w:rsidRPr="002C61E4">
              <w:rPr>
                <w:b/>
                <w:bCs/>
                <w:i/>
                <w:iCs/>
              </w:rPr>
              <w:t>nacionalinių</w:t>
            </w:r>
            <w:r w:rsidRPr="002C61E4">
              <w:t xml:space="preserve"> priežiūros institucijų </w:t>
            </w:r>
            <w:r w:rsidRPr="002C61E4">
              <w:lastRenderedPageBreak/>
              <w:t xml:space="preserve">nepriklausomumą, užtikrinant joms reikiamų išteklių skyrimą ir laisvę nuo politinio kišimosi; </w:t>
            </w:r>
            <w:r w:rsidRPr="002C61E4">
              <w:rPr>
                <w:b/>
                <w:i/>
              </w:rPr>
              <w:t>pabrėžia pilietinės visuomenės ir žmogaus teisių gynėjų svarbą skatinant atskaitomybę ir apsaugant pagrindines teises; apgailestauja dėl pilietinės visuomenės veiklos apribojimų;</w:t>
            </w:r>
          </w:p>
        </w:tc>
        <w:tc>
          <w:tcPr>
            <w:tcW w:w="4876" w:type="dxa"/>
            <w:tcBorders>
              <w:top w:val="nil"/>
              <w:left w:val="nil"/>
              <w:bottom w:val="nil"/>
              <w:right w:val="nil"/>
            </w:tcBorders>
          </w:tcPr>
          <w:p w:rsidR="00E82389" w:rsidRPr="002C61E4" w:rsidRDefault="00E82389" w:rsidP="003B0113">
            <w:pPr>
              <w:pStyle w:val="Normal6a"/>
            </w:pPr>
            <w:r w:rsidRPr="002C61E4">
              <w:lastRenderedPageBreak/>
              <w:t>24.</w:t>
            </w:r>
            <w:r w:rsidRPr="002C61E4">
              <w:tab/>
              <w:t xml:space="preserve">ragina </w:t>
            </w:r>
            <w:r w:rsidRPr="002C61E4">
              <w:rPr>
                <w:b/>
                <w:bCs/>
                <w:i/>
                <w:iCs/>
              </w:rPr>
              <w:t>Komisiją</w:t>
            </w:r>
            <w:r w:rsidRPr="002C61E4">
              <w:t xml:space="preserve"> stiprinti </w:t>
            </w:r>
            <w:r w:rsidRPr="002C61E4">
              <w:rPr>
                <w:b/>
                <w:bCs/>
                <w:i/>
                <w:iCs/>
              </w:rPr>
              <w:t>savo</w:t>
            </w:r>
            <w:r w:rsidRPr="002C61E4">
              <w:t xml:space="preserve"> priežiūros institucijų nepriklausomumą, </w:t>
            </w:r>
            <w:r w:rsidRPr="002C61E4">
              <w:lastRenderedPageBreak/>
              <w:t>užtikrinant joms reikiamų išteklių skyrimą ir laisvę nuo politinio kišimosi; </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24.</w:t>
            </w:r>
            <w:r w:rsidRPr="002C61E4">
              <w:tab/>
              <w:t xml:space="preserve">ragina valstybes nares stiprinti nacionalinių priežiūros institucijų nepriklausomumą, užtikrinant joms reikiamų išteklių skyrimą ir laisvę nuo politinio kišimosi; </w:t>
            </w:r>
            <w:r w:rsidRPr="002C61E4">
              <w:rPr>
                <w:b/>
                <w:i/>
              </w:rPr>
              <w:t>pabrėžia pilietinės visuomenės ir žmogaus teisių gynėjų svarbą skatinant atskaitomybę ir apsaugant pagrindines teises; apgailestauja dėl pilietinės visuomenės veiklos apribojimų;</w:t>
            </w:r>
          </w:p>
        </w:tc>
        <w:tc>
          <w:tcPr>
            <w:tcW w:w="4876" w:type="dxa"/>
            <w:tcBorders>
              <w:top w:val="nil"/>
              <w:left w:val="nil"/>
              <w:bottom w:val="nil"/>
              <w:right w:val="nil"/>
            </w:tcBorders>
          </w:tcPr>
          <w:p w:rsidR="00E82389" w:rsidRPr="002C61E4" w:rsidRDefault="00E82389" w:rsidP="003B0113">
            <w:pPr>
              <w:pStyle w:val="Normal6a"/>
            </w:pPr>
            <w:r w:rsidRPr="002C61E4">
              <w:t>24.</w:t>
            </w:r>
            <w:r w:rsidRPr="002C61E4">
              <w:tab/>
              <w:t>ragina valstybes nares stiprinti nacionalinių priežiūros institucijų nepriklausomumą, užtikrinant joms reikiamų išteklių skyrimą ir laisvę nuo politinio kišimosi;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24.</w:t>
            </w:r>
            <w:r w:rsidRPr="002C61E4">
              <w:tab/>
              <w:t xml:space="preserve">ragina valstybes nares stiprinti nacionalinių priežiūros institucijų nepriklausomumą, užtikrinant joms reikiamų išteklių skyrimą ir laisvę nuo politinio kišimosi; </w:t>
            </w:r>
            <w:r w:rsidRPr="002C61E4">
              <w:rPr>
                <w:b/>
                <w:i/>
              </w:rPr>
              <w:t xml:space="preserve">pabrėžia pilietinės </w:t>
            </w:r>
            <w:r w:rsidRPr="002C61E4">
              <w:rPr>
                <w:b/>
                <w:i/>
              </w:rPr>
              <w:lastRenderedPageBreak/>
              <w:t>visuomenės ir žmogaus teisių gynėjų svarbą skatinant atskaitomybę ir apsaugant pagrindines teises; apgailestauja dėl pilietinės visuomenės veiklos apribojimų;</w:t>
            </w:r>
          </w:p>
        </w:tc>
        <w:tc>
          <w:tcPr>
            <w:tcW w:w="4876" w:type="dxa"/>
            <w:tcBorders>
              <w:top w:val="nil"/>
              <w:left w:val="nil"/>
              <w:bottom w:val="nil"/>
              <w:right w:val="nil"/>
            </w:tcBorders>
          </w:tcPr>
          <w:p w:rsidR="00E82389" w:rsidRPr="002C61E4" w:rsidRDefault="00E82389" w:rsidP="003B0113">
            <w:pPr>
              <w:pStyle w:val="Normal6a"/>
            </w:pPr>
            <w:r w:rsidRPr="002C61E4">
              <w:lastRenderedPageBreak/>
              <w:t>24.</w:t>
            </w:r>
            <w:r w:rsidRPr="002C61E4">
              <w:tab/>
              <w:t>ragina valstybes nares stiprinti nacionalinių priežiūros institucijų nepriklausomumą, užtikrinant joms reikiamų išteklių skyrimą ir laisvę nuo politinio kišimosi;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24.</w:t>
            </w:r>
            <w:r w:rsidRPr="002C61E4">
              <w:tab/>
              <w:t xml:space="preserve">ragina valstybes nares stiprinti nacionalinių priežiūros institucijų nepriklausomumą, užtikrinant joms reikiamų išteklių skyrimą ir laisvę nuo politinio kišimosi; pabrėžia pilietinės visuomenės </w:t>
            </w:r>
            <w:r w:rsidRPr="002C61E4">
              <w:rPr>
                <w:b/>
                <w:bCs/>
                <w:i/>
                <w:iCs/>
              </w:rPr>
              <w:t>ir</w:t>
            </w:r>
            <w:r w:rsidRPr="002C61E4">
              <w:t xml:space="preserve"> žmogaus teisių gynėjų svarbą skatinant atskaitomybę ir apsaugant pagrindines teises; apgailestauja dėl pilietinės visuomenės veiklos apribojimų;</w:t>
            </w:r>
          </w:p>
        </w:tc>
        <w:tc>
          <w:tcPr>
            <w:tcW w:w="4876" w:type="dxa"/>
            <w:tcBorders>
              <w:top w:val="nil"/>
              <w:left w:val="nil"/>
              <w:bottom w:val="nil"/>
              <w:right w:val="nil"/>
            </w:tcBorders>
          </w:tcPr>
          <w:p w:rsidR="00E82389" w:rsidRPr="002C61E4" w:rsidRDefault="00E82389" w:rsidP="003B0113">
            <w:pPr>
              <w:pStyle w:val="Normal6a"/>
            </w:pPr>
            <w:r w:rsidRPr="002C61E4">
              <w:t>24.</w:t>
            </w:r>
            <w:r w:rsidRPr="002C61E4">
              <w:tab/>
              <w:t>ragina valstybes nares stiprinti nacionalinių priežiūros institucijų nepriklausomumą, užtikrinant joms reikiamų išteklių skyrimą ir laisvę nuo politinio kišimosi; pabrėžia pilietinės visuomenės</w:t>
            </w:r>
            <w:r w:rsidRPr="002C61E4">
              <w:rPr>
                <w:b/>
                <w:bCs/>
                <w:i/>
                <w:iCs/>
              </w:rPr>
              <w:t>, pliuralistinės žiniasklaidos, taip pat</w:t>
            </w:r>
            <w:r w:rsidRPr="002C61E4">
              <w:t xml:space="preserve"> žmogaus teisių gynėjų svarbą skatinant atskaitomybę ir apsaugant pagrindines teises; apgailestauja dėl pilietinės visuomenės veiklos apribojimų</w:t>
            </w:r>
            <w:r w:rsidRPr="002C61E4">
              <w:rPr>
                <w:b/>
                <w:bCs/>
                <w:i/>
                <w:iCs/>
              </w:rPr>
              <w:t xml:space="preserve"> lengvatinio liberalių ir kairiųjų organizacijų finansavimo</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Zan, Cecilia Strada, Sandro Ruotolo, Pina Picierno, Marco Tarquinio</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24a.</w:t>
            </w:r>
            <w:r w:rsidRPr="002C61E4">
              <w:tab/>
            </w:r>
            <w:r w:rsidRPr="002C61E4">
              <w:rPr>
                <w:b/>
                <w:i/>
              </w:rPr>
              <w:t xml:space="preserve">pabrėžia, kad svarbu užtikrinti valdžių pasidalijimą ir stabilią institucinę struktūrą kiekvienoje valstybėje narėje; reiškia susirūpinimą dėl Italijos konstitucinės reformos pasiūlymo, kuriuo </w:t>
            </w:r>
            <w:r w:rsidRPr="002C61E4">
              <w:rPr>
                <w:b/>
                <w:i/>
              </w:rPr>
              <w:lastRenderedPageBreak/>
              <w:t>nustatoma nauja tiesioginių ministro pirmininko rinkimų procedūra, kaip jau pažymėta Komisijos 2024 m. teisinės valstybės principo taikymo ataskaitoje;</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Nikola Minchev, Moritz Körner, Hilde Vautmans, Veronika Cifrová Ostrihoňová, Chloé Ridel, Abir Al-Sahlani, Alessandro Zan,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24a.</w:t>
            </w:r>
            <w:r w:rsidRPr="002C61E4">
              <w:tab/>
            </w:r>
            <w:r w:rsidRPr="002C61E4">
              <w:rPr>
                <w:b/>
                <w:i/>
              </w:rPr>
              <w:t>ragina Komisiją nustatyti konkretų terminą, rodiklius, tikslus ir išsamius veiksmus, skirtus jos teisinės valstybės principo taikymo ataskaitoje pateiktoms rekomendacijoms įgyvendinti, ir nurodyti galimas pasekmes, jei rekomendacijų nebus laikomasi; ragina įtraukti daugiametę teisinės valstybės klausimų apžvalgą;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Jorge Buxadé Villalba, Tom Vandendriessche,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24a.</w:t>
            </w:r>
            <w:r w:rsidRPr="002C61E4">
              <w:tab/>
            </w:r>
            <w:r w:rsidRPr="002C61E4">
              <w:rPr>
                <w:b/>
                <w:i/>
              </w:rPr>
              <w:t xml:space="preserve">nekantriai laukia 2024 m. gegužės 14 d. Komisijos paskelbto jos finansinės paramos su Musulmonų brolija susijusioms asociacijoms, įskaitant organizaciją „Islamic Relief Worldwide“, kuri akivaizdžiai nesilaiko ES sutarties 2 </w:t>
            </w:r>
            <w:r w:rsidRPr="002C61E4">
              <w:rPr>
                <w:b/>
                <w:i/>
              </w:rPr>
              <w:lastRenderedPageBreak/>
              <w:t>straipsnyje įtvirtintų principų, tyrimo išvadų;</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Raquel García Hermida-Van Der Walle, Fabienne Keller, Sophie Wilmès, Moritz Körner,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24a.</w:t>
            </w:r>
            <w:r w:rsidRPr="002C61E4">
              <w:tab/>
            </w:r>
            <w:r w:rsidRPr="002C61E4">
              <w:rPr>
                <w:b/>
                <w:i/>
              </w:rPr>
              <w:t>reiškia didelį susirūpinimą dėl to, kad vis dar neatsakyta į daugelį klausimų, susijusių su šnipinėjimo programų naudojimu, be kita ko, prieš žurnalistus ir opozicijos politikus, nes tyrimai dar nebaigti, o nors kai kurie iš jų trunka daugiau kaip trejus metus;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577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Nikola Minchev, Moritz Körner, Hilde Vautmans, Veronika Cifrová Ostrihoňová, Chloé Ridel, Abir Al-Sahlani, Alessandro Zan,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24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24b.</w:t>
            </w:r>
            <w:r w:rsidRPr="002C61E4">
              <w:tab/>
            </w:r>
            <w:r w:rsidRPr="002C61E4">
              <w:rPr>
                <w:b/>
                <w:i/>
              </w:rPr>
              <w:t>apgailestauja, kad neįgyvendintos kai kurios 2023 m. teisinės valstybės principo taikymo ataskaitoje pateiktos rekomendacijos, ir ragina Komisiją imtis veiksmų šiai problemai spręsti;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578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25.</w:t>
            </w:r>
            <w:r w:rsidRPr="002C61E4">
              <w:tab/>
            </w:r>
            <w:r w:rsidRPr="002C61E4">
              <w:rPr>
                <w:b/>
                <w:i/>
              </w:rPr>
              <w:t>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b/>
                <w:i/>
                <w:vertAlign w:val="superscript"/>
              </w:rPr>
              <w:t>44</w:t>
            </w:r>
            <w:r w:rsidRPr="002C61E4">
              <w:rPr>
                <w:b/>
                <w:i/>
              </w:rPr>
              <w:t xml:space="preserve"> ir Skaitmeninių rinkų aktą</w:t>
            </w:r>
            <w:r w:rsidRPr="002C61E4">
              <w:rPr>
                <w:b/>
                <w:i/>
                <w:vertAlign w:val="superscript"/>
              </w:rPr>
              <w:t>45</w:t>
            </w:r>
            <w:r w:rsidRPr="002C61E4">
              <w:rPr>
                <w:b/>
                <w:i/>
              </w:rPr>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44</w:t>
            </w:r>
            <w:r w:rsidRPr="002C61E4">
              <w:rPr>
                <w:b/>
                <w:bCs/>
                <w:i/>
                <w:iCs/>
              </w:rPr>
              <w:t xml:space="preserve"> 2022 m. spalio 19 d. Europos Parlamento ir Tarybos reglamentas (ES) 2022/2065 dėl bendrosios skaitmeninių paslaugų rinkos, kuriuo iš dalies keičiama Direktyva 2000/31/EB (Skaitmeninių paslaugų aktas) (OL L 277, 2022 10 27, p. 1, ELI:</w:t>
            </w:r>
            <w:r w:rsidRPr="002C61E4">
              <w:rPr>
                <w:b/>
                <w:i/>
              </w:rPr>
              <w:t xml:space="preserve">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45</w:t>
            </w:r>
            <w:r w:rsidRPr="002C61E4">
              <w:rPr>
                <w:b/>
                <w:bCs/>
                <w:i/>
                <w:iCs/>
              </w:rPr>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w:t>
            </w:r>
            <w:r w:rsidRPr="002C61E4">
              <w:rPr>
                <w:b/>
                <w:i/>
              </w:rPr>
              <w:t xml:space="preserve">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579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w:t>
            </w:r>
            <w:r w:rsidRPr="002C61E4">
              <w:rPr>
                <w:b/>
                <w:bCs/>
                <w:i/>
                <w:iCs/>
              </w:rPr>
              <w:t>užsienio šalių</w:t>
            </w:r>
            <w:r w:rsidRPr="002C61E4">
              <w:t xml:space="preserve"> kišimosi </w:t>
            </w:r>
            <w:r w:rsidRPr="002C61E4">
              <w:rPr>
                <w:b/>
                <w:bCs/>
                <w:i/>
                <w:iCs/>
              </w:rPr>
              <w:t>veiklos, vykdomos valstybėse narėse, įskaitant manipuliavimą socialiniais tinklais ir dezinformaciją</w:t>
            </w:r>
            <w:r w:rsidRPr="002C61E4">
              <w:t>;</w:t>
            </w:r>
            <w:r w:rsidRPr="002C61E4">
              <w:rPr>
                <w:b/>
                <w:i/>
              </w:rPr>
              <w:t xml:space="preserve"> </w:t>
            </w:r>
            <w:r w:rsidRPr="002C61E4">
              <w:rPr>
                <w:b/>
                <w:bCs/>
                <w:i/>
                <w:iCs/>
              </w:rPr>
              <w:t>atkreipia dėmesį į nepriimtinas Elono Musko iniciatyvas naudotis</w:t>
            </w:r>
            <w:r w:rsidRPr="002C61E4">
              <w:t xml:space="preserve"> socialinės žiniasklaidos </w:t>
            </w:r>
            <w:r w:rsidRPr="002C61E4">
              <w:rPr>
                <w:b/>
                <w:bCs/>
                <w:i/>
                <w:iCs/>
              </w:rPr>
              <w:t>platformomis siekiant manipuliuoti visuomenės nuomone įvairiose valstybėse narėse</w:t>
            </w:r>
            <w:r w:rsidRPr="002C61E4">
              <w:t>; ragina Komisiją</w:t>
            </w:r>
            <w:r w:rsidRPr="002C61E4">
              <w:rPr>
                <w:b/>
                <w:bCs/>
                <w:i/>
                <w:iCs/>
              </w:rPr>
              <w:t xml:space="preserve"> ir valstybes nares tai stebėti ir taikyti Skaitmeninių paslaugų aktą</w:t>
            </w:r>
            <w:r w:rsidRPr="002C61E4">
              <w:rPr>
                <w:b/>
                <w:bCs/>
                <w:i/>
                <w:iCs/>
                <w:vertAlign w:val="superscript"/>
              </w:rPr>
              <w:t>44</w:t>
            </w:r>
            <w:r w:rsidRPr="002C61E4">
              <w:rPr>
                <w:b/>
                <w:bCs/>
                <w:i/>
                <w:iCs/>
              </w:rPr>
              <w:t xml:space="preserve"> ir Skaitmeninių rinkų aktą</w:t>
            </w:r>
            <w:r w:rsidRPr="002C61E4">
              <w:rPr>
                <w:b/>
                <w:bCs/>
                <w:i/>
                <w:iCs/>
                <w:vertAlign w:val="superscript"/>
              </w:rPr>
              <w:t>45</w:t>
            </w:r>
            <w:r w:rsidRPr="002C61E4">
              <w:rPr>
                <w:b/>
                <w:bCs/>
                <w:i/>
                <w:iCs/>
              </w:rPr>
              <w:t>, be kita ko, 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w:t>
            </w:r>
            <w:r w:rsidRPr="002C61E4">
              <w:rPr>
                <w:b/>
                <w:bCs/>
                <w:i/>
                <w:iCs/>
              </w:rPr>
              <w:t>Europos Parlamento ir Komisijos</w:t>
            </w:r>
            <w:r w:rsidRPr="002C61E4">
              <w:t xml:space="preserve"> kišimosi </w:t>
            </w:r>
            <w:r w:rsidRPr="002C61E4">
              <w:rPr>
                <w:b/>
                <w:bCs/>
                <w:i/>
                <w:iCs/>
              </w:rPr>
              <w:t>į valstybių narių vidaus reikalus</w:t>
            </w:r>
            <w:r w:rsidRPr="002C61E4">
              <w:t>;</w:t>
            </w:r>
            <w:r w:rsidRPr="002C61E4">
              <w:rPr>
                <w:b/>
                <w:i/>
              </w:rPr>
              <w:t xml:space="preserve"> primena, kad 2025 m. sausio 7 d. „Meta“ generalinis direktorius Mark Zuckerberg pripažino, kad „Facebook“ cenzūravo turinį politiniu pagrindu; </w:t>
            </w:r>
            <w:r w:rsidRPr="002C61E4">
              <w:rPr>
                <w:b/>
                <w:bCs/>
                <w:i/>
                <w:iCs/>
              </w:rPr>
              <w:t>palankiai vertina bendrovės „Meta“ pastangas skatinti žodžio laisvę savo</w:t>
            </w:r>
            <w:r w:rsidRPr="002C61E4">
              <w:t xml:space="preserve"> socialinės žiniasklaidos </w:t>
            </w:r>
            <w:r w:rsidRPr="002C61E4">
              <w:rPr>
                <w:b/>
                <w:bCs/>
                <w:i/>
                <w:iCs/>
              </w:rPr>
              <w:t>platformose</w:t>
            </w:r>
            <w:r w:rsidRPr="002C61E4">
              <w:t>;</w:t>
            </w:r>
            <w:r w:rsidRPr="002C61E4">
              <w:rPr>
                <w:b/>
                <w:i/>
              </w:rPr>
              <w:t xml:space="preserve"> </w:t>
            </w:r>
            <w:r w:rsidRPr="002C61E4">
              <w:rPr>
                <w:b/>
                <w:bCs/>
                <w:i/>
                <w:iCs/>
              </w:rPr>
              <w:t>apgailestauja dėl to, kad Europoje vis dar vykdoma politiškai šališka faktų patikra socialinės žiniasklaidos platformose;</w:t>
            </w:r>
            <w:r w:rsidRPr="002C61E4">
              <w:t xml:space="preserve"> ragina Komisiją </w:t>
            </w:r>
            <w:r w:rsidRPr="002C61E4">
              <w:rPr>
                <w:b/>
                <w:bCs/>
                <w:i/>
                <w:iCs/>
              </w:rPr>
              <w:t>nutraukti pastangas cenzūruoti politinę nuomonę socialinės žiniasklaidos platformose;</w:t>
            </w:r>
            <w:r w:rsidRPr="002C61E4">
              <w:rPr>
                <w:b/>
                <w:i/>
              </w:rPr>
              <w:t xml:space="preserve"> </w:t>
            </w:r>
            <w:r w:rsidRPr="002C61E4">
              <w:rPr>
                <w:b/>
                <w:bCs/>
                <w:i/>
                <w:iCs/>
              </w:rPr>
              <w:t>ragina Europos Komisiją ir Europos Parlamentą atskleisti visą informaciją apie 133 mln. EUR vertės sutartį, pasirašytą su bendrove „Havas Media France“, pagal kurią prieš 2024 m. Europos Parlamento rinkimus buvo reklamuojami „proeuropietiški“ pasakojimai ir kandidatai</w:t>
            </w:r>
            <w:r w:rsidRPr="002C61E4">
              <w:t>;</w:t>
            </w:r>
            <w:r w:rsidRPr="002C61E4">
              <w:rPr>
                <w:b/>
                <w:i/>
              </w:rPr>
              <w:t xml:space="preserve"> </w:t>
            </w:r>
            <w:r w:rsidRPr="002C61E4">
              <w:rPr>
                <w:b/>
                <w:bCs/>
                <w:i/>
                <w:iCs/>
              </w:rPr>
              <w:t>ragina Europos Parlamentą įsteigti „Facebook“ cenzūros tyrimo komitetą</w:t>
            </w:r>
            <w:r w:rsidRPr="002C61E4">
              <w:t xml:space="preserve">; </w:t>
            </w:r>
            <w:r w:rsidRPr="002C61E4">
              <w:rPr>
                <w:b/>
                <w:i/>
              </w:rPr>
              <w:t>palankiai vertina Elono Musko pastangas kovoti už žodžio laisvę;</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t xml:space="preserve"> </w:t>
            </w:r>
            <w:r w:rsidRPr="002C61E4">
              <w:rPr>
                <w:b/>
                <w:i/>
              </w:rPr>
              <w:t>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w:t>
            </w:r>
            <w:r w:rsidRPr="002C61E4">
              <w:rPr>
                <w:b/>
                <w:i/>
              </w:rPr>
              <w:t xml:space="preserve">2022 m. rugsėjo 14 d. Europos Parlamento ir Tarybos reglamentas (ES) 2022/1925 dėl atvirų konkurencijai </w:t>
            </w:r>
            <w:r w:rsidRPr="002C61E4">
              <w:rPr>
                <w:b/>
                <w:i/>
              </w:rPr>
              <w:lastRenderedPageBreak/>
              <w:t>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Emma Rafowicz, Alessandro Zan, Birgit Sippel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xml:space="preserve">, be kita ko, reaguojant į neseniai priimtą bendrovės „Meta“ sprendimą dėl faktų tikrinimo mechanizmų; </w:t>
            </w:r>
            <w:r w:rsidRPr="002C61E4">
              <w:rPr>
                <w:b/>
                <w:i/>
              </w:rPr>
              <w:t xml:space="preserve">pabrėžia, kad Skaitmeninių paslaugų aktas (SPA) yra tvirta sistema, skirta sisteminei rizikai, kurią kelia dezinformacija, ypač didelėse interneto platformose, spręsti, ir primygtinai ragina Komisiją griežtai įgyvendinti jos nuostatas; pabrėžia, koks svarbus yra platformų algoritmų skaidrumas, nepriklausomas auditas ir patikimų faktų tikrinimo bei turinio moderavimo mechanizmai; pabrėžia, kad kova su dezinformacija yra labai svarbi siekiant užtikrinti demokratiją, apsaugoti pagrindines teises ir išlaikyti pasitikėjimą viešosiomis institucijomis visoje Europos </w:t>
            </w:r>
            <w:r w:rsidRPr="002C61E4">
              <w:rPr>
                <w:b/>
                <w:i/>
              </w:rPr>
              <w:lastRenderedPageBreak/>
              <w:t>Sąjungoje;</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tinklais ir dezinformaciją; atkreipia dėmesį į nepriimtinas </w:t>
            </w:r>
            <w:r w:rsidRPr="002C61E4">
              <w:rPr>
                <w:b/>
                <w:bCs/>
                <w:i/>
                <w:iCs/>
              </w:rPr>
              <w:t>Elono Musko</w:t>
            </w:r>
            <w:r w:rsidRPr="002C61E4">
              <w:t xml:space="preserve"> iniciatyvas naudotis socialinės žiniasklaidos platformomis siekiant manipuliuoti visuomenės nuomone įvairiose valstybėse narėse; ragina </w:t>
            </w:r>
            <w:r w:rsidRPr="002C61E4">
              <w:rPr>
                <w:b/>
                <w:bCs/>
                <w:i/>
                <w:iCs/>
              </w:rPr>
              <w:t>Komisiją ir</w:t>
            </w:r>
            <w:r w:rsidRPr="002C61E4">
              <w:t xml:space="preserve"> valstybes nares tai stebėti ir taikyti Skaitmeninių paslaugų aktą</w:t>
            </w:r>
            <w:r w:rsidRPr="002C61E4">
              <w:rPr>
                <w:b/>
                <w:i/>
                <w:vertAlign w:val="superscript"/>
              </w:rPr>
              <w:t>44</w:t>
            </w:r>
            <w:r w:rsidRPr="002C61E4">
              <w:t xml:space="preserve"> ir Skaitmeninių rinkų aktą</w:t>
            </w:r>
            <w:r w:rsidRPr="002C61E4">
              <w:rPr>
                <w:b/>
                <w:bCs/>
                <w:i/>
                <w:iCs/>
                <w:vertAlign w:val="superscript"/>
              </w:rPr>
              <w:t>45</w:t>
            </w:r>
            <w:r w:rsidRPr="002C61E4">
              <w:rPr>
                <w:b/>
                <w:bCs/>
                <w:i/>
                <w:iCs/>
              </w:rPr>
              <w:t>, be kita ko, reaguojant į neseniai priimtą</w:t>
            </w:r>
            <w:r w:rsidRPr="002C61E4">
              <w:t xml:space="preserve"> bendrovės „Meta“ sprendimą dėl faktų </w:t>
            </w:r>
            <w:r w:rsidRPr="002C61E4">
              <w:lastRenderedPageBreak/>
              <w:t>tikrinimo mechanizmų;</w:t>
            </w:r>
          </w:p>
        </w:tc>
        <w:tc>
          <w:tcPr>
            <w:tcW w:w="4876" w:type="dxa"/>
            <w:tcBorders>
              <w:top w:val="nil"/>
              <w:left w:val="nil"/>
              <w:bottom w:val="nil"/>
              <w:right w:val="nil"/>
            </w:tcBorders>
          </w:tcPr>
          <w:p w:rsidR="00E82389" w:rsidRPr="002C61E4" w:rsidRDefault="00E82389" w:rsidP="003B0113">
            <w:pPr>
              <w:pStyle w:val="Normal6a"/>
            </w:pPr>
            <w:r w:rsidRPr="002C61E4">
              <w:lastRenderedPageBreak/>
              <w:t>25.</w:t>
            </w:r>
            <w:r w:rsidRPr="002C61E4">
              <w:tab/>
              <w:t>yra susirūpinęs dėl užsienio šalių kišimosi veiklos, vykdomos valstybėse narėse</w:t>
            </w:r>
            <w:r w:rsidRPr="002C61E4">
              <w:rPr>
                <w:b/>
                <w:bCs/>
                <w:i/>
                <w:iCs/>
              </w:rPr>
              <w:t>, kuri taip pat turėtų apimti ir kitų valstybių narių ir ES institucijų šaltinių kišimąsi</w:t>
            </w:r>
            <w:r w:rsidRPr="002C61E4">
              <w:t xml:space="preserve">, įskaitant manipuliavimą socialiniais tinklais ir dezinformaciją; </w:t>
            </w:r>
            <w:r w:rsidRPr="002C61E4">
              <w:rPr>
                <w:b/>
                <w:i/>
              </w:rPr>
              <w:t>primygtinai ragina gerbti valstybių narių suverenitetą ir nesikišti į demokratinius procesus, o tai, deja, ankstesniais metais nebuvo užtikrinta ir turi būti nuodugniai išnagrinėta ne tik ES nepriklausančių šalių ir veikėjų, bet ir kitų valstybių narių bei institucijų kišimosi požiūriu;</w:t>
            </w:r>
            <w:r w:rsidRPr="002C61E4">
              <w:t xml:space="preserve"> atkreipia dėmesį į nepriimtinas iniciatyvas naudotis </w:t>
            </w:r>
            <w:r w:rsidRPr="002C61E4">
              <w:lastRenderedPageBreak/>
              <w:t>socialinės žiniasklaidos platformomis siekiant manipuliuoti visuomenės nuomone įvairiose valstybėse narėse; ragina valstybes nares tai stebėti ir taikyti Skaitmeninių paslaugų aktą ir Skaitmeninių rinkų aktą;</w:t>
            </w:r>
            <w:r w:rsidRPr="002C61E4">
              <w:rPr>
                <w:b/>
                <w:i/>
              </w:rPr>
              <w:t xml:space="preserve"> </w:t>
            </w:r>
            <w:r w:rsidRPr="002C61E4">
              <w:rPr>
                <w:b/>
                <w:bCs/>
                <w:i/>
                <w:iCs/>
              </w:rPr>
              <w:t>ragina Komisiją išnagrinėti</w:t>
            </w:r>
            <w:r w:rsidRPr="002C61E4">
              <w:t xml:space="preserve"> bendrovės „Meta“ sprendimą dėl faktų tikrinimo mechanizmų</w:t>
            </w:r>
            <w:r w:rsidRPr="002C61E4">
              <w:rPr>
                <w:b/>
                <w:bCs/>
                <w:i/>
                <w:iCs/>
              </w:rPr>
              <w:t xml:space="preserve"> ir rimtai apsvarstyti kaltinimus, kad šie mechanizmai yra šališki, be kita ko, dėl to, kad jais ribojamas konservatyvaus turinio pasiekiamumas</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w:t>
            </w:r>
            <w:r w:rsidRPr="002C61E4">
              <w:rPr>
                <w:b/>
                <w:i/>
              </w:rPr>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w:t>
            </w:r>
            <w:r w:rsidRPr="002C61E4">
              <w:rPr>
                <w:b/>
                <w:i/>
              </w:rPr>
              <w:t xml:space="preserve">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w:t>
            </w:r>
            <w:r w:rsidRPr="002C61E4">
              <w:lastRenderedPageBreak/>
              <w:t>tinklais</w:t>
            </w:r>
            <w:r w:rsidRPr="002C61E4">
              <w:rPr>
                <w:b/>
                <w:i/>
              </w:rPr>
              <w:t xml:space="preserve"> ir dezinformaciją;</w:t>
            </w:r>
            <w:r w:rsidRPr="002C61E4">
              <w:t xml:space="preserve"> </w:t>
            </w:r>
            <w:r w:rsidRPr="002C61E4">
              <w:rPr>
                <w:b/>
                <w:i/>
              </w:rPr>
              <w:t>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b/>
                <w:i/>
                <w:vertAlign w:val="superscript"/>
              </w:rPr>
              <w:t>44</w:t>
            </w:r>
            <w:r w:rsidRPr="002C61E4">
              <w:rPr>
                <w:b/>
                <w:i/>
              </w:rPr>
              <w:t xml:space="preserve"> ir Skaitmeninių rinkų aktą</w:t>
            </w:r>
            <w:r w:rsidRPr="002C61E4">
              <w:rPr>
                <w:b/>
                <w:i/>
                <w:vertAlign w:val="superscript"/>
              </w:rPr>
              <w:t>45</w:t>
            </w:r>
            <w:r w:rsidRPr="002C61E4">
              <w:rPr>
                <w:b/>
                <w:i/>
              </w:rPr>
              <w:t>, be kita ko, 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lastRenderedPageBreak/>
              <w:t>25.</w:t>
            </w:r>
            <w:r w:rsidRPr="002C61E4">
              <w:tab/>
              <w:t xml:space="preserve">yra susirūpinęs dėl užsienio šalių kišimosi veiklos, vykdomos valstybėse narėse, įskaitant manipuliavimą socialiniais </w:t>
            </w:r>
            <w:r w:rsidRPr="002C61E4">
              <w:lastRenderedPageBreak/>
              <w:t>tinklais;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t xml:space="preserve"> </w:t>
            </w:r>
            <w:r w:rsidRPr="002C61E4">
              <w:rPr>
                <w:b/>
                <w:i/>
              </w:rPr>
              <w:t>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w:t>
            </w:r>
            <w:r w:rsidRPr="002C61E4">
              <w:rPr>
                <w:b/>
                <w:i/>
              </w:rPr>
              <w:t>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Ewa Zajączkowska-Hernik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w:t>
            </w:r>
            <w:r w:rsidRPr="002C61E4">
              <w:rPr>
                <w:b/>
                <w:bCs/>
                <w:i/>
                <w:iCs/>
              </w:rPr>
              <w:t xml:space="preserve">, įskaitant manipuliavimą </w:t>
            </w:r>
            <w:r w:rsidRPr="002C61E4">
              <w:rPr>
                <w:b/>
                <w:bCs/>
                <w:i/>
                <w:iCs/>
              </w:rPr>
              <w:lastRenderedPageBreak/>
              <w:t>socialiniais tinklais ir dezinformaciją</w:t>
            </w:r>
            <w:r w:rsidRPr="002C61E4">
              <w:t xml:space="preserve">; </w:t>
            </w:r>
            <w:r w:rsidRPr="002C61E4">
              <w:rPr>
                <w:b/>
                <w:i/>
              </w:rPr>
              <w:t xml:space="preserve">atkreipia dėmesį į nepriimtinas Elono Musko iniciatyvas naudotis socialinės žiniasklaidos platformomis siekiant manipuliuoti visuomenės nuomone įvairiose valstybėse narėse; </w:t>
            </w:r>
            <w:r w:rsidRPr="002C61E4">
              <w:rPr>
                <w:b/>
                <w:bCs/>
                <w:i/>
                <w:iCs/>
              </w:rPr>
              <w:t>ragina Komisiją ir valstybes nares tai stebėti ir taikyti Skaitmeninių paslaugų aktą</w:t>
            </w:r>
            <w:r w:rsidRPr="002C61E4">
              <w:rPr>
                <w:b/>
                <w:bCs/>
                <w:i/>
                <w:iCs/>
                <w:vertAlign w:val="superscript"/>
              </w:rPr>
              <w:t>44</w:t>
            </w:r>
            <w:r w:rsidRPr="002C61E4">
              <w:rPr>
                <w:b/>
                <w:bCs/>
                <w:i/>
                <w:iCs/>
              </w:rPr>
              <w:t xml:space="preserve"> ir Skaitmeninių rinkų aktą</w:t>
            </w:r>
            <w:r w:rsidRPr="002C61E4">
              <w:rPr>
                <w:b/>
                <w:bCs/>
                <w:i/>
                <w:iCs/>
                <w:vertAlign w:val="superscript"/>
              </w:rPr>
              <w:t>45</w:t>
            </w:r>
            <w:r w:rsidRPr="002C61E4">
              <w:rPr>
                <w:b/>
                <w:bCs/>
                <w:i/>
                <w:iCs/>
              </w:rPr>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lastRenderedPageBreak/>
              <w:t>25.</w:t>
            </w:r>
            <w:r w:rsidRPr="002C61E4">
              <w:tab/>
              <w:t xml:space="preserve">yra susirūpinęs dėl užsienio šalių kišimosi veiklos, vykdomos valstybėse </w:t>
            </w:r>
            <w:r w:rsidRPr="002C61E4">
              <w:lastRenderedPageBreak/>
              <w:t>narėse;</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t xml:space="preserve"> </w:t>
            </w:r>
            <w:r w:rsidRPr="002C61E4">
              <w:rPr>
                <w:b/>
                <w:i/>
              </w:rPr>
              <w:t>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w:t>
            </w:r>
            <w:r w:rsidRPr="002C61E4">
              <w:rPr>
                <w:b/>
                <w:i/>
              </w:rPr>
              <w:t>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w:t>
            </w:r>
            <w:r w:rsidRPr="002C61E4">
              <w:lastRenderedPageBreak/>
              <w:t>tinklais ir dezinformaciją; 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lastRenderedPageBreak/>
              <w:t>25.</w:t>
            </w:r>
            <w:r w:rsidRPr="002C61E4">
              <w:tab/>
              <w:t xml:space="preserve">yra susirūpinęs dėl užsienio šalių kišimosi veiklos, vykdomos valstybėse narėse, įskaitant manipuliavimą socialiniais </w:t>
            </w:r>
            <w:r w:rsidRPr="002C61E4">
              <w:lastRenderedPageBreak/>
              <w:t xml:space="preserve">tinklais ir dezinformaciją; atkreipia dėmesį į nepriimtinas Elono Musko iniciatyvas naudotis socialinės žiniasklaidos platformomis siekiant manipuliuoti visuomenės nuomone įvairiose valstybėse narėse; </w:t>
            </w:r>
            <w:r w:rsidRPr="002C61E4">
              <w:rPr>
                <w:b/>
                <w:i/>
              </w:rPr>
              <w:t>smerkia tai, kad užsienio įtaką padeda stiprinti kraštutinių dešiniųjų jėgos Europos Sąjungoje ir už jos ribų skleisdamos dezinformaciją ir propaguodamos kraštutinių dešiniųjų idėjas ir kad ultrakonservatyvūs JAV fondai, kaip įrodyta, teikia finansavimą ir kitokią paramą kraštutinių dešiniųjų jėgoms visoje Europoje;</w:t>
            </w:r>
            <w:r w:rsidRPr="002C61E4">
              <w:t xml:space="preserv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be kita ko, reaguojant į neseniai priimtą bendrovės „Meta“ sprendimą dėl faktų tikrinimo mechanizmų;</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w:t>
            </w:r>
            <w:r w:rsidRPr="002C61E4">
              <w:rPr>
                <w:b/>
                <w:bCs/>
                <w:i/>
                <w:iCs/>
              </w:rPr>
              <w:t>, įskaitant manipuliavimą socialiniais tinklais ir dezinformaciją</w:t>
            </w:r>
            <w:r w:rsidRPr="002C61E4">
              <w:t xml:space="preserve">; atkreipia dėmesį į nepriimtinas </w:t>
            </w:r>
            <w:r w:rsidRPr="002C61E4">
              <w:rPr>
                <w:b/>
                <w:bCs/>
                <w:i/>
                <w:iCs/>
              </w:rPr>
              <w:t>Elono Musko</w:t>
            </w:r>
            <w:r w:rsidRPr="002C61E4">
              <w:t xml:space="preserve"> iniciatyvas </w:t>
            </w:r>
            <w:r w:rsidRPr="002C61E4">
              <w:rPr>
                <w:b/>
                <w:bCs/>
                <w:i/>
                <w:iCs/>
              </w:rPr>
              <w:t>naudotis socialinės žiniasklaidos platformomis siekiant</w:t>
            </w:r>
            <w:r w:rsidRPr="002C61E4">
              <w:t xml:space="preserve"> manipuliuoti visuomenės nuomone įvairiose valstybėse narėse; ragina Komisiją ir valstybes nares tai stebėti ir </w:t>
            </w:r>
            <w:r w:rsidRPr="002C61E4">
              <w:rPr>
                <w:b/>
                <w:bCs/>
                <w:i/>
                <w:iCs/>
              </w:rPr>
              <w:t>taikyti Skaitmeninių paslaugų aktą</w:t>
            </w:r>
            <w:r w:rsidRPr="002C61E4">
              <w:rPr>
                <w:b/>
                <w:bCs/>
                <w:i/>
                <w:iCs/>
                <w:vertAlign w:val="superscript"/>
              </w:rPr>
              <w:t>44</w:t>
            </w:r>
            <w:r w:rsidRPr="002C61E4">
              <w:rPr>
                <w:b/>
                <w:bCs/>
                <w:i/>
                <w:iCs/>
              </w:rPr>
              <w:t xml:space="preserve"> ir Skaitmeninių rinkų aktą</w:t>
            </w:r>
            <w:r w:rsidRPr="002C61E4">
              <w:rPr>
                <w:b/>
                <w:bCs/>
                <w:i/>
                <w:iCs/>
                <w:vertAlign w:val="superscript"/>
              </w:rPr>
              <w:t>45</w:t>
            </w:r>
            <w:r w:rsidRPr="002C61E4">
              <w:rPr>
                <w:b/>
                <w:bCs/>
                <w:i/>
                <w:iCs/>
              </w:rPr>
              <w:t>, be kita ko, 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atkreipia dėmesį į nepriimtinas </w:t>
            </w:r>
            <w:r w:rsidRPr="002C61E4">
              <w:rPr>
                <w:b/>
                <w:bCs/>
                <w:i/>
                <w:iCs/>
              </w:rPr>
              <w:t>George’o Soroso</w:t>
            </w:r>
            <w:r w:rsidRPr="002C61E4">
              <w:t xml:space="preserve"> iniciatyvas</w:t>
            </w:r>
            <w:r w:rsidRPr="002C61E4">
              <w:rPr>
                <w:b/>
                <w:bCs/>
                <w:i/>
                <w:iCs/>
              </w:rPr>
              <w:t>, kuriomis siekiama</w:t>
            </w:r>
            <w:r w:rsidRPr="002C61E4">
              <w:t xml:space="preserve"> manipuliuoti visuomenės nuomone įvairiose valstybėse narėse; ragina Komisiją ir valstybes nares tai stebėti ir </w:t>
            </w:r>
            <w:r w:rsidRPr="002C61E4">
              <w:rPr>
                <w:b/>
                <w:bCs/>
                <w:i/>
                <w:iCs/>
              </w:rPr>
              <w:t>priimti tinkamas priemones</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t xml:space="preserve"> </w:t>
            </w:r>
            <w:r w:rsidRPr="002C61E4">
              <w:rPr>
                <w:b/>
                <w:i/>
              </w:rPr>
              <w:t>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w:t>
            </w:r>
            <w:r w:rsidRPr="002C61E4">
              <w:rPr>
                <w:b/>
                <w:i/>
              </w:rPr>
              <w:t>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tinklais ir dezinformaciją; </w:t>
            </w:r>
            <w:r w:rsidRPr="002C61E4">
              <w:rPr>
                <w:b/>
                <w:i/>
              </w:rPr>
              <w:t>atkreipia dėmesį į nepriimtinas Elono Musko iniciatyvas naudotis socialinės žiniasklaidos platformomis siekiant manipuliuoti visuomenės nuomone įvairiose valstybėse narėse;</w:t>
            </w:r>
            <w:r w:rsidRPr="002C61E4">
              <w:t xml:space="preserv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rPr>
                <w:b/>
                <w:bCs/>
                <w:i/>
                <w:iCs/>
              </w:rPr>
              <w:t>, be kita ko, 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Raquel García Hermida-Van Der Walle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w:t>
            </w:r>
            <w:r w:rsidRPr="002C61E4">
              <w:rPr>
                <w:b/>
                <w:i/>
              </w:rPr>
              <w:t xml:space="preserve"> </w:t>
            </w:r>
            <w:r w:rsidRPr="002C61E4">
              <w:t>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rPr>
                <w:b/>
                <w:bCs/>
                <w:i/>
                <w:iCs/>
              </w:rPr>
              <w:t>, be kita ko, 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Javier Zarzalejos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w:t>
            </w:r>
            <w:r w:rsidRPr="002C61E4">
              <w:rPr>
                <w:b/>
                <w:bCs/>
                <w:i/>
                <w:iCs/>
              </w:rPr>
              <w:t>vykdomos valstybėse narėse, įskaitant manipuliavimą</w:t>
            </w:r>
            <w:r w:rsidRPr="002C61E4">
              <w:t xml:space="preserve"> socialiniais tinklais ir </w:t>
            </w:r>
            <w:r w:rsidRPr="002C61E4">
              <w:rPr>
                <w:b/>
                <w:bCs/>
                <w:i/>
                <w:iCs/>
              </w:rPr>
              <w:t>dezinformaciją</w:t>
            </w:r>
            <w:r w:rsidRPr="002C61E4">
              <w:t>;</w:t>
            </w:r>
            <w:r w:rsidRPr="002C61E4">
              <w:rPr>
                <w:b/>
                <w:i/>
              </w:rPr>
              <w:t xml:space="preserve"> </w:t>
            </w:r>
            <w:r w:rsidRPr="002C61E4">
              <w:rPr>
                <w:b/>
                <w:bCs/>
                <w:i/>
                <w:iCs/>
              </w:rPr>
              <w:t>atkreipia dėmesį į nepriimtinas Elono Musko iniciatyvas naudotis socialinės žiniasklaidos platformomis siekiant manipuliuoti visuomenės nuomone įvairiose valstybėse narėse;</w:t>
            </w:r>
            <w:r w:rsidRPr="002C61E4">
              <w:t xml:space="preserv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xml:space="preserve">, be kita ko, </w:t>
            </w:r>
            <w:r w:rsidRPr="002C61E4">
              <w:rPr>
                <w:b/>
                <w:bCs/>
                <w:i/>
                <w:iCs/>
              </w:rPr>
              <w:t>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w:t>
            </w:r>
            <w:r w:rsidRPr="002C61E4">
              <w:rPr>
                <w:b/>
                <w:bCs/>
                <w:i/>
                <w:iCs/>
              </w:rPr>
              <w:t>manipuliavimo</w:t>
            </w:r>
            <w:r w:rsidRPr="002C61E4">
              <w:t xml:space="preserve"> socialiniais tinklais ir </w:t>
            </w:r>
            <w:r w:rsidRPr="002C61E4">
              <w:rPr>
                <w:b/>
                <w:bCs/>
                <w:i/>
                <w:iCs/>
              </w:rPr>
              <w:t>dezinformacijos</w:t>
            </w:r>
            <w:r w:rsidRPr="002C61E4">
              <w:t>;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xml:space="preserve">, be kita ko, </w:t>
            </w:r>
            <w:r w:rsidRPr="002C61E4">
              <w:rPr>
                <w:b/>
                <w:bCs/>
                <w:i/>
                <w:iCs/>
              </w:rPr>
              <w:t>tinkamo turinio moderavimo taisykles ir įsipareigojimus</w:t>
            </w:r>
            <w:r w:rsidRPr="002C61E4">
              <w:t>;</w:t>
            </w:r>
            <w:r w:rsidRPr="002C61E4">
              <w:rPr>
                <w:b/>
                <w:i/>
              </w:rPr>
              <w:t> </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589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r>
            <w:r w:rsidRPr="002C61E4">
              <w:rPr>
                <w:b/>
                <w:bCs/>
                <w:i/>
                <w:iCs/>
              </w:rPr>
              <w:t>yra susirūpinęs dėl</w:t>
            </w:r>
            <w:r w:rsidRPr="002C61E4">
              <w:t xml:space="preserve"> užsienio šalių kišimosi </w:t>
            </w:r>
            <w:r w:rsidRPr="002C61E4">
              <w:rPr>
                <w:b/>
                <w:bCs/>
                <w:i/>
                <w:iCs/>
              </w:rPr>
              <w:t>veiklos</w:t>
            </w:r>
            <w:r w:rsidRPr="002C61E4">
              <w:t>, vykdomos valstybėse narėse, įskaitant manipuliavimą socialiniais tinklais ir dezinformaciją; atkreipia dėmesį į nepriimtinas Elono Musko iniciatyvas naudotis socialinės žiniasklaidos platformomis siekiant manipuliuoti visuomenės nuomone įvairiose valstybėse narėse;</w:t>
            </w:r>
            <w:r w:rsidRPr="002C61E4">
              <w:rPr>
                <w:b/>
                <w:i/>
              </w:rPr>
              <w:t xml:space="preserve"> </w:t>
            </w:r>
            <w:r w:rsidRPr="002C61E4">
              <w:rPr>
                <w:b/>
                <w:bCs/>
                <w:i/>
                <w:iCs/>
              </w:rPr>
              <w:t>ragina Komisiją ir valstybes nares tai stebėti ir taikyti Skaitmeninių paslaugų aktą</w:t>
            </w:r>
            <w:r w:rsidRPr="002C61E4">
              <w:rPr>
                <w:b/>
                <w:bCs/>
                <w:i/>
                <w:iCs/>
                <w:vertAlign w:val="superscript"/>
              </w:rPr>
              <w:t>44</w:t>
            </w:r>
            <w:r w:rsidRPr="002C61E4">
              <w:rPr>
                <w:b/>
                <w:bCs/>
                <w:i/>
                <w:iCs/>
              </w:rPr>
              <w:t xml:space="preserve"> ir Skaitmeninių rinkų aktą</w:t>
            </w:r>
            <w:r w:rsidRPr="002C61E4">
              <w:rPr>
                <w:b/>
                <w:bCs/>
                <w:i/>
                <w:iCs/>
                <w:vertAlign w:val="superscript"/>
              </w:rPr>
              <w:t>45</w:t>
            </w:r>
            <w:r w:rsidRPr="002C61E4">
              <w:rPr>
                <w:b/>
                <w:bCs/>
                <w:i/>
                <w:iCs/>
              </w:rPr>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r>
            <w:r w:rsidRPr="002C61E4">
              <w:rPr>
                <w:b/>
                <w:bCs/>
                <w:i/>
                <w:iCs/>
              </w:rPr>
              <w:t>griežtai smerkia bet kokią</w:t>
            </w:r>
            <w:r w:rsidRPr="002C61E4">
              <w:t xml:space="preserve"> užsienio šalių kišimosi </w:t>
            </w:r>
            <w:r w:rsidRPr="002C61E4">
              <w:rPr>
                <w:b/>
                <w:bCs/>
                <w:i/>
                <w:iCs/>
              </w:rPr>
              <w:t>veiklą</w:t>
            </w:r>
            <w:r w:rsidRPr="002C61E4">
              <w:t xml:space="preserve">, </w:t>
            </w:r>
            <w:r w:rsidRPr="002C61E4">
              <w:rPr>
                <w:b/>
                <w:bCs/>
                <w:i/>
                <w:iCs/>
              </w:rPr>
              <w:t>vykdomą</w:t>
            </w:r>
            <w:r w:rsidRPr="002C61E4">
              <w:t xml:space="preserve"> valstybėse narėse, įskaitant manipuliavimą socialiniais tinklais ir dezinformaciją; atkreipia dėmesį į nepriimtinas </w:t>
            </w:r>
            <w:r w:rsidRPr="002C61E4">
              <w:rPr>
                <w:b/>
                <w:bCs/>
                <w:i/>
                <w:iCs/>
              </w:rPr>
              <w:t>George’o Soroso</w:t>
            </w:r>
            <w:r w:rsidRPr="002C61E4">
              <w:t xml:space="preserve"> iniciatyvas</w:t>
            </w:r>
            <w:r w:rsidRPr="002C61E4">
              <w:rPr>
                <w:b/>
                <w:bCs/>
                <w:i/>
                <w:iCs/>
              </w:rPr>
              <w:t>, kuriomis milijonai eurų skiriami pilietinės visuomenės organizacijoms ir žmogaus teisių gynėjams, siekiant sunaikinti Europos vertybes, ir trečiųjų šalių propagandos operacijoms, kuriomis, be kita ko, kėsinamasi į Sąjungos energetinę nepriklausomybę</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t xml:space="preserve"> </w:t>
            </w:r>
            <w:r w:rsidRPr="002C61E4">
              <w:rPr>
                <w:b/>
                <w:i/>
              </w:rPr>
              <w:t>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w:t>
            </w:r>
            <w:r w:rsidRPr="002C61E4">
              <w:rPr>
                <w:b/>
                <w:i/>
              </w:rPr>
              <w:t>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xml:space="preserve">, be kita ko, reaguojant į </w:t>
            </w:r>
            <w:r w:rsidRPr="002C61E4">
              <w:rPr>
                <w:b/>
                <w:bCs/>
                <w:i/>
                <w:iCs/>
              </w:rPr>
              <w:t>neseniai priimtą</w:t>
            </w:r>
            <w:r w:rsidRPr="002C61E4">
              <w:t xml:space="preserve">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įvairiose valstybėse narėse; ragina Komisiją ir valstybes nares tai stebėti ir</w:t>
            </w:r>
            <w:r w:rsidRPr="002C61E4">
              <w:rPr>
                <w:b/>
                <w:bCs/>
                <w:i/>
                <w:iCs/>
              </w:rPr>
              <w:t xml:space="preserve"> nedelsiant</w:t>
            </w:r>
            <w:r w:rsidRPr="002C61E4">
              <w:t xml:space="preserve"> taikyti Skaitmeninių paslaugų aktą</w:t>
            </w:r>
            <w:r w:rsidRPr="002C61E4">
              <w:rPr>
                <w:vertAlign w:val="superscript"/>
              </w:rPr>
              <w:t>44</w:t>
            </w:r>
            <w:r w:rsidRPr="002C61E4">
              <w:t xml:space="preserve"> ir Skaitmeninių rinkų aktą</w:t>
            </w:r>
            <w:r w:rsidRPr="002C61E4">
              <w:rPr>
                <w:vertAlign w:val="superscript"/>
              </w:rPr>
              <w:t>45</w:t>
            </w:r>
            <w:r w:rsidRPr="002C61E4">
              <w:t xml:space="preserve">, be kita ko, reaguojant į bendrovės „Meta“ </w:t>
            </w:r>
            <w:r w:rsidRPr="002C61E4">
              <w:rPr>
                <w:b/>
                <w:bCs/>
                <w:i/>
                <w:iCs/>
              </w:rPr>
              <w:t xml:space="preserve">ir kitų labai didelių interneto platformų </w:t>
            </w:r>
            <w:r w:rsidRPr="002C61E4">
              <w:t>sprendimą dėl faktų tikrinimo mechanizmų</w:t>
            </w:r>
            <w:r w:rsidRPr="002C61E4">
              <w:rPr>
                <w:b/>
                <w:bCs/>
                <w:i/>
                <w:iCs/>
              </w:rPr>
              <w:t xml:space="preserve"> ir neapykantą kurstančio elgesio peržiūra</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tinklais ir dezinformaciją; </w:t>
            </w:r>
            <w:r w:rsidRPr="002C61E4">
              <w:rPr>
                <w:b/>
                <w:i/>
              </w:rPr>
              <w:t>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b/>
                <w:i/>
                <w:vertAlign w:val="superscript"/>
              </w:rPr>
              <w:t>44</w:t>
            </w:r>
            <w:r w:rsidRPr="002C61E4">
              <w:rPr>
                <w:b/>
                <w:i/>
              </w:rPr>
              <w:t xml:space="preserve"> ir Skaitmeninių rinkų aktą</w:t>
            </w:r>
            <w:r w:rsidRPr="002C61E4">
              <w:rPr>
                <w:b/>
                <w:i/>
                <w:vertAlign w:val="superscript"/>
              </w:rPr>
              <w:t>45</w:t>
            </w:r>
            <w:r w:rsidRPr="002C61E4">
              <w:rPr>
                <w:b/>
                <w:i/>
              </w:rPr>
              <w:t>, be kita ko, 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tinklais ir dezinformaciją; </w:t>
            </w:r>
            <w:r w:rsidRPr="002C61E4">
              <w:rPr>
                <w:b/>
                <w:i/>
              </w:rPr>
              <w:t xml:space="preserve">šiuo atžvilgiu griežtai smerkia Rusijos bandymus daryti įtaką Europos rinkimų procesams ir viešajai nuomonei; </w:t>
            </w:r>
            <w:r w:rsidRPr="002C61E4">
              <w:rPr>
                <w:b/>
                <w:bCs/>
                <w:i/>
                <w:iCs/>
              </w:rPr>
              <w:t>mano, kad už šių bandymų daryti įtaką taip pat slypi siekis pakenkti vieningai Europos šalių pozicijai remti Ukrainą</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rPr>
                <w:b/>
                <w:i/>
              </w:rPr>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rPr>
                <w:b/>
                <w:i/>
              </w:rPr>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Mary Khan, Christine Anderson, Milan Uhrík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w:t>
            </w:r>
            <w:r w:rsidRPr="002C61E4">
              <w:rPr>
                <w:b/>
                <w:bCs/>
                <w:i/>
                <w:iCs/>
              </w:rPr>
              <w:t>užsienio šalių</w:t>
            </w:r>
            <w:r w:rsidRPr="002C61E4">
              <w:t xml:space="preserve"> kišimosi veiklos, vykdomos valstybėse narėse</w:t>
            </w:r>
            <w:r w:rsidRPr="002C61E4">
              <w:rPr>
                <w:b/>
                <w:bCs/>
                <w:i/>
                <w:iCs/>
              </w:rPr>
              <w:t>, įskaitant manipuliavimą socialiniais tinklais ir dezinformaciją</w:t>
            </w:r>
            <w:r w:rsidRPr="002C61E4">
              <w:t>;</w:t>
            </w:r>
            <w:r w:rsidRPr="002C61E4">
              <w:rPr>
                <w:b/>
                <w:i/>
              </w:rPr>
              <w:t xml:space="preserve"> </w:t>
            </w:r>
            <w:r w:rsidRPr="002C61E4">
              <w:rPr>
                <w:b/>
                <w:bCs/>
                <w:i/>
                <w:iCs/>
              </w:rPr>
              <w:t>atkreipia dėmesį į nepriimtinas</w:t>
            </w:r>
            <w:r w:rsidRPr="002C61E4">
              <w:t xml:space="preserve"> Elono Musko iniciatyvas naudotis socialinės žiniasklaidos platformomis </w:t>
            </w:r>
            <w:r w:rsidRPr="002C61E4">
              <w:rPr>
                <w:b/>
                <w:bCs/>
                <w:i/>
                <w:iCs/>
              </w:rPr>
              <w:t>siekiant manipuliuoti visuomenės nuomone įvairiose valstybėse narėse</w:t>
            </w:r>
            <w:r w:rsidRPr="002C61E4">
              <w:t xml:space="preserve">; ragina Komisiją </w:t>
            </w:r>
            <w:r w:rsidRPr="002C61E4">
              <w:rPr>
                <w:b/>
                <w:bCs/>
                <w:i/>
                <w:iCs/>
              </w:rPr>
              <w:t>ir valstybes nares tai stebėti ir taikyti</w:t>
            </w:r>
            <w:r w:rsidRPr="002C61E4">
              <w:t xml:space="preserve"> Skaitmeninių paslaugų aktą</w:t>
            </w:r>
            <w:r w:rsidRPr="002C61E4">
              <w:rPr>
                <w:b/>
                <w:bCs/>
                <w:i/>
                <w:iCs/>
                <w:vertAlign w:val="superscript"/>
              </w:rPr>
              <w:t>44</w:t>
            </w:r>
            <w:r w:rsidRPr="002C61E4">
              <w:rPr>
                <w:b/>
                <w:bCs/>
                <w:i/>
                <w:iCs/>
              </w:rPr>
              <w:t xml:space="preserve"> ir Skaitmeninių rinkų aktą</w:t>
            </w:r>
            <w:r w:rsidRPr="002C61E4">
              <w:rPr>
                <w:b/>
                <w:bCs/>
                <w:i/>
                <w:iCs/>
                <w:vertAlign w:val="superscript"/>
              </w:rPr>
              <w:t>45</w:t>
            </w:r>
            <w:r w:rsidRPr="002C61E4">
              <w:rPr>
                <w:b/>
                <w:bCs/>
                <w:i/>
                <w:iCs/>
              </w:rPr>
              <w:t>, be kita ko, reaguojant į neseniai priimtą bendrovės „Meta“ sprendimą dėl faktų tikrinimo mechanizmų</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w:t>
            </w:r>
            <w:r w:rsidRPr="002C61E4">
              <w:rPr>
                <w:b/>
                <w:bCs/>
                <w:i/>
                <w:iCs/>
              </w:rPr>
              <w:t>Komisijos ir ES lėšas gaunančių organizacijų politinio</w:t>
            </w:r>
            <w:r w:rsidRPr="002C61E4">
              <w:t xml:space="preserve"> kišimosi veiklos, vykdomos valstybėse narėse;</w:t>
            </w:r>
            <w:r w:rsidRPr="002C61E4">
              <w:rPr>
                <w:b/>
                <w:i/>
              </w:rPr>
              <w:t xml:space="preserve"> </w:t>
            </w:r>
            <w:r w:rsidRPr="002C61E4">
              <w:rPr>
                <w:b/>
                <w:bCs/>
                <w:i/>
                <w:iCs/>
              </w:rPr>
              <w:t>palankiai vertina</w:t>
            </w:r>
            <w:r w:rsidRPr="002C61E4">
              <w:t xml:space="preserve"> Elono Musko iniciatyvas naudotis socialinės žiniasklaidos platformomis</w:t>
            </w:r>
            <w:r w:rsidRPr="002C61E4">
              <w:rPr>
                <w:b/>
                <w:bCs/>
                <w:i/>
                <w:iCs/>
              </w:rPr>
              <w:t>, kad būtų skatinamos atviros diskusijos ir milijonai vartotojų įsitrauktų į politiką</w:t>
            </w:r>
            <w:r w:rsidRPr="002C61E4">
              <w:t>; ragina Komisiją</w:t>
            </w:r>
            <w:r w:rsidRPr="002C61E4">
              <w:rPr>
                <w:b/>
                <w:bCs/>
                <w:i/>
                <w:iCs/>
              </w:rPr>
              <w:t xml:space="preserve"> nedelsiant panaikinti</w:t>
            </w:r>
            <w:r w:rsidRPr="002C61E4">
              <w:t xml:space="preserve"> Skaitmeninių paslaugų aktą</w:t>
            </w:r>
            <w:r w:rsidRPr="002C61E4">
              <w:rPr>
                <w:b/>
                <w:bCs/>
                <w:i/>
                <w:iCs/>
              </w:rPr>
              <w:t>, kad būtų apsaugota žodžio ir saviraiškos laisvė</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t xml:space="preserve"> </w:t>
            </w:r>
            <w:r w:rsidRPr="002C61E4">
              <w:rPr>
                <w:b/>
                <w:i/>
              </w:rPr>
              <w:t>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w:t>
            </w:r>
            <w:r w:rsidRPr="002C61E4">
              <w:rPr>
                <w:b/>
                <w:i/>
              </w:rPr>
              <w:t>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lastRenderedPageBreak/>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dalies įžanginė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tinklais ir dezinformaciją; atkreipia dėmesį į nepriimtinas Elono Musko iniciatyvas naudotis socialinės žiniasklaidos platformomis siekiant manipuliuoti visuomenės nuomone </w:t>
            </w:r>
            <w:r w:rsidRPr="002C61E4">
              <w:rPr>
                <w:b/>
                <w:bCs/>
                <w:i/>
                <w:iCs/>
              </w:rPr>
              <w:t xml:space="preserve">ir iškreipti demokratines diskusijas </w:t>
            </w:r>
            <w:r w:rsidRPr="002C61E4">
              <w:t>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be kita ko, reaguojant į neseniai priimtą bendrovės „Meta“ sprendimą dėl faktų tikrinimo mechanizmų;</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594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Jorge Buxadé Villalba, Tom Vandendriessche,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tinklais ir dezinformaciją; </w:t>
            </w:r>
            <w:r w:rsidRPr="002C61E4">
              <w:rPr>
                <w:b/>
                <w:bCs/>
                <w:i/>
                <w:iCs/>
              </w:rPr>
              <w:t>atkreipia dėmesį į nepriimtinas Elono Musko iniciatyvas naudotis socialinės žiniasklaidos platformomis siekiant manipuliuoti</w:t>
            </w:r>
            <w:r w:rsidRPr="002C61E4">
              <w:t xml:space="preserve"> visuomenės </w:t>
            </w:r>
            <w:r w:rsidRPr="002C61E4">
              <w:rPr>
                <w:b/>
                <w:bCs/>
                <w:i/>
                <w:iCs/>
              </w:rPr>
              <w:t>nuomone įvairiose valstybėse narėse</w:t>
            </w:r>
            <w:r w:rsidRPr="002C61E4">
              <w:t>;</w:t>
            </w:r>
            <w:r w:rsidRPr="002C61E4">
              <w:rPr>
                <w:b/>
                <w:i/>
              </w:rPr>
              <w:t xml:space="preserve"> </w:t>
            </w:r>
            <w:r w:rsidRPr="002C61E4">
              <w:rPr>
                <w:b/>
                <w:bCs/>
                <w:i/>
                <w:iCs/>
              </w:rPr>
              <w:t>ragina Komisiją ir valstybes nares tai stebėti ir taikyti Skaitmeninių paslaugų aktą</w:t>
            </w:r>
            <w:r w:rsidRPr="002C61E4">
              <w:rPr>
                <w:b/>
                <w:bCs/>
                <w:i/>
                <w:iCs/>
                <w:vertAlign w:val="superscript"/>
              </w:rPr>
              <w:t>44</w:t>
            </w:r>
            <w:r w:rsidRPr="002C61E4">
              <w:rPr>
                <w:b/>
                <w:bCs/>
                <w:i/>
                <w:iCs/>
              </w:rPr>
              <w:t xml:space="preserve"> ir Skaitmeninių rinkų aktą</w:t>
            </w:r>
            <w:r w:rsidRPr="002C61E4">
              <w:rPr>
                <w:b/>
                <w:bCs/>
                <w:i/>
                <w:iCs/>
                <w:vertAlign w:val="superscript"/>
              </w:rPr>
              <w:t>45</w:t>
            </w:r>
            <w:r w:rsidRPr="002C61E4">
              <w:rPr>
                <w:b/>
                <w:bCs/>
                <w:i/>
                <w:iCs/>
              </w:rPr>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w:t>
            </w:r>
            <w:r w:rsidRPr="002C61E4">
              <w:rPr>
                <w:b/>
                <w:bCs/>
                <w:i/>
                <w:iCs/>
              </w:rPr>
              <w:t xml:space="preserve"> ir ES institucijose</w:t>
            </w:r>
            <w:r w:rsidRPr="002C61E4">
              <w:t xml:space="preserve">, įskaitant manipuliavimą socialiniais tinklais ir dezinformaciją; </w:t>
            </w:r>
            <w:r w:rsidRPr="002C61E4">
              <w:rPr>
                <w:b/>
                <w:bCs/>
                <w:i/>
                <w:iCs/>
              </w:rPr>
              <w:t>palankiai vertina JAV Vyriausybės našumo departamento (DOGE) darbą, kuriuo siekiama atsisakyti JAV federalinio biudžeto lėšų, skirtų programoms, kuriomis siekiama daryti įtaką</w:t>
            </w:r>
            <w:r w:rsidRPr="002C61E4">
              <w:t xml:space="preserve"> visuomenės </w:t>
            </w:r>
            <w:r w:rsidRPr="002C61E4">
              <w:rPr>
                <w:b/>
                <w:bCs/>
                <w:i/>
                <w:iCs/>
              </w:rPr>
              <w:t>nuomonei trečiosiose šalyse, visų pirma pagal USAID programą</w:t>
            </w:r>
            <w:r w:rsidRPr="002C61E4">
              <w:t>;</w:t>
            </w:r>
            <w:r w:rsidRPr="002C61E4">
              <w:rPr>
                <w:b/>
                <w:i/>
              </w:rPr>
              <w:t xml:space="preserve"> </w:t>
            </w:r>
            <w:r w:rsidRPr="002C61E4">
              <w:rPr>
                <w:b/>
                <w:bCs/>
                <w:i/>
                <w:iCs/>
              </w:rPr>
              <w:t>ragina ES panašiai tikrinti savo biudžetą;</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44</w:t>
            </w:r>
            <w:r w:rsidRPr="002C61E4">
              <w:t xml:space="preserve"> </w:t>
            </w:r>
            <w:r w:rsidRPr="002C61E4">
              <w:rPr>
                <w:b/>
                <w:i/>
              </w:rPr>
              <w:t>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45</w:t>
            </w:r>
            <w:r w:rsidRPr="002C61E4">
              <w:t xml:space="preserve"> </w:t>
            </w:r>
            <w:r w:rsidRPr="002C61E4">
              <w:rPr>
                <w:b/>
                <w:i/>
              </w:rPr>
              <w:t>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595</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Raquel García Hermida-Van Der Walle, Fabienne Keller, Sophie Wilmès,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25.</w:t>
            </w:r>
            <w:r w:rsidRPr="002C61E4">
              <w:tab/>
              <w:t xml:space="preserve">yra susirūpinęs dėl užsienio šalių kišimosi veiklos, vykdomos valstybėse narėse, įskaitant manipuliavimą socialiniais tinklais ir dezinformaciją; atkreipia dėmesį į nepriimtinas </w:t>
            </w:r>
            <w:r w:rsidRPr="002C61E4">
              <w:rPr>
                <w:b/>
                <w:bCs/>
                <w:i/>
                <w:iCs/>
              </w:rPr>
              <w:t>Elono Musko</w:t>
            </w:r>
            <w:r w:rsidRPr="002C61E4">
              <w:t xml:space="preserve"> iniciatyvas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be kita ko, reaguojant į neseniai priimtą bendrovės „Meta“ sprendimą dėl faktų tikrinimo mechanizmų;</w:t>
            </w:r>
          </w:p>
        </w:tc>
        <w:tc>
          <w:tcPr>
            <w:tcW w:w="4876" w:type="dxa"/>
            <w:tcBorders>
              <w:top w:val="nil"/>
              <w:left w:val="nil"/>
              <w:bottom w:val="nil"/>
              <w:right w:val="nil"/>
            </w:tcBorders>
          </w:tcPr>
          <w:p w:rsidR="00E82389" w:rsidRPr="002C61E4" w:rsidRDefault="00E82389" w:rsidP="003B0113">
            <w:pPr>
              <w:pStyle w:val="Normal6a"/>
            </w:pPr>
            <w:r w:rsidRPr="002C61E4">
              <w:t>25.</w:t>
            </w:r>
            <w:r w:rsidRPr="002C61E4">
              <w:tab/>
              <w:t>yra susirūpinęs dėl užsienio šalių kišimosi veiklos, vykdomos valstybėse narėse, įskaitant manipuliavimą socialiniais tinklais ir dezinformaciją; atkreipia dėmesį į nepriimtinas iniciatyvas</w:t>
            </w:r>
            <w:r w:rsidRPr="002C61E4">
              <w:rPr>
                <w:b/>
                <w:bCs/>
                <w:i/>
                <w:iCs/>
              </w:rPr>
              <w:t>, be kita ko, siūlomas Elono Musko,</w:t>
            </w:r>
            <w:r w:rsidRPr="002C61E4">
              <w:t xml:space="preserve"> naudotis socialinės žiniasklaidos platformomis siekiant manipuliuoti visuomenės nuomone įvairiose valstybėse narėse; ragina Komisiją ir valstybes nares tai stebėti ir taikyti Skaitmeninių paslaugų aktą</w:t>
            </w:r>
            <w:r w:rsidRPr="002C61E4">
              <w:rPr>
                <w:vertAlign w:val="superscript"/>
              </w:rPr>
              <w:t>44</w:t>
            </w:r>
            <w:r w:rsidRPr="002C61E4">
              <w:t xml:space="preserve"> ir Skaitmeninių rinkų aktą</w:t>
            </w:r>
            <w:r w:rsidRPr="002C61E4">
              <w:rPr>
                <w:vertAlign w:val="superscript"/>
              </w:rPr>
              <w:t>45</w:t>
            </w:r>
            <w:r w:rsidRPr="002C61E4">
              <w:t>, be kita ko, reaguojant į neseniai priimtą bendrovės „Meta“ sprendimą dėl faktų tikrinimo mechanizmų;</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44</w:t>
            </w:r>
            <w:r w:rsidRPr="002C61E4">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45</w:t>
            </w:r>
            <w:r w:rsidRPr="002C61E4">
              <w:t xml:space="preserve"> 2022 m. rugsėjo 14 d. Europos Parlamento ir Tarybos reglamentas (ES) 2022/1925 dėl atvirų konkurencijai ir sąžiningų skaitmeninio sektoriaus rinkų, kuriuo iš dalies keičiamos direktyvos (ES) 2019/1937 ir (ES) 2020/1828 (Skaitmeninių rinkų aktas) (OL L 265, 2022 10 12, p. 1, ELI: https://data.europa.eu/eli/reg/2022/1925/oj).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596</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25a.</w:t>
            </w:r>
            <w:r w:rsidRPr="002C61E4">
              <w:tab/>
            </w:r>
            <w:r w:rsidRPr="002C61E4">
              <w:rPr>
                <w:b/>
                <w:i/>
              </w:rPr>
              <w:t>pabrėžia, kad reikia kovoti su koordinuotomis dezinformacijos kampanijomis, pavyzdžiui, trolių tinklais, kurie, kaip nustatyta, daro įtaką viešajai nuomonei prieš rinkimus; pabrėžia, kad svarbu veiksmingai įgyvendinti Skaitmeninių paslaugų aktą (SPA) ir užtikrinti, kad platformos imtųsi proaktyvių priemonių, kuriomis būtų kovojama su melagingų naratyvų sklaida; ragina Komisiją užtikrinti, kad būtų laikomasi SPA įpareigojimų dėl algoritmų skaidrumo ir rizikos mažinimo;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25a.</w:t>
            </w:r>
            <w:r w:rsidRPr="002C61E4">
              <w:tab/>
            </w:r>
            <w:r w:rsidRPr="002C61E4">
              <w:rPr>
                <w:b/>
                <w:i/>
              </w:rPr>
              <w:t>palankiai vertina numanomą bendrovės „Meta“ sprendimą faktų tikrintojus pakeisti bendruomenės pastabomis, panašiomis į naudojamas socialiniame tinkle „X“; laikosi nuomonės, kad faktų tikrinimo tinklai neveikė nešališkai; mano, kad žodžio laisvei labai svarbu užtikrinti vienodas galimybes be cenzūros reikšti savo nuomonę, laikantis skirtingų požiūrių;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598</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25a.</w:t>
            </w:r>
            <w:r w:rsidRPr="002C61E4">
              <w:tab/>
            </w:r>
            <w:r w:rsidRPr="002C61E4">
              <w:rPr>
                <w:b/>
                <w:i/>
              </w:rPr>
              <w:t>pabrėžia, kad reikia skaidresnio ir labiau subalansuoto požiūrio į užsienio kišimosi, ypač į socialinę žiniasklaidą, problemą. Komisija turėtų vengti politizuoti diskusijas nukreipdama jas prieš konkrečius asmenis ar tam tikras politines kryptis, kaip tai daroma išpuolių prieš privačius piliečius atveju;</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599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25a.</w:t>
            </w:r>
            <w:r w:rsidRPr="002C61E4">
              <w:tab/>
            </w:r>
            <w:r w:rsidRPr="002C61E4">
              <w:rPr>
                <w:b/>
                <w:i/>
              </w:rPr>
              <w:t>mano, kad priemonės, kuriomis siekiama atimti iš opozicijos finansavimą ir kurios prieštarauja teismo sprendimams, yra nepriimtinos; pažymi, kad toks požiūris pažeidžia demokratijos principus ir labai iškraipo rinkimų procesą, o tai kenkia rinkimų rezultatams; ragina Demokratinių institucijų ir žmogaus teisių biurą (ODIHR), stebint rinkimus Lenkijoje, atkreipti dėmesį į šiuos kaltinimus;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25a.</w:t>
            </w:r>
            <w:r w:rsidRPr="002C61E4">
              <w:tab/>
            </w:r>
            <w:r w:rsidRPr="002C61E4">
              <w:rPr>
                <w:b/>
                <w:i/>
              </w:rPr>
              <w:t>pabrėžia, kokia svarbi yra akademinė laisvė, kaip neatsiejamas teisinės valstybės aspektas, ir ragina valstybes nares apsaugoti universitetus nuo politinio kišimosi ir užtikrinti institucijų autonomiją;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Raquel García Hermida-Van Der Walle, Fabienne Keller, Sophie Wilmès, Moritz Körner,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7 a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Šnipinėjimo programų naudojimas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Raquel García Hermida-Van Der Walle, Fabienne Keller, Sophie Wilmès, Moritz Körner,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25b.</w:t>
            </w:r>
            <w:r w:rsidRPr="002C61E4">
              <w:tab/>
            </w:r>
            <w:r w:rsidRPr="002C61E4">
              <w:rPr>
                <w:b/>
                <w:i/>
              </w:rPr>
              <w:t xml:space="preserve">apgailestauja, kad Taryba ir Komisija nesiėmė tolesnių veiksmų dėl 2023 m. birželio 15 d. Europos Parlamento rekomendacijos dėl neteisėto programos „Pegasus“ ir lygiaverčių šnipinėjimo programų naudojimo; primygtinai ragina Komisiją nedelsiant pateikti priemonių planą, kaip užkirsti </w:t>
            </w:r>
            <w:r w:rsidRPr="002C61E4">
              <w:rPr>
                <w:b/>
                <w:i/>
              </w:rPr>
              <w:lastRenderedPageBreak/>
              <w:t>kelią piktnaudžiavimui šnipinėjimo programomis ES, visapusiškai panaudojant visas turimas teisines priemones, numatytas Europos sutartyse;</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25b.</w:t>
            </w:r>
            <w:r w:rsidRPr="002C61E4">
              <w:tab/>
            </w:r>
            <w:r w:rsidRPr="002C61E4">
              <w:rPr>
                <w:b/>
                <w:i/>
              </w:rPr>
              <w:t>dar kartą reiškia susirūpinimą dėl kai kuriose valstybėse narėse vėl pasitaikančių antisemitinių veiksmų; apgailestauja dėl atvejų, kai teisėsaugos institucijos leido savo pareigūnams atsisakyti saugoti žydų institucijas ir bendruomenes; ragina tiek ES, tiek nacionaliniu lygmeniu nuolat stebėti antisemitinius neapykantos nusikaltimus, užkirsti jiems kelią ir patraukti už juos baudžiamojon atsakomybėn, taip pat apsaugoti žydų bendruomenes nuo priekabiavimo ar smurto;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25b.</w:t>
            </w:r>
            <w:r w:rsidRPr="002C61E4">
              <w:tab/>
            </w:r>
            <w:r w:rsidRPr="002C61E4">
              <w:rPr>
                <w:b/>
                <w:i/>
              </w:rPr>
              <w:t xml:space="preserve">reiškia didelį susirūpinimą dėl to, kad pagrindinės skaitmeninės platformos dažnai nepakankamai bendradarbiauja su nacionalinėmis teisėsaugos institucijomis, </w:t>
            </w:r>
            <w:r w:rsidRPr="002C61E4">
              <w:rPr>
                <w:b/>
                <w:i/>
              </w:rPr>
              <w:lastRenderedPageBreak/>
              <w:t>ypač mažesnėse valstybėse narėse, ir taip gali trukdyti neteisėtos veiklos internete tyrimams;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Hilde Vautmans, Nikola Minchev, Veronika Cifrová Ostrihoňová, Chloé Ridel, Abir Al-Sahlani, Fabienne Keller, Lucia Yar, Irena Joveva, Isabel Wiseler-Lima</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25a.</w:t>
            </w:r>
            <w:r w:rsidRPr="002C61E4">
              <w:tab/>
            </w:r>
            <w:r w:rsidRPr="002C61E4">
              <w:rPr>
                <w:b/>
                <w:i/>
              </w:rPr>
              <w:t>ragina Komisiją į Teisinės valstybės principo taikymo ataskaitos 3 ramstį (pliuralizmas ir žiniasklaidos laisvė) įtraukti specialų poskyrį dėl kovos su dezinformacija interneto platformose priemonių;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Nikola Minchev, Moritz Körner, Hilde Vautmans, Veronika Cifrová Ostrihoňová, Chloé Ridel, Abir Al-Sahlani, Alessandro Zan,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25b.</w:t>
            </w:r>
            <w:r w:rsidRPr="002C61E4">
              <w:tab/>
            </w:r>
            <w:r w:rsidRPr="002C61E4">
              <w:rPr>
                <w:b/>
                <w:i/>
              </w:rPr>
              <w:t>primena, kad reikia užtikrinti, jog valstybėms narėms ar nacionalinėms valdžios institucijoms naudojant stebėjimo programinę įrangą būtų taikomos patikimos duomenų apsaugos priemonės; primena, kad šnipinėjimo programų naudojimas turi būti proporcingas;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25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25a.</w:t>
            </w:r>
            <w:r w:rsidRPr="002C61E4">
              <w:tab/>
            </w:r>
            <w:r w:rsidRPr="002C61E4">
              <w:rPr>
                <w:b/>
                <w:i/>
              </w:rPr>
              <w:t>pripažįsta, kad Komisijos teisinės valstybės principo taikymo ataskaita nuo jos įdiegimo 2020 m. tapo išsamesnė; vis dėlto apgailestauja dėl to, kad pagrindiniai 2016 m. Parlamento rezoliucijos elementai dar neįgyvendinti ir kad Komisija nevisiškai atsižvelgė į ankstesnėse Parlamento rezoliucijose pateiktas rekomendacijas; mano, kad šios rekomendacijos tebegalioja, ir pakartoja jas; ragina į metinę ataskaitą įtraukti svarbius Venecijos komisijos teisinės valstybės kontrolinio sąrašo elementus, pavyzdžiui, piktnaudžiavimo įgaliojimais prevenciją, lygybę prieš įstatymą ir nediskriminavimą; pakartoja savo poziciją, kad ataskaita turėtų apimti visą ES sutarties 2 straipsnyje nustatytų vertybių taikymo sritį, nes jų negalima vertinti atskirai; ragina Komisiją kitais metais išplėsti ataskaitos taikymo sritį;</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Nikola Minchev, Moritz Körner, Hilde Vautmans, Veronika Cifrová Ostrihoňová, Chloé Ridel, Abir Al-Sahlani, Fabienne Keller, Lucia Yar, Irena Joveva, Isabel Wiseler-Lima</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8 a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ragina valstybes nares imtis visų priemonių teisinės valstybės kultūrai puoselėti rengiant informavimo kampanijas, informavimo iniciatyvas ir bet kokius veiksmus, kuriais siekiama skatinti demokratines vertybes ir principus;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609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Nikola Minchev, Moritz Körner, Hilde Vautmans, Veronika Cifrová Ostrihoňová, Chloé Ridel, Abir Al-Sahlani,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8 b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susirūpinęs pažymi, kad nors kai kurios teismų sistemos gali atrodyti tvirtos popieriuje, tai ne visada atitinka realią padėtį vietoje; ragina Komisiją kuo dažniau rengti apsilankymus vietoje ir nuolat stebėti įvykius vietoje; prašo Komisijos pateikti vertinimą, pagrįstą ne tik teisės aktų pakeitimais, bet ir konkrečiais bei nepriklausomais jų praktinio įgyvendinimo įrodymais;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Nikola Minchev, Moritz Körner, Hilde Vautmans, Veronika Cifrová Ostrihoňová, Chloé Ridel, Abir Al-Sahlani,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8 c paantraštė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prašo Komisijos išnagrinėti, kaip visas su teisine valstybe ar pagrindinėmis teisėmis susijusias ataskaitas, pavyzdžiui, metines ataskaitas dėl Chartijos laikymosi arba Europos Sąjungos pagrindinių teisių agentūros ataskaitą, būtų galima skelbti panašiu laiku, kad vienu metu būtų galima surengti visuotines diskusijas šiais klausimais;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r>
            <w:r w:rsidRPr="002C61E4">
              <w:rPr>
                <w:b/>
                <w:bCs/>
                <w:i/>
                <w:iCs/>
              </w:rPr>
              <w:t>ragina Komisiją vartoti aiškesnę kalbą vertinant, ar laikomasi</w:t>
            </w:r>
            <w:r w:rsidRPr="002C61E4">
              <w:t xml:space="preserve"> ES sutarties 2 straipsnyje </w:t>
            </w:r>
            <w:r w:rsidRPr="002C61E4">
              <w:rPr>
                <w:b/>
                <w:bCs/>
                <w:i/>
                <w:iCs/>
              </w:rPr>
              <w:t>įtvirtintų vertybių</w:t>
            </w:r>
            <w:r w:rsidRPr="002C61E4">
              <w:t xml:space="preserve">; ragina daugiau dėmesio skirti konkrečioms šalims skirtų rekomendacijų įgyvendinimui, taikant tolesnių veiksmų mechanizmus </w:t>
            </w:r>
            <w:r w:rsidRPr="002C61E4">
              <w:rPr>
                <w:b/>
                <w:bCs/>
                <w:i/>
                <w:iCs/>
              </w:rPr>
              <w:t>ir išmatuojamus kriterijus</w:t>
            </w:r>
            <w:r w:rsidRPr="002C61E4">
              <w:t xml:space="preserve">; siūlo sukurti visapusišką teisinės valstybės principo taikymo stebėsenos mechanizmą, kuriame dalyvautų visos ES institucijos, valstybės narės ir šalys kandidatės, siekiant skatinti vienodumą; siūlo </w:t>
            </w:r>
            <w:r w:rsidRPr="002C61E4">
              <w:rPr>
                <w:b/>
                <w:bCs/>
                <w:i/>
                <w:iCs/>
              </w:rPr>
              <w:t>sukurti nuolatinę grupę, kuri stebėtų, ar</w:t>
            </w:r>
            <w:r w:rsidRPr="002C61E4">
              <w:t xml:space="preserve"> valstybės narės </w:t>
            </w:r>
            <w:r w:rsidRPr="002C61E4">
              <w:rPr>
                <w:b/>
                <w:bCs/>
                <w:i/>
                <w:iCs/>
              </w:rPr>
              <w:t>nepažeidžia</w:t>
            </w:r>
            <w:r w:rsidRPr="002C61E4">
              <w:t xml:space="preserve">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r>
            <w:r w:rsidRPr="002C61E4">
              <w:rPr>
                <w:b/>
                <w:bCs/>
                <w:i/>
                <w:iCs/>
              </w:rPr>
              <w:t>primena, kad Europos Sąjungos šūkis yra „Suvienijusi įvairovę“, ir atkreipia Komisijos dėmesį į tai, kad ji turėtų atsižvelgti į skirtingas valstybių narių tradicijas, politines ir vyriausybines struktūras ir unikalius ypatumus, susijusius su</w:t>
            </w:r>
            <w:r w:rsidRPr="002C61E4">
              <w:t xml:space="preserve"> ES sutarties 2 straipsnyje </w:t>
            </w:r>
            <w:r w:rsidRPr="002C61E4">
              <w:rPr>
                <w:b/>
                <w:bCs/>
                <w:i/>
                <w:iCs/>
              </w:rPr>
              <w:t>įtvirtintomis vertybėmis</w:t>
            </w:r>
            <w:r w:rsidRPr="002C61E4">
              <w:t xml:space="preserve">; ragina daugiau dėmesio skirti </w:t>
            </w:r>
            <w:r w:rsidRPr="002C61E4">
              <w:rPr>
                <w:b/>
                <w:bCs/>
                <w:i/>
                <w:iCs/>
              </w:rPr>
              <w:t>nešališkumui ir atsisakyti dvigubų standartų taikymo valstybėms narėms, ypač toms suverenioms vyriausybėms, kurių Europos vystymosi vizijos skiriasi nuo federalistinės ir kairiųjų ir liberalų daugumos Briuselyje, ir mano, kad šantažo politika, susijusi su</w:t>
            </w:r>
            <w:r w:rsidRPr="002C61E4">
              <w:t xml:space="preserve"> konkrečioms šalims skirtų rekomendacijų </w:t>
            </w:r>
            <w:r w:rsidRPr="002C61E4">
              <w:rPr>
                <w:b/>
                <w:bCs/>
                <w:i/>
                <w:iCs/>
              </w:rPr>
              <w:t>įgyvendinimu</w:t>
            </w:r>
            <w:r w:rsidRPr="002C61E4">
              <w:t>, taikant tolesnių veiksmų mechanizmus</w:t>
            </w:r>
            <w:r w:rsidRPr="002C61E4">
              <w:rPr>
                <w:b/>
                <w:bCs/>
                <w:i/>
                <w:iCs/>
              </w:rPr>
              <w:t>, yra nepriimtina</w:t>
            </w:r>
            <w:r w:rsidRPr="002C61E4">
              <w:t>; siūlo sukurti visapusišką teisinės valstybės principo taikymo stebėsenos mechanizmą, kuriame dalyvautų visos ES institucijos, valstybės narės ir šalys kandidatės, siekiant skatinti vienodumą; siūlo</w:t>
            </w:r>
            <w:r w:rsidRPr="002C61E4">
              <w:rPr>
                <w:b/>
                <w:bCs/>
                <w:i/>
                <w:iCs/>
              </w:rPr>
              <w:t>, kad</w:t>
            </w:r>
            <w:r w:rsidRPr="002C61E4">
              <w:t xml:space="preserve"> valstybės narės </w:t>
            </w:r>
            <w:r w:rsidRPr="002C61E4">
              <w:rPr>
                <w:b/>
                <w:bCs/>
                <w:i/>
                <w:iCs/>
              </w:rPr>
              <w:t xml:space="preserve">sukurtų nuolatinę grupę, kuri </w:t>
            </w:r>
            <w:r w:rsidRPr="002C61E4">
              <w:rPr>
                <w:b/>
                <w:bCs/>
                <w:i/>
                <w:iCs/>
              </w:rPr>
              <w:lastRenderedPageBreak/>
              <w:t>stebėtų</w:t>
            </w:r>
            <w:r w:rsidRPr="002C61E4">
              <w:t xml:space="preserve"> teisinės valstybės principo </w:t>
            </w:r>
            <w:r w:rsidRPr="002C61E4">
              <w:rPr>
                <w:b/>
                <w:bCs/>
                <w:i/>
                <w:iCs/>
              </w:rPr>
              <w:t>pažeidimus</w:t>
            </w:r>
            <w:r w:rsidRPr="002C61E4">
              <w:t>;</w:t>
            </w:r>
            <w:r w:rsidRPr="002C61E4">
              <w:rPr>
                <w:b/>
                <w:i/>
              </w:rPr>
              <w:t xml:space="preserve"> </w:t>
            </w:r>
            <w:r w:rsidRPr="002C61E4">
              <w:rPr>
                <w:b/>
                <w:bCs/>
                <w:i/>
                <w:iCs/>
              </w:rPr>
              <w:t>mano, kad dabar, kai ataskaitos skelbiamos jau kelerius metus, tai yra aklavietė, kuri didina valstybių narių nesantaiką ir yra politinio šantažo priemonė, politizuoja Komisiją ir mažina visuomenės pasitikėjimą ES projektu;</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r>
            <w:r w:rsidRPr="002C61E4">
              <w:rPr>
                <w:b/>
                <w:i/>
              </w:rPr>
              <w:t>pripažįsta, kad Komisijos teisinės valstybės principo taikymo ataskaita yra pagrindinė prevencinė priemonė, skirta stebėti teisinės valstybės padėtį visoje ES, palengvinti valstybių narių dialogą ir vadovauti reformoms tokiose srityse kaip teismų nepriklausomumas, kova su korupcija, žiniasklaidos laisvė, stabdžiai ir atsvaros;</w:t>
            </w:r>
            <w:r w:rsidRPr="002C61E4">
              <w:t xml:space="preserve"> 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r w:rsidRPr="002C61E4">
              <w:rPr>
                <w:b/>
                <w:bCs/>
                <w:i/>
                <w:iCs/>
              </w:rPr>
              <w:t xml:space="preserve">, pasitelkiant visiškai nepriklausomą ir nešališką mechanizmą, kuris skaidriai ir viešai prieinamu būdu stebėtų ir sektų, kaip įgyvendinamos teisinės valstybės principo </w:t>
            </w:r>
            <w:r w:rsidRPr="002C61E4">
              <w:rPr>
                <w:b/>
                <w:bCs/>
                <w:i/>
                <w:iCs/>
              </w:rPr>
              <w:lastRenderedPageBreak/>
              <w:t>taikymo ataskaitoje pateiktos rekomendacijos;</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Nikola Minchev, Moritz Körner, Hilde Vautmans, Veronika Cifrová Ostrihoňová, Chloé Ridel, Abir Al-Sahlani, Fabienne Keller, Lucia Yar, Irena Joveva, Isabel Wiseler-Lima, Daniel Freund</w:t>
      </w:r>
      <w:r w:rsidRPr="002C61E4">
        <w:rPr>
          <w:rStyle w:val="HideTWBExt"/>
          <w:b w:val="0"/>
        </w:rPr>
        <w:t>&lt;/Members&gt;</w:t>
      </w:r>
    </w:p>
    <w:p w:rsidR="00E82389" w:rsidRPr="002C61E4" w:rsidRDefault="00E82389" w:rsidP="00E82389">
      <w:r w:rsidRPr="002C61E4">
        <w:rPr>
          <w:rStyle w:val="HideTWBExt"/>
        </w:rPr>
        <w:t>&lt;AuNomDe&gt;</w:t>
      </w:r>
      <w:r w:rsidRPr="002C61E4">
        <w:rPr>
          <w:rStyle w:val="HideTWBInt"/>
        </w:rPr>
        <w:t>{LIBE}</w:t>
      </w:r>
      <w:r w:rsidRPr="002C61E4">
        <w:t>Piliečių laisvių, teisingumo ir vidaus reikalų komiteto vardu</w:t>
      </w:r>
      <w:r w:rsidRPr="002C61E4">
        <w:rPr>
          <w:rStyle w:val="HideTWBExt"/>
        </w:rPr>
        <w:t>&lt;/AuNomDe&gt;</w:t>
      </w:r>
    </w:p>
    <w:p w:rsidR="00E82389" w:rsidRPr="002C61E4" w:rsidRDefault="00E82389" w:rsidP="00E82389">
      <w:pPr>
        <w:pStyle w:val="NormalBold"/>
      </w:pPr>
      <w:r w:rsidRPr="002C61E4">
        <w:rPr>
          <w:rStyle w:val="HideTWBExt"/>
          <w:b w:val="0"/>
        </w:rPr>
        <w:t>&lt;Members&gt;</w:t>
      </w:r>
      <w:r w:rsidRPr="002C61E4">
        <w:t>Sophie Wilmès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w:t>
            </w:r>
            <w:r w:rsidRPr="002C61E4">
              <w:rPr>
                <w:b/>
                <w:bCs/>
                <w:i/>
                <w:iCs/>
              </w:rPr>
              <w:t>, mažiau diplomatinę ir tikslesnę</w:t>
            </w:r>
            <w:r w:rsidRPr="002C61E4">
              <w:t xml:space="preserve"> kalbą vertinant, ar laikomasi </w:t>
            </w:r>
            <w:r w:rsidRPr="002C61E4">
              <w:rPr>
                <w:b/>
                <w:bCs/>
                <w:i/>
                <w:iCs/>
              </w:rPr>
              <w:t>teisinės valstybės principo;</w:t>
            </w:r>
            <w:r w:rsidRPr="002C61E4">
              <w:rPr>
                <w:b/>
                <w:i/>
              </w:rPr>
              <w:t xml:space="preserve"> </w:t>
            </w:r>
            <w:r w:rsidRPr="002C61E4">
              <w:rPr>
                <w:b/>
                <w:bCs/>
                <w:i/>
                <w:iCs/>
              </w:rPr>
              <w:t>ragina valstybes nares visapusiškai laikytis</w:t>
            </w:r>
            <w:r w:rsidRPr="002C61E4">
              <w:t xml:space="preserve"> ES sutarties 2 straipsnyje įtvirtintų vertybių;</w:t>
            </w:r>
            <w:r w:rsidRPr="002C61E4">
              <w:rPr>
                <w:b/>
                <w:i/>
              </w:rPr>
              <w:t xml:space="preserve"> </w:t>
            </w:r>
            <w:r w:rsidRPr="002C61E4">
              <w:rPr>
                <w:b/>
                <w:bCs/>
                <w:i/>
                <w:iCs/>
              </w:rPr>
              <w:t>apgailestauja dėl dirbtinai vienodai valstybėms narėms paskirstytų rekomendacijų ir dėl to, kad nesiskiria rekomendacijos, kuriomis sprendžiamos sisteminės ar rimtos problemos, ir mažiau svarbios rekomendacijos;</w:t>
            </w:r>
            <w:r w:rsidRPr="002C61E4">
              <w:t xml:space="preserve">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w:t>
            </w:r>
            <w:r w:rsidRPr="002C61E4">
              <w:rPr>
                <w:b/>
                <w:bCs/>
                <w:i/>
                <w:iCs/>
              </w:rPr>
              <w:t>, papildomumą ir sinergiją</w:t>
            </w:r>
            <w:r w:rsidRPr="002C61E4">
              <w:t>; siūlo sukurti nuolatinę grupę, kuri stebėtų, ar valstybės narės nepažeidžia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614</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w:t>
            </w:r>
            <w:r w:rsidRPr="002C61E4">
              <w:rPr>
                <w:b/>
                <w:bCs/>
                <w:i/>
                <w:iCs/>
              </w:rPr>
              <w:t>;</w:t>
            </w:r>
            <w:r w:rsidRPr="002C61E4">
              <w:t xml:space="preserve"> </w:t>
            </w:r>
            <w:r w:rsidRPr="002C61E4">
              <w:rPr>
                <w:b/>
                <w:i/>
              </w:rPr>
              <w:t>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laikomasi ES sutarties 2 straipsnyje įtvirtintų vertybių; </w:t>
            </w:r>
            <w:r w:rsidRPr="002C61E4">
              <w:rPr>
                <w:b/>
                <w:bCs/>
                <w:i/>
                <w:iCs/>
              </w:rPr>
              <w:t>ragina daugiau dėmesio skirti konkrečioms šalims skirtų</w:t>
            </w:r>
            <w:r w:rsidRPr="002C61E4">
              <w:t xml:space="preserve"> rekomendacijų </w:t>
            </w:r>
            <w:r w:rsidRPr="002C61E4">
              <w:rPr>
                <w:b/>
                <w:bCs/>
                <w:i/>
                <w:iCs/>
              </w:rPr>
              <w:t>įgyvendinimui, taikant tolesnių veiksmų mechanizmus ir išmatuojamus kriterijus</w:t>
            </w:r>
            <w:r w:rsidRPr="002C61E4">
              <w:t>;</w:t>
            </w:r>
            <w:r w:rsidRPr="002C61E4">
              <w:rPr>
                <w:b/>
                <w:i/>
              </w:rPr>
              <w:t xml:space="preserve"> siūlo sukurti visapusišką teisinės valstybės principo taikymo stebėsenos mechanizmą, kuriame dalyvautų visos ES institucijos, valstybės narės ir šalys kandidatės, siekiant skatinti vienodumą; </w:t>
            </w:r>
            <w:r w:rsidRPr="002C61E4">
              <w:rPr>
                <w:b/>
                <w:bCs/>
                <w:i/>
                <w:iCs/>
              </w:rPr>
              <w:t xml:space="preserve">siūlo sukurti nuolatinę grupę, kuri stebėtų, ar valstybės narės nepažeidžia teisinės valstybės </w:t>
            </w:r>
            <w:r w:rsidRPr="002C61E4">
              <w:rPr>
                <w:b/>
                <w:bCs/>
                <w:i/>
                <w:iCs/>
              </w:rPr>
              <w:lastRenderedPageBreak/>
              <w:t>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lastRenderedPageBreak/>
              <w:t>26.</w:t>
            </w:r>
            <w:r w:rsidRPr="002C61E4">
              <w:tab/>
              <w:t xml:space="preserve">ragina Komisiją vartoti aiškesnę kalbą vertinant, ar laikomasi ES sutarties 2 straipsnyje įtvirtintų vertybių; </w:t>
            </w:r>
            <w:r w:rsidRPr="002C61E4">
              <w:rPr>
                <w:b/>
                <w:bCs/>
                <w:i/>
                <w:iCs/>
              </w:rPr>
              <w:t>patvirtina, kad metinė teisinės valstybės principo taikymo ataskaita pati savaime nėra tikslas, nes padėties stebėjimo nepakanka, o veikiau turėtų būti imamasi konkrečių vykdymo užtikrinimo veiksmų, susijusių su nustatytais trūkumais, ypač tais atvejais, kai ne visiškai laikomasi</w:t>
            </w:r>
            <w:r w:rsidRPr="002C61E4">
              <w:t xml:space="preserve"> rekomendacijų;</w:t>
            </w:r>
            <w:r w:rsidRPr="002C61E4">
              <w:rPr>
                <w:b/>
                <w:i/>
              </w:rPr>
              <w:t xml:space="preserve"> pakartoja, kad reikia nustatyti rekomendacijų įgyvendinimo tvarkaraštį, tikslus ir konkrečius veiksmus, taip pat išsamiai nurodyti </w:t>
            </w:r>
            <w:r w:rsidRPr="002C61E4">
              <w:rPr>
                <w:b/>
                <w:i/>
              </w:rPr>
              <w:lastRenderedPageBreak/>
              <w:t>galimas jų nesilaikymo pasekmes, įskaitant nuorodą į konkrečias priemonių rinkinio priemones, įskaitant biudžetines priemones</w:t>
            </w:r>
            <w:r w:rsidRPr="002C61E4">
              <w:t xml:space="preserve">; </w:t>
            </w:r>
            <w:r w:rsidRPr="002C61E4">
              <w:rPr>
                <w:b/>
                <w:i/>
              </w:rPr>
              <w:t>mano, kad dėl tam tikrų vertybių nesilaikymo reikia nedelsiant imtis vykdymo užtikrinimo veiksmų, o dėl kitų pažeidimų reikia skubiai įgyvendinti rekomendacijas;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r>
            <w:r w:rsidRPr="002C61E4">
              <w:rPr>
                <w:b/>
                <w:bCs/>
                <w:i/>
                <w:iCs/>
              </w:rPr>
              <w:t>ragina Komisiją vartoti aiškesnę kalbą vertinant, ar laikomasi ES sutarties 2 straipsnyje įtvirtintų vertybių;</w:t>
            </w:r>
            <w:r w:rsidRPr="002C61E4">
              <w:rPr>
                <w:b/>
                <w:i/>
              </w:rPr>
              <w:t xml:space="preserve"> </w:t>
            </w:r>
            <w:r w:rsidRPr="002C61E4">
              <w:rPr>
                <w:b/>
                <w:bCs/>
                <w:i/>
                <w:iCs/>
              </w:rPr>
              <w:t>ragina daugiau dėmesio skirti konkrečioms šalims skirtų rekomendacijų įgyvendinimui, taikant tolesnių veiksmų</w:t>
            </w:r>
            <w:r w:rsidRPr="002C61E4">
              <w:t xml:space="preserve"> mechanizmus </w:t>
            </w:r>
            <w:r w:rsidRPr="002C61E4">
              <w:rPr>
                <w:b/>
                <w:bCs/>
                <w:i/>
                <w:iCs/>
              </w:rPr>
              <w:t>ir išmatuojamus kriterijus;</w:t>
            </w:r>
            <w:r w:rsidRPr="002C61E4">
              <w:rPr>
                <w:b/>
                <w:i/>
              </w:rPr>
              <w:t xml:space="preserve"> siūlo sukurti visapusišką teisinės valstybės principo taikymo stebėsenos mechanizmą, kuriame dalyvautų visos ES institucijos, valstybės narės ir šalys kandidatės, siekiant skatinti vienodumą; </w:t>
            </w:r>
            <w:r w:rsidRPr="002C61E4">
              <w:rPr>
                <w:b/>
                <w:bCs/>
                <w:i/>
                <w:iCs/>
              </w:rPr>
              <w:t>siūlo sukurti nuolatinę grupę, kuri stebėtų, ar valstybės narės nepažeidžia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r>
            <w:r w:rsidRPr="002C61E4">
              <w:rPr>
                <w:b/>
                <w:bCs/>
                <w:i/>
                <w:iCs/>
              </w:rPr>
              <w:t>primena, kad pagal Sutartis Komisija neturi kompetencijos kurti papildomus</w:t>
            </w:r>
            <w:r w:rsidRPr="002C61E4">
              <w:t xml:space="preserve"> mechanizmus </w:t>
            </w:r>
            <w:r w:rsidRPr="002C61E4">
              <w:rPr>
                <w:b/>
                <w:bCs/>
                <w:i/>
                <w:iCs/>
              </w:rPr>
              <w:t>teisinės valstybės principo laikymuisi valstybėse narėse stebėti</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lastRenderedPageBreak/>
              <w:t>26.</w:t>
            </w:r>
            <w:r w:rsidRPr="002C61E4">
              <w:tab/>
              <w:t>ragina Komisiją vartoti aiškesnę kalbą vertinant, ar laikomasi ES sutarties 2 straipsnyje įtvirtintų vertybių;</w:t>
            </w:r>
            <w:r w:rsidRPr="002C61E4">
              <w:rPr>
                <w:b/>
                <w:i/>
              </w:rPr>
              <w:t xml:space="preserve"> ragina daugiau dėmesio skirti konkrečioms šalims skirtų rekomendacijų įgyvendinimui, taikant tolesnių veiksmų mechanizmus ir išmatuojamus kriterijus;</w:t>
            </w:r>
            <w:r w:rsidRPr="002C61E4">
              <w:t xml:space="preserve"> siūlo </w:t>
            </w:r>
            <w:r w:rsidRPr="002C61E4">
              <w:rPr>
                <w:b/>
                <w:bCs/>
                <w:i/>
                <w:iCs/>
              </w:rPr>
              <w:t>sukurti visapusišką teisinės valstybės principo taikymo stebėsenos mechanizmą, kuriame dalyvautų visos</w:t>
            </w:r>
            <w:r w:rsidRPr="002C61E4">
              <w:t xml:space="preserve"> ES</w:t>
            </w:r>
            <w:r w:rsidRPr="002C61E4">
              <w:rPr>
                <w:b/>
                <w:bCs/>
                <w:i/>
                <w:iCs/>
              </w:rPr>
              <w:t xml:space="preserve"> institucijos, valstybės narės ir šalys kandidatės, siekiant skatinti vienodumą</w:t>
            </w:r>
            <w:r w:rsidRPr="002C61E4">
              <w:t>;</w:t>
            </w:r>
            <w:r w:rsidRPr="002C61E4">
              <w:rPr>
                <w:b/>
                <w:i/>
              </w:rPr>
              <w:t xml:space="preserve"> 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w:t>
            </w:r>
            <w:r w:rsidRPr="002C61E4">
              <w:rPr>
                <w:b/>
                <w:bCs/>
                <w:i/>
                <w:iCs/>
              </w:rPr>
              <w:t>, visuomet pagrįstų tinkamu teisiniu pagrindu</w:t>
            </w:r>
            <w:r w:rsidRPr="002C61E4">
              <w:t xml:space="preserve">; siūlo </w:t>
            </w:r>
            <w:r w:rsidRPr="002C61E4">
              <w:rPr>
                <w:b/>
                <w:bCs/>
                <w:i/>
                <w:iCs/>
              </w:rPr>
              <w:t>visas</w:t>
            </w:r>
            <w:r w:rsidRPr="002C61E4">
              <w:t xml:space="preserve"> ES </w:t>
            </w:r>
            <w:r w:rsidRPr="002C61E4">
              <w:rPr>
                <w:b/>
                <w:bCs/>
                <w:i/>
                <w:iCs/>
              </w:rPr>
              <w:t>institucijas vertinti taip pat kaip valstybes nares</w:t>
            </w:r>
            <w:r w:rsidRPr="002C61E4">
              <w:t>;</w:t>
            </w:r>
            <w:r w:rsidRPr="002C61E4">
              <w:rPr>
                <w:b/>
                <w:i/>
              </w:rPr>
              <w:t>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Ewa Zajączkowska-Hernik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w:t>
            </w:r>
            <w:r w:rsidRPr="002C61E4">
              <w:rPr>
                <w:b/>
                <w:bCs/>
                <w:i/>
                <w:iCs/>
              </w:rPr>
              <w:t>;</w:t>
            </w:r>
            <w:r w:rsidRPr="002C61E4">
              <w:rPr>
                <w:b/>
                <w:i/>
              </w:rPr>
              <w:t xml:space="preserve"> ragina daugiau dėmesio skirti konkrečioms šalims skirtų rekomendacijų įgyvendinimui, taikant tolesnių veiksmų mechanizmus ir išmatuojamus kriterijus; </w:t>
            </w:r>
            <w:r w:rsidRPr="002C61E4">
              <w:rPr>
                <w:b/>
                <w:bCs/>
                <w:i/>
                <w:iCs/>
              </w:rPr>
              <w:t>siūlo sukurti visapusišką teisinės valstybės principo taikymo stebėsenos mechanizmą, kuriame dalyvautų visos ES institucijos, valstybės narės ir šalys kandidatės</w:t>
            </w:r>
            <w:r w:rsidRPr="002C61E4">
              <w:t xml:space="preserve">, siekiant skatinti vienodumą; </w:t>
            </w:r>
            <w:r w:rsidRPr="002C61E4">
              <w:rPr>
                <w:b/>
                <w:i/>
              </w:rPr>
              <w:t>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 siekiant skatinti vienodumą;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619</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laikomasi ES sutarties 2 straipsnyje įtvirtintų vertybių; ragina daugiau dėmesio skirti konkrečioms šalims skirtų rekomendacijų įgyvendinimui, taikant tolesnių veiksmų mechanizmus ir išmatuojamus kriterijus; </w:t>
            </w:r>
            <w:r w:rsidRPr="002C61E4">
              <w:rPr>
                <w:b/>
                <w:i/>
              </w:rPr>
              <w:t>mano, kad sistemingas konkrečioms šalims skirtų rekomendacijų nesilaikymas turėtų būti sprendžiamas pasitelkiant kitas Komisijos turimas priemones, pavyzdžiui, finansavimo sąlygas;</w:t>
            </w:r>
            <w:r w:rsidRPr="002C61E4">
              <w:t xml:space="preserve">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laikomasi ES sutarties 2 straipsnyje įtvirtintų vertybių; </w:t>
            </w:r>
            <w:r w:rsidRPr="002C61E4">
              <w:rPr>
                <w:b/>
                <w:i/>
              </w:rPr>
              <w:t xml:space="preserve">ragina daugiau dėmesio skirti konkrečioms šalims skirtų rekomendacijų įgyvendinimui, taikant tolesnių veiksmų mechanizmus ir išmatuojamus kriterijus; </w:t>
            </w:r>
            <w:r w:rsidRPr="002C61E4">
              <w:rPr>
                <w:b/>
                <w:bCs/>
                <w:i/>
                <w:iCs/>
              </w:rPr>
              <w:t>siūlo sukurti visapusišką</w:t>
            </w:r>
            <w:r w:rsidRPr="002C61E4">
              <w:t xml:space="preserve"> teisinės valstybės </w:t>
            </w:r>
            <w:r w:rsidRPr="002C61E4">
              <w:rPr>
                <w:b/>
                <w:bCs/>
                <w:i/>
                <w:iCs/>
              </w:rPr>
              <w:t>principo taikymo</w:t>
            </w:r>
            <w:r w:rsidRPr="002C61E4">
              <w:t xml:space="preserve"> </w:t>
            </w:r>
            <w:r w:rsidRPr="002C61E4">
              <w:rPr>
                <w:b/>
                <w:bCs/>
                <w:i/>
                <w:iCs/>
              </w:rPr>
              <w:t>stebėsenos mechanizmą, kuriame dalyvautų visos</w:t>
            </w:r>
            <w:r w:rsidRPr="002C61E4">
              <w:t xml:space="preserve"> ES institucijos</w:t>
            </w:r>
            <w:r w:rsidRPr="002C61E4">
              <w:rPr>
                <w:b/>
                <w:bCs/>
                <w:i/>
                <w:iCs/>
              </w:rPr>
              <w:t xml:space="preserve">, </w:t>
            </w:r>
            <w:r w:rsidRPr="002C61E4">
              <w:rPr>
                <w:b/>
                <w:bCs/>
                <w:i/>
                <w:iCs/>
              </w:rPr>
              <w:lastRenderedPageBreak/>
              <w:t>valstybės narės ir šalys kandidatės, siekiant skatinti vienodumą</w:t>
            </w:r>
            <w:r w:rsidRPr="002C61E4">
              <w:t xml:space="preserve">; </w:t>
            </w:r>
            <w:r w:rsidRPr="002C61E4">
              <w:rPr>
                <w:b/>
                <w:i/>
              </w:rPr>
              <w:t>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lastRenderedPageBreak/>
              <w:t>26.</w:t>
            </w:r>
            <w:r w:rsidRPr="002C61E4">
              <w:tab/>
              <w:t xml:space="preserve">ragina Komisiją vartoti aiškesnę kalbą vertinant, ar laikomasi ES sutarties 2 straipsnyje įtvirtintų vertybių; </w:t>
            </w:r>
            <w:r w:rsidRPr="002C61E4">
              <w:rPr>
                <w:b/>
                <w:i/>
              </w:rPr>
              <w:t xml:space="preserve">pabrėžia, kad jokia diskusija dėl </w:t>
            </w:r>
            <w:r w:rsidRPr="002C61E4">
              <w:t xml:space="preserve">teisinės valstybės </w:t>
            </w:r>
            <w:r w:rsidRPr="002C61E4">
              <w:rPr>
                <w:b/>
                <w:bCs/>
                <w:i/>
                <w:iCs/>
              </w:rPr>
              <w:t>padėties ir jos peržiūra</w:t>
            </w:r>
            <w:r w:rsidRPr="002C61E4">
              <w:t xml:space="preserve"> </w:t>
            </w:r>
            <w:r w:rsidRPr="002C61E4">
              <w:rPr>
                <w:b/>
                <w:i/>
              </w:rPr>
              <w:t>negalima pažeisti Sutartyse numatytų teisinės valstybės mechanizmų ar</w:t>
            </w:r>
            <w:r w:rsidRPr="002C61E4">
              <w:t xml:space="preserve"> ES </w:t>
            </w:r>
            <w:r w:rsidRPr="002C61E4">
              <w:rPr>
                <w:b/>
                <w:i/>
              </w:rPr>
              <w:t>institucijų kompetencijos, kaip tai suprantama pagal ES steigimo sutarties 7 straipsnį</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w:t>
            </w:r>
            <w:r w:rsidRPr="002C61E4">
              <w:rPr>
                <w:b/>
                <w:bCs/>
                <w:i/>
                <w:iCs/>
              </w:rPr>
              <w:t>vartoti aiškesnę kalbą vertinant, ar laikomasi ES sutarties 2 straipsnyje įtvirtintų vertybių;</w:t>
            </w:r>
            <w:r w:rsidRPr="002C61E4">
              <w:rPr>
                <w:b/>
                <w:i/>
              </w:rPr>
              <w:t xml:space="preserve"> ragina daugiau dėmesio skirti konkrečioms šalims skirtų rekomendacijų įgyvendinimui, taikant tolesnių veiksmų mechanizmus ir išmatuojamus kriterijus; </w:t>
            </w:r>
            <w:r w:rsidRPr="002C61E4">
              <w:t xml:space="preserve">siūlo sukurti </w:t>
            </w:r>
            <w:r w:rsidRPr="002C61E4">
              <w:rPr>
                <w:b/>
                <w:bCs/>
                <w:i/>
                <w:iCs/>
              </w:rPr>
              <w:t>visapusišką</w:t>
            </w:r>
            <w:r w:rsidRPr="002C61E4">
              <w:t xml:space="preserve"> teisinės valstybės principo taikymo stebėsenos mechanizmą, kuriame dalyvautų visos ES institucijos, </w:t>
            </w:r>
            <w:r w:rsidRPr="002C61E4">
              <w:rPr>
                <w:b/>
                <w:bCs/>
                <w:i/>
                <w:iCs/>
              </w:rPr>
              <w:t>valstybės narės ir šalys kandidatės, siekiant skatinti vienodumą</w:t>
            </w:r>
            <w:r w:rsidRPr="002C61E4">
              <w:t>;</w:t>
            </w:r>
            <w:r w:rsidRPr="002C61E4">
              <w:rPr>
                <w:b/>
                <w:i/>
              </w:rPr>
              <w:t xml:space="preserve"> </w:t>
            </w:r>
            <w:r w:rsidRPr="002C61E4">
              <w:rPr>
                <w:b/>
                <w:bCs/>
                <w:i/>
                <w:iCs/>
              </w:rPr>
              <w:t>siūlo sukurti nuolatinę grupę, kuri stebėtų, ar valstybės narės nepažeidžia teisinės valstybės principo</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sukurti teisinės valstybės principo taikymo </w:t>
            </w:r>
            <w:r w:rsidRPr="002C61E4">
              <w:rPr>
                <w:b/>
                <w:bCs/>
                <w:i/>
                <w:iCs/>
              </w:rPr>
              <w:t>ir korupcijos</w:t>
            </w:r>
            <w:r w:rsidRPr="002C61E4">
              <w:t xml:space="preserve"> stebėsenos mechanizmą, kuriame dalyvautų visos ES institucijos, </w:t>
            </w:r>
            <w:r w:rsidRPr="002C61E4">
              <w:rPr>
                <w:b/>
                <w:bCs/>
                <w:i/>
                <w:iCs/>
              </w:rPr>
              <w:t>kad būtų užtikrintas skaidrumas ir atskaitomybė joms naudojantis savo kompetencija</w:t>
            </w:r>
            <w:r w:rsidRPr="002C61E4">
              <w:t>;</w:t>
            </w:r>
            <w:r w:rsidRPr="002C61E4">
              <w:rPr>
                <w:b/>
                <w:i/>
              </w:rPr>
              <w:t xml:space="preserve"> </w:t>
            </w:r>
            <w:r w:rsidRPr="002C61E4">
              <w:rPr>
                <w:b/>
                <w:bCs/>
                <w:i/>
                <w:iCs/>
              </w:rPr>
              <w:t>ragina sukurti mechanizmą, kuris leistų veiksmingai susigrąžinti visus nepagrįstai išleistus mokesčių mokėtojų pinigus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w:t>
            </w:r>
            <w:r w:rsidRPr="002C61E4">
              <w:lastRenderedPageBreak/>
              <w:t>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lastRenderedPageBreak/>
              <w:t>26.</w:t>
            </w:r>
            <w:r w:rsidRPr="002C61E4">
              <w:tab/>
            </w:r>
            <w:r w:rsidRPr="002C61E4">
              <w:rPr>
                <w:b/>
                <w:i/>
              </w:rPr>
              <w:t xml:space="preserve">prašo Komisijos aiškiai atskirti </w:t>
            </w:r>
            <w:r w:rsidRPr="002C61E4">
              <w:rPr>
                <w:b/>
                <w:i/>
              </w:rPr>
              <w:lastRenderedPageBreak/>
              <w:t>sisteminius ir pavienius teisinės valstybės principo pažeidimus valstybėse narėse;</w:t>
            </w:r>
            <w:r w:rsidRPr="002C61E4">
              <w:t xml:space="preserve"> 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Tom Vandendriessche</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w:t>
            </w:r>
            <w:r w:rsidRPr="002C61E4">
              <w:rPr>
                <w:b/>
                <w:bCs/>
                <w:i/>
                <w:iCs/>
              </w:rPr>
              <w:t>laikomasi</w:t>
            </w:r>
            <w:r w:rsidRPr="002C61E4">
              <w:t xml:space="preserve">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w:t>
            </w:r>
            <w:r w:rsidRPr="002C61E4">
              <w:rPr>
                <w:b/>
                <w:bCs/>
                <w:i/>
                <w:iCs/>
              </w:rPr>
              <w:t>tiek valstybės narės, tiek ES institucijos laikosi</w:t>
            </w:r>
            <w:r w:rsidRPr="002C61E4">
              <w:t xml:space="preserve"> ES sutarties 2 straipsnyje įtvirtintų vertybių; ragina daugiau dėmesio skirti konkrečioms šalims</w:t>
            </w:r>
            <w:r w:rsidRPr="002C61E4">
              <w:rPr>
                <w:b/>
                <w:bCs/>
                <w:i/>
                <w:iCs/>
              </w:rPr>
              <w:t xml:space="preserve"> ir konkrečioms ES institucijoms</w:t>
            </w:r>
            <w:r w:rsidRPr="002C61E4">
              <w:t xml:space="preserve">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624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Tomáš Zdechovský</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laikomasi ES sutarties 2 straipsnyje įtvirtintų vertybių; ragina daugiau dėmesio skirti konkrečioms šalims skirtų rekomendacijų įgyvendinimui, taikant tolesnių veiksmų mechanizmus ir išmatuojamus kriterijus; </w:t>
            </w:r>
            <w:r w:rsidRPr="002C61E4">
              <w:rPr>
                <w:b/>
                <w:bCs/>
                <w:i/>
                <w:iCs/>
              </w:rPr>
              <w:t>siūlo sukurti visapusišką</w:t>
            </w:r>
            <w:r w:rsidRPr="002C61E4">
              <w:t xml:space="preserve"> teisinės valstybės </w:t>
            </w:r>
            <w:r w:rsidRPr="002C61E4">
              <w:rPr>
                <w:b/>
                <w:bCs/>
                <w:i/>
                <w:iCs/>
              </w:rPr>
              <w:t>principo taikymo stebėsenos mechanizmą</w:t>
            </w:r>
            <w:r w:rsidRPr="002C61E4">
              <w:t xml:space="preserve">, </w:t>
            </w:r>
            <w:r w:rsidRPr="002C61E4">
              <w:rPr>
                <w:b/>
                <w:bCs/>
                <w:i/>
                <w:iCs/>
              </w:rPr>
              <w:t>kuriame</w:t>
            </w:r>
            <w:r w:rsidRPr="002C61E4">
              <w:t xml:space="preserve"> dalyvautų visos ES institucijos, valstybės narės ir šalys kandidatės, siekiant skatinti vienodumą; </w:t>
            </w:r>
            <w:r w:rsidRPr="002C61E4">
              <w:rPr>
                <w:b/>
                <w:i/>
              </w:rPr>
              <w:t>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laikomasi ES sutarties 2 straipsnyje įtvirtintų vertybių; ragina daugiau dėmesio skirti konkrečioms šalims skirtų rekomendacijų įgyvendinimui, taikant tolesnių veiksmų mechanizmus ir išmatuojamus kriterijus; </w:t>
            </w:r>
            <w:r w:rsidRPr="002C61E4">
              <w:rPr>
                <w:b/>
                <w:bCs/>
                <w:i/>
                <w:iCs/>
              </w:rPr>
              <w:t>ragina tobulinti</w:t>
            </w:r>
            <w:r w:rsidRPr="002C61E4">
              <w:t xml:space="preserve"> teisinės valstybės </w:t>
            </w:r>
            <w:r w:rsidRPr="002C61E4">
              <w:rPr>
                <w:b/>
                <w:bCs/>
                <w:i/>
                <w:iCs/>
              </w:rPr>
              <w:t>priemones</w:t>
            </w:r>
            <w:r w:rsidRPr="002C61E4">
              <w:t xml:space="preserve">, </w:t>
            </w:r>
            <w:r w:rsidRPr="002C61E4">
              <w:rPr>
                <w:b/>
                <w:bCs/>
                <w:i/>
                <w:iCs/>
              </w:rPr>
              <w:t>kuriose</w:t>
            </w:r>
            <w:r w:rsidRPr="002C61E4">
              <w:t xml:space="preserve"> dalyvautų visos ES institucijos, valstybės narės ir šalys kandidatės, siekiant skatinti vienodumą;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w:t>
            </w:r>
            <w:r w:rsidRPr="002C61E4">
              <w:rPr>
                <w:b/>
                <w:i/>
              </w:rPr>
              <w:t>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Michał Wawrykiewicz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26.</w:t>
            </w:r>
            <w:r w:rsidRPr="002C61E4">
              <w:tab/>
              <w:t>ragina Komisiją vartoti aiškesnę kalbą 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c>
          <w:tcPr>
            <w:tcW w:w="4876" w:type="dxa"/>
            <w:tcBorders>
              <w:top w:val="nil"/>
              <w:left w:val="nil"/>
              <w:bottom w:val="nil"/>
              <w:right w:val="nil"/>
            </w:tcBorders>
          </w:tcPr>
          <w:p w:rsidR="00E82389" w:rsidRPr="002C61E4" w:rsidRDefault="00E82389" w:rsidP="003B0113">
            <w:pPr>
              <w:pStyle w:val="Normal6a"/>
            </w:pPr>
            <w:r w:rsidRPr="002C61E4">
              <w:t>26.</w:t>
            </w:r>
            <w:r w:rsidRPr="002C61E4">
              <w:tab/>
              <w:t xml:space="preserve">ragina Komisiją vartoti aiškesnę kalbą </w:t>
            </w:r>
            <w:r w:rsidRPr="002C61E4">
              <w:rPr>
                <w:b/>
                <w:bCs/>
                <w:i/>
                <w:iCs/>
              </w:rPr>
              <w:t xml:space="preserve">ir skaidrias vertinimo taisykles </w:t>
            </w:r>
            <w:r w:rsidRPr="002C61E4">
              <w:t>vertinant, ar laikomasi ES sutarties 2 straipsnyje įtvirtintų vertybių; ragina daugiau dėmesio skirti konkrečioms šalims skirtų rekomendacijų įgyvendinimui, taikant tolesnių veiksmų mechanizmus ir išmatuojamus kriterijus; siūlo sukurti visapusišką teisinės valstybės principo taikymo stebėsenos mechanizmą, kuriame dalyvautų visos ES institucijos, valstybės narės ir šalys kandidatės, siekiant skatinti vienodumą; siūlo sukurti nuolatinę grupę, kuri stebėtų, ar valstybės narės nepažeidžia teisinės valstybės principo;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Marieke Ehlers, Jorge Buxadé Villalba, Tom Vandendriessche,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 xml:space="preserve">reiškia didelį susirūpinimą dėl Europos Parlamento Žaliųjų frakcijos bendrapirmininkio teiginių, paskelbtų jo 2024 m. gruodžio 11 d. tinklalaidėje, kurioje jis tvirtina, kad mainais už balsavimą už Komisijos narių kolegiją jam buvo duoti „svarbūs pažadai“ ir pažadėtos „vietos kabinetuose, kad mes taip pat gautume tam tikrų politinių </w:t>
            </w:r>
            <w:r w:rsidRPr="002C61E4">
              <w:rPr>
                <w:b/>
                <w:i/>
              </w:rPr>
              <w:lastRenderedPageBreak/>
              <w:t>postų“</w:t>
            </w:r>
            <w:r w:rsidRPr="002C61E4">
              <w:rPr>
                <w:b/>
                <w:i/>
                <w:vertAlign w:val="superscript"/>
              </w:rPr>
              <w:t>1a</w:t>
            </w:r>
            <w:r w:rsidRPr="002C61E4">
              <w:rPr>
                <w:b/>
                <w:i/>
              </w:rPr>
              <w:t>; pabrėžia, kad, jei jo teiginiai teisingi, tokia praktika neatitiktų SESV 245 straipsnio, kuriame aiškiai nurodyta, kad Komisijos nariai įsipareigoja gerbti savo nepriklausomumą ir vengti įtakos; primena, kad duodami priesaiką Komisijos nariai iškilmingai pareiškia, kad vykdydami savo pareigas jie yra visiškai nepriklausomi ir vykdydami savo užduotis nesiekia gauti ir nesilaiko jokios vyriausybės ar kitos institucijos, įstaigos, tarnybos ar subjekto nurodymų; mano, kad tai kelia rimtą susirūpinimą dėl teisinės valstybės principo taikymo;</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tc>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1a</w:t>
            </w:r>
            <w:r w:rsidRPr="002C61E4">
              <w:t xml:space="preserve"> </w:t>
            </w:r>
            <w:r w:rsidRPr="002C61E4">
              <w:rPr>
                <w:b/>
                <w:i/>
              </w:rPr>
              <w:t>https://podcasts.apple.com/be/podcast/frankrijk-en-duitsland-stuurloos-wie-neemt-de/id1449821985?i=1000680020503</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 xml:space="preserve">ragina Komisiją išnagrinėti visas galimybes įtraukti nepriklausomų ekspertų grupę į vėlesnius teisinės valstybės principo taikymo ataskaitos leidimus, kaip rekomendavo Parlamentas; dar kartą ragina Komisiją pasiūlyti FRA teikti metodines konsultacijas ir atlikti lyginamuosius tyrimus, siekiant pateikti išsamesnės informacijos apie pagrindines metinės ataskaitos sritis, atsižvelgiant į glaudų pagrindinių teisių ir teisinės valstybės principo ryšį; prašo Biuro, atsižvelgiant į tai, kad Komisija ir Taryba vengia to imtis, surengti viešųjų pirkimų procedūrą, kad, įgyvendinant ankstesnėse Parlamento rezoliucijose prisiimto </w:t>
            </w:r>
            <w:r w:rsidRPr="002C61E4">
              <w:rPr>
                <w:b/>
                <w:i/>
              </w:rPr>
              <w:lastRenderedPageBreak/>
              <w:t>įsipareigojimo, būtų galima įsteigti prie Parlamento veikiančią laikiną nepriklausomų ekspertų grupę, kuri teiktų Parlamentui konsultacijas dėl ES sutarties 2 straipsnyje nustatytų vertybių laikymosi įvairiose valstybėse narėse ir rodytų pavyzdį, kaip tokia grupė galėtų veikti praktikoje;</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629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Ana Catarina Mendes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primygtinai reikalauja, kad Komisijos 2025 m. teisinės valstybės principo taikymo ataskaita apimtų visą ES sutarties 2 straipsnio taikymo sritį ir į ją būtų įtraukti platesni rodikliai, pavyzdžiui, žiniasklaidos nepriklausomumas, pilietinės visuomenės vaidmuo, pagrindinės teisės (įskaitant seksualines ir reprodukcines teises), akademinė ir meninė laisvė, lyčių lygybė, mažumų ir pažeidžiamų grupių apsauga, pagarba tarptautinei teisei ir demokratinių institucijų veikimas, kad būtų galima susidaryti išsamesnį vaizdą apie teisinės valstybės standartus visoje ES;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Emma Rafowicz, Alessandro Zan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primygtinai reikalauja, kad ES sukurtų specialų finansavimo mechanizmą, kuriuo būtų remiamos pilietinės visuomenės organizacijos, vykdančios veiklą LGBTIQ+ asmenų teisių srityje; pabrėžia, kad pagal šį mechanizmą būtų galima skirti lėšų propagavimui, teisinei pagalbai ir informuotumo didinimo kampanijoms, kartu užtikrinant, kad šios organizacijos galėtų veikti be nepagrįstų apribojimų ar priekabiavimo; pabrėžia, kad ES turi stiprinti savo greitojo reagavimo mechanizmus, skirtus LGBTIQ+ asmenų žmogaus teisių gynėjams, kuriems gresia pavojus priešiškoje aplinkoje, apsaugoti;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pakartoja, kad teisinės valstybės mechanizmas visų pirma turėtų būti orientuotas į ES teisės taikymą ir pagrindinių teisių bei demokratinių principų apsaugą, vengiant naudoti išorės subjektų ir privačių organizacijų, besivadovaujančių ideologinėmis darbotvarkėmis, indėlį;</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apgailestauja, kad Komisija rengia metines Parlamento ir Tarybos ataskaitas savavališkai pasirinktais klausimais ir teikia rekomendacijas valstybėms narėms, nors Sutartyse jai nesuteikti jokie įgaliojimai šioje srityje;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ragina Komisiją paskelbti rengiant savo teisinės valstybės principo taikymo ataskaitą naudojamus kriterijus, pagal kuriuos atrenkama informacija iš pilietinės visuomenės, tarptautinių institucijų, nacionalinių valdžios institucijų ir kitų suinteresuotųjų subjektų;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Juan Fernando López Aguilar, Nacho Sánchez Amor, Javier Moreno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26a.</w:t>
            </w:r>
            <w:r w:rsidRPr="002C61E4">
              <w:tab/>
            </w:r>
            <w:r w:rsidRPr="002C61E4">
              <w:rPr>
                <w:b/>
                <w:i/>
              </w:rPr>
              <w:t xml:space="preserve">primygtinai ragina valstybes nares įgyvendinti ankstesnėse ataskaitose pateiktas rekomendacijas ir palankiai vertina tas valstybes nares, kurios ne tik jas įgyvendino, bet ir viršijo nustatytus </w:t>
            </w:r>
            <w:r w:rsidRPr="002C61E4">
              <w:rPr>
                <w:b/>
                <w:i/>
              </w:rPr>
              <w:lastRenderedPageBreak/>
              <w:t>standartus;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26b.</w:t>
            </w:r>
            <w:r w:rsidRPr="002C61E4">
              <w:tab/>
            </w:r>
            <w:r w:rsidRPr="002C61E4">
              <w:rPr>
                <w:b/>
                <w:i/>
              </w:rPr>
              <w:t>apgailestauja, kad eufemistinės kalbos vartojimas ir dirbtinai vienodas kiekvienai valstybei narei skirtų išvadų ir rekomendacijų skaičius slepia labai tikrus skirtumus tarp valstybių narių; nurodo, kad rekomendacijos turėtų geriau atspindėti ataskaitoje pateiktas neigiamas išvadas ir būti išsamesnės; dar kartą rekomenduoja atskirti sisteminius ir pavienius pažeidimus, kad būtų išvengta pavojaus sumenkinti pačius sunkiausius teisinės valstybės principo pažeidimus; ragina Komisiją patikslinti, kad jei valstybės narės tam tikrą laiką sistemingai, tyčia ir šiurkščiai pažeidžia ES sutarties 2 straipsnyje išvardytas vertybes, jos gali neatitikti visų kriterijų, pagal kuriuos apibrėžiama demokratija; mano, kad rekomendacijų įgyvendinimo vertinimas turėtų būti tikslesnis ir kokybiškesnis ir remtis ne tik teisės aktų pakeitimais, bet ir realiais bei nepriklausomais jų praktinio įgyvendinimo įrodymais;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lastRenderedPageBreak/>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26b.</w:t>
            </w:r>
            <w:r w:rsidRPr="002C61E4">
              <w:tab/>
            </w:r>
            <w:r w:rsidRPr="002C61E4">
              <w:rPr>
                <w:b/>
                <w:i/>
              </w:rPr>
              <w:t>ragina Komisiją pateikti labiau subalansuotą ir įrodymais pagrįstą teisinės valstybės padėties valstybėse narėse vertinimą, visapusiškai gerbiant nacionalinį suverenitetą ir kiekvienos valstybės narės teisines tradicijas; pažymi, kad daug nuorodų į kai kurių NVO išvadas reiškia, jog Komisija iš tikrųjų pavedė šioms organizacijoms atlikti ataskaitos rengimo darbus, nepatikrinusi jų teiginių faktinio tikslumo; ragina Komisiją ateityje atliekant vertinimus taikyti išsamesnę ir neutralesnę metodiką;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22b.</w:t>
            </w:r>
            <w:r w:rsidRPr="002C61E4">
              <w:tab/>
            </w:r>
            <w:r w:rsidRPr="002C61E4">
              <w:rPr>
                <w:b/>
                <w:i/>
              </w:rPr>
              <w:t xml:space="preserve">nepritaria Komisijos požiūriui į ataskaitos rengimą, dėl kurio Komisijos ataskaita pasižymi dideliu savavališkumu, nes aprašomieji skyriai yra sumaišyti su vertinimais ir jie nėra aiškiai atskirti; apgailestauja, kad Komisija taiko dvejopus standartus ir skirtingai vertina tuos pačius arba labai panašius sprendimus skirtingose valstybėse narėse, o tai įrodo, kad nėra vienos aiškios metodikos, pagrįstos tais pačiais aspektais, o atskiros ataskaitos rengiamos </w:t>
            </w:r>
            <w:r w:rsidRPr="002C61E4">
              <w:rPr>
                <w:b/>
              </w:rPr>
              <w:t>ad hoc</w:t>
            </w:r>
            <w:r w:rsidRPr="002C61E4">
              <w:rPr>
                <w:b/>
                <w:i/>
              </w:rPr>
              <w:t xml:space="preserve"> ir politiniu pagrindu;</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26b.</w:t>
            </w:r>
            <w:r w:rsidRPr="002C61E4">
              <w:tab/>
            </w:r>
            <w:r w:rsidRPr="002C61E4">
              <w:rPr>
                <w:b/>
                <w:i/>
              </w:rPr>
              <w:t>mano, kad į metines teisinės valstybės principo taikymo ataskaitas įtraukiamos rekomendacijos turi būti konkretesnės, nurodant konkrečius veiksmus ar veiksmų planus, kurių turi imtis valstybės narės, ir laikotarpį, per kurį turi būti ištaisyta padėtis, įskaitant, kai reikia, esamas tarptautinių institucijų (pvz., Europos Tarybos Venecijos komisijos, JT specialiųjų pranešėjų) nuomones arba atitinkamus teismų sprendimus (be kita ko, Europos Žmogaus Teisių Teismo);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639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26b.</w:t>
            </w:r>
            <w:r w:rsidRPr="002C61E4">
              <w:tab/>
            </w:r>
            <w:r w:rsidRPr="002C61E4">
              <w:rPr>
                <w:b/>
                <w:i/>
              </w:rPr>
              <w:t>ragina Komisiją nuolat didinti savo teisinės valstybės principo taikymo ataskaitos sritį ir jos įgyvendinimo poveikį; įspėja, kad, jeigu stebėsena nebus susieta su realiais padariniais, kyla pavojus, jog ataskaita taps mažiau svarbi valstybėms narėms;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26c.</w:t>
            </w:r>
            <w:r w:rsidRPr="002C61E4">
              <w:tab/>
            </w:r>
            <w:r w:rsidRPr="002C61E4">
              <w:rPr>
                <w:b/>
                <w:i/>
              </w:rPr>
              <w:t>pastebi, kad Komisija savo ataskaitose dažnai remiasi žiniasklaidos publikacijomis, netikrindama šaltinių arba tiesiog neatsižvelgdama į atitinkamos valstybės narės pateiktus paaiškinimus; ragina Komisiją atskleisti ataskaitų apie atskiras šalis rengėjų pavardes ir organizacijų, asociacijų, analitinių centrų ir kitų subjektų, kurie rengia ataskaitas apie atskiras šalis, pavadinimus, nesislėpdami už kolegialumo dingsties, įskaitant subjektus, kurie veiksmingai paveikė Komisiją Rusijos šnipo Pavelo Rubtsovo naudai;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26c.</w:t>
            </w:r>
            <w:r w:rsidRPr="002C61E4">
              <w:tab/>
            </w:r>
            <w:r w:rsidRPr="002C61E4">
              <w:rPr>
                <w:b/>
                <w:i/>
              </w:rPr>
              <w:t>šiuo atžvilgiu primena pastarojo meto įvykius, susijusius su įtariamu pilietinės visuomenės organizacijų finansavimu, naudojamu lobizmui Europos Parlamento narių atžvilgiu ir siekiant daryti įtaką jų saviraiškos laisvei, žaliosios politikos srityje;</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26 d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26d.</w:t>
            </w:r>
            <w:r w:rsidRPr="002C61E4">
              <w:tab/>
            </w:r>
            <w:r w:rsidRPr="002C61E4">
              <w:rPr>
                <w:b/>
                <w:i/>
              </w:rPr>
              <w:t>reiškia pasipiktinimą dėl to, kad Komisija pasinaudojo Rusijos karinės žvalgybos agentūros agento Pablo Gonzálezo, dar žinomo kaip Pavel Rubtsov, kuris veikė apsimesdamas žurnalistu, byla kaip pretekstu įvykdyti išpuolį prieš valstybę narę; ragina Komisiją atsiprašyti Lenkijos – šalies, už kurios sienos vyksta plataus masto karas ir kuri yra Maskvos ir Minsko hibridinių atakų taikinys – už šį baisų išpuolį ir atsiimti dokumentą, kuris kompromituoja Komisiją ir jos procedūras, taikomas nagrinėjant situaciją dėl teisinės valstybės principo taikymo padėties valstybėje narėje; ragina Komisiją išaiškinti ir viešai paskelbti informaciją apie organizacijas ir pareigūnus, kurie paveikė Komisiją Rusijos šnipo naudai, ir išpuolį prieš Lenkiją;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26 d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26d.</w:t>
            </w:r>
            <w:r w:rsidRPr="002C61E4">
              <w:tab/>
            </w:r>
            <w:r w:rsidRPr="002C61E4">
              <w:rPr>
                <w:b/>
                <w:i/>
              </w:rPr>
              <w:t>ragina Komisiją skaidriai įvardyti visus suinteresuotuosius subjektus, kurie dalyvavo viešose konsultacijose ir teikė informaciją rengiant šią ataskaitą valstybėse narėse, vengiant anoniminių šaltinių;</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644</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Krzysztof Śmiszek, Matjaž Nemec, Robert Biedroń, Katarina Barley, Cecilia Strada, Klára Dobrev, Csaba Molnár, Emma Rafowicz, Alessandro Zan, Birgit Sippel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27.</w:t>
            </w:r>
            <w:r w:rsidRPr="002C61E4">
              <w:tab/>
              <w:t>pabrėžia nepriklausomų teismų sistemų ir galimybės gauti nemokamą teisinę pagalbą svarbą siekiant užtikrinti vienodas galimybes kreiptis į teismą; pakartoja, kad tinkami ištekliai, įskaitant infrastruktūrą ir personalą, yra labai svarbūs siekiant patobulinti teisingumo sistemas;</w:t>
            </w:r>
          </w:p>
        </w:tc>
        <w:tc>
          <w:tcPr>
            <w:tcW w:w="4876" w:type="dxa"/>
            <w:tcBorders>
              <w:top w:val="nil"/>
              <w:left w:val="nil"/>
              <w:bottom w:val="nil"/>
              <w:right w:val="nil"/>
            </w:tcBorders>
          </w:tcPr>
          <w:p w:rsidR="00E82389" w:rsidRPr="002C61E4" w:rsidRDefault="00E82389" w:rsidP="003B0113">
            <w:pPr>
              <w:pStyle w:val="Normal6a"/>
            </w:pPr>
            <w:r w:rsidRPr="002C61E4">
              <w:t>27.</w:t>
            </w:r>
            <w:r w:rsidRPr="002C61E4">
              <w:tab/>
              <w:t xml:space="preserve">pabrėžia nepriklausomų teismų sistemų ir galimybės gauti nemokamą teisinę pagalbą svarbą siekiant užtikrinti vienodas galimybes kreiptis į teismą; pakartoja, kad tinkami ištekliai, įskaitant infrastruktūrą ir personalą, yra labai svarbūs siekiant patobulinti teisingumo sistemas; </w:t>
            </w:r>
            <w:r w:rsidRPr="002C61E4">
              <w:rPr>
                <w:b/>
                <w:i/>
              </w:rPr>
              <w:t>rekomenduoja valstybėms narėms imtis konkrečių veiksmų, kad marginalizuotoms ir pažeidžiamoms grupėms būtų sudarytos geresnės galimybės kreiptis į teismą, be kita ko, stiprinant teisinės pagalbos sistemas ir imantis priemonių kalbos barjerams ir skaitmeninei atskirčiai šalinti;</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27.</w:t>
            </w:r>
            <w:r w:rsidRPr="002C61E4">
              <w:tab/>
              <w:t>pabrėžia nepriklausomų teismų sistemų ir galimybės gauti nemokamą teisinę pagalbą svarbą siekiant užtikrinti vienodas galimybes kreiptis į teismą; pakartoja, kad tinkami ištekliai, įskaitant infrastruktūrą ir personalą, yra labai svarbūs siekiant patobulinti teisingumo sistemas;</w:t>
            </w:r>
          </w:p>
        </w:tc>
        <w:tc>
          <w:tcPr>
            <w:tcW w:w="4876" w:type="dxa"/>
            <w:tcBorders>
              <w:top w:val="nil"/>
              <w:left w:val="nil"/>
              <w:bottom w:val="nil"/>
              <w:right w:val="nil"/>
            </w:tcBorders>
          </w:tcPr>
          <w:p w:rsidR="00E82389" w:rsidRPr="002C61E4" w:rsidRDefault="00E82389" w:rsidP="003B0113">
            <w:pPr>
              <w:pStyle w:val="Normal6a"/>
            </w:pPr>
            <w:r w:rsidRPr="002C61E4">
              <w:t>27.</w:t>
            </w:r>
            <w:r w:rsidRPr="002C61E4">
              <w:tab/>
              <w:t xml:space="preserve">pabrėžia nepriklausomų teismų sistemų ir galimybės gauti nemokamą </w:t>
            </w:r>
            <w:r w:rsidRPr="002C61E4">
              <w:rPr>
                <w:b/>
                <w:bCs/>
                <w:i/>
                <w:iCs/>
              </w:rPr>
              <w:t xml:space="preserve">ir įperkamą </w:t>
            </w:r>
            <w:r w:rsidRPr="002C61E4">
              <w:t xml:space="preserve">teisinę pagalbą svarbą siekiant užtikrinti vienodas galimybes kreiptis į teismą; pakartoja, kad tinkami ištekliai, įskaitant infrastruktūrą ir personalą, yra labai svarbūs siekiant patobulinti teisingumo sistemas; </w:t>
            </w:r>
            <w:r w:rsidRPr="002C61E4">
              <w:rPr>
                <w:b/>
                <w:i/>
              </w:rPr>
              <w:t xml:space="preserve">ragina valstybes nares užtikrinti, kad teisminiai ištekliai, įskaitant teisinę pagalbą, būtų tinkamai finansuojami ir lengvai prieinami visiems, </w:t>
            </w:r>
            <w:r w:rsidRPr="002C61E4">
              <w:rPr>
                <w:b/>
                <w:i/>
              </w:rPr>
              <w:lastRenderedPageBreak/>
              <w:t>ypač pažeidžiamoms grupėms;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27a.</w:t>
            </w:r>
            <w:r w:rsidRPr="002C61E4">
              <w:tab/>
            </w:r>
            <w:r w:rsidRPr="002C61E4">
              <w:rPr>
                <w:b/>
                <w:i/>
              </w:rPr>
              <w:t>primena, kad ES institucijų priimami arba nepriimami sprendimai dažnai turi įtakos teisinės valstybės padėčiai valstybėse narėse; kritikuoja tai, kad teisinės valstybės statusas ES lygmeniu vis dar neįtrauktas į Komisijos 2024 m. teisinės valstybės principo taikymo ataskaitos taikymo sritį; prašo, kad į Komisijos 2025 m. teisinės valstybės principo taikymo ataskaitą būtų įtrauktas skyrius apie tai, kaip ES laikosi teisinės valstybės standartų, remiantis nepriklausomu peržiūros mechanizmu;</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27a.</w:t>
            </w:r>
            <w:r w:rsidRPr="002C61E4">
              <w:tab/>
            </w:r>
            <w:r w:rsidRPr="002C61E4">
              <w:rPr>
                <w:b/>
                <w:i/>
              </w:rPr>
              <w:t>dar kartą ragina Komisiją pasiūlyti FRA teikti metodines konsultacijas ir atlikti lyginamuosius tyrimus, siekiant pateikti išsamesnės informacijos apie pagrindines metinės ataskaitos sritis, atsižvelgiant į glaudų pagrindinių teisių ir teisinės valstybės principo ryšį;</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27a.</w:t>
            </w:r>
            <w:r w:rsidRPr="002C61E4">
              <w:tab/>
            </w:r>
            <w:r w:rsidRPr="002C61E4">
              <w:rPr>
                <w:b/>
                <w:i/>
              </w:rPr>
              <w:t>apgailestauja dėl to, kad ES institucijos, kaip ir Lenkijos atveju, tapo pokomunistinių sistemų gynėjomis, gindamos korumpuotas, neefektyvias ir neskaidrias struktūras, ir taip darė žalą Lenkijai ir pažeidė Sutartis;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649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27b.</w:t>
            </w:r>
            <w:r w:rsidRPr="002C61E4">
              <w:tab/>
            </w:r>
            <w:r w:rsidRPr="002C61E4">
              <w:rPr>
                <w:b/>
                <w:i/>
              </w:rPr>
              <w:t>pažymi, kad ES stebi teisinės valstybės principo taikymą, tačiau sistemingai nevertina demokratijos principų taikymo padėties valstybėse narėse; apgailestauja, kad Komisijos 2024 m. teisinės valstybės principo taikymo ataskaitoje neatsižvelgiama į svarbius demokratinius principus, pavyzdžiui, laisvus ir sąžiningus rinkimus, politinį pliuralizmą, institucinę stabdžių ir atsvarų sistemą, demokratinį teisėkūros procedūrų sąžiningumą ir apsaugos nuo valdžios viršijimo priemones; prašo, kad į Komisijos 2025 m. teisinės valstybės principo taikymo ataskaitą būtų įtrauktas skyrius apie demokratinius standartus;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Raquel García Hermida-Van Der Walle, Abir Al-Sahlani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27c.</w:t>
            </w:r>
            <w:r w:rsidRPr="002C61E4">
              <w:tab/>
            </w:r>
            <w:r w:rsidRPr="002C61E4">
              <w:rPr>
                <w:b/>
                <w:i/>
              </w:rPr>
              <w:t>primena Komisijai, kad ji, kaip Sutarčių sergėtoja, turėtų imtis konkrečių vykdymo užtikrinimo priemonių, o ne tik teikti ataskaitas ar rekomendacijas;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27 d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27d.</w:t>
            </w:r>
            <w:r w:rsidRPr="002C61E4">
              <w:tab/>
            </w:r>
            <w:r w:rsidRPr="002C61E4">
              <w:rPr>
                <w:b/>
                <w:i/>
              </w:rPr>
              <w:t>primena Komisijai, kad ji privalo nuosekliai ir greitai taikyti pažeidimo nagrinėjimo procedūras ir skirti finansines nuobaudas, kai valstybės narės nesilaiko ES teisės aktų; apgailestauja, kad praeityje Komisija pernelyg neryžtingai reagavo į pažeidimus, ypač susijusius su teisinės valstybės principo taikymo pažeidimais; pakartoja, kad Komisija turi veikti greitai ir ryžtingai, kai įvyksta pažeidimai, ir užtikrinti, kad pažeidimo nagrinėjimo procedūros būtų pradėtos nedelsiant;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lastRenderedPageBreak/>
        <w:t>&lt;Amend&gt;</w:t>
      </w:r>
      <w:r w:rsidRPr="002C61E4">
        <w:t>Pakeitimas</w:t>
      </w:r>
      <w:r w:rsidRPr="002C61E4">
        <w:tab/>
      </w:r>
      <w:r w:rsidRPr="002C61E4">
        <w:tab/>
      </w:r>
      <w:r w:rsidRPr="002C61E4">
        <w:rPr>
          <w:rStyle w:val="HideTWBExt"/>
          <w:b w:val="0"/>
        </w:rPr>
        <w:t>&lt;NumAm&gt;</w:t>
      </w:r>
      <w:r w:rsidRPr="002C61E4">
        <w:t>652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Tomáš Zdechovský</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28.</w:t>
            </w:r>
            <w:r w:rsidRPr="002C61E4">
              <w:tab/>
            </w:r>
            <w:r w:rsidRPr="002C61E4">
              <w:rPr>
                <w:b/>
                <w:i/>
              </w:rPr>
              <w:t>ragina Komisiją užbaigti derybas dėl ES narystės GRECO, nes tai būtų svarbus žingsnis kovojant su korupcija;</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28.</w:t>
            </w:r>
            <w:r w:rsidRPr="002C61E4">
              <w:tab/>
            </w:r>
            <w:r w:rsidRPr="002C61E4">
              <w:rPr>
                <w:b/>
                <w:i/>
              </w:rPr>
              <w:t>ragina Komisiją užbaigti derybas dėl ES narystės GRECO, nes tai būtų svarbus žingsnis kovojant su korupcija;</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28.</w:t>
            </w:r>
            <w:r w:rsidRPr="002C61E4">
              <w:tab/>
              <w:t>ragina Komisiją užbaigti derybas dėl ES narystės GRECO, nes tai būtų svarbus žingsnis kovojant su korupcija;</w:t>
            </w:r>
          </w:p>
        </w:tc>
        <w:tc>
          <w:tcPr>
            <w:tcW w:w="4876" w:type="dxa"/>
            <w:tcBorders>
              <w:top w:val="nil"/>
              <w:left w:val="nil"/>
              <w:bottom w:val="nil"/>
              <w:right w:val="nil"/>
            </w:tcBorders>
          </w:tcPr>
          <w:p w:rsidR="00E82389" w:rsidRPr="002C61E4" w:rsidRDefault="00E82389" w:rsidP="003B0113">
            <w:pPr>
              <w:pStyle w:val="Normal6a"/>
            </w:pPr>
            <w:r w:rsidRPr="002C61E4">
              <w:t>28.</w:t>
            </w:r>
            <w:r w:rsidRPr="002C61E4">
              <w:tab/>
              <w:t xml:space="preserve">ragina Komisiją užbaigti derybas dėl ES narystės GRECO, nes tai būtų svarbus žingsnis kovojant su korupcija; </w:t>
            </w:r>
            <w:r w:rsidRPr="002C61E4">
              <w:rPr>
                <w:b/>
                <w:i/>
              </w:rPr>
              <w:t xml:space="preserve">primygtinai ragina valstybes nares stiprinti pranešėjų apsaugos mechanizmus, užtikrinant išsamias teisines apsaugos priemones ir paramos sistemas tiems, kurie atskleidžia </w:t>
            </w:r>
            <w:r w:rsidRPr="002C61E4">
              <w:rPr>
                <w:b/>
                <w:i/>
              </w:rPr>
              <w:lastRenderedPageBreak/>
              <w:t>korupciją, sukčiavimą ar ES teisės pažeidimus;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28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28.</w:t>
            </w:r>
            <w:r w:rsidRPr="002C61E4">
              <w:tab/>
              <w:t>ragina Komisiją užbaigti derybas dėl ES narystės GRECO</w:t>
            </w:r>
            <w:r w:rsidRPr="002C61E4">
              <w:rPr>
                <w:b/>
                <w:bCs/>
                <w:i/>
                <w:iCs/>
              </w:rPr>
              <w:t>, nes tai būtų svarbus žingsnis kovojant su korupcija</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28.</w:t>
            </w:r>
            <w:r w:rsidRPr="002C61E4">
              <w:tab/>
              <w:t>ragina Komisiją užbaigti derybas dėl ES narystės GRECO;</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Alessandro Zan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 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kovoti su dezinformacija; primygtinai ragina skubiai įgyvendinti EMFA; </w:t>
            </w:r>
            <w:r w:rsidRPr="002C61E4">
              <w:rPr>
                <w:b/>
                <w:i/>
              </w:rPr>
              <w:t>rekomenduoja valstybėms narėms parengti išsamias kovos su dezinformacija ir užsienio šalių kišimusi į demokratinius procesus strategijas, kartu užtikrinant saviraiškos laisvę ir žiniasklaidos pliuralizmą;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Sandro Ruotolo</w:t>
      </w:r>
      <w:r w:rsidRPr="002C61E4">
        <w:rPr>
          <w:rStyle w:val="HideTWBExt"/>
          <w:b w:val="0"/>
        </w:rPr>
        <w:t>&lt;/Members&gt;</w:t>
      </w:r>
    </w:p>
    <w:p w:rsidR="00E82389" w:rsidRPr="002C61E4" w:rsidRDefault="00E82389" w:rsidP="00E82389">
      <w:pPr>
        <w:pStyle w:val="NormalBold"/>
      </w:pPr>
      <w:r w:rsidRPr="002C61E4">
        <w:rPr>
          <w:rStyle w:val="HideTWBExt"/>
          <w:b w:val="0"/>
        </w:rPr>
        <w:lastRenderedPageBreak/>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 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kovoti su dezinformacija; primygtinai ragina skubiai </w:t>
            </w:r>
            <w:r w:rsidRPr="002C61E4">
              <w:rPr>
                <w:b/>
                <w:bCs/>
                <w:i/>
                <w:iCs/>
              </w:rPr>
              <w:t xml:space="preserve">ir skaidriai </w:t>
            </w:r>
            <w:r w:rsidRPr="002C61E4">
              <w:t>įgyvendinti EMFA</w:t>
            </w:r>
            <w:r w:rsidRPr="002C61E4">
              <w:rPr>
                <w:b/>
                <w:bCs/>
                <w:i/>
                <w:iCs/>
              </w:rPr>
              <w:t>, kuris yra svarbus etapas siekiant užtikrinti žiniasklaidos nepriklausomumą, pliuralizmą ir vientisumą visoje Sąjungoje, ypač Vengrijoje, Maltoje, Graikijoje, Rumunijoje, Slovakijoje ir Italijoje</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 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kovoti su dezinformacija; </w:t>
            </w:r>
            <w:r w:rsidRPr="002C61E4">
              <w:rPr>
                <w:b/>
                <w:i/>
              </w:rPr>
              <w:t>pabrėžia, kad kovos su dezinformacija priemonės praktiškai neturėtų lemti skirtingų politinių nuomonių cenzūros;</w:t>
            </w:r>
            <w:r w:rsidRPr="002C61E4">
              <w:t xml:space="preserve"> primygtinai ragina skubiai įgyvendinti EMFA;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659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lastRenderedPageBreak/>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 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 primygtinai ragina skubiai įgyvendinti EMFA</w:t>
            </w:r>
            <w:r w:rsidRPr="002C61E4">
              <w:rPr>
                <w:b/>
                <w:bCs/>
                <w:i/>
                <w:iCs/>
              </w:rPr>
              <w:t>, visų pirma tam tikrose valstybėse narėse, kurios užima žemą poziciją žiniasklaidos laisvės indekse</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w:t>
            </w:r>
            <w:r w:rsidRPr="002C61E4">
              <w:rPr>
                <w:b/>
                <w:i/>
              </w:rPr>
              <w:t>ir kovoti su dezinformacija;</w:t>
            </w:r>
            <w:r w:rsidRPr="002C61E4">
              <w:t xml:space="preserve"> </w:t>
            </w:r>
            <w:r w:rsidRPr="002C61E4">
              <w:rPr>
                <w:b/>
                <w:i/>
              </w:rPr>
              <w:t>primygtinai ragina skubiai įgyvendinti EMFA</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 Diana Riba i Giner, Jaume Asens Llodrà, Vicent Marzà Ibáñez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 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kovoti su dezinformacija; </w:t>
            </w:r>
            <w:r w:rsidRPr="002C61E4">
              <w:rPr>
                <w:b/>
                <w:i/>
              </w:rPr>
              <w:t>pabrėžia svarbų visuomeninės žiniasklaidos paslaugų vaidmenį;</w:t>
            </w:r>
            <w:r w:rsidRPr="002C61E4">
              <w:t xml:space="preserve"> primygtinai ragina skubiai įgyvendinti </w:t>
            </w:r>
            <w:r w:rsidRPr="002C61E4">
              <w:lastRenderedPageBreak/>
              <w:t>EMFA;</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 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w:t>
            </w:r>
            <w:r w:rsidRPr="002C61E4">
              <w:rPr>
                <w:b/>
                <w:bCs/>
                <w:i/>
                <w:iCs/>
              </w:rPr>
              <w:t>, skaidrų viešųjų lėšų paskirstymą</w:t>
            </w:r>
            <w:r w:rsidRPr="002C61E4">
              <w:t xml:space="preserve"> ir kovoti su dezinformacija; primygtinai ragina skubiai įgyvendinti EMFA;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kovoti su dezinformacija; </w:t>
            </w:r>
            <w:r w:rsidRPr="002C61E4">
              <w:rPr>
                <w:b/>
                <w:i/>
              </w:rPr>
              <w:t>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ragina valstybes nares užtikrinti žiniasklaidos laisvę, nepriklausomumą bei pliuralizmą ir kovoti su dezinformacija;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kovoti su </w:t>
            </w:r>
            <w:r w:rsidRPr="002C61E4">
              <w:rPr>
                <w:b/>
                <w:bCs/>
                <w:i/>
                <w:iCs/>
              </w:rPr>
              <w:t>dezinformacija</w:t>
            </w:r>
            <w:r w:rsidRPr="002C61E4">
              <w:t>;</w:t>
            </w:r>
            <w:r w:rsidRPr="002C61E4">
              <w:rPr>
                <w:b/>
                <w:i/>
              </w:rPr>
              <w:t xml:space="preserve"> 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kovoti su </w:t>
            </w:r>
            <w:r w:rsidRPr="002C61E4">
              <w:rPr>
                <w:b/>
                <w:bCs/>
                <w:i/>
                <w:iCs/>
              </w:rPr>
              <w:t>cenzūra ir nepagrįstu kišimusi į saviraiškos laisvę</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29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w:t>
            </w:r>
            <w:r w:rsidRPr="002C61E4">
              <w:rPr>
                <w:b/>
                <w:bCs/>
                <w:i/>
                <w:iCs/>
              </w:rPr>
              <w:t>kovoti su dezinformacija</w:t>
            </w:r>
            <w:r w:rsidRPr="002C61E4">
              <w:t>;</w:t>
            </w:r>
            <w:r w:rsidRPr="002C61E4">
              <w:rPr>
                <w:b/>
                <w:i/>
              </w:rPr>
              <w:t xml:space="preserve"> </w:t>
            </w:r>
            <w:r w:rsidRPr="002C61E4">
              <w:rPr>
                <w:b/>
                <w:bCs/>
                <w:i/>
                <w:iCs/>
              </w:rPr>
              <w:t>primygtinai ragina skubiai įgyvendinti EMFA;</w:t>
            </w:r>
          </w:p>
        </w:tc>
        <w:tc>
          <w:tcPr>
            <w:tcW w:w="4876" w:type="dxa"/>
            <w:tcBorders>
              <w:top w:val="nil"/>
              <w:left w:val="nil"/>
              <w:bottom w:val="nil"/>
              <w:right w:val="nil"/>
            </w:tcBorders>
          </w:tcPr>
          <w:p w:rsidR="00E82389" w:rsidRPr="002C61E4" w:rsidRDefault="00E82389" w:rsidP="003B0113">
            <w:pPr>
              <w:pStyle w:val="Normal6a"/>
            </w:pPr>
            <w:r w:rsidRPr="002C61E4">
              <w:t>29.</w:t>
            </w:r>
            <w:r w:rsidRPr="002C61E4">
              <w:tab/>
              <w:t xml:space="preserve">ragina valstybes nares užtikrinti žiniasklaidos laisvę, nepriklausomumą bei pliuralizmą ir </w:t>
            </w:r>
            <w:r w:rsidRPr="002C61E4">
              <w:rPr>
                <w:b/>
                <w:bCs/>
                <w:i/>
                <w:iCs/>
              </w:rPr>
              <w:t>apsaugoti saviraiškos laisvę ir teisę į informaciją</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30.</w:t>
            </w:r>
            <w:r w:rsidRPr="002C61E4">
              <w:tab/>
            </w:r>
            <w:r w:rsidRPr="002C61E4">
              <w:rPr>
                <w:b/>
                <w:i/>
              </w:rPr>
              <w:t xml:space="preserve">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w:t>
            </w:r>
            <w:r w:rsidRPr="002C61E4">
              <w:rPr>
                <w:b/>
                <w:i/>
              </w:rPr>
              <w:lastRenderedPageBreak/>
              <w:t>Europos ekonomikos ir socialinių reikalų komitetas (EESRK)</w:t>
            </w:r>
            <w:r w:rsidRPr="002C61E4">
              <w:rPr>
                <w:b/>
                <w:i/>
                <w:vertAlign w:val="superscript"/>
              </w:rPr>
              <w:t>46</w:t>
            </w:r>
            <w:r w:rsidRPr="002C61E4">
              <w:rPr>
                <w:b/>
                <w:i/>
              </w:rPr>
              <w:t xml:space="preserve"> ir pilietinės visuomenės tinklai</w:t>
            </w:r>
            <w:r w:rsidRPr="002C61E4">
              <w:rPr>
                <w:b/>
                <w:i/>
                <w:vertAlign w:val="superscript"/>
              </w:rPr>
              <w:t>47</w:t>
            </w:r>
            <w:r w:rsidRPr="002C61E4">
              <w:rPr>
                <w:b/>
                <w:i/>
              </w:rPr>
              <w:t>; pakartoja, kad rengiant ataskaitą svarbu plačiu mastu konsultuotis;</w:t>
            </w:r>
          </w:p>
        </w:tc>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Išbraukta.</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46</w:t>
            </w:r>
            <w:r w:rsidRPr="002C61E4">
              <w:rPr>
                <w:b/>
                <w:i/>
              </w:rPr>
              <w:t xml:space="preserve"> 2024 m. vasario 14 d. EESRK nuomonė „Pilietinio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47</w:t>
            </w:r>
            <w:r w:rsidRPr="002C61E4">
              <w:t xml:space="preserve"> </w:t>
            </w:r>
            <w:r w:rsidRPr="002C61E4">
              <w:rPr>
                <w:b/>
                <w:i/>
              </w:rPr>
              <w:t>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pakartoja, kad rengiant ataskaitą svarbu plačiu mastu konsultuotis;</w:t>
            </w:r>
          </w:p>
        </w:tc>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pakartoja, kad rengiant ataskaitą svarbu plačiu mastu konsultuotis;</w:t>
            </w:r>
            <w:r w:rsidRPr="002C61E4">
              <w:rPr>
                <w:b/>
                <w:i/>
              </w:rPr>
              <w:t xml:space="preserve"> ragina Komisiją, kiek įmanoma, ne virtualiai, o realiai lankytis valstybėse narėse, nes taip būtų galima susidaryti išsamesnį ir kontekstiškesnį </w:t>
            </w:r>
            <w:r w:rsidRPr="002C61E4">
              <w:rPr>
                <w:b/>
                <w:i/>
              </w:rPr>
              <w:lastRenderedPageBreak/>
              <w:t>vaizdą apie padėtį vietoje;</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46</w:t>
            </w:r>
            <w:r w:rsidRPr="002C61E4">
              <w:t xml:space="preserve"> 2024 m. vasario 14 d. EESRK nuomonė „Pilietinio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46</w:t>
            </w:r>
            <w:r w:rsidRPr="002C61E4">
              <w:t xml:space="preserve"> 2024 m. vasario 14 d. EESRK nuomonė „Pilietinio dialogo ir dalyvaujamosios demokratijos stiprinimas ES. Kelias į priekį“.</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pakartoja, kad rengiant ataskaitą svarbu plačiu mastu konsultuotis;</w:t>
            </w:r>
          </w:p>
        </w:tc>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xml:space="preserve">; pakartoja, kad rengiant ataskaitą svarbu plačiu mastu konsultuotis; </w:t>
            </w:r>
            <w:r w:rsidRPr="002C61E4">
              <w:rPr>
                <w:b/>
                <w:bCs/>
                <w:i/>
                <w:iCs/>
              </w:rPr>
              <w:t xml:space="preserve">todėl ragina Komisiją parengti strategiją dėl pilietinės visuomenės ir žmogaus teisių gynėjų </w:t>
            </w:r>
            <w:r w:rsidRPr="002C61E4">
              <w:rPr>
                <w:b/>
                <w:bCs/>
                <w:i/>
                <w:iCs/>
              </w:rPr>
              <w:lastRenderedPageBreak/>
              <w:t>erdvės ir apsaugos;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lastRenderedPageBreak/>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46</w:t>
            </w:r>
            <w:r w:rsidRPr="002C61E4">
              <w:t xml:space="preserve"> 2024 m. vasario 14 d. EESRK nuomonė „Pilietinio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46</w:t>
            </w:r>
            <w:r w:rsidRPr="002C61E4">
              <w:t xml:space="preserve"> 2024 m. vasario 14 d. EESRK nuomonė „Pilietinio dialogo ir dalyvaujamosios demokratijos stiprinimas ES. Kelias į priekį“.</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669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pakartoja, kad rengiant ataskaitą svarbu plačiu mastu konsultuotis;</w:t>
            </w:r>
          </w:p>
        </w:tc>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xml:space="preserve">; pakartoja, kad rengiant ataskaitą svarbu plačiu mastu konsultuotis; </w:t>
            </w:r>
            <w:r w:rsidRPr="002C61E4">
              <w:rPr>
                <w:b/>
                <w:bCs/>
                <w:i/>
                <w:iCs/>
              </w:rPr>
              <w:t>yra susirūpinęs, kad kai kuriose valstybėse narėse Komisija finansuoja pasirinktines pilietinės visuomenės organizacijas, o tai iškreipia ataskaitos taikymo sritį;</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46</w:t>
            </w:r>
            <w:r w:rsidRPr="002C61E4">
              <w:t xml:space="preserve"> 2024 m. vasario 14 d. EESRK nuomonė </w:t>
            </w:r>
            <w:r w:rsidRPr="002C61E4">
              <w:lastRenderedPageBreak/>
              <w:t>„Pilietinio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lastRenderedPageBreak/>
              <w:t>46</w:t>
            </w:r>
            <w:r w:rsidRPr="002C61E4">
              <w:t xml:space="preserve"> 2024 m. vasario 14 d. EESRK nuomonė </w:t>
            </w:r>
            <w:r w:rsidRPr="002C61E4">
              <w:lastRenderedPageBreak/>
              <w:t>„Pilietinio dialogo ir dalyvaujamosios demokratijos stiprinimas ES. Kelias į priekį“.</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lastRenderedPageBreak/>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30.</w:t>
            </w:r>
            <w:r w:rsidRPr="002C61E4">
              <w:tab/>
              <w:t xml:space="preserve">pabrėžia pilietinės visuomenės ir nepriklausomų priežiūros institucijų </w:t>
            </w:r>
            <w:r w:rsidRPr="002C61E4">
              <w:rPr>
                <w:b/>
                <w:bCs/>
                <w:i/>
                <w:iCs/>
              </w:rPr>
              <w:t>vaidmenį</w:t>
            </w:r>
            <w:r w:rsidRPr="002C61E4">
              <w:t xml:space="preserve"> stebint ir remiant teisinės valstybės principo taikymo ataskaitos rekomendacijų įgyvendinimą;</w:t>
            </w:r>
            <w:r w:rsidRPr="002C61E4">
              <w:rPr>
                <w:b/>
                <w:i/>
              </w:rPr>
              <w:t xml:space="preserve"> </w:t>
            </w:r>
            <w:r w:rsidRPr="002C61E4">
              <w:rPr>
                <w:b/>
                <w:bCs/>
                <w:i/>
                <w:iCs/>
              </w:rPr>
              <w:t>ragina sukurti struktūrizuotą pilietinio dialogo sistemą, kad pilietinės visuomenės indėlis būtų įtrauktas į metinį teisinės valstybės principo taikymo ciklą, kaip rekomendavo Europos ekonomikos ir socialinių reikalų komitetas (EESRK)</w:t>
            </w:r>
            <w:r w:rsidRPr="002C61E4">
              <w:rPr>
                <w:b/>
                <w:bCs/>
                <w:i/>
                <w:iCs/>
                <w:vertAlign w:val="superscript"/>
              </w:rPr>
              <w:t>46</w:t>
            </w:r>
            <w:r w:rsidRPr="002C61E4">
              <w:rPr>
                <w:b/>
                <w:bCs/>
                <w:i/>
                <w:iCs/>
              </w:rPr>
              <w:t xml:space="preserve"> ir pilietinės visuomenės tinklai</w:t>
            </w:r>
            <w:r w:rsidRPr="002C61E4">
              <w:rPr>
                <w:b/>
                <w:bCs/>
                <w:i/>
                <w:iCs/>
                <w:vertAlign w:val="superscript"/>
              </w:rPr>
              <w:t>47</w:t>
            </w:r>
            <w:r w:rsidRPr="002C61E4">
              <w:rPr>
                <w:b/>
                <w:bCs/>
                <w:i/>
                <w:iCs/>
              </w:rPr>
              <w:t>;</w:t>
            </w:r>
            <w:r w:rsidRPr="002C61E4">
              <w:t xml:space="preserve"> </w:t>
            </w:r>
            <w:r w:rsidRPr="002C61E4">
              <w:rPr>
                <w:b/>
                <w:i/>
              </w:rPr>
              <w:t>pakartoja, kad rengiant ataskaitą svarbu plačiu mastu konsultuotis;</w:t>
            </w:r>
          </w:p>
        </w:tc>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w:t>
            </w:r>
            <w:r w:rsidRPr="002C61E4">
              <w:rPr>
                <w:b/>
                <w:bCs/>
                <w:i/>
                <w:iCs/>
              </w:rPr>
              <w:t>, kad</w:t>
            </w:r>
            <w:r w:rsidRPr="002C61E4">
              <w:t xml:space="preserve"> pilietinės visuomenės ir nepriklausomų priežiūros institucijų </w:t>
            </w:r>
            <w:r w:rsidRPr="002C61E4">
              <w:rPr>
                <w:b/>
                <w:bCs/>
                <w:i/>
                <w:iCs/>
              </w:rPr>
              <w:t>vaidmuo</w:t>
            </w:r>
            <w:r w:rsidRPr="002C61E4">
              <w:t xml:space="preserve"> stebint ir remiant teisinės valstybės principo taikymo ataskaitos rekomendacijų įgyvendinimą </w:t>
            </w:r>
            <w:r w:rsidRPr="002C61E4">
              <w:rPr>
                <w:b/>
                <w:bCs/>
                <w:i/>
                <w:iCs/>
              </w:rPr>
              <w:t>praeityje buvo nepagrįstai sureikšminamas</w:t>
            </w:r>
            <w:r w:rsidRPr="002C61E4">
              <w:t>;</w:t>
            </w:r>
            <w:r w:rsidRPr="002C61E4">
              <w:rPr>
                <w:b/>
                <w:i/>
              </w:rPr>
              <w:t xml:space="preserve"> nevyriausybinių organizacijų indėliui negali būti teikiama didesnė svarba nei valstybės institucijų ar tarptautinių vyriausybinių organizacijų indėliui;</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46</w:t>
            </w:r>
            <w:r w:rsidRPr="002C61E4">
              <w:rPr>
                <w:b/>
                <w:bCs/>
                <w:i/>
                <w:iCs/>
              </w:rPr>
              <w:t xml:space="preserve"> 2024 m. vasario 14 d. EESRK nuomonė „Pilietinio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47</w:t>
            </w:r>
            <w:r w:rsidRPr="002C61E4">
              <w:rPr>
                <w:b/>
                <w:bCs/>
                <w:i/>
                <w:iCs/>
              </w:rPr>
              <w:t xml:space="preserve"> Europos pilietinės visuomenės tinklas, „Bendras pilietinės visuomenės indėlis į 2024 m. metinę teisinės valstybės principo taikymo ataskaitą, kiek tai susiję su </w:t>
            </w:r>
            <w:r w:rsidRPr="002C61E4">
              <w:rPr>
                <w:b/>
                <w:bCs/>
                <w:i/>
                <w:iCs/>
              </w:rPr>
              <w:lastRenderedPageBreak/>
              <w:t>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30.</w:t>
            </w:r>
            <w:r w:rsidRPr="002C61E4">
              <w:tab/>
            </w:r>
            <w:r w:rsidRPr="002C61E4">
              <w:rPr>
                <w:b/>
                <w:bCs/>
                <w:i/>
                <w:iCs/>
              </w:rPr>
              <w:t>pabrėžia pilietinės visuomenės ir nepriklausomų priežiūros institucijų vaidmenį stebint ir remiant teisinės valstybės principo taikymo ataskaitos rekomendacijų įgyvendinimą</w:t>
            </w:r>
            <w:r w:rsidRPr="002C61E4">
              <w:t xml:space="preserve">; ragina sukurti </w:t>
            </w:r>
            <w:r w:rsidRPr="002C61E4">
              <w:rPr>
                <w:b/>
                <w:bCs/>
                <w:i/>
                <w:iCs/>
              </w:rPr>
              <w:t>struktūrizuotą</w:t>
            </w:r>
            <w:r w:rsidRPr="002C61E4">
              <w:t xml:space="preserve"> pilietinio dialogo sistemą, kad pilietinės visuomenės indėlis būtų įtrauktas į </w:t>
            </w:r>
            <w:r w:rsidRPr="002C61E4">
              <w:rPr>
                <w:b/>
                <w:bCs/>
                <w:i/>
                <w:iCs/>
              </w:rPr>
              <w:t>metinį</w:t>
            </w:r>
            <w:r w:rsidRPr="002C61E4">
              <w:t xml:space="preserve"> teisinės valstybės principo taikymo </w:t>
            </w:r>
            <w:r w:rsidRPr="002C61E4">
              <w:rPr>
                <w:b/>
                <w:bCs/>
                <w:i/>
                <w:iCs/>
              </w:rPr>
              <w:t>ciklą, kaip rekomendavo Europos ekonomikos ir socialinių reikalų komitetas (EESRK)</w:t>
            </w:r>
            <w:r w:rsidRPr="002C61E4">
              <w:rPr>
                <w:b/>
                <w:bCs/>
                <w:i/>
                <w:iCs/>
                <w:vertAlign w:val="superscript"/>
              </w:rPr>
              <w:t>46</w:t>
            </w:r>
            <w:r w:rsidRPr="002C61E4">
              <w:rPr>
                <w:b/>
                <w:bCs/>
                <w:i/>
                <w:iCs/>
              </w:rPr>
              <w:t xml:space="preserve"> ir pilietinės visuomenės tinklai</w:t>
            </w:r>
            <w:r w:rsidRPr="002C61E4">
              <w:rPr>
                <w:b/>
                <w:bCs/>
                <w:i/>
                <w:iCs/>
                <w:vertAlign w:val="superscript"/>
              </w:rPr>
              <w:t>47</w:t>
            </w:r>
            <w:r w:rsidRPr="002C61E4">
              <w:t>;</w:t>
            </w:r>
            <w:r w:rsidRPr="002C61E4">
              <w:rPr>
                <w:b/>
                <w:i/>
              </w:rPr>
              <w:t xml:space="preserve"> pakartoja, kad rengiant ataskaitą svarbu plačiu mastu konsultuotis;</w:t>
            </w:r>
          </w:p>
        </w:tc>
        <w:tc>
          <w:tcPr>
            <w:tcW w:w="4876" w:type="dxa"/>
            <w:tcBorders>
              <w:top w:val="nil"/>
              <w:left w:val="nil"/>
              <w:bottom w:val="nil"/>
              <w:right w:val="nil"/>
            </w:tcBorders>
          </w:tcPr>
          <w:p w:rsidR="00E82389" w:rsidRPr="002C61E4" w:rsidRDefault="00E82389" w:rsidP="003B0113">
            <w:pPr>
              <w:pStyle w:val="Normal6a"/>
            </w:pPr>
            <w:r w:rsidRPr="002C61E4">
              <w:t>30.</w:t>
            </w:r>
            <w:r w:rsidRPr="002C61E4">
              <w:tab/>
            </w:r>
            <w:r w:rsidRPr="002C61E4">
              <w:rPr>
                <w:b/>
                <w:bCs/>
                <w:i/>
                <w:iCs/>
              </w:rPr>
              <w:t>apgailestauja, kad Komisija teikia pirmenybę dialogui su organizacijomis, kurios remia Briuselio politinę liniją ir kurių dauguma yra liberalių ir kairiųjų pažiūrų, ir kad ji finansuoja organizacijas, kurios atvirai konfliktuoja su konservatyviomis vyriausybėmis, ir taip sukuria informacinį šulinį;</w:t>
            </w:r>
            <w:r w:rsidRPr="002C61E4">
              <w:t xml:space="preserve"> ragina sukurti </w:t>
            </w:r>
            <w:r w:rsidRPr="002C61E4">
              <w:rPr>
                <w:b/>
                <w:bCs/>
                <w:i/>
                <w:iCs/>
              </w:rPr>
              <w:t>tikrą</w:t>
            </w:r>
            <w:r w:rsidRPr="002C61E4">
              <w:t xml:space="preserve"> pilietinio dialogo sistemą, kad pilietinės visuomenės indėlis būtų įtrauktas į </w:t>
            </w:r>
            <w:r w:rsidRPr="002C61E4">
              <w:rPr>
                <w:b/>
                <w:bCs/>
                <w:i/>
                <w:iCs/>
              </w:rPr>
              <w:t>diskusijas dėl</w:t>
            </w:r>
            <w:r w:rsidRPr="002C61E4">
              <w:t xml:space="preserve"> teisinės valstybės principo taikymo;</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46</w:t>
            </w:r>
            <w:r w:rsidRPr="002C61E4">
              <w:rPr>
                <w:b/>
                <w:bCs/>
                <w:i/>
                <w:iCs/>
              </w:rPr>
              <w:t xml:space="preserve"> 2024 m. vasario 14 d. EESRK nuomonė „Pilietinio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47</w:t>
            </w:r>
            <w:r w:rsidRPr="002C61E4">
              <w:rPr>
                <w:b/>
                <w:bCs/>
                <w:i/>
                <w:iCs/>
              </w:rPr>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30.</w:t>
            </w:r>
            <w:r w:rsidRPr="002C61E4">
              <w:tab/>
            </w:r>
            <w:r w:rsidRPr="002C61E4">
              <w:rPr>
                <w:b/>
                <w:bCs/>
                <w:i/>
                <w:iCs/>
              </w:rPr>
              <w:t>pabrėžia</w:t>
            </w:r>
            <w:r w:rsidRPr="002C61E4">
              <w:t xml:space="preserve"> pilietinės visuomenės </w:t>
            </w:r>
            <w:r w:rsidRPr="002C61E4">
              <w:rPr>
                <w:b/>
                <w:bCs/>
                <w:i/>
                <w:iCs/>
              </w:rPr>
              <w:t>ir nepriklausomų priežiūros institucijų vaidmenį stebint ir remiant teisinės valstybės principo taikymo ataskaitos rekomendacijų įgyvendinimą</w:t>
            </w:r>
            <w:r w:rsidRPr="002C61E4">
              <w:t>;</w:t>
            </w:r>
            <w:r w:rsidRPr="002C61E4">
              <w:rPr>
                <w:b/>
                <w:i/>
              </w:rPr>
              <w:t xml:space="preserve"> </w:t>
            </w:r>
            <w:r w:rsidRPr="002C61E4">
              <w:rPr>
                <w:b/>
                <w:bCs/>
                <w:i/>
                <w:iCs/>
              </w:rPr>
              <w:t>ragina sukurti struktūrizuotą pilietinio dialogo sistemą, kad pilietinės visuomenės indėlis būtų įtrauktas į metinį teisinės valstybės principo taikymo ciklą, kaip rekomendavo Europos ekonomikos ir socialinių reikalų komitetas (EESRK)</w:t>
            </w:r>
            <w:r w:rsidRPr="002C61E4">
              <w:rPr>
                <w:b/>
                <w:bCs/>
                <w:i/>
                <w:iCs/>
                <w:vertAlign w:val="superscript"/>
              </w:rPr>
              <w:t>46</w:t>
            </w:r>
            <w:r w:rsidRPr="002C61E4">
              <w:rPr>
                <w:b/>
                <w:bCs/>
                <w:i/>
                <w:iCs/>
              </w:rPr>
              <w:t xml:space="preserve"> ir pilietinės visuomenės tinklai</w:t>
            </w:r>
            <w:r w:rsidRPr="002C61E4">
              <w:rPr>
                <w:b/>
                <w:bCs/>
                <w:i/>
                <w:iCs/>
                <w:vertAlign w:val="superscript"/>
              </w:rPr>
              <w:t>47</w:t>
            </w:r>
            <w:r w:rsidRPr="002C61E4">
              <w:rPr>
                <w:b/>
                <w:bCs/>
                <w:i/>
                <w:iCs/>
              </w:rPr>
              <w:t>;</w:t>
            </w:r>
            <w:r w:rsidRPr="002C61E4">
              <w:rPr>
                <w:b/>
                <w:i/>
              </w:rPr>
              <w:t xml:space="preserve"> </w:t>
            </w:r>
            <w:r w:rsidRPr="002C61E4">
              <w:rPr>
                <w:b/>
                <w:bCs/>
                <w:i/>
                <w:iCs/>
              </w:rPr>
              <w:t>pakartoja, kad rengiant ataskaitą svarbu plačiu mastu konsultuotis</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30.</w:t>
            </w:r>
            <w:r w:rsidRPr="002C61E4">
              <w:tab/>
            </w:r>
            <w:r w:rsidRPr="002C61E4">
              <w:rPr>
                <w:b/>
                <w:bCs/>
                <w:i/>
                <w:iCs/>
              </w:rPr>
              <w:t>apgailestauja, kad Komisija tik pakartoja</w:t>
            </w:r>
            <w:r w:rsidRPr="002C61E4">
              <w:t xml:space="preserve"> pilietinės visuomenės </w:t>
            </w:r>
            <w:r w:rsidRPr="002C61E4">
              <w:rPr>
                <w:b/>
                <w:bCs/>
                <w:i/>
                <w:iCs/>
              </w:rPr>
              <w:t>organizacijų, finansuojamų iš užsienio arba pačios Komisijos, nuomonę, bet nepatikrina jų teiginių</w:t>
            </w:r>
            <w:r w:rsidRPr="002C61E4">
              <w:t>;</w:t>
            </w:r>
            <w:r w:rsidRPr="002C61E4">
              <w:rPr>
                <w:b/>
                <w:i/>
              </w:rPr>
              <w:t xml:space="preserve"> </w:t>
            </w:r>
            <w:r w:rsidRPr="002C61E4">
              <w:rPr>
                <w:b/>
                <w:bCs/>
                <w:i/>
                <w:iCs/>
              </w:rPr>
              <w:t>susirūpinęs pažymi, kad Komisija nepaiso valstybių narių konstitucinių organų nuomonės ir remiasi politiškai subjektyviomis savavališkai atrinktų organizacijų nuomonėmis</w:t>
            </w:r>
            <w:r w:rsidRPr="002C61E4">
              <w:t>;</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46</w:t>
            </w:r>
            <w:r w:rsidRPr="002C61E4">
              <w:rPr>
                <w:b/>
                <w:bCs/>
                <w:i/>
                <w:iCs/>
              </w:rPr>
              <w:t xml:space="preserve"> 2024 m. vasario 14 d. EESRK nuomonė „Pilietinio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bCs/>
                <w:i/>
                <w:iCs/>
                <w:vertAlign w:val="superscript"/>
              </w:rPr>
              <w:t>47</w:t>
            </w:r>
            <w:r w:rsidRPr="002C61E4">
              <w:rPr>
                <w:b/>
                <w:bCs/>
                <w:i/>
                <w:iCs/>
              </w:rPr>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Moritz Körner, Malik Azmani, Dainius Žalimas, Lucia Yar, Fabienne Keller, Sophie Wilmès, Raquel García Hermida-Van Der Walle, Abir Al-Sahlani, Veronika Cifrová Ostrihoňová</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lastRenderedPageBreak/>
        <w:t>&lt;Article&gt;</w:t>
      </w:r>
      <w:r w:rsidRPr="002C61E4">
        <w:t>30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pakartoja, kad rengiant ataskaitą svarbu plačiu mastu konsultuotis;</w:t>
            </w:r>
          </w:p>
        </w:tc>
        <w:tc>
          <w:tcPr>
            <w:tcW w:w="4876" w:type="dxa"/>
            <w:tcBorders>
              <w:top w:val="nil"/>
              <w:left w:val="nil"/>
              <w:bottom w:val="nil"/>
              <w:right w:val="nil"/>
            </w:tcBorders>
          </w:tcPr>
          <w:p w:rsidR="00E82389" w:rsidRPr="002C61E4" w:rsidRDefault="00E82389" w:rsidP="003B0113">
            <w:pPr>
              <w:pStyle w:val="Normal6a"/>
            </w:pPr>
            <w:r w:rsidRPr="002C61E4">
              <w:t>30.</w:t>
            </w:r>
            <w:r w:rsidRPr="002C61E4">
              <w:tab/>
              <w:t>pabrėžia pilietinės visuomenės ir nepriklausomų priežiūros institucijų vaidmenį stebint</w:t>
            </w:r>
            <w:r w:rsidRPr="002C61E4">
              <w:rPr>
                <w:b/>
                <w:bCs/>
                <w:i/>
                <w:iCs/>
              </w:rPr>
              <w:t>, tikrinant</w:t>
            </w:r>
            <w:r w:rsidRPr="002C61E4">
              <w:t xml:space="preserve"> ir remiant teisinės valstybės principo taikymo ataskaitos rekomendacijų įgyvendinimą; ragina sukurti struktūrizuotą pilietinio dialogo sistemą, kad pilietinės visuomenės indėlis būtų įtrauktas į metinį teisinės valstybės principo taikymo ciklą, kaip rekomendavo Europos ekonomikos ir socialinių reikalų komitetas (EESRK)</w:t>
            </w:r>
            <w:r w:rsidRPr="002C61E4">
              <w:rPr>
                <w:vertAlign w:val="superscript"/>
              </w:rPr>
              <w:t>46</w:t>
            </w:r>
            <w:r w:rsidRPr="002C61E4">
              <w:t xml:space="preserve"> ir pilietinės visuomenės tinklai</w:t>
            </w:r>
            <w:r w:rsidRPr="002C61E4">
              <w:rPr>
                <w:vertAlign w:val="superscript"/>
              </w:rPr>
              <w:t>47</w:t>
            </w:r>
            <w:r w:rsidRPr="002C61E4">
              <w:t>; pakartoja, kad rengiant ataskaitą svarbu plačiu mastu konsultuotis;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c>
          <w:tcPr>
            <w:tcW w:w="4876" w:type="dxa"/>
            <w:tcBorders>
              <w:top w:val="nil"/>
              <w:left w:val="nil"/>
              <w:bottom w:val="nil"/>
              <w:right w:val="nil"/>
            </w:tcBorders>
          </w:tcPr>
          <w:p w:rsidR="00E82389" w:rsidRPr="002C61E4" w:rsidRDefault="00E82389" w:rsidP="003B0113">
            <w:pPr>
              <w:pStyle w:val="Normal6a"/>
            </w:pPr>
            <w:r w:rsidRPr="002C61E4">
              <w:rPr>
                <w:b/>
                <w:i/>
              </w:rPr>
              <w:t>_________________</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46</w:t>
            </w:r>
            <w:r w:rsidRPr="002C61E4">
              <w:t xml:space="preserve"> 2024 m. vasario 14 d. EESRK nuomonė „Pilietinio dialogo ir dalyvaujamosios demokratijos stiprinimas ES. Kelias į priekį“.</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46</w:t>
            </w:r>
            <w:r w:rsidRPr="002C61E4">
              <w:t xml:space="preserve"> 2024 m. vasario 14 d. EESRK nuomonė „Pilietinio dialogo ir dalyvaujamosios demokratijos stiprinimas ES. Kelias į priekį“.</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c>
          <w:tcPr>
            <w:tcW w:w="4876" w:type="dxa"/>
            <w:tcBorders>
              <w:top w:val="nil"/>
              <w:left w:val="nil"/>
              <w:bottom w:val="nil"/>
              <w:right w:val="nil"/>
            </w:tcBorders>
          </w:tcPr>
          <w:p w:rsidR="00E82389" w:rsidRPr="002C61E4" w:rsidRDefault="00E82389" w:rsidP="003B0113">
            <w:pPr>
              <w:pStyle w:val="Normal6a"/>
            </w:pPr>
            <w:r w:rsidRPr="002C61E4">
              <w:rPr>
                <w:vertAlign w:val="superscript"/>
              </w:rPr>
              <w:t>47</w:t>
            </w:r>
            <w:r w:rsidRPr="002C61E4">
              <w:t xml:space="preserve"> Europos pilietinės visuomenės tinklas, „Bendras pilietinės visuomenės indėlis į 2024 m. metinę teisinės valstybės principo taikymo ataskaitą, kiek tai susiję su pilietine erdve“ (angl. „Joint Civil Society Contribution on Civic Space to the 2024 Annual Rule of Law Report“), 2024 m. birželio mėn.</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30a.</w:t>
            </w:r>
            <w:r w:rsidRPr="002C61E4">
              <w:tab/>
            </w:r>
            <w:r w:rsidRPr="002C61E4">
              <w:rPr>
                <w:b/>
                <w:i/>
              </w:rPr>
              <w:t xml:space="preserve">reiškia susirūpinimą, kad metinės teisinės valstybės principo taikymo ataskaitos paskelbimo data nesuteikia pakankamo matomumo ir prieštarauja </w:t>
            </w:r>
            <w:r w:rsidRPr="002C61E4">
              <w:rPr>
                <w:b/>
                <w:i/>
              </w:rPr>
              <w:lastRenderedPageBreak/>
              <w:t>numatytam ataskaitos tikslui paskatinti tikrą viešą diskusiją apie jos išvadas; primygtinai ragina Komisiją persvarstyti paskelbimo datą ir dėti papildomas pastangas, kad jos išvados būtų plačiai paskelbtos visose valstybėse narėse ir kad būtų pradėta prasminga diskusija;</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30a.</w:t>
            </w:r>
            <w:r w:rsidRPr="002C61E4">
              <w:tab/>
            </w:r>
            <w:r w:rsidRPr="002C61E4">
              <w:rPr>
                <w:b/>
                <w:i/>
              </w:rPr>
              <w:t>susirūpinęs pažymi, kad daugelį pilietinės visuomenės organizacijų finansuoja užsienio organizacijos, pvz., Atviros visuomenės fondai, ir Europos vyriausybės ar institucijos, siekdamos įgyvendinti konkrečias ideologines darbotvarkes; pabrėžia, kad daugelis šių organizacijų nebūtinai atstovauja valstybių narių pilietinės visuomenės interesams;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30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30a.</w:t>
            </w:r>
            <w:r w:rsidRPr="002C61E4">
              <w:tab/>
            </w:r>
            <w:r w:rsidRPr="002C61E4">
              <w:rPr>
                <w:b/>
                <w:i/>
              </w:rPr>
              <w:t xml:space="preserve">siūlo pilietinės visuomenės organizacijoms suteikti galimybę susipažinti su valstybių narių indėliu prieš pateikiant atsakymą į Komisijos metines konsultacijas su suinteresuotaisiais subjektais, kad jos galėtų atsakyti, </w:t>
            </w:r>
            <w:r w:rsidRPr="002C61E4">
              <w:rPr>
                <w:b/>
                <w:i/>
              </w:rPr>
              <w:lastRenderedPageBreak/>
              <w:t>patikrinti ir įvertinti valstybių narių pateiktus duomenis;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 xml:space="preserve">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 </w:t>
            </w:r>
            <w:r w:rsidRPr="002C61E4">
              <w:rPr>
                <w:b/>
                <w:i/>
              </w:rPr>
              <w:t>atsižvelgdamas į tai, reiškia susirūpinimą, kad vadinamasis Ispanijos Nutildymo įstatymas, oficialiai žinomas kaip Organinis įstatymas Nr. 4/2015 dėl piliečių saugumo, galioja jau dešimtmetį ir vis dar trukdo žurnalistams atlikti savo darbo pareigas; apgailestauja, kad šis įstatymas nebuvo visiškai panaikintas ir kad siūlomais įstatymo pakeitimais neužtikrinama saviraiškos laisvės apsauga; be to, apgailestauja, kad Ispanijos baudžiamajame kodekse tebėra numatyta, kad Karūnos įžeidimas yra nusikalstama veika, o ši nuostata yra nesuderinama su demokratinės visuomenės principais, nes ja nepagrįstai ribojama saviraiškos laisvė;</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678</w:t>
      </w:r>
      <w:r w:rsidRPr="002C61E4">
        <w:rPr>
          <w:rStyle w:val="HideTWBExt"/>
          <w:b w:val="0"/>
        </w:rPr>
        <w:t>&lt;/NumAm&gt;</w:t>
      </w:r>
    </w:p>
    <w:p w:rsidR="00E82389" w:rsidRPr="002C61E4" w:rsidRDefault="00E82389" w:rsidP="00E82389">
      <w:pPr>
        <w:pStyle w:val="NormalBold"/>
      </w:pPr>
      <w:r w:rsidRPr="002C61E4">
        <w:rPr>
          <w:rStyle w:val="HideTWBExt"/>
          <w:b w:val="0"/>
        </w:rPr>
        <w:lastRenderedPageBreak/>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Daniel Freund, Isabel Serra Sánchez,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r w:rsidRPr="002C61E4">
              <w:rPr>
                <w:b/>
                <w:bCs/>
                <w:i/>
                <w:iCs/>
              </w:rPr>
              <w:t>, ir susirūpinęs atkreipia dėmesį į tai, kad vis dažniau naudojamas administracinis sulaikymas siekiant užkirsti kelią žmonėms dalyvauti protestuose;</w:t>
            </w:r>
            <w:r w:rsidRPr="002C61E4">
              <w:t xml:space="preserve"> </w:t>
            </w:r>
            <w:r w:rsidRPr="002C61E4">
              <w:rPr>
                <w:b/>
                <w:i/>
              </w:rPr>
              <w:t>apgailestauja, kad susirinkimų, saviraiškos ir asociacijų laisvės apribojimai ir pernelyg didelės jėgos naudojimas daro neproporcingai didelę įtaką tam tikroms iniciatyvoms ar grupėms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679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 Diana Riba i Giner, Jaume Asens Llodrà, Vicent Marzà Ibáñez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w:t>
            </w:r>
            <w:r w:rsidRPr="002C61E4">
              <w:rPr>
                <w:b/>
                <w:bCs/>
                <w:i/>
                <w:iCs/>
              </w:rPr>
              <w:t xml:space="preserve"> ir</w:t>
            </w:r>
            <w:r w:rsidRPr="002C61E4">
              <w:t xml:space="preserve"> asociacijų bei saviraiškos laisvė yra tarptautinės teisės saugomos pagrindinės teisės, kurios yra labai svarbios </w:t>
            </w:r>
            <w:r w:rsidRPr="002C61E4">
              <w:lastRenderedPageBreak/>
              <w:t>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p>
        </w:tc>
        <w:tc>
          <w:tcPr>
            <w:tcW w:w="4876" w:type="dxa"/>
            <w:tcBorders>
              <w:top w:val="nil"/>
              <w:left w:val="nil"/>
              <w:bottom w:val="nil"/>
              <w:right w:val="nil"/>
            </w:tcBorders>
          </w:tcPr>
          <w:p w:rsidR="00E82389" w:rsidRPr="002C61E4" w:rsidRDefault="00E82389" w:rsidP="003B0113">
            <w:pPr>
              <w:pStyle w:val="Normal6a"/>
            </w:pPr>
            <w:r w:rsidRPr="002C61E4">
              <w:lastRenderedPageBreak/>
              <w:t>31.</w:t>
            </w:r>
            <w:r w:rsidRPr="002C61E4">
              <w:tab/>
              <w:t>pabrėžia, kad taikūs susirinkimai</w:t>
            </w:r>
            <w:r w:rsidRPr="002C61E4">
              <w:rPr>
                <w:b/>
                <w:bCs/>
                <w:i/>
                <w:iCs/>
              </w:rPr>
              <w:t>,</w:t>
            </w:r>
            <w:r w:rsidRPr="002C61E4">
              <w:t xml:space="preserve"> asociacijų bei saviraiškos laisvė</w:t>
            </w:r>
            <w:r w:rsidRPr="002C61E4">
              <w:rPr>
                <w:b/>
                <w:bCs/>
                <w:i/>
                <w:iCs/>
              </w:rPr>
              <w:t xml:space="preserve"> ir menų bei mokslo laisvė</w:t>
            </w:r>
            <w:r w:rsidRPr="002C61E4">
              <w:t xml:space="preserve"> yra tarptautinės teisės saugomos pagrindinės teisės, kurios yra </w:t>
            </w:r>
            <w:r w:rsidRPr="002C61E4">
              <w:lastRenderedPageBreak/>
              <w:t xml:space="preserve">labai svarbios demokratijai ir vyriausybės atskaitomybei užtikrinti; smerkia padidėjusį spaudimą šioms teisėms ir atkreipia dėmesį į tendenciją jas riboti; </w:t>
            </w:r>
            <w:r w:rsidRPr="002C61E4">
              <w:rPr>
                <w:b/>
                <w:bCs/>
                <w:i/>
                <w:iCs/>
              </w:rPr>
              <w:t>ragina Komisiją šias laisves atspindėti metinėje ataskaitoje;</w:t>
            </w:r>
            <w:r w:rsidRPr="002C61E4">
              <w:rPr>
                <w:b/>
                <w:i/>
              </w:rPr>
              <w:t xml:space="preserve"> </w:t>
            </w:r>
            <w:r w:rsidRPr="002C61E4">
              <w:t>ragina valstybes nares nuodugniai ištirti atvejus, kai susiduriama su teisėsaugos institucijų naudojama pertekline jėga ir diskriminaciniu elgesiu</w:t>
            </w:r>
            <w:r w:rsidRPr="002C61E4">
              <w:rPr>
                <w:b/>
                <w:bCs/>
                <w:i/>
                <w:iCs/>
              </w:rPr>
              <w:t>, taip pat pranešimus apie neteisėtą policijos skverbimąsi į PVO ir cenzūrą, politinį kišimąsi ar bauginimą, susijusį su pagrindinėmis laisvėmis;</w:t>
            </w:r>
            <w:r w:rsidRPr="002C61E4">
              <w:t>;</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Nicolas Bay</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w:t>
            </w:r>
            <w:r w:rsidRPr="002C61E4">
              <w:rPr>
                <w:b/>
                <w:bCs/>
                <w:i/>
                <w:iCs/>
              </w:rPr>
              <w:t>;</w:t>
            </w:r>
            <w:r w:rsidRPr="002C61E4">
              <w:t xml:space="preserve"> </w:t>
            </w:r>
            <w:r w:rsidRPr="002C61E4">
              <w:rPr>
                <w:b/>
                <w:i/>
              </w:rPr>
              <w:t>smerkia padidėjusį spaudimą šioms teisėms ir atkreipia dėmesį į tendenciją jas riboti; ragina valstybes nares nuodugniai ištirti atvejus, kai susiduriama su teisėsaugos institucijų naudojama pertekline jėga ir diskriminaciniu elgesiu</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{FR}</w:t>
      </w:r>
      <w:r w:rsidRPr="002C61E4">
        <w:t>fr</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 xml:space="preserve">pabrėžia, kad taikūs susirinkimai ir asociacijų bei saviraiškos laisvė yra tarptautinės teisės saugomos pagrindinės teisės, kurios yra labai svarbios demokratijai ir vyriausybės atskaitomybei užtikrinti; </w:t>
            </w:r>
            <w:r w:rsidRPr="002C61E4">
              <w:rPr>
                <w:b/>
                <w:i/>
              </w:rPr>
              <w:t>smerkia padidėjusį spaudimą šioms teisėms ir atkreipia dėmesį į tendenciją jas riboti; ragina valstybes nares nuodugniai ištirti atvejus, kai susiduriama su teisėsaugos institucijų naudojama pertekline jėga ir diskriminaciniu elgesiu;</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w:t>
            </w:r>
            <w:r w:rsidRPr="002C61E4">
              <w:rPr>
                <w:b/>
                <w:bCs/>
                <w:i/>
                <w:iCs/>
              </w:rPr>
              <w:t>, kai jos įrodytos,</w:t>
            </w:r>
            <w:r w:rsidRPr="002C61E4">
              <w:t xml:space="preserve"> ir atkreipia dėmesį į tendenciją jas riboti; ragina valstybes nares nuodugniai ištirti atvejus, kai susiduriama su teisėsaugos institucijų naudojama pertekline jėga ir diskriminaciniu elgesiu; </w:t>
            </w:r>
            <w:r w:rsidRPr="002C61E4">
              <w:rPr>
                <w:b/>
                <w:i/>
              </w:rPr>
              <w:t>taip pat smerkia smurto prieš tvarkos palaikymo pajėgas atvejus;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 xml:space="preserve">Mariusz Kamiński, Joachim Stanisław Brudziński, Jadwiga Wiśniewska, Maciej Wąsik, </w:t>
      </w:r>
      <w:r w:rsidRPr="002C61E4">
        <w:lastRenderedPageBreak/>
        <w:t>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nuodugniai ištirti atvejus, kai susiduriama su teisėsaugos institucijų naudojama pertekline jėga ir diskriminaciniu elgesiu</w:t>
            </w:r>
            <w:r w:rsidRPr="002C61E4">
              <w:rPr>
                <w:b/>
                <w:bCs/>
                <w:i/>
                <w:iCs/>
              </w:rPr>
              <w:t>, įskaitant D. Tusko režimo smurtą ir slaptųjų tarnybų operacijas, nukreiptas prieš nepatenkintą Lenkijos visuomenę</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 xml:space="preserve">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w:t>
            </w:r>
            <w:r w:rsidRPr="002C61E4">
              <w:rPr>
                <w:b/>
                <w:i/>
              </w:rPr>
              <w:t>ragina valstybes nares nuodugniai ištirti atvejus, kai susiduriama su teisėsaugos institucijų naudojama pertekline jėga ir diskriminaciniu elgesiu;</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 xml:space="preserve">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w:t>
            </w:r>
            <w:r w:rsidRPr="002C61E4">
              <w:rPr>
                <w:b/>
                <w:bCs/>
                <w:i/>
                <w:iCs/>
              </w:rPr>
              <w:t>nuodugniai ištirti atvejus, kai susiduriama su</w:t>
            </w:r>
            <w:r w:rsidRPr="002C61E4">
              <w:t xml:space="preserve"> teisėsaugos institucijų </w:t>
            </w:r>
            <w:r w:rsidRPr="002C61E4">
              <w:rPr>
                <w:b/>
                <w:bCs/>
                <w:i/>
                <w:iCs/>
              </w:rPr>
              <w:t>naudojama pertekline jėga ir diskriminaciniu elgesiu</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 xml:space="preserve">pabrėžia, kad taikūs susirinkimai ir asociacijų bei saviraiškos laisvė yra tarptautinės teisės saugomos pagrindinės teisės, kurios yra labai svarbios demokratijai ir vyriausybės atskaitomybei užtikrinti; smerkia padidėjusį spaudimą šioms teisėms ir atkreipia dėmesį į tendenciją jas riboti; ragina valstybes nares </w:t>
            </w:r>
            <w:r w:rsidRPr="002C61E4">
              <w:rPr>
                <w:b/>
                <w:bCs/>
                <w:i/>
                <w:iCs/>
              </w:rPr>
              <w:t>susilaikyti nuo</w:t>
            </w:r>
            <w:r w:rsidRPr="002C61E4">
              <w:t xml:space="preserve"> teisėsaugos institucijų </w:t>
            </w:r>
            <w:r w:rsidRPr="002C61E4">
              <w:rPr>
                <w:b/>
                <w:bCs/>
                <w:i/>
                <w:iCs/>
              </w:rPr>
              <w:t>naudojimo pilietinėms laisvėms riboti</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Javier Zarzalejos</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31.</w:t>
            </w:r>
            <w:r w:rsidRPr="002C61E4">
              <w:tab/>
              <w:t xml:space="preserve">pabrėžia, kad taikūs susirinkimai ir asociacijų bei saviraiškos laisvė yra tarptautinės teisės saugomos pagrindinės teisės, kurios yra labai svarbios demokratijai ir vyriausybės atskaitomybei užtikrinti; </w:t>
            </w:r>
            <w:r w:rsidRPr="002C61E4">
              <w:rPr>
                <w:b/>
                <w:i/>
              </w:rPr>
              <w:t>smerkia padidėjusį spaudimą šioms teisėms ir atkreipia dėmesį į tendenciją jas riboti;</w:t>
            </w:r>
            <w:r w:rsidRPr="002C61E4">
              <w:t xml:space="preserve"> ragina valstybes nares </w:t>
            </w:r>
            <w:r w:rsidRPr="002C61E4">
              <w:rPr>
                <w:b/>
                <w:bCs/>
                <w:i/>
                <w:iCs/>
              </w:rPr>
              <w:t>nuodugniai ištirti atvejus, kai susiduriama su</w:t>
            </w:r>
            <w:r w:rsidRPr="002C61E4">
              <w:t xml:space="preserve"> teisėsaugos </w:t>
            </w:r>
            <w:r w:rsidRPr="002C61E4">
              <w:rPr>
                <w:b/>
                <w:bCs/>
                <w:i/>
                <w:iCs/>
              </w:rPr>
              <w:t>institucijų naudojama pertekline jėga ir diskriminaciniu elgesiu</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31.</w:t>
            </w:r>
            <w:r w:rsidRPr="002C61E4">
              <w:tab/>
              <w:t xml:space="preserve">pabrėžia, kad taikūs susirinkimai ir asociacijų bei saviraiškos laisvė yra tarptautinės teisės saugomos pagrindinės teisės, kurios yra labai svarbios demokratijai ir vyriausybės atskaitomybei užtikrinti; ragina valstybes nares </w:t>
            </w:r>
            <w:r w:rsidRPr="002C61E4">
              <w:rPr>
                <w:b/>
                <w:bCs/>
                <w:i/>
                <w:iCs/>
              </w:rPr>
              <w:t>užtikrinti proporcingą jėgos naudojimą;</w:t>
            </w:r>
            <w:r w:rsidRPr="002C61E4">
              <w:rPr>
                <w:b/>
                <w:i/>
              </w:rPr>
              <w:t xml:space="preserve"> </w:t>
            </w:r>
            <w:r w:rsidRPr="002C61E4">
              <w:rPr>
                <w:b/>
                <w:bCs/>
                <w:i/>
                <w:iCs/>
              </w:rPr>
              <w:t>reiškia susirūpinimą dėl priemonių, kuriomis siekiama apriboti valstybių narių galimybes užtikrinti, kad</w:t>
            </w:r>
            <w:r w:rsidRPr="002C61E4">
              <w:t xml:space="preserve"> teisėsaugos</w:t>
            </w:r>
            <w:r w:rsidRPr="002C61E4">
              <w:rPr>
                <w:b/>
                <w:bCs/>
                <w:i/>
                <w:iCs/>
              </w:rPr>
              <w:t xml:space="preserve"> institucijos ir agentūros proporcingai naudotų jėgą</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31a.</w:t>
            </w:r>
            <w:r w:rsidRPr="002C61E4">
              <w:tab/>
            </w:r>
            <w:r w:rsidRPr="002C61E4">
              <w:rPr>
                <w:b/>
                <w:i/>
              </w:rPr>
              <w:t>yra labai susirūpinęs dėl žodžio laisvės internete padėties; mano, kad Skaitmeninių paslaugų aktu</w:t>
            </w:r>
            <w:r w:rsidRPr="002C61E4">
              <w:rPr>
                <w:b/>
                <w:i/>
                <w:vertAlign w:val="superscript"/>
              </w:rPr>
              <w:t>47 a</w:t>
            </w:r>
            <w:r w:rsidRPr="002C61E4">
              <w:rPr>
                <w:b/>
                <w:i/>
              </w:rPr>
              <w:t xml:space="preserve"> dažnai remiamasi siekiant cenzūruoti besiskiriančias politines nuomones; ragina Komisiją pateikti pasiūlymą iš dalies pakeisti tuos Skaitmeninių paslaugų akto skyrius, kuriais pažeidžiama žodžio laisvė;</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vertAlign w:val="superscript"/>
              </w:rPr>
              <w:t>47a</w:t>
            </w:r>
            <w:r w:rsidRPr="002C61E4">
              <w:rPr>
                <w:b/>
                <w:i/>
              </w:rPr>
              <w:t xml:space="preserve"> 2022 m. spalio 19 d. Europos Parlamento ir Tarybos reglamentas (ES) 2022/2065 dėl bendrosios skaitmeninių paslaugų rinkos, kuriuo iš dalies keičiama Direktyva 2000/31/EB (Skaitmeninių paslaugų aktas) (OL L 277, 2022 10 27, p. 1, ELI: http://data.europa.eu/eli/reg/2022/2065/oj).</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31a.</w:t>
            </w:r>
            <w:r w:rsidRPr="002C61E4">
              <w:tab/>
            </w:r>
            <w:r w:rsidRPr="002C61E4">
              <w:rPr>
                <w:b/>
                <w:i/>
              </w:rPr>
              <w:t xml:space="preserve">yra susirūpinęs dėl to, kad valstybių narių teisėsaugos institucijos taiko skirtingas jėgos ir ginklų naudojimo ribas viešajai tvarkai palaikyti; primygtinai ragina uždrausti tam tikrų rūšių mažiau mirtinus ginklus ir viešosios tvarkos palaikymo priemones, pavyzdžiui, apsvaiginti skirtas ašarinių dujų granatas </w:t>
            </w:r>
            <w:r w:rsidRPr="002C61E4">
              <w:rPr>
                <w:b/>
                <w:i/>
              </w:rPr>
              <w:lastRenderedPageBreak/>
              <w:t>arba LBD 40 granatsvaidžius; ragina valstybes nares susilaikyti nuo ribojančių įstatymų, susijusių su susirinkimų laisve, priėmimo;</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689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31a.</w:t>
            </w:r>
            <w:r w:rsidRPr="002C61E4">
              <w:tab/>
            </w:r>
            <w:r w:rsidRPr="002C61E4">
              <w:rPr>
                <w:b/>
                <w:i/>
              </w:rPr>
              <w:t>ragina Komisiją atlikti nepriklausomą auditą dėl neseniai pareikštų įtarimų, kad Komisija finansavo organizacijas, kurių užduotis buvo paveikti Europos Parlamentą ir kitas institucijas, kad būtų remiami tam tikri ideologiniai projektai, kuriuos skatina vykdyti Komisija, įskaitant žaliąjį kursą ir migraciją, ir paskelbti visus šio audito rezultatus;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b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31b.</w:t>
            </w:r>
            <w:r w:rsidRPr="002C61E4">
              <w:tab/>
            </w:r>
            <w:r w:rsidRPr="002C61E4">
              <w:rPr>
                <w:b/>
                <w:i/>
              </w:rPr>
              <w:t>reiškia susirūpinimą dėl slaptųjų policijos pareigūnų įsiskverbimo į socialinius ir politinius judėjimus, žmogaus teisių gynėjų ir aktyvistų pilietinių teisių suvaržymo, įskaitant laisvo naudojimosi teise į taikių susirinkimų ir asociacijų laisvę pažeidimą;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c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31c.</w:t>
            </w:r>
            <w:r w:rsidRPr="002C61E4">
              <w:tab/>
            </w:r>
            <w:r w:rsidRPr="002C61E4">
              <w:rPr>
                <w:b/>
                <w:i/>
              </w:rPr>
              <w:t>reiškia susirūpinimą dėl to, kad daugėja apsišaukėliškų grupių, kurios veikia kaip saugumo pajėgos, vykdo su policija susijusią veiklą ir paverčia ją ekonomine veikla, veikdamos už visuomenės saugumo institucijų sistemos ribų, ypač kalbant apie iškeldinimus;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Isabel Serra Sánchez, Ilaria Salis, Mimmo Lucano</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31 d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31d.</w:t>
            </w:r>
            <w:r w:rsidRPr="002C61E4">
              <w:tab/>
            </w:r>
            <w:r w:rsidRPr="002C61E4">
              <w:rPr>
                <w:b/>
                <w:i/>
              </w:rPr>
              <w:t xml:space="preserve">reiškia didelį susirūpinimą dėl neseniai Italijos vyriausybės pateikto pasiūlymo dėl naujo visuomenės saugumo įstatymo, kuriuo nustatomos priemonės, kuriomis pažeidžiamos pagrindinės teisės, visų pirma teisė protestuoti, saviraiškos laisvė, teisė į būstą ir procesinės garantijos; įspėja dėl autoritarinių režimų kišimosi pavojaus, kurį šis įstatymas kelia tokiomis priemonėmis kaip protesto akcijų, pavyzdžiui, kelių blokavimo, kriminalizavimas, maišto nusikaltimo įvedimas kalėjimuose ir repatriacijos centruose, galimybė atidėti bausmės vykdymą nėščioms moterims ar moterims su vaikais, universitetų ir visų viešojo administravimo įstaigų įpareigojimas </w:t>
            </w:r>
            <w:r w:rsidRPr="002C61E4">
              <w:rPr>
                <w:b/>
                <w:i/>
              </w:rPr>
              <w:lastRenderedPageBreak/>
              <w:t>teikti pagalbą žvalgybos tarnyboms; pabrėžia, kad šias nuostatas kritikavo Europos Tarybos žmogaus teisių komisaras;</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32.</w:t>
            </w:r>
            <w:r w:rsidRPr="002C61E4">
              <w:tab/>
            </w:r>
            <w:r w:rsidRPr="002C61E4">
              <w:rPr>
                <w:b/>
                <w:i/>
              </w:rPr>
              <w:t>mano, kad Komisija ir valstybės narės turėtų tobulinti PVO finansavimo mechanizmus ir iniciatyvas, kuriomis stiprinamos teisminės institucijos ir užtikrinamas teismų nepriklausomumas; rekomenduoja Komisijai parengti pilietinės visuomenės ir žmogaus teisių gynėjų apsaugos strategiją;</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Jorge Buxadé Villalba, Marieke Ehlers, Malika Sorel, Fabrice Leggeri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32.</w:t>
            </w:r>
            <w:r w:rsidRPr="002C61E4">
              <w:tab/>
            </w:r>
            <w:r w:rsidRPr="002C61E4">
              <w:rPr>
                <w:b/>
                <w:i/>
              </w:rPr>
              <w:t>mano, kad Komisija ir valstybės narės turėtų tobulinti PVO finansavimo mechanizmus ir iniciatyvas, kuriomis stiprinamos teisminės institucijos ir užtikrinamas teismų nepriklausomumas; rekomenduoja Komisijai parengti pilietinės visuomenės ir žmogaus teisių gynėjų apsaugos strategiją;</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lastRenderedPageBreak/>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Raquel García Hermida-Van Der Walle, Fabienne Keller, Sophie Wilmès, Moritz Körner, Abir Al-Sahlani, Sigrid Friis, Lucia Yar</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32.</w:t>
            </w:r>
            <w:r w:rsidRPr="002C61E4">
              <w:tab/>
              <w:t>mano, kad Komisija ir valstybės narės turėtų tobulinti PVO finansavimo mechanizmus ir iniciatyvas, kuriomis stiprinamos teisminės institucijos ir užtikrinamas teismų nepriklausomumas; rekomenduoja Komisijai parengti pilietinės visuomenės ir žmogaus teisių gynėjų apsaugos strategiją;</w:t>
            </w:r>
          </w:p>
        </w:tc>
        <w:tc>
          <w:tcPr>
            <w:tcW w:w="4876" w:type="dxa"/>
            <w:tcBorders>
              <w:top w:val="nil"/>
              <w:left w:val="nil"/>
              <w:bottom w:val="nil"/>
              <w:right w:val="nil"/>
            </w:tcBorders>
          </w:tcPr>
          <w:p w:rsidR="00E82389" w:rsidRPr="002C61E4" w:rsidRDefault="00E82389" w:rsidP="003B0113">
            <w:pPr>
              <w:pStyle w:val="Normal6a"/>
            </w:pPr>
            <w:r w:rsidRPr="002C61E4">
              <w:t>32.</w:t>
            </w:r>
            <w:r w:rsidRPr="002C61E4">
              <w:tab/>
              <w:t>mano, kad Komisija ir valstybės narės turėtų tobulinti PVO finansavimo mechanizmus ir iniciatyvas, kuriomis stiprinamos teisminės institucijos ir užtikrinamas teismų nepriklausomumas; rekomenduoja Komisijai parengti pilietinės visuomenės ir žmogaus teisių gynėjų apsaugos strategiją</w:t>
            </w:r>
            <w:r w:rsidRPr="002C61E4">
              <w:rPr>
                <w:b/>
                <w:bCs/>
                <w:i/>
                <w:iCs/>
              </w:rPr>
              <w:t>, įskaitant greitojo reagavimo mechanizmą, sk</w:t>
            </w:r>
            <w:bookmarkStart w:id="0" w:name="_GoBack"/>
            <w:bookmarkEnd w:id="0"/>
            <w:r w:rsidRPr="002C61E4">
              <w:rPr>
                <w:b/>
                <w:bCs/>
                <w:i/>
                <w:iCs/>
              </w:rPr>
              <w:t>irtą padėti pilietinės visuomenės organizacijoms ir žmogaus teisių gynėjams, kuriems gresia pavojus, Europos Sąjungoje, remiantis ES finansuojamo mechanizmo „Protect Defenders“ modeliu, kuris šiuo metu skirtas tik ES nepriklausančioms šalims</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Mariusz Kamiński, Joachim Stanisław Brudziński, Jadwiga Wiśniewska, Maciej Wąsik, Jacek Ozdoba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32.</w:t>
            </w:r>
            <w:r w:rsidRPr="002C61E4">
              <w:tab/>
              <w:t xml:space="preserve">mano, kad Komisija ir valstybės narės turėtų tobulinti PVO finansavimo mechanizmus </w:t>
            </w:r>
            <w:r w:rsidRPr="002C61E4">
              <w:rPr>
                <w:b/>
                <w:bCs/>
                <w:i/>
                <w:iCs/>
              </w:rPr>
              <w:t>ir iniciatyvas</w:t>
            </w:r>
            <w:r w:rsidRPr="002C61E4">
              <w:t>, kuriomis stiprinamos teisminės institucijos ir užtikrinamas teismų nepriklausomumas; rekomenduoja Komisijai parengti pilietinės visuomenės ir žmogaus teisių gynėjų apsaugos strategiją;</w:t>
            </w:r>
          </w:p>
        </w:tc>
        <w:tc>
          <w:tcPr>
            <w:tcW w:w="4876" w:type="dxa"/>
            <w:tcBorders>
              <w:top w:val="nil"/>
              <w:left w:val="nil"/>
              <w:bottom w:val="nil"/>
              <w:right w:val="nil"/>
            </w:tcBorders>
          </w:tcPr>
          <w:p w:rsidR="00E82389" w:rsidRPr="002C61E4" w:rsidRDefault="00E82389" w:rsidP="003B0113">
            <w:pPr>
              <w:pStyle w:val="Normal6a"/>
            </w:pPr>
            <w:r w:rsidRPr="002C61E4">
              <w:t>32.</w:t>
            </w:r>
            <w:r w:rsidRPr="002C61E4">
              <w:tab/>
              <w:t>mano, kad Komisija ir valstybės narės turėtų tobulinti PVO finansavimo mechanizmus</w:t>
            </w:r>
            <w:r w:rsidRPr="002C61E4">
              <w:rPr>
                <w:b/>
                <w:bCs/>
                <w:i/>
                <w:iCs/>
              </w:rPr>
              <w:t>, įskaitant skaidrumą ir paramos skyrimą pagal nuopelnus;</w:t>
            </w:r>
            <w:r w:rsidRPr="002C61E4">
              <w:rPr>
                <w:b/>
                <w:i/>
              </w:rPr>
              <w:t xml:space="preserve"> </w:t>
            </w:r>
            <w:r w:rsidRPr="002C61E4">
              <w:rPr>
                <w:b/>
                <w:bCs/>
                <w:i/>
                <w:iCs/>
              </w:rPr>
              <w:t>pabrėžia, kad daugeliu iniciatyvų</w:t>
            </w:r>
            <w:r w:rsidRPr="002C61E4">
              <w:t xml:space="preserve">, kuriomis </w:t>
            </w:r>
            <w:r w:rsidRPr="002C61E4">
              <w:rPr>
                <w:b/>
                <w:bCs/>
                <w:i/>
                <w:iCs/>
              </w:rPr>
              <w:t>teoriškai</w:t>
            </w:r>
            <w:r w:rsidRPr="002C61E4">
              <w:t xml:space="preserve"> stiprinamos teisminės institucijos ir užtikrinamas teismų nepriklausomumas</w:t>
            </w:r>
            <w:r w:rsidRPr="002C61E4">
              <w:rPr>
                <w:b/>
                <w:bCs/>
                <w:i/>
                <w:iCs/>
              </w:rPr>
              <w:t xml:space="preserve">, iš tikrųjų gilinamos struktūrinės problemos ir dar labiau </w:t>
            </w:r>
            <w:r w:rsidRPr="002C61E4">
              <w:rPr>
                <w:b/>
                <w:bCs/>
                <w:i/>
                <w:iCs/>
              </w:rPr>
              <w:lastRenderedPageBreak/>
              <w:t>politizuojama teismų sistema</w:t>
            </w:r>
            <w:r w:rsidRPr="002C61E4">
              <w:t>; rekomenduoja Komisijai parengti pilietinės visuomenės ir žmogaus teisių gynėjų apsaugos strategiją;</w:t>
            </w:r>
          </w:p>
        </w:tc>
      </w:tr>
    </w:tbl>
    <w:p w:rsidR="00E82389" w:rsidRPr="002C61E4" w:rsidRDefault="00E82389" w:rsidP="00E82389">
      <w:pPr>
        <w:pStyle w:val="AmOrLang"/>
      </w:pPr>
      <w:r w:rsidRPr="002C61E4">
        <w:lastRenderedPageBreak/>
        <w:t xml:space="preserve">Or. </w:t>
      </w:r>
      <w:r w:rsidRPr="002C61E4">
        <w:rPr>
          <w:rStyle w:val="HideTWBExt"/>
        </w:rPr>
        <w:t>&lt;Original&gt;</w:t>
      </w:r>
      <w:r w:rsidRPr="002C61E4">
        <w:rPr>
          <w:rStyle w:val="HideTWBInt"/>
        </w:rPr>
        <w:t>{PL}</w:t>
      </w:r>
      <w:r w:rsidRPr="002C61E4">
        <w:t>pl</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32.</w:t>
            </w:r>
            <w:r w:rsidRPr="002C61E4">
              <w:tab/>
            </w:r>
            <w:r w:rsidRPr="002C61E4">
              <w:rPr>
                <w:b/>
                <w:bCs/>
                <w:i/>
                <w:iCs/>
              </w:rPr>
              <w:t>mano, kad Komisija ir valstybės narės turėtų tobulinti PVO finansavimo mechanizmus ir iniciatyvas, kuriomis stiprinamos teisminės institucijos ir užtikrinamas teismų nepriklausomumas</w:t>
            </w:r>
            <w:r w:rsidRPr="002C61E4">
              <w:t>;</w:t>
            </w:r>
            <w:r w:rsidRPr="002C61E4">
              <w:rPr>
                <w:b/>
                <w:i/>
              </w:rPr>
              <w:t xml:space="preserve"> </w:t>
            </w:r>
            <w:r w:rsidRPr="002C61E4">
              <w:rPr>
                <w:b/>
                <w:bCs/>
                <w:i/>
                <w:iCs/>
              </w:rPr>
              <w:t>rekomenduoja Komisijai parengti pilietinės visuomenės ir žmogaus teisių gynėjų apsaugos strategiją</w:t>
            </w:r>
            <w:r w:rsidRPr="002C61E4">
              <w:t>;</w:t>
            </w:r>
          </w:p>
        </w:tc>
        <w:tc>
          <w:tcPr>
            <w:tcW w:w="4876" w:type="dxa"/>
            <w:tcBorders>
              <w:top w:val="nil"/>
              <w:left w:val="nil"/>
              <w:bottom w:val="nil"/>
              <w:right w:val="nil"/>
            </w:tcBorders>
          </w:tcPr>
          <w:p w:rsidR="00E82389" w:rsidRPr="002C61E4" w:rsidRDefault="00E82389" w:rsidP="003B0113">
            <w:pPr>
              <w:pStyle w:val="Normal6a"/>
            </w:pPr>
            <w:r w:rsidRPr="002C61E4">
              <w:t>32.</w:t>
            </w:r>
            <w:r w:rsidRPr="002C61E4">
              <w:tab/>
            </w:r>
            <w:r w:rsidRPr="002C61E4">
              <w:rPr>
                <w:b/>
                <w:bCs/>
                <w:i/>
                <w:iCs/>
              </w:rPr>
              <w:t>ragina Komisiją nuodugniai ištirti Jungtinių Amerikos Valstijų tarptautinio vystymosi agentūros (USAID) kišimąsi į valstybių narių vidaus reikalus, kuris, kaip įtariama, vyko, pavyzdžiui, remiant nevyriausybines organizacijas ar pasirinktas žiniasklaidos priemones</w:t>
            </w:r>
            <w:r w:rsidRPr="002C61E4">
              <w:t>;</w:t>
            </w:r>
            <w:r w:rsidRPr="002C61E4">
              <w:rPr>
                <w:b/>
                <w:i/>
              </w:rPr>
              <w:t xml:space="preserve"> </w:t>
            </w:r>
            <w:r w:rsidRPr="002C61E4">
              <w:rPr>
                <w:b/>
                <w:bCs/>
                <w:i/>
                <w:iCs/>
              </w:rPr>
              <w:t>ragina Komisiją imtis priemonių, kad būtų užkirstas kelias užsienio valstybių valdžios institucijoms ir agentūroms daryti įtaką įvykiams valstybėse narėse siekiant manipuliuoti viešąja nuomone</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698</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Sebastian Tynkkynen</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32.</w:t>
            </w:r>
            <w:r w:rsidRPr="002C61E4">
              <w:tab/>
            </w:r>
            <w:r w:rsidRPr="002C61E4">
              <w:rPr>
                <w:b/>
                <w:bCs/>
                <w:i/>
                <w:iCs/>
              </w:rPr>
              <w:t>mano, kad Komisija ir valstybės narės turėtų</w:t>
            </w:r>
            <w:r w:rsidRPr="002C61E4">
              <w:t xml:space="preserve"> tobulinti PVO finansavimo mechanizmus ir iniciatyvas, kuriomis stiprinamos teisminės institucijos ir užtikrinamas teismų nepriklausomumas; </w:t>
            </w:r>
            <w:r w:rsidRPr="002C61E4">
              <w:rPr>
                <w:b/>
                <w:i/>
              </w:rPr>
              <w:t xml:space="preserve">rekomenduoja Komisijai parengti pilietinės visuomenės ir žmogaus teisių </w:t>
            </w:r>
            <w:r w:rsidRPr="002C61E4">
              <w:rPr>
                <w:b/>
                <w:i/>
              </w:rPr>
              <w:lastRenderedPageBreak/>
              <w:t>gynėjų apsaugos strategiją;</w:t>
            </w:r>
          </w:p>
        </w:tc>
        <w:tc>
          <w:tcPr>
            <w:tcW w:w="4876" w:type="dxa"/>
            <w:tcBorders>
              <w:top w:val="nil"/>
              <w:left w:val="nil"/>
              <w:bottom w:val="nil"/>
              <w:right w:val="nil"/>
            </w:tcBorders>
          </w:tcPr>
          <w:p w:rsidR="00E82389" w:rsidRPr="002C61E4" w:rsidRDefault="00E82389" w:rsidP="003B0113">
            <w:pPr>
              <w:pStyle w:val="Normal6a"/>
            </w:pPr>
            <w:r w:rsidRPr="002C61E4">
              <w:lastRenderedPageBreak/>
              <w:t>32.</w:t>
            </w:r>
            <w:r w:rsidRPr="002C61E4">
              <w:tab/>
            </w:r>
            <w:r w:rsidRPr="002C61E4">
              <w:rPr>
                <w:b/>
                <w:bCs/>
                <w:i/>
                <w:iCs/>
              </w:rPr>
              <w:t>ragina valstybes nares</w:t>
            </w:r>
            <w:r w:rsidRPr="002C61E4">
              <w:t xml:space="preserve"> tobulinti PVO finansavimo mechanizmus ir iniciatyvas, kuriomis stiprinamos teisminės institucijos ir užtikrinamas teismų nepriklausomumas;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{FI}</w:t>
      </w:r>
      <w:r w:rsidRPr="002C61E4">
        <w:t>fi</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699</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32.</w:t>
            </w:r>
            <w:r w:rsidRPr="002C61E4">
              <w:tab/>
              <w:t xml:space="preserve">mano, kad Komisija ir valstybės narės turėtų tobulinti </w:t>
            </w:r>
            <w:r w:rsidRPr="002C61E4">
              <w:rPr>
                <w:b/>
                <w:bCs/>
                <w:i/>
                <w:iCs/>
              </w:rPr>
              <w:t>PVO finansavimo mechanizmus ir</w:t>
            </w:r>
            <w:r w:rsidRPr="002C61E4">
              <w:t xml:space="preserve"> iniciatyvas, kuriomis stiprinamos teisminės institucijos ir užtikrinamas teismų nepriklausomumas; rekomenduoja Komisijai parengti pilietinės visuomenės ir žmogaus teisių gynėjų apsaugos strategiją;</w:t>
            </w:r>
          </w:p>
        </w:tc>
        <w:tc>
          <w:tcPr>
            <w:tcW w:w="4876" w:type="dxa"/>
            <w:tcBorders>
              <w:top w:val="nil"/>
              <w:left w:val="nil"/>
              <w:bottom w:val="nil"/>
              <w:right w:val="nil"/>
            </w:tcBorders>
          </w:tcPr>
          <w:p w:rsidR="00E82389" w:rsidRPr="002C61E4" w:rsidRDefault="00E82389" w:rsidP="003B0113">
            <w:pPr>
              <w:pStyle w:val="Normal6a"/>
            </w:pPr>
            <w:r w:rsidRPr="002C61E4">
              <w:t>32.</w:t>
            </w:r>
            <w:r w:rsidRPr="002C61E4">
              <w:tab/>
              <w:t>mano, kad Komisija ir valstybės narės turėtų tobulinti iniciatyvas, kuriomis stiprinamos teisminės institucijos ir užtikrinamas teismų nepriklausomumas; rekomenduoja Komisijai parengti pilietinės visuomenės ir žmogaus teisių gynėjų apsaugos strategiją;</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700</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32.</w:t>
            </w:r>
            <w:r w:rsidRPr="002C61E4">
              <w:tab/>
              <w:t xml:space="preserve">mano, kad Komisija ir valstybės narės turėtų tobulinti PVO finansavimo mechanizmus ir iniciatyvas, kuriomis stiprinamos teisminės institucijos ir užtikrinamas teismų nepriklausomumas; </w:t>
            </w:r>
            <w:r w:rsidRPr="002C61E4">
              <w:rPr>
                <w:b/>
                <w:i/>
              </w:rPr>
              <w:t>rekomenduoja Komisijai parengti pilietinės visuomenės ir žmogaus teisių gynėjų apsaugos strategiją;</w:t>
            </w:r>
          </w:p>
        </w:tc>
        <w:tc>
          <w:tcPr>
            <w:tcW w:w="4876" w:type="dxa"/>
            <w:tcBorders>
              <w:top w:val="nil"/>
              <w:left w:val="nil"/>
              <w:bottom w:val="nil"/>
              <w:right w:val="nil"/>
            </w:tcBorders>
          </w:tcPr>
          <w:p w:rsidR="00E82389" w:rsidRPr="002C61E4" w:rsidRDefault="00E82389" w:rsidP="003B0113">
            <w:pPr>
              <w:pStyle w:val="Normal6a"/>
            </w:pPr>
            <w:r w:rsidRPr="002C61E4">
              <w:t>32.</w:t>
            </w:r>
            <w:r w:rsidRPr="002C61E4">
              <w:tab/>
              <w:t>mano, kad Komisija ir valstybės narės turėtų tobulinti PVO finansavimo mechanizmus ir iniciatyvas, kuriomis stiprinamos teisminės institucijos ir užtikrinamas teismų nepriklausomumas;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701</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Ana Catarina Mendes, Chloé Ridel, Sandro Ruotolo, Francisco Assis, Hannes Heide, Pina Picierno, Matjaž Nemec, Emma Rafowicz, Krzysztof Śmiszek, Katarina Barley, Evin Incir, Juan Fernando López Aguilar, Nacho Sánchez Amor, Marco Tarquinio, Javier Moreno Sánchez, Alessandro Zan, Moritz Körner, Isabel Serra Sánchez, Michał Wawrykiewicz, Cecilia Strada</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32 a dalis (nauja)</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p>
        </w:tc>
        <w:tc>
          <w:tcPr>
            <w:tcW w:w="4876" w:type="dxa"/>
            <w:tcBorders>
              <w:top w:val="nil"/>
              <w:left w:val="nil"/>
              <w:bottom w:val="nil"/>
              <w:right w:val="nil"/>
            </w:tcBorders>
          </w:tcPr>
          <w:p w:rsidR="00E82389" w:rsidRPr="002C61E4" w:rsidRDefault="00E82389" w:rsidP="003B0113">
            <w:pPr>
              <w:pStyle w:val="Normal6a"/>
            </w:pPr>
            <w:r w:rsidRPr="002C61E4">
              <w:rPr>
                <w:b/>
                <w:i/>
              </w:rPr>
              <w:t>32a.</w:t>
            </w:r>
            <w:r w:rsidRPr="002C61E4">
              <w:tab/>
            </w:r>
            <w:r w:rsidRPr="002C61E4">
              <w:rPr>
                <w:b/>
                <w:i/>
              </w:rPr>
              <w:t>ragina valstybes nares rengti ir įgyvendinti išsamias pilietinio ugdymo programas, kuriomis būtų skatinamas visų amžiaus grupių piliečių supratimas apie demokratines institucijas, teisinės valstybės principą ir pagrindines teises;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702</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Alessandro Ciriani, Paolo Inselvini</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33.</w:t>
            </w:r>
            <w:r w:rsidRPr="002C61E4">
              <w:tab/>
            </w:r>
            <w:r w:rsidRPr="002C61E4">
              <w:rPr>
                <w:b/>
                <w:i/>
              </w:rPr>
              <w:t>primygtinai ragina Komisiją į metinę teisinės valstybės principo taikymo ataskaitą įtraukti naują ramstį, kuriame daugiausia dėmesio būtų skiriama kovai su visų formų diskriminacija;</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{IT}</w:t>
      </w:r>
      <w:r w:rsidRPr="002C61E4">
        <w:t>it</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703</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Erik Kaliňák</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33.</w:t>
            </w:r>
            <w:r w:rsidRPr="002C61E4">
              <w:tab/>
            </w:r>
            <w:r w:rsidRPr="002C61E4">
              <w:rPr>
                <w:b/>
                <w:i/>
              </w:rPr>
              <w:t>primygtinai ragina Komisiją į metinę teisinės valstybės principo taikymo ataskaitą įtraukti naują ramstį, kuriame daugiausia dėmesio būtų skiriama kovai su visų formų diskriminacija;</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{SK}</w:t>
      </w:r>
      <w:r w:rsidRPr="002C61E4">
        <w:t>sk</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704</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Romana Tomc</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33.</w:t>
            </w:r>
            <w:r w:rsidRPr="002C61E4">
              <w:tab/>
            </w:r>
            <w:r w:rsidRPr="002C61E4">
              <w:rPr>
                <w:b/>
                <w:i/>
              </w:rPr>
              <w:t>primygtinai ragina Komisiją į metinę teisinės valstybės principo taikymo ataskaitą įtraukti naują ramstį, kuriame daugiausia dėmesio būtų skiriama kovai su visų formų diskriminacija;</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705</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András László</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rPr>
                <w:b/>
                <w:i/>
              </w:rPr>
              <w:t>33.</w:t>
            </w:r>
            <w:r w:rsidRPr="002C61E4">
              <w:tab/>
            </w:r>
            <w:r w:rsidRPr="002C61E4">
              <w:rPr>
                <w:b/>
                <w:i/>
              </w:rPr>
              <w:t>primygtinai ragina Komisiją į metinę teisinės valstybės principo taikymo ataskaitą įtraukti naują ramstį, kuriame daugiausia dėmesio būtų skiriama kovai su visų formų diskriminacija;</w:t>
            </w:r>
          </w:p>
        </w:tc>
        <w:tc>
          <w:tcPr>
            <w:tcW w:w="4876" w:type="dxa"/>
            <w:tcBorders>
              <w:top w:val="nil"/>
              <w:left w:val="nil"/>
              <w:bottom w:val="nil"/>
              <w:right w:val="nil"/>
            </w:tcBorders>
          </w:tcPr>
          <w:p w:rsidR="00E82389" w:rsidRPr="002C61E4" w:rsidRDefault="00E82389" w:rsidP="003B0113">
            <w:pPr>
              <w:pStyle w:val="Normal6a"/>
            </w:pPr>
            <w:r w:rsidRPr="002C61E4">
              <w:rPr>
                <w:b/>
                <w:i/>
              </w:rPr>
              <w:t>Išbraukta.</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706</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Krzysztof Śmiszek, Matjaž Nemec, Robert Biedroń, Katarina Barley, Cecilia Strada, Klára Dobrev, Csaba Molnár, Emma Rafowicz, Alessandro Zan, Birgit Sippel</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33.</w:t>
            </w:r>
            <w:r w:rsidRPr="002C61E4">
              <w:tab/>
              <w:t>primygtinai ragina Komisiją į metinę teisinės valstybės principo taikymo ataskaitą įtraukti naują ramstį, kuriame daugiausia dėmesio būtų skiriama kovai su visų formų diskriminacija;</w:t>
            </w:r>
          </w:p>
        </w:tc>
        <w:tc>
          <w:tcPr>
            <w:tcW w:w="4876" w:type="dxa"/>
            <w:tcBorders>
              <w:top w:val="nil"/>
              <w:left w:val="nil"/>
              <w:bottom w:val="nil"/>
              <w:right w:val="nil"/>
            </w:tcBorders>
          </w:tcPr>
          <w:p w:rsidR="00E82389" w:rsidRPr="002C61E4" w:rsidRDefault="00E82389" w:rsidP="003B0113">
            <w:pPr>
              <w:pStyle w:val="Normal6a"/>
            </w:pPr>
            <w:r w:rsidRPr="002C61E4">
              <w:t>33.</w:t>
            </w:r>
            <w:r w:rsidRPr="002C61E4">
              <w:tab/>
              <w:t xml:space="preserve">primygtinai ragina Komisiją į metinę teisinės valstybės principo taikymo ataskaitą įtraukti naują ramstį, kuriame daugiausia dėmesio būtų skiriama kovai su visų formų diskriminacija; </w:t>
            </w:r>
            <w:r w:rsidRPr="002C61E4">
              <w:rPr>
                <w:b/>
                <w:i/>
              </w:rPr>
              <w:t>primygtinai ragina valstybes nares stiprinti nacionalinių žmogaus teisių institucijų ir lygybės institucijų nepriklausomumą ir išteklius, užtikrinant jų gebėjimą veiksmingai stebėti žmogaus teisių pažeidimus ir diskriminaciją bei kovoti su jais;</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w:t>
      </w:r>
    </w:p>
    <w:p w:rsidR="00E82389" w:rsidRPr="002C61E4" w:rsidRDefault="00E82389" w:rsidP="00E82389">
      <w:pPr>
        <w:pStyle w:val="AmNumberTabs"/>
      </w:pPr>
      <w:r w:rsidRPr="002C61E4">
        <w:rPr>
          <w:rStyle w:val="HideTWBExt"/>
          <w:b w:val="0"/>
        </w:rPr>
        <w:t>&lt;Amend&gt;</w:t>
      </w:r>
      <w:r w:rsidRPr="002C61E4">
        <w:t>Pakeitimas</w:t>
      </w:r>
      <w:r w:rsidRPr="002C61E4">
        <w:tab/>
      </w:r>
      <w:r w:rsidRPr="002C61E4">
        <w:tab/>
      </w:r>
      <w:r w:rsidRPr="002C61E4">
        <w:rPr>
          <w:rStyle w:val="HideTWBExt"/>
          <w:b w:val="0"/>
        </w:rPr>
        <w:t>&lt;NumAm&gt;</w:t>
      </w:r>
      <w:r w:rsidRPr="002C61E4">
        <w:t>707</w:t>
      </w:r>
      <w:r w:rsidRPr="002C61E4">
        <w:rPr>
          <w:rStyle w:val="HideTWBExt"/>
          <w:b w:val="0"/>
        </w:rPr>
        <w:t>&lt;/NumAm&gt;</w:t>
      </w:r>
    </w:p>
    <w:p w:rsidR="00E82389" w:rsidRPr="002C61E4" w:rsidRDefault="00E82389" w:rsidP="00E82389">
      <w:pPr>
        <w:pStyle w:val="NormalBold"/>
      </w:pPr>
      <w:r w:rsidRPr="002C61E4">
        <w:rPr>
          <w:rStyle w:val="HideTWBExt"/>
          <w:b w:val="0"/>
        </w:rPr>
        <w:t>&lt;RepeatBlock-By&gt;&lt;Members&gt;</w:t>
      </w:r>
      <w:r w:rsidRPr="002C61E4">
        <w:t>Daniel Freund</w:t>
      </w:r>
      <w:r w:rsidRPr="002C61E4">
        <w:rPr>
          <w:rStyle w:val="HideTWBExt"/>
          <w:b w:val="0"/>
        </w:rPr>
        <w:t>&lt;/Members&gt;</w:t>
      </w:r>
    </w:p>
    <w:p w:rsidR="00E82389" w:rsidRPr="002C61E4" w:rsidRDefault="00E82389" w:rsidP="00E82389">
      <w:pPr>
        <w:pStyle w:val="NormalBold"/>
      </w:pPr>
      <w:r w:rsidRPr="002C61E4">
        <w:rPr>
          <w:rStyle w:val="HideTWBExt"/>
          <w:b w:val="0"/>
        </w:rPr>
        <w:t>&lt;/RepeatBlock-By&gt;</w:t>
      </w:r>
    </w:p>
    <w:p w:rsidR="00E82389" w:rsidRPr="002C61E4" w:rsidRDefault="00E82389" w:rsidP="00E82389">
      <w:pPr>
        <w:pStyle w:val="NormalBold"/>
      </w:pPr>
      <w:r w:rsidRPr="002C61E4">
        <w:rPr>
          <w:rStyle w:val="HideTWBExt"/>
          <w:b w:val="0"/>
        </w:rPr>
        <w:t>&lt;DocAmend&gt;</w:t>
      </w:r>
      <w:r w:rsidRPr="002C61E4">
        <w:t>Pasiūlymas dėl rezoliucijos</w:t>
      </w:r>
      <w:r w:rsidRPr="002C61E4">
        <w:rPr>
          <w:rStyle w:val="HideTWBExt"/>
          <w:b w:val="0"/>
        </w:rPr>
        <w:t>&lt;/DocAmend&gt;</w:t>
      </w:r>
    </w:p>
    <w:p w:rsidR="00E82389" w:rsidRPr="002C61E4" w:rsidRDefault="00E82389" w:rsidP="00E82389">
      <w:pPr>
        <w:pStyle w:val="NormalBold"/>
      </w:pPr>
      <w:r w:rsidRPr="002C61E4">
        <w:rPr>
          <w:rStyle w:val="HideTWBExt"/>
          <w:b w:val="0"/>
        </w:rPr>
        <w:t>&lt;Article&gt;</w:t>
      </w:r>
      <w:r w:rsidRPr="002C61E4">
        <w:t>33 dalis</w:t>
      </w:r>
      <w:r w:rsidRPr="002C61E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2389" w:rsidRPr="002C61E4" w:rsidTr="003B0113">
        <w:trPr>
          <w:trHeight w:hRule="exact" w:val="240"/>
          <w:jc w:val="center"/>
        </w:trPr>
        <w:tc>
          <w:tcPr>
            <w:tcW w:w="9752" w:type="dxa"/>
            <w:gridSpan w:val="2"/>
            <w:tcBorders>
              <w:top w:val="nil"/>
              <w:left w:val="nil"/>
              <w:bottom w:val="nil"/>
              <w:right w:val="nil"/>
            </w:tcBorders>
          </w:tcPr>
          <w:p w:rsidR="00E82389" w:rsidRPr="002C61E4" w:rsidRDefault="00E82389" w:rsidP="003B0113"/>
        </w:tc>
      </w:tr>
      <w:tr w:rsidR="00E82389" w:rsidRPr="002C61E4" w:rsidTr="003B0113">
        <w:trPr>
          <w:trHeight w:val="240"/>
          <w:jc w:val="center"/>
        </w:trPr>
        <w:tc>
          <w:tcPr>
            <w:tcW w:w="4876" w:type="dxa"/>
            <w:tcBorders>
              <w:top w:val="nil"/>
              <w:left w:val="nil"/>
              <w:bottom w:val="nil"/>
              <w:right w:val="nil"/>
            </w:tcBorders>
          </w:tcPr>
          <w:p w:rsidR="00E82389" w:rsidRPr="002C61E4" w:rsidRDefault="00E82389" w:rsidP="003B0113">
            <w:pPr>
              <w:pStyle w:val="AmColumnHeading"/>
            </w:pPr>
            <w:r w:rsidRPr="002C61E4">
              <w:t>Pasiūlymas dėl rezoliucijos</w:t>
            </w:r>
          </w:p>
        </w:tc>
        <w:tc>
          <w:tcPr>
            <w:tcW w:w="4876" w:type="dxa"/>
            <w:tcBorders>
              <w:top w:val="nil"/>
              <w:left w:val="nil"/>
              <w:bottom w:val="nil"/>
              <w:right w:val="nil"/>
            </w:tcBorders>
          </w:tcPr>
          <w:p w:rsidR="00E82389" w:rsidRPr="002C61E4" w:rsidRDefault="00E82389" w:rsidP="003B0113">
            <w:pPr>
              <w:pStyle w:val="AmColumnHeading"/>
            </w:pPr>
            <w:r w:rsidRPr="002C61E4">
              <w:t>Pakeitimas</w:t>
            </w:r>
          </w:p>
        </w:tc>
      </w:tr>
      <w:tr w:rsidR="00E82389" w:rsidRPr="002C61E4" w:rsidTr="003B0113">
        <w:trPr>
          <w:jc w:val="center"/>
        </w:trPr>
        <w:tc>
          <w:tcPr>
            <w:tcW w:w="4876" w:type="dxa"/>
            <w:tcBorders>
              <w:top w:val="nil"/>
              <w:left w:val="nil"/>
              <w:bottom w:val="nil"/>
              <w:right w:val="nil"/>
            </w:tcBorders>
          </w:tcPr>
          <w:p w:rsidR="00E82389" w:rsidRPr="002C61E4" w:rsidRDefault="00E82389" w:rsidP="003B0113">
            <w:pPr>
              <w:pStyle w:val="Normal6a"/>
            </w:pPr>
            <w:r w:rsidRPr="002C61E4">
              <w:t>33.</w:t>
            </w:r>
            <w:r w:rsidRPr="002C61E4">
              <w:tab/>
              <w:t xml:space="preserve">primygtinai ragina Komisiją į metinę teisinės valstybės principo taikymo ataskaitą įtraukti </w:t>
            </w:r>
            <w:r w:rsidRPr="002C61E4">
              <w:rPr>
                <w:b/>
                <w:bCs/>
                <w:i/>
                <w:iCs/>
              </w:rPr>
              <w:t>naują ramstį</w:t>
            </w:r>
            <w:r w:rsidRPr="002C61E4">
              <w:t xml:space="preserve">, </w:t>
            </w:r>
            <w:r w:rsidRPr="002C61E4">
              <w:rPr>
                <w:b/>
                <w:bCs/>
                <w:i/>
                <w:iCs/>
              </w:rPr>
              <w:t>kuriame</w:t>
            </w:r>
            <w:r w:rsidRPr="002C61E4">
              <w:t xml:space="preserve"> daugiausia dėmesio būtų skiriama kovai su visų formų diskriminacija;</w:t>
            </w:r>
          </w:p>
        </w:tc>
        <w:tc>
          <w:tcPr>
            <w:tcW w:w="4876" w:type="dxa"/>
            <w:tcBorders>
              <w:top w:val="nil"/>
              <w:left w:val="nil"/>
              <w:bottom w:val="nil"/>
              <w:right w:val="nil"/>
            </w:tcBorders>
          </w:tcPr>
          <w:p w:rsidR="00E82389" w:rsidRPr="002C61E4" w:rsidRDefault="00E82389" w:rsidP="003B0113">
            <w:pPr>
              <w:pStyle w:val="Normal6a"/>
            </w:pPr>
            <w:r w:rsidRPr="002C61E4">
              <w:t>33.</w:t>
            </w:r>
            <w:r w:rsidRPr="002C61E4">
              <w:tab/>
              <w:t xml:space="preserve">primygtinai ragina Komisiją į metinę teisinės valstybės principo taikymo ataskaitą įtraukti </w:t>
            </w:r>
            <w:r w:rsidRPr="002C61E4">
              <w:rPr>
                <w:b/>
                <w:bCs/>
                <w:i/>
                <w:iCs/>
              </w:rPr>
              <w:t>naujus ramsčius</w:t>
            </w:r>
            <w:r w:rsidRPr="002C61E4">
              <w:t xml:space="preserve">, </w:t>
            </w:r>
            <w:r w:rsidRPr="002C61E4">
              <w:rPr>
                <w:b/>
                <w:bCs/>
                <w:i/>
                <w:iCs/>
              </w:rPr>
              <w:t>kuriuose</w:t>
            </w:r>
            <w:r w:rsidRPr="002C61E4">
              <w:t xml:space="preserve"> daugiausia dėmesio būtų skiriama kovai su visų formų diskriminacija</w:t>
            </w:r>
            <w:r w:rsidRPr="002C61E4">
              <w:rPr>
                <w:b/>
                <w:bCs/>
                <w:i/>
                <w:iCs/>
              </w:rPr>
              <w:t>, neapykantą kurstančia kalba ir nusikaltimais, konkrečiai nukreiptais prieš mažumas ir tautinių, etninių, kalbinių ir religinių mažumų narius, taip pat pilietinės visuomenės sąlygoms valstybėse narėse</w:t>
            </w:r>
            <w:r w:rsidRPr="002C61E4">
              <w:t>;</w:t>
            </w:r>
          </w:p>
        </w:tc>
      </w:tr>
    </w:tbl>
    <w:p w:rsidR="00E82389" w:rsidRPr="002C61E4" w:rsidRDefault="00E82389" w:rsidP="00E82389">
      <w:pPr>
        <w:pStyle w:val="AmOrLang"/>
      </w:pPr>
      <w:r w:rsidRPr="002C61E4">
        <w:t xml:space="preserve">Or. </w:t>
      </w:r>
      <w:r w:rsidRPr="002C61E4">
        <w:rPr>
          <w:rStyle w:val="HideTWBExt"/>
        </w:rPr>
        <w:t>&lt;Original&gt;</w:t>
      </w:r>
      <w:r w:rsidRPr="002C61E4">
        <w:rPr>
          <w:rStyle w:val="HideTWBInt"/>
        </w:rPr>
        <w:t>{EN}</w:t>
      </w:r>
      <w:r w:rsidRPr="002C61E4">
        <w:t>en</w:t>
      </w:r>
      <w:r w:rsidRPr="002C61E4">
        <w:rPr>
          <w:rStyle w:val="HideTWBExt"/>
        </w:rPr>
        <w:t>&lt;/Original&gt;</w:t>
      </w:r>
    </w:p>
    <w:p w:rsidR="00E82389" w:rsidRPr="002C61E4" w:rsidRDefault="00E82389" w:rsidP="00E82389">
      <w:r w:rsidRPr="002C61E4">
        <w:rPr>
          <w:rStyle w:val="HideTWBExt"/>
        </w:rPr>
        <w:t>&lt;/Amend&gt;&lt;/RepeatBlock-Amend&gt;</w:t>
      </w:r>
    </w:p>
    <w:p w:rsidR="00B76CDE" w:rsidRPr="002C61E4" w:rsidRDefault="00B76CDE" w:rsidP="00E82389"/>
    <w:sectPr w:rsidR="00B76CDE" w:rsidRPr="002C61E4" w:rsidSect="00A440D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52F" w:rsidRPr="002C61E4" w:rsidRDefault="005249FF">
      <w:r w:rsidRPr="002C61E4">
        <w:separator/>
      </w:r>
    </w:p>
  </w:endnote>
  <w:endnote w:type="continuationSeparator" w:id="0">
    <w:p w:rsidR="00B7552F" w:rsidRPr="002C61E4" w:rsidRDefault="005249FF">
      <w:r w:rsidRPr="002C61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DD" w:rsidRPr="002C61E4" w:rsidRDefault="00A440DD" w:rsidP="00A440DD">
    <w:pPr>
      <w:pStyle w:val="EPFooter"/>
    </w:pPr>
    <w:r w:rsidRPr="002C61E4">
      <w:t>PE</w:t>
    </w:r>
    <w:r w:rsidRPr="002C61E4">
      <w:rPr>
        <w:rStyle w:val="HideTWBExt"/>
      </w:rPr>
      <w:t>&lt;NoPE&gt;</w:t>
    </w:r>
    <w:r w:rsidRPr="002C61E4">
      <w:t>769.958</w:t>
    </w:r>
    <w:r w:rsidRPr="002C61E4">
      <w:rPr>
        <w:rStyle w:val="HideTWBExt"/>
      </w:rPr>
      <w:t>&lt;/NoPE&gt;&lt;Version&gt;</w:t>
    </w:r>
    <w:r w:rsidRPr="002C61E4">
      <w:t>v01-00</w:t>
    </w:r>
    <w:r w:rsidRPr="002C61E4">
      <w:rPr>
        <w:rStyle w:val="HideTWBExt"/>
      </w:rPr>
      <w:t>&lt;/Version&gt;</w:t>
    </w:r>
    <w:r w:rsidRPr="002C61E4">
      <w:tab/>
    </w:r>
    <w:r w:rsidRPr="002C61E4">
      <w:fldChar w:fldCharType="begin"/>
    </w:r>
    <w:r w:rsidRPr="002C61E4">
      <w:instrText xml:space="preserve"> PAGE  \* MERGEFORMAT </w:instrText>
    </w:r>
    <w:r w:rsidRPr="002C61E4">
      <w:fldChar w:fldCharType="separate"/>
    </w:r>
    <w:r w:rsidR="00997B4B">
      <w:rPr>
        <w:noProof/>
      </w:rPr>
      <w:t>182</w:t>
    </w:r>
    <w:r w:rsidRPr="002C61E4">
      <w:fldChar w:fldCharType="end"/>
    </w:r>
    <w:r w:rsidRPr="002C61E4">
      <w:t>/</w:t>
    </w:r>
    <w:fldSimple w:instr=" NUMPAGES  \* MERGEFORMAT ">
      <w:r w:rsidR="00997B4B">
        <w:rPr>
          <w:noProof/>
        </w:rPr>
        <w:t>188</w:t>
      </w:r>
    </w:fldSimple>
    <w:r w:rsidRPr="002C61E4">
      <w:tab/>
    </w:r>
    <w:r w:rsidRPr="002C61E4">
      <w:rPr>
        <w:rStyle w:val="HideTWBExt"/>
      </w:rPr>
      <w:t>&lt;PathFdR&gt;</w:t>
    </w:r>
    <w:r w:rsidR="002C61E4" w:rsidRPr="002C61E4">
      <w:t>AM\1315575LT.docx</w:t>
    </w:r>
    <w:r w:rsidRPr="002C61E4">
      <w:rPr>
        <w:rStyle w:val="HideTWBExt"/>
      </w:rPr>
      <w:t>&lt;/PathFdR&gt;</w:t>
    </w:r>
  </w:p>
  <w:p w:rsidR="00F56CD2" w:rsidRPr="002C61E4" w:rsidRDefault="00A440DD" w:rsidP="00A440DD">
    <w:pPr>
      <w:pStyle w:val="EPFooter2"/>
    </w:pPr>
    <w:r w:rsidRPr="002C61E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DD" w:rsidRPr="002C61E4" w:rsidRDefault="00A440DD" w:rsidP="00A440DD">
    <w:pPr>
      <w:pStyle w:val="EPFooter"/>
    </w:pPr>
    <w:r w:rsidRPr="002C61E4">
      <w:rPr>
        <w:rStyle w:val="HideTWBExt"/>
      </w:rPr>
      <w:t>&lt;PathFdR&gt;</w:t>
    </w:r>
    <w:r w:rsidR="002C61E4" w:rsidRPr="002C61E4">
      <w:t>AM\1315575LT.docx</w:t>
    </w:r>
    <w:r w:rsidRPr="002C61E4">
      <w:rPr>
        <w:rStyle w:val="HideTWBExt"/>
      </w:rPr>
      <w:t>&lt;/PathFdR&gt;</w:t>
    </w:r>
    <w:r w:rsidRPr="002C61E4">
      <w:tab/>
    </w:r>
    <w:r w:rsidRPr="002C61E4">
      <w:fldChar w:fldCharType="begin"/>
    </w:r>
    <w:r w:rsidRPr="002C61E4">
      <w:instrText xml:space="preserve"> PAGE  \* MERGEFORMAT </w:instrText>
    </w:r>
    <w:r w:rsidRPr="002C61E4">
      <w:fldChar w:fldCharType="separate"/>
    </w:r>
    <w:r w:rsidR="00997B4B">
      <w:rPr>
        <w:noProof/>
      </w:rPr>
      <w:t>183</w:t>
    </w:r>
    <w:r w:rsidRPr="002C61E4">
      <w:fldChar w:fldCharType="end"/>
    </w:r>
    <w:r w:rsidRPr="002C61E4">
      <w:t>/</w:t>
    </w:r>
    <w:fldSimple w:instr=" NUMPAGES  \* MERGEFORMAT ">
      <w:r w:rsidR="00997B4B">
        <w:rPr>
          <w:noProof/>
        </w:rPr>
        <w:t>188</w:t>
      </w:r>
    </w:fldSimple>
    <w:r w:rsidRPr="002C61E4">
      <w:tab/>
      <w:t>PE</w:t>
    </w:r>
    <w:r w:rsidRPr="002C61E4">
      <w:rPr>
        <w:rStyle w:val="HideTWBExt"/>
      </w:rPr>
      <w:t>&lt;NoPE&gt;</w:t>
    </w:r>
    <w:r w:rsidRPr="002C61E4">
      <w:t>769.958</w:t>
    </w:r>
    <w:r w:rsidRPr="002C61E4">
      <w:rPr>
        <w:rStyle w:val="HideTWBExt"/>
      </w:rPr>
      <w:t>&lt;/NoPE&gt;&lt;Version&gt;</w:t>
    </w:r>
    <w:r w:rsidRPr="002C61E4">
      <w:t>v01-00</w:t>
    </w:r>
    <w:r w:rsidRPr="002C61E4">
      <w:rPr>
        <w:rStyle w:val="HideTWBExt"/>
      </w:rPr>
      <w:t>&lt;/Version&gt;</w:t>
    </w:r>
  </w:p>
  <w:p w:rsidR="00F56CD2" w:rsidRPr="002C61E4" w:rsidRDefault="00A440DD" w:rsidP="00A440DD">
    <w:pPr>
      <w:pStyle w:val="EPFooter2"/>
    </w:pPr>
    <w:r w:rsidRPr="002C61E4">
      <w:tab/>
    </w:r>
    <w:r w:rsidRPr="002C61E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0DD" w:rsidRPr="002C61E4" w:rsidRDefault="00A440DD" w:rsidP="00A440DD">
    <w:pPr>
      <w:pStyle w:val="EPFooter"/>
    </w:pPr>
    <w:r w:rsidRPr="002C61E4">
      <w:rPr>
        <w:rStyle w:val="HideTWBExt"/>
      </w:rPr>
      <w:t>&lt;PathFdR&gt;</w:t>
    </w:r>
    <w:r w:rsidR="002C61E4" w:rsidRPr="002C61E4">
      <w:t>AM\1315575LT.docx</w:t>
    </w:r>
    <w:r w:rsidRPr="002C61E4">
      <w:rPr>
        <w:rStyle w:val="HideTWBExt"/>
      </w:rPr>
      <w:t>&lt;/PathFdR&gt;</w:t>
    </w:r>
    <w:r w:rsidRPr="002C61E4">
      <w:tab/>
    </w:r>
    <w:r w:rsidRPr="002C61E4">
      <w:tab/>
      <w:t>PE</w:t>
    </w:r>
    <w:r w:rsidRPr="002C61E4">
      <w:rPr>
        <w:rStyle w:val="HideTWBExt"/>
      </w:rPr>
      <w:t>&lt;NoPE&gt;</w:t>
    </w:r>
    <w:r w:rsidRPr="002C61E4">
      <w:t>769.958</w:t>
    </w:r>
    <w:r w:rsidRPr="002C61E4">
      <w:rPr>
        <w:rStyle w:val="HideTWBExt"/>
      </w:rPr>
      <w:t>&lt;/NoPE&gt;&lt;Version&gt;</w:t>
    </w:r>
    <w:r w:rsidRPr="002C61E4">
      <w:t>v01-00</w:t>
    </w:r>
    <w:r w:rsidRPr="002C61E4">
      <w:rPr>
        <w:rStyle w:val="HideTWBExt"/>
      </w:rPr>
      <w:t>&lt;/Version&gt;</w:t>
    </w:r>
  </w:p>
  <w:p w:rsidR="00F56CD2" w:rsidRPr="002C61E4" w:rsidRDefault="00A440DD" w:rsidP="00A440DD">
    <w:pPr>
      <w:pStyle w:val="EPFooter2"/>
    </w:pPr>
    <w:r w:rsidRPr="002C61E4">
      <w:t>LT</w:t>
    </w:r>
    <w:r w:rsidRPr="002C61E4">
      <w:tab/>
    </w:r>
    <w:r w:rsidRPr="002C61E4">
      <w:rPr>
        <w:b w:val="0"/>
        <w:i/>
        <w:color w:val="C0C0C0"/>
        <w:sz w:val="22"/>
      </w:rPr>
      <w:t>Suvienijusi įvairovę</w:t>
    </w:r>
    <w:r w:rsidRPr="002C61E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52F" w:rsidRPr="002C61E4" w:rsidRDefault="005249FF">
      <w:r w:rsidRPr="002C61E4">
        <w:separator/>
      </w:r>
    </w:p>
  </w:footnote>
  <w:footnote w:type="continuationSeparator" w:id="0">
    <w:p w:rsidR="00B7552F" w:rsidRPr="002C61E4" w:rsidRDefault="005249FF">
      <w:r w:rsidRPr="002C61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4B" w:rsidRDefault="00997B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4B" w:rsidRDefault="00997B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B4B" w:rsidRDefault="00997B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5"/>
    <w:docVar w:name="TXTLANGUE" w:val="LT"/>
    <w:docVar w:name="TXTLANGUEMIN" w:val="lt"/>
    <w:docVar w:name="TXTNRPE" w:val="769.958"/>
    <w:docVar w:name="TXTPEorAP" w:val="PE"/>
    <w:docVar w:name="TXTROUTE" w:val="AM\1315575LT.docx"/>
    <w:docVar w:name="TXTVERSION" w:val="01-00"/>
  </w:docVars>
  <w:rsids>
    <w:rsidRoot w:val="00A77B3E"/>
    <w:rsid w:val="001234C4"/>
    <w:rsid w:val="001B3B5E"/>
    <w:rsid w:val="00213761"/>
    <w:rsid w:val="002558C8"/>
    <w:rsid w:val="002C61E4"/>
    <w:rsid w:val="00412FCE"/>
    <w:rsid w:val="005249FF"/>
    <w:rsid w:val="006804F0"/>
    <w:rsid w:val="006913F0"/>
    <w:rsid w:val="008E2505"/>
    <w:rsid w:val="00997B4B"/>
    <w:rsid w:val="009D7106"/>
    <w:rsid w:val="009F6CA9"/>
    <w:rsid w:val="00A440DD"/>
    <w:rsid w:val="00A77B3E"/>
    <w:rsid w:val="00AB0FA3"/>
    <w:rsid w:val="00B7552F"/>
    <w:rsid w:val="00B76CDE"/>
    <w:rsid w:val="00BE69F3"/>
    <w:rsid w:val="00C71B47"/>
    <w:rsid w:val="00CA2A55"/>
    <w:rsid w:val="00E352BA"/>
    <w:rsid w:val="00E5769F"/>
    <w:rsid w:val="00E82389"/>
    <w:rsid w:val="00E92577"/>
    <w:rsid w:val="00EC7092"/>
    <w:rsid w:val="00F56CD2"/>
    <w:rsid w:val="00FF4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11D0E7E"/>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E69F3"/>
    <w:pPr>
      <w:tabs>
        <w:tab w:val="center" w:pos="4513"/>
        <w:tab w:val="right" w:pos="9026"/>
      </w:tabs>
    </w:pPr>
  </w:style>
  <w:style w:type="character" w:customStyle="1" w:styleId="HeaderChar">
    <w:name w:val="Header Char"/>
    <w:basedOn w:val="DefaultParagraphFont"/>
    <w:link w:val="Header"/>
    <w:rsid w:val="00BE69F3"/>
    <w:rPr>
      <w:sz w:val="24"/>
      <w:szCs w:val="24"/>
    </w:rPr>
  </w:style>
  <w:style w:type="paragraph" w:styleId="Footer">
    <w:name w:val="footer"/>
    <w:basedOn w:val="Normal"/>
    <w:link w:val="FooterChar"/>
    <w:rsid w:val="001234C4"/>
    <w:pPr>
      <w:tabs>
        <w:tab w:val="center" w:pos="4513"/>
        <w:tab w:val="right" w:pos="9026"/>
      </w:tabs>
    </w:pPr>
  </w:style>
  <w:style w:type="character" w:customStyle="1" w:styleId="FooterChar">
    <w:name w:val="Footer Char"/>
    <w:basedOn w:val="DefaultParagraphFont"/>
    <w:link w:val="Footer"/>
    <w:rsid w:val="001234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1880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188</Pages>
  <Words>35330</Words>
  <Characters>247969</Characters>
  <Application>Microsoft Office Word</Application>
  <DocSecurity>0</DocSecurity>
  <Lines>9909</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MIKUCIONIS Kazimieras</cp:lastModifiedBy>
  <cp:revision>2</cp:revision>
  <dcterms:created xsi:type="dcterms:W3CDTF">2025-03-20T13:34:00Z</dcterms:created>
  <dcterms:modified xsi:type="dcterms:W3CDTF">2025-03-20T13:34:00Z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- 2025/03/20 14:30</vt:lpwstr>
  </property>
  <property fmtid="{D5CDD505-2E9C-101B-9397-08002B2CF9AE}" pid="7" name="dmxml.render.id">
    <vt:lpwstr>130212</vt:lpwstr>
  </property>
  <property fmtid="{D5CDD505-2E9C-101B-9397-08002B2CF9AE}" pid="8" name="dmxml.render.traceId">
    <vt:lpwstr>67b59b6975409a393da8bdc1bd5554ff</vt:lpwstr>
  </property>
  <property fmtid="{D5CDD505-2E9C-101B-9397-08002B2CF9AE}" pid="9" name="FooterPath">
    <vt:lpwstr>AM\1315575LT.docx</vt:lpwstr>
  </property>
  <property fmtid="{D5CDD505-2E9C-101B-9397-08002B2CF9AE}" pid="10" name="LastEdited with">
    <vt:lpwstr>10.0.1 Build [20250114]</vt:lpwstr>
  </property>
  <property fmtid="{D5CDD505-2E9C-101B-9397-08002B2CF9AE}" pid="11" name="PE Number">
    <vt:lpwstr>769.958</vt:lpwstr>
  </property>
  <property fmtid="{D5CDD505-2E9C-101B-9397-08002B2CF9AE}" pid="12" name="UID">
    <vt:lpwstr>eu.europa.europarl-DIN1-2025-0000027563_02.00-xm-01.00_text-xml</vt:lpwstr>
  </property>
</Properties>
</file>