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E165D" w:rsidRPr="00A65DDF">
        <w:trPr>
          <w:trHeight w:hRule="exact" w:val="1417"/>
          <w:jc w:val="center"/>
        </w:trPr>
        <w:tc>
          <w:tcPr>
            <w:tcW w:w="6804" w:type="dxa"/>
            <w:tcBorders>
              <w:top w:val="nil"/>
              <w:left w:val="nil"/>
              <w:bottom w:val="nil"/>
              <w:right w:val="nil"/>
            </w:tcBorders>
            <w:vAlign w:val="center"/>
          </w:tcPr>
          <w:p w:rsidR="00CE165D" w:rsidRPr="00A65DDF" w:rsidRDefault="00F7352F">
            <w:pPr>
              <w:pStyle w:val="EPName"/>
            </w:pPr>
            <w:r w:rsidRPr="00A65DDF">
              <w:t>Europees Parlement</w:t>
            </w:r>
          </w:p>
          <w:p w:rsidR="00CE165D" w:rsidRPr="00A65DDF" w:rsidRDefault="00F7352F">
            <w:pPr>
              <w:pStyle w:val="EPTerm"/>
            </w:pPr>
            <w:r w:rsidRPr="00A65DDF">
              <w:t>2024-2029</w:t>
            </w:r>
          </w:p>
        </w:tc>
        <w:tc>
          <w:tcPr>
            <w:tcW w:w="2268" w:type="dxa"/>
            <w:tcBorders>
              <w:top w:val="nil"/>
              <w:left w:val="nil"/>
              <w:bottom w:val="nil"/>
              <w:right w:val="nil"/>
            </w:tcBorders>
          </w:tcPr>
          <w:p w:rsidR="00CE165D" w:rsidRPr="00A65DDF" w:rsidRDefault="00F81D50">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5pt">
                  <v:imagedata r:id="rId6" o:title=""/>
                </v:shape>
              </w:pict>
            </w:r>
          </w:p>
        </w:tc>
      </w:tr>
    </w:tbl>
    <w:p w:rsidR="00CE165D" w:rsidRPr="00A65DDF" w:rsidRDefault="00CE165D">
      <w:pPr>
        <w:pStyle w:val="LineTop"/>
      </w:pPr>
    </w:p>
    <w:p w:rsidR="00CE165D" w:rsidRPr="00A65DDF" w:rsidRDefault="00F7352F">
      <w:pPr>
        <w:pStyle w:val="EPBody"/>
      </w:pPr>
      <w:r w:rsidRPr="00A65DDF">
        <w:rPr>
          <w:rStyle w:val="HideTWBExt"/>
        </w:rPr>
        <w:t>&lt;Commission&gt;</w:t>
      </w:r>
      <w:r w:rsidRPr="00A65DDF">
        <w:rPr>
          <w:rStyle w:val="HideTWBInt"/>
        </w:rPr>
        <w:t>{LIBE}</w:t>
      </w:r>
      <w:r w:rsidRPr="00A65DDF">
        <w:t>Commissie burgerlijke vrijheden, justitie en binnenlandse zaken</w:t>
      </w:r>
      <w:r w:rsidRPr="00A65DDF">
        <w:rPr>
          <w:rStyle w:val="HideTWBExt"/>
        </w:rPr>
        <w:t>&lt;/Commission&gt;</w:t>
      </w:r>
    </w:p>
    <w:p w:rsidR="00CE165D" w:rsidRPr="00A65DDF" w:rsidRDefault="00CE165D">
      <w:pPr>
        <w:pStyle w:val="LineBottom"/>
      </w:pPr>
    </w:p>
    <w:p w:rsidR="00CE165D" w:rsidRPr="00A65DDF" w:rsidRDefault="00F7352F">
      <w:pPr>
        <w:pStyle w:val="CoverReference"/>
      </w:pPr>
      <w:r w:rsidRPr="00A65DDF">
        <w:rPr>
          <w:rStyle w:val="HideTWBExt"/>
        </w:rPr>
        <w:t>&lt;RefProc&gt;</w:t>
      </w:r>
      <w:r w:rsidRPr="00A65DDF">
        <w:t>2024/2078</w:t>
      </w:r>
      <w:r w:rsidRPr="00A65DDF">
        <w:rPr>
          <w:rStyle w:val="HideTWBExt"/>
        </w:rPr>
        <w:t>&lt;/RefProc&gt;&lt;RefTypeProc&gt;</w:t>
      </w:r>
      <w:r w:rsidRPr="00A65DDF">
        <w:t>(INI)</w:t>
      </w:r>
      <w:r w:rsidRPr="00A65DDF">
        <w:rPr>
          <w:rStyle w:val="HideTWBExt"/>
        </w:rPr>
        <w:t>&lt;/RefTypeProc&gt;</w:t>
      </w:r>
    </w:p>
    <w:p w:rsidR="00CE165D" w:rsidRPr="00A65DDF" w:rsidRDefault="00F7352F">
      <w:pPr>
        <w:pStyle w:val="CoverDate"/>
      </w:pPr>
      <w:r w:rsidRPr="00A65DDF">
        <w:rPr>
          <w:rStyle w:val="HideTWBExt"/>
        </w:rPr>
        <w:t>&lt;Date&gt;</w:t>
      </w:r>
      <w:r w:rsidRPr="00A65DDF">
        <w:rPr>
          <w:rStyle w:val="HideTWBInt"/>
        </w:rPr>
        <w:t>{19/02/2025}</w:t>
      </w:r>
      <w:r w:rsidRPr="00A65DDF">
        <w:t>19.2.2025</w:t>
      </w:r>
      <w:r w:rsidRPr="00A65DDF">
        <w:rPr>
          <w:rStyle w:val="HideTWBExt"/>
        </w:rPr>
        <w:t>&lt;/Date&gt;</w:t>
      </w:r>
    </w:p>
    <w:p w:rsidR="00CE165D" w:rsidRPr="00A65DDF" w:rsidRDefault="00F7352F">
      <w:pPr>
        <w:pStyle w:val="CoverDocType"/>
      </w:pPr>
      <w:r w:rsidRPr="00A65DDF">
        <w:rPr>
          <w:rStyle w:val="HideTWBExt"/>
        </w:rPr>
        <w:t>&lt;TypeAM&gt;</w:t>
      </w:r>
      <w:r w:rsidRPr="00A65DDF">
        <w:t>AMENDEMENTEN</w:t>
      </w:r>
      <w:r w:rsidRPr="00A65DDF">
        <w:rPr>
          <w:rStyle w:val="HideTWBExt"/>
        </w:rPr>
        <w:t>&lt;/TypeAM&gt;</w:t>
      </w:r>
    </w:p>
    <w:p w:rsidR="00CE165D" w:rsidRPr="00A65DDF" w:rsidRDefault="00F7352F">
      <w:pPr>
        <w:pStyle w:val="CoverDocType24a"/>
      </w:pPr>
      <w:r w:rsidRPr="00A65DDF">
        <w:rPr>
          <w:rStyle w:val="HideTWBExt"/>
        </w:rPr>
        <w:t>&lt;RangeAM&gt;</w:t>
      </w:r>
      <w:r w:rsidRPr="00A65DDF">
        <w:t>367 - 707</w:t>
      </w:r>
      <w:r w:rsidRPr="00A65DDF">
        <w:rPr>
          <w:rStyle w:val="HideTWBExt"/>
        </w:rPr>
        <w:t>&lt;/RangeAM&gt;</w:t>
      </w:r>
    </w:p>
    <w:p w:rsidR="00CE165D" w:rsidRPr="00A65DDF" w:rsidRDefault="00F7352F">
      <w:pPr>
        <w:pStyle w:val="CoverBold"/>
      </w:pPr>
      <w:r w:rsidRPr="00A65DDF">
        <w:rPr>
          <w:rStyle w:val="HideTWBExt"/>
        </w:rPr>
        <w:t>&lt;TitreType&gt;</w:t>
      </w:r>
      <w:r w:rsidRPr="00A65DDF">
        <w:t>Ontwerpverslag</w:t>
      </w:r>
      <w:r w:rsidRPr="00A65DDF">
        <w:rPr>
          <w:rStyle w:val="HideTWBExt"/>
        </w:rPr>
        <w:t>&lt;/TitreType&gt;</w:t>
      </w:r>
    </w:p>
    <w:p w:rsidR="00CE165D" w:rsidRPr="00A65DDF" w:rsidRDefault="00F7352F">
      <w:pPr>
        <w:pStyle w:val="CoverBold"/>
      </w:pPr>
      <w:r w:rsidRPr="00A65DDF">
        <w:rPr>
          <w:rStyle w:val="HideTWBExt"/>
        </w:rPr>
        <w:t>&lt;Rapporteur&gt;</w:t>
      </w:r>
      <w:r w:rsidRPr="00A65DDF">
        <w:t>Ana Catarina Mendes</w:t>
      </w:r>
      <w:r w:rsidRPr="00A65DDF">
        <w:rPr>
          <w:rStyle w:val="HideTWBExt"/>
        </w:rPr>
        <w:t>&lt;/Rapporteur&gt;</w:t>
      </w:r>
    </w:p>
    <w:p w:rsidR="00CE165D" w:rsidRPr="00A65DDF" w:rsidRDefault="00F7352F">
      <w:pPr>
        <w:pStyle w:val="CoverNormal24a"/>
      </w:pPr>
      <w:r w:rsidRPr="00A65DDF">
        <w:rPr>
          <w:rStyle w:val="HideTWBExt"/>
        </w:rPr>
        <w:t>&lt;DocRefPE&gt;</w:t>
      </w:r>
      <w:r w:rsidRPr="00A65DDF">
        <w:t>(PE767.867v01-00)</w:t>
      </w:r>
      <w:r w:rsidRPr="00A65DDF">
        <w:rPr>
          <w:rStyle w:val="HideTWBExt"/>
        </w:rPr>
        <w:t>&lt;/DocRefPE&gt;</w:t>
      </w:r>
    </w:p>
    <w:p w:rsidR="00CE165D" w:rsidRPr="00A65DDF" w:rsidRDefault="00F7352F">
      <w:pPr>
        <w:pStyle w:val="CoverNormal"/>
      </w:pPr>
      <w:r w:rsidRPr="00A65DDF">
        <w:rPr>
          <w:rStyle w:val="HideTWBExt"/>
          <w:color w:val="auto"/>
        </w:rPr>
        <w:t>&lt;Titre&gt;</w:t>
      </w:r>
      <w:r w:rsidRPr="00A65DDF">
        <w:t>Verslag 2024 van de Commissie over de rechtsstaat</w:t>
      </w:r>
      <w:r w:rsidRPr="00A65DDF">
        <w:rPr>
          <w:rStyle w:val="HideTWBExt"/>
          <w:color w:val="auto"/>
        </w:rPr>
        <w:t>&lt;/Titre&gt;</w:t>
      </w:r>
    </w:p>
    <w:p w:rsidR="00CE165D" w:rsidRPr="00A65DDF" w:rsidRDefault="00F7352F">
      <w:pPr>
        <w:pStyle w:val="CoverNormal24a"/>
      </w:pPr>
      <w:r w:rsidRPr="00A65DDF">
        <w:rPr>
          <w:rStyle w:val="HideTWBExt"/>
          <w:color w:val="auto"/>
        </w:rPr>
        <w:t>&lt;DocRef&gt;</w:t>
      </w:r>
      <w:r w:rsidRPr="00A65DDF">
        <w:t>(2024/2078(INI))</w:t>
      </w:r>
      <w:r w:rsidRPr="00A65DDF">
        <w:rPr>
          <w:rStyle w:val="HideTWBExt"/>
          <w:color w:val="auto"/>
        </w:rPr>
        <w:t>&lt;/DocRef&gt;</w:t>
      </w:r>
    </w:p>
    <w:p w:rsidR="00CE165D" w:rsidRDefault="00F7352F">
      <w:r w:rsidRPr="00A65DDF">
        <w:br w:type="page"/>
      </w:r>
      <w:r w:rsidRPr="00A65DDF">
        <w:lastRenderedPageBreak/>
        <w:t>AM_Com_NonLegReport</w:t>
      </w:r>
    </w:p>
    <w:p w:rsidR="00F81D50" w:rsidRDefault="00F81D50"/>
    <w:p w:rsidR="00F81D50" w:rsidRPr="00A65DDF" w:rsidRDefault="00F81D50"/>
    <w:p w:rsidR="00F81D50" w:rsidRPr="00CF469D" w:rsidRDefault="00F7352F" w:rsidP="00F81D50">
      <w:pPr>
        <w:pStyle w:val="AmNumberTabs"/>
      </w:pPr>
      <w:r w:rsidRPr="00A65DDF">
        <w:br w:type="page"/>
      </w:r>
      <w:r w:rsidR="00F81D50" w:rsidRPr="00F81D50">
        <w:rPr>
          <w:rStyle w:val="HideTWBExt"/>
          <w:b w:val="0"/>
        </w:rPr>
        <w:lastRenderedPageBreak/>
        <w:t>&lt;RepeatBlock-Amend&gt;</w:t>
      </w:r>
      <w:r w:rsidR="00F81D50">
        <w:rPr>
          <w:rStyle w:val="HideTWBExt"/>
        </w:rPr>
        <w:t>&lt;Amend&gt;</w:t>
      </w:r>
      <w:r w:rsidR="00F81D50">
        <w:t>Amendement</w:t>
      </w:r>
      <w:r w:rsidR="00F81D50">
        <w:tab/>
      </w:r>
      <w:r w:rsidR="00F81D50">
        <w:tab/>
      </w:r>
      <w:r w:rsidR="00F81D50">
        <w:rPr>
          <w:rStyle w:val="HideTWBExt"/>
        </w:rPr>
        <w:t>&lt;NumAm&gt;</w:t>
      </w:r>
      <w:r w:rsidR="00F81D50">
        <w:t>367</w:t>
      </w:r>
      <w:r w:rsidR="00F81D50">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w:t>
            </w:r>
            <w:r>
              <w:rPr>
                <w:b/>
                <w:i/>
              </w:rPr>
              <w:t>is van oordeel dat de Commissie en de lidstaten meer financiering ter beschikking moeten stellen 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t>13.</w:t>
            </w:r>
            <w:r>
              <w:tab/>
              <w:t>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368</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w:t>
            </w:r>
            <w:r>
              <w:rPr>
                <w:b/>
                <w:i/>
              </w:rPr>
              <w:t xml:space="preserve">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w:t>
            </w:r>
            <w:r>
              <w:rPr>
                <w:b/>
                <w:i/>
              </w:rPr>
              <w:lastRenderedPageBreak/>
              <w:t>(EU) 2022/758 van</w:t>
            </w:r>
            <w:r>
              <w:t xml:space="preserve"> de Commissie </w:t>
            </w:r>
            <w:r>
              <w:rPr>
                <w:b/>
                <w:i/>
              </w:rPr>
              <w:t>goed te keuren, teneinde het maatschappelijk middenveld te beschermen</w:t>
            </w:r>
            <w:r>
              <w:t>;</w:t>
            </w:r>
            <w:r>
              <w:rPr>
                <w:b/>
                <w:i/>
              </w:rPr>
              <w:t xml:space="preserve"> is van oordeel dat</w:t>
            </w:r>
            <w:r>
              <w:t xml:space="preserve"> de Commissie </w:t>
            </w:r>
            <w:r>
              <w:rPr>
                <w:b/>
                <w:i/>
              </w:rPr>
              <w:t>en de lidstaten meer financiering ter beschikking moeten stellen aan organisaties van het maatschappelijk middenveld</w:t>
            </w:r>
            <w:r>
              <w:t>;</w:t>
            </w:r>
          </w:p>
        </w:tc>
        <w:tc>
          <w:tcPr>
            <w:tcW w:w="4876" w:type="dxa"/>
            <w:tcBorders>
              <w:top w:val="nil"/>
              <w:left w:val="nil"/>
              <w:bottom w:val="nil"/>
              <w:right w:val="nil"/>
            </w:tcBorders>
          </w:tcPr>
          <w:p w:rsidR="00F81D50" w:rsidRPr="00CF469D" w:rsidRDefault="00F81D50" w:rsidP="00F81D50">
            <w:pPr>
              <w:pStyle w:val="Normal6a"/>
            </w:pPr>
            <w:r>
              <w:lastRenderedPageBreak/>
              <w:t>13.</w:t>
            </w:r>
            <w:r>
              <w:tab/>
              <w:t>maakt zich zorgen over het feit dat de Commissie</w:t>
            </w:r>
            <w:r>
              <w:rPr>
                <w:b/>
                <w:i/>
              </w:rPr>
              <w:t>, volgens Nederlandse persberichten, onder invloed van Frans Timmermans ten minste 700 000 EUR heeft uitgegeven aan zogenaamde ngo’s via geheime contracten om het standpunt van de Commissie over de Green Deal te laten resoneren en leden van het Europees Parlement te beïnvloeden</w:t>
            </w:r>
            <w:r>
              <w:t>;</w:t>
            </w:r>
            <w:r>
              <w:rPr>
                <w:b/>
                <w:i/>
              </w:rPr>
              <w:t xml:space="preserve"> verzoekt</w:t>
            </w:r>
            <w:r>
              <w:t xml:space="preserve"> de Commissie </w:t>
            </w:r>
            <w:r>
              <w:rPr>
                <w:b/>
                <w:i/>
              </w:rPr>
              <w:t xml:space="preserve">alle relevante </w:t>
            </w:r>
            <w:r>
              <w:rPr>
                <w:b/>
                <w:i/>
              </w:rPr>
              <w:lastRenderedPageBreak/>
              <w:t>informatie over dit schandaal bekend te maken</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369</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meer financiering ter beschikking moeten stellen 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t>13.</w:t>
            </w:r>
            <w:r>
              <w:tab/>
              <w:t>maakt zich zorgen over het feit dat maatschappelijke organisaties en mensenrechtenverdedigers steeds vaker geconfronteerd worden met wettelijke beperkingen, een gebrek aan financiële middelen, en aanvallen</w:t>
            </w:r>
            <w:r>
              <w:rPr>
                <w:b/>
                <w:i/>
              </w:rPr>
              <w:t>, wat gevolgen heeft voor de vrijheid van vereniging en de vrijheid van vergadering</w:t>
            </w:r>
            <w:r>
              <w:t>;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meer financiering ter beschikking moeten stellen aan organisaties van het maatschappelijk middenveld;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370</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meer financiering ter beschikking moeten stellen 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meer financiering ter beschikking moeten stellen aan maatschappelijke organisaties </w:t>
            </w:r>
            <w:r>
              <w:rPr>
                <w:b/>
                <w:i/>
              </w:rPr>
              <w:t>en moeten zorgen voor passende bescherming van maatschappelijke organisaties en mensenrechtenverdedigers, onder meer door middel van vroegtijdige waarschuwing</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371</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w:t>
            </w:r>
            <w:r>
              <w:lastRenderedPageBreak/>
              <w:t xml:space="preserve">SLAPP-richtlijn en Aanbeveling (EU) 2022/758 van de Commissie goed te keuren, teneinde het maatschappelijk middenveld te beschermen; </w:t>
            </w:r>
            <w:r>
              <w:rPr>
                <w:b/>
                <w:i/>
              </w:rPr>
              <w:t>is van oordeel dat de Commissie en de lidstaten meer financiering ter beschikking moeten stellen 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lastRenderedPageBreak/>
              <w:t>13.</w:t>
            </w:r>
            <w:r>
              <w:tab/>
              <w:t>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w:t>
            </w:r>
            <w:r>
              <w:lastRenderedPageBreak/>
              <w:t>SLAPP-richtlijn en Aanbeveling (EU) 2022/758 van de Commissie goed te keuren, teneinde het maatschappelijk middenveld te beschermen;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372</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w:t>
            </w:r>
            <w:r>
              <w:rPr>
                <w:b/>
                <w:i/>
              </w:rPr>
              <w:t>is van oordeel dat de Commissie en de lidstaten meer financiering ter beschikking moeten stellen 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w:t>
            </w:r>
            <w:r>
              <w:rPr>
                <w:b/>
                <w:i/>
              </w:rPr>
              <w:t>in sommige lidstaten</w:t>
            </w:r>
            <w:r>
              <w:t xml:space="preserve">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373</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w:t>
            </w:r>
            <w:r>
              <w:rPr>
                <w:b/>
                <w:i/>
              </w:rPr>
              <w:t>meer financiering ter beschikking moeten stellen</w:t>
            </w:r>
            <w:r>
              <w:t xml:space="preserve"> 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w:t>
            </w:r>
            <w:r>
              <w:rPr>
                <w:b/>
                <w:i/>
              </w:rPr>
              <w:t>de transparantie en openbaarheid van de financiering</w:t>
            </w:r>
            <w:r>
              <w:t xml:space="preserve"> aan organisaties van het maatschappelijk middenveld</w:t>
            </w:r>
            <w:r>
              <w:rPr>
                <w:b/>
                <w:i/>
              </w:rPr>
              <w:t xml:space="preserve"> moeten vergroten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374</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is van oordeel dat de Commissie en de lidstaten meer financiering ter beschikking moeten stellen </w:t>
            </w:r>
            <w:r>
              <w:lastRenderedPageBreak/>
              <w:t>aan organisaties van het maatschappelijk middenveld;</w:t>
            </w:r>
          </w:p>
        </w:tc>
        <w:tc>
          <w:tcPr>
            <w:tcW w:w="4876" w:type="dxa"/>
            <w:tcBorders>
              <w:top w:val="nil"/>
              <w:left w:val="nil"/>
              <w:bottom w:val="nil"/>
              <w:right w:val="nil"/>
            </w:tcBorders>
          </w:tcPr>
          <w:p w:rsidR="00F81D50" w:rsidRPr="00CF469D" w:rsidRDefault="00F81D50" w:rsidP="00F81D50">
            <w:pPr>
              <w:pStyle w:val="Normal6a"/>
            </w:pPr>
            <w:r>
              <w:lastRenderedPageBreak/>
              <w:t>13.</w:t>
            </w:r>
            <w:r>
              <w:tab/>
              <w:t xml:space="preserve">maakt zich zorgen over het feit dat maatschappelijke organisaties en mensenrechtenverdedigers steeds vaker geconfronteerd worden met wettelijke beperkingen, een gebrek aan financiële middelen, en aanvallen; dringt erop aan een faciliterend en ondersteunend kader voor maatschappelijke organisaties te creëren, en herhaalt dat het belangrijk is de anti-SLAPP-richtlijn en Aanbeveling (EU) 2022/758 van de Commissie goed te keuren, teneinde het maatschappelijk middenveld te beschermen; </w:t>
            </w:r>
            <w:r>
              <w:rPr>
                <w:b/>
                <w:i/>
              </w:rPr>
              <w:t xml:space="preserve">beveelt de lidstaten aan na te gaan welke mogelijkheden er zijn voor meer </w:t>
            </w:r>
            <w:r>
              <w:rPr>
                <w:b/>
                <w:i/>
              </w:rPr>
              <w:lastRenderedPageBreak/>
              <w:t>financiering voor</w:t>
            </w:r>
            <w:r>
              <w:t xml:space="preserve"> organisaties van het maatschappelijk middenveld;</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375</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laakt dat de autoriteiten van verschillende lidstaten te strenge maatregelen hebben getroffen, zoals de oplegging van een preventief verbod op openbare bijeenkomsten in solidariteit met Palestina op grond van een risico voor de “openbare orde” en “veiligheid”, en het gebruik van buitensporig geweld en detentie van demonstranten, alsook de verwarring van legitieme kritiek op de Israëlische autoriteiten met antisemitisme, wat een afschrikkend effect heeft gehad; benadrukt dat in verschillende gevallen beroep is aangetekend tegen de verboden en dat rechtbanken hebben opgetreden tegen het verbieden van protesten in solidariteit met Palestina; veroordeelt op het hoogste politieke niveau onrechtmatige beperkingen van het recht op vrijheid van vreedzame vergadering en vrijheid van meningsuiting; verzoekt de Commissie deze beperkingen aan te pakken in de jaarlijkse rechtsstaatcyclus en de lidstaten aan te bevelen het recht op vrijheid van vreedzame vergadering te allen tijde te eerbiedigen, overeenkomstig het internationaal recht;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376</w:t>
      </w:r>
      <w:r>
        <w:rPr>
          <w:rStyle w:val="HideTWBExt"/>
        </w:rPr>
        <w:t>&lt;/NumAm&gt;</w:t>
      </w:r>
    </w:p>
    <w:p w:rsidR="00F81D50" w:rsidRPr="00CF469D" w:rsidRDefault="00F81D50" w:rsidP="00F81D50">
      <w:pPr>
        <w:pStyle w:val="NormalBold"/>
      </w:pPr>
      <w:r>
        <w:rPr>
          <w:rStyle w:val="HideTWBExt"/>
          <w:b w:val="0"/>
        </w:rPr>
        <w:lastRenderedPageBreak/>
        <w:t>&lt;RepeatBlock-By&gt;&lt;Members&gt;</w:t>
      </w:r>
      <w:r>
        <w:t>Michał Wawrykiewicz, Ana Catarina Mendes, Moritz Körner, 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benadrukt dat de inspanningen van het maatschappelijk middenveld ter bevordering van democratische waarden en de rechtsstaat moeten worden aangevuld met publieke voorlichtingscampagnes waarin mensen bewust worden gemaakt van het belang van vrije en onafhankelijke rechtbanken voor de waarborging van gerechtigheid, billijkheid en verantwoording; beklemtoont dat de bevordering van het publieke bewustzijn van de fundamentele rol die de rechterlijke macht speelt bij de handhaving van democratische beginselen, de voorkoming van machtsmisbruik en de waarborging van de rechten van de burgers van essentieel belang is voor de stimulering van een cultuur van eerbiediging van de rechtsstaat; vraagt de lidstaten maatschappelijke organisaties te ondersteunen bij de ontwikkeling en verspreiding van voorlichtingsinitiatieven om een groot bereik en brede toegankelijkheid te waarborgen;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377</w:t>
      </w:r>
      <w:r>
        <w:rPr>
          <w:rStyle w:val="HideTWBExt"/>
        </w:rPr>
        <w:t>&lt;/NumAm&gt;</w:t>
      </w:r>
    </w:p>
    <w:p w:rsidR="00F81D50" w:rsidRPr="00CF469D" w:rsidRDefault="00F81D50" w:rsidP="00F81D50">
      <w:pPr>
        <w:pStyle w:val="NormalBold"/>
      </w:pPr>
      <w:r>
        <w:rPr>
          <w:rStyle w:val="HideTWBExt"/>
          <w:b w:val="0"/>
        </w:rPr>
        <w:t>&lt;RepeatBlock-By&gt;&lt;Members&gt;</w:t>
      </w:r>
      <w:r>
        <w:t>Marco Tarquinio, Alessandro Zan, Damien Carême, Mélissa Camara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 xml:space="preserve">waarschuwt voor de steeds beperktere ruimte die </w:t>
            </w:r>
            <w:r>
              <w:rPr>
                <w:b/>
                <w:i/>
              </w:rPr>
              <w:lastRenderedPageBreak/>
              <w:t>mensenrechtenverdedigers en maatschappelijke organisaties die zich inzetten tegen racisme krijgen in verschillende EU-landen, waar zij te maken hebben met juridische en financiële beperkingen, opschorting van financiering, lastercampagnes en intimidatie; verzoekt de Commissie monitoring van maatschappelijke organisaties die zich inzetten tegen racisme op te nemen in de verslagen over de rechtsstaat en de werkzaamheden van deze organisaties te ondersteunen door hiervoor meer EU-financiering uit te trekken en deze financiering te waarborgen;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378</w:t>
      </w:r>
      <w:r>
        <w:rPr>
          <w:rStyle w:val="HideTWBExt"/>
        </w:rPr>
        <w:t>&lt;/NumAm&gt;</w:t>
      </w:r>
    </w:p>
    <w:p w:rsidR="00F81D50" w:rsidRPr="00CF469D" w:rsidRDefault="00F81D50" w:rsidP="00F81D50">
      <w:pPr>
        <w:pStyle w:val="NormalBold"/>
      </w:pPr>
      <w:r>
        <w:rPr>
          <w:rStyle w:val="HideTWBExt"/>
          <w:b w:val="0"/>
        </w:rPr>
        <w:t>&lt;RepeatBlock-By&gt;&lt;Members&gt;</w:t>
      </w:r>
      <w:r>
        <w:t>Evin Incir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is bezorgd dat de hervormingen van het rechtskader voor de financiering en werking van maatschappelijke organisaties in Zweden negatieve gevolgen hebben voor het maatschappelijk middenveld; onderstreept dat een goed werkend maatschappelijk middenveld integraal deel uitmaakt van democratische samenlevingen; verzoekt de Zweedse regering een open ruimte te creëren waarin maatschappelijke organisaties en mensenrechtenverdedigers hun werkzaamheden kunnen verrichten, en ongerechtvaardigde beperkingen op financiering en werkzaamheden op te heffen;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379</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spreekt zijn ernstige bezorgdheid uit over het gebrek aan transparantie bij maatschappelijke organisaties, met name wat hun financiering betreft; herinnert aan Speciaal verslag nr. 35/2018 van de Rekenkamer, waarin wordt gewezen op het gebrek aan transparantie met betrekking tot de EU-middelen die door maatschappelijke organisaties worden ingezet, en het daaruit voortvloeiende risico op witwassen en terrorismefinanciering via non-profitorganisaties;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380</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 xml:space="preserve">veroordeelt ten stelligste het gebruik van “wetten inzake buitenlandse agenten” en merkt op dat deze wetten publieke dissidentie monddood maken en maatschappelijke organisaties schade toebrengen en hun vermogen om vrij te opereren beperken; merkt op dat dit een afschrikkend effect heeft op het </w:t>
            </w:r>
            <w:r>
              <w:rPr>
                <w:b/>
                <w:i/>
              </w:rPr>
              <w:lastRenderedPageBreak/>
              <w:t>maatschappelijk middenveld en op mensenrechtenverdedigers;</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381</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verzoekt de Commissie activiteiten te vermijden die erop gericht zijn ngo’s te verplichten lobbyactiviteiten uit te voeren die gericht zijn op specifieke leden van het Europees Parlement of specifieke diensten van de Commissie;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382</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ter.</w:t>
            </w:r>
            <w:r>
              <w:tab/>
            </w:r>
            <w:r>
              <w:rPr>
                <w:b/>
                <w:i/>
              </w:rPr>
              <w:t xml:space="preserve">benadrukt dat maatschappelijke organisaties, waaronder organisaties die zich hardmaken voor de rechtsstaat en democratie, de bescherming van gemarginaliseerde groepen, milieubescherming en sociale rechtvaardigheid, een cruciale rol spelen bij de handhaving van de rechtsstaat en tegen onnodige beperkingen en intimidatie moeten worden beschermd; beklemtoont voorts dat ervoor moet </w:t>
            </w:r>
            <w:r>
              <w:rPr>
                <w:b/>
                <w:i/>
              </w:rPr>
              <w:lastRenderedPageBreak/>
              <w:t>worden gezorgd dat deze organisaties door de Europese Unie van voldoende financiële middelen worden voorzien ter ondersteuning van hun activiteiten, met name in het licht van de toenemende uitdagingen waarmee zij te maken hebben, zoals de krimpende ruimte voor het maatschappelijk middenveld en de toenemende administratieve lasten; onderkent dat het beschikken over voldoende financiering voor deze organisaties van essentieel belang is, opdat zij een doeltreffende bijdrage kunnen leveren tot de bevordering van de in de Verdragen verankerde waarden van democratie, mensenrechten en sociale rechtvaardigheid in alle lidstaten;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383</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ter.</w:t>
            </w:r>
            <w:r>
              <w:tab/>
            </w:r>
            <w:r>
              <w:rPr>
                <w:b/>
                <w:i/>
              </w:rPr>
              <w:t>laakt dat Frankrijk en Spanje antiterreurwetten hebben aangewend om mensenrechtenactivisten die zich solidair hebben getoond met Palestina, te bestraffen; benadrukt dat elke inperking van de vrijheid van meningsuiting strikt noodzakelijk moet zijn om de nationale veiligheid te beschermen en in verhouding moet staan tot het nagestreefde legitieme doel, en dat antiterreurwetgeving alleen van toepassing mag zijn op inhoud of activiteiten die noodzakelijkerwijs en rechtstreeks het gebruik van of dreiging met geweld inhouden met de bedoeling angst te zaaien en aan te zetten tot terreur;</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384</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Alessandro Zan, Fabienne Keller, Lucia Yar, Irena Joveva,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13 bis.</w:t>
            </w:r>
            <w:r>
              <w:tab/>
            </w:r>
            <w:r>
              <w:rPr>
                <w:b/>
                <w:i/>
              </w:rPr>
              <w:t>verzoekt de lidstaten de onafhankelijkheid van de nationale toezichtsorganen te vergroten, teneinde de terbeschikkingstelling van middelen te garanderen en ervoor te zorgen dat er geen sprake is van politieke inmenging; onderstreept dat het maatschappelijk middenveld en mensenrechtenverdedigers belangrijk zijn voor het bevorderen van verantwoordingsplicht en het beschermen van de grondrechten; betreurt de beperkingen voor het maatschappelijk middenveld in sommige lidstaten;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385</w:t>
      </w:r>
      <w:r>
        <w:rPr>
          <w:rStyle w:val="HideTWBExt"/>
        </w:rPr>
        <w:t>&lt;/NumAm&gt;</w:t>
      </w:r>
    </w:p>
    <w:p w:rsidR="00F81D50" w:rsidRPr="00CF469D" w:rsidRDefault="00F81D50" w:rsidP="00F81D50">
      <w:pPr>
        <w:pStyle w:val="NormalBold"/>
      </w:pPr>
      <w:r>
        <w:rPr>
          <w:rStyle w:val="HideTWBExt"/>
          <w:b w:val="0"/>
        </w:rPr>
        <w:t>&lt;RepeatBlock-By&gt;&lt;Members&gt;</w:t>
      </w:r>
      <w:r>
        <w:t>Alessandro Zan, Cecilia Strada, Sandro Ruotolo, Pina Picierno, Marco Tarquinio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 xml:space="preserve">beklemtoont dat de rechtsstaat een voorwaarde is voor de goede werking van onze democratieën en de bescherming van de grondrechten; betreurt het gebrek aan vooruitgang op het gebied van gelijkheids- en non-discriminatiebeleid in bepaalde lidstaten; laakt de toename van </w:t>
            </w:r>
            <w:r>
              <w:rPr>
                <w:b/>
                <w:i/>
              </w:rPr>
              <w:lastRenderedPageBreak/>
              <w:t>discriminatie, haat en geweld tegen specifieke groepen mensen in verschillende lidstaten, en met name in Italië, Hongarije, Slowakije, Bulgarije en Roemenië;</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386</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 xml:space="preserve">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w:t>
            </w:r>
            <w:r>
              <w:rPr>
                <w:b/>
                <w:bCs/>
                <w:i/>
                <w:iCs/>
              </w:rPr>
              <w:t>mag</w:t>
            </w:r>
            <w:r>
              <w:t xml:space="preserve">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t>14.</w:t>
            </w:r>
            <w:r>
              <w:tab/>
            </w:r>
            <w:r>
              <w:rPr>
                <w:b/>
                <w:i/>
              </w:rPr>
              <w:t>beklemtoont dat de rechtsstaat een voorwaarde is voor de goede werking van onze democratieën en de bescherming van individuele rechten op grond van artikel 2 VEU;</w:t>
            </w:r>
            <w:r>
              <w:t xml:space="preserve"> 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w:t>
            </w:r>
            <w:r>
              <w:rPr>
                <w:b/>
                <w:i/>
              </w:rPr>
              <w:t>, het recht om vrij op het grondgebied van de EU te verblijven en het recht op gezinshereniging</w:t>
            </w:r>
            <w:r>
              <w:t xml:space="preserve"> niet </w:t>
            </w:r>
            <w:r>
              <w:rPr>
                <w:b/>
                <w:i/>
              </w:rPr>
              <w:t>mogen</w:t>
            </w:r>
            <w:r>
              <w:t xml:space="preserve"> worden belemmerd door discriminerende praktijken</w:t>
            </w:r>
            <w:r>
              <w:rPr>
                <w:b/>
                <w:i/>
              </w:rPr>
              <w:t>, en dat elke burger gelijke rechten moet genieten en zijn/haar rechten ten volle moet kunnen uitoefenen; verzoekt alle lidstaten wettelijke erkenning van partnerschappen tussen personen van hetzelfde geslacht in te voeren</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387</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t>14.</w:t>
            </w:r>
            <w:r>
              <w:tab/>
              <w:t xml:space="preserve">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 </w:t>
            </w:r>
            <w:r>
              <w:rPr>
                <w:b/>
                <w:i/>
              </w:rPr>
              <w:t>benadrukt dat de lidstaten in geval van een bedreiging van de nationale veiligheid, zoals in een situatie waarbij migratie wordt ingezet als drukmiddel, de mogelijkheid moeten hebben om uitzonderlijke maatregelen te nemen, met inbegrip van beperkingen van de grensoverschrijdende mobiliteit;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388</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 xml:space="preserve">geeft nogmaals aan dat de rechtskaders van de lidstaten het beginsel van gelijkheid voor de wet moeten </w:t>
            </w:r>
            <w:r>
              <w:lastRenderedPageBreak/>
              <w:t>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lastRenderedPageBreak/>
              <w:t>14.</w:t>
            </w:r>
            <w:r>
              <w:tab/>
              <w:t xml:space="preserve">geeft nogmaals aan dat de rechtskaders van de lidstaten het beginsel van gelijkheid voor de wet moeten </w:t>
            </w:r>
            <w:r>
              <w:lastRenderedPageBreak/>
              <w:t xml:space="preserve">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 </w:t>
            </w:r>
            <w:r>
              <w:rPr>
                <w:b/>
                <w:i/>
              </w:rPr>
              <w:t>verzoekt de Commissie te onderzoeken of beperkingen binnen het Schengengebied, waaronder de de facto permanente controles aan de Duitse grenzen, niet neerkomen op etnische profilering;</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389</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 xml:space="preserve">geeft nogmaals aan dat de rechtskaders van de lidstaten het beginsel van gelijkheid voor de wet moeten omvatten, en gelijkheid en het recht van personen om in gerechtelijke procedures niet gediscrimineerd te worden, moeten bevorderen; </w:t>
            </w:r>
            <w:r>
              <w:rPr>
                <w:b/>
                <w:i/>
              </w:rPr>
              <w:t>verzoekt de Commissie handelend op te treden in gevallen waarin deze beginselen niet worden gerespecteerd; is van oordeel dat het vrij verkeer van personen binnen de EU niet mag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t>14.</w:t>
            </w:r>
            <w:r>
              <w:tab/>
              <w:t>geeft nogmaals aan dat de rechtskaders van de lidstaten het beginsel van gelijkheid voor de wet moeten omvatten, en gelijkheid en het recht van personen om in gerechtelijke procedures niet gediscrimineerd te worden, moeten bevorderen;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390</w:t>
      </w:r>
      <w:r>
        <w:rPr>
          <w:rStyle w:val="HideTWBExt"/>
        </w:rPr>
        <w:t>&lt;/NumAm&gt;</w:t>
      </w:r>
    </w:p>
    <w:p w:rsidR="00F81D50" w:rsidRPr="00CF469D" w:rsidRDefault="00F81D50" w:rsidP="00F81D50">
      <w:pPr>
        <w:pStyle w:val="NormalBold"/>
      </w:pPr>
      <w:r>
        <w:rPr>
          <w:rStyle w:val="HideTWBExt"/>
          <w:b w:val="0"/>
        </w:rPr>
        <w:t>&lt;RepeatBlock-By&gt;&lt;Members&gt;</w:t>
      </w:r>
      <w:r>
        <w:t>Paolo Inselvini, Alessandro Ciriani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t>14.</w:t>
            </w:r>
            <w:r>
              <w:tab/>
              <w:t>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w:t>
            </w:r>
            <w:r>
              <w:rPr>
                <w:b/>
                <w:i/>
              </w:rPr>
              <w:t>, zij het met volledige inachtneming van de aangelegenheden en omstandigheden die, overeenkomstig het subsidiariteitsbeginsel, onder de verantwoordelijkheid van de lidstaten vallen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391</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 xml:space="preserve">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w:t>
            </w:r>
            <w:r>
              <w:lastRenderedPageBreak/>
              <w:t>praktijken;</w:t>
            </w:r>
          </w:p>
        </w:tc>
        <w:tc>
          <w:tcPr>
            <w:tcW w:w="4876" w:type="dxa"/>
            <w:tcBorders>
              <w:top w:val="nil"/>
              <w:left w:val="nil"/>
              <w:bottom w:val="nil"/>
              <w:right w:val="nil"/>
            </w:tcBorders>
          </w:tcPr>
          <w:p w:rsidR="00F81D50" w:rsidRPr="00CF469D" w:rsidRDefault="00F81D50" w:rsidP="00F81D50">
            <w:pPr>
              <w:pStyle w:val="Normal6a"/>
            </w:pPr>
            <w:r>
              <w:lastRenderedPageBreak/>
              <w:t>14.</w:t>
            </w:r>
            <w:r>
              <w:tab/>
              <w:t>geeft nogmaals aan dat de rechtskaders van de lidstaten het beginsel van gelijkheid voor de wet moeten omvatten, en gelijkheid en het recht van personen om in gerechtelijke procedures niet gediscrimineerd te worden, moeten bevorderen;</w:t>
            </w:r>
            <w:r>
              <w:rPr>
                <w:b/>
                <w:i/>
              </w:rPr>
              <w:t xml:space="preserve"> uit zijn bezorgdheid over de gebrekkige uitvoering van antidiscriminatiewetgeving;</w:t>
            </w:r>
            <w:r>
              <w:t xml:space="preserve"> verzoekt de Commissie handelend op te treden in gevallen waarin deze beginselen niet worden gerespecteerd; is van oordeel dat </w:t>
            </w:r>
            <w:r>
              <w:lastRenderedPageBreak/>
              <w:t>het vrij verkeer van personen binnen de EU niet mag worden belemmerd door discriminerende praktijken;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392</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t>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t>14.</w:t>
            </w:r>
            <w:r>
              <w:tab/>
              <w:t xml:space="preserve">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gerespecteerd; is van oordeel dat het vrij verkeer van personen binnen de EU niet mag worden belemmerd door discriminerende praktijken; </w:t>
            </w:r>
            <w:r>
              <w:rPr>
                <w:b/>
                <w:i/>
              </w:rPr>
              <w:t>laakt haatzaaiende uitlatingen tegen minderheidsgroepen;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393</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14.</w:t>
            </w:r>
            <w:r>
              <w:tab/>
            </w:r>
            <w:r>
              <w:rPr>
                <w:b/>
                <w:i/>
              </w:rPr>
              <w:t>geeft nogmaals aan</w:t>
            </w:r>
            <w:r>
              <w:t xml:space="preserve"> dat </w:t>
            </w:r>
            <w:r>
              <w:rPr>
                <w:b/>
                <w:i/>
              </w:rPr>
              <w:t xml:space="preserve">de </w:t>
            </w:r>
            <w:r>
              <w:rPr>
                <w:b/>
                <w:i/>
              </w:rPr>
              <w:lastRenderedPageBreak/>
              <w:t>rechtskaders van de lidstaten het beginsel van gelijkheid voor de wet moeten omvatten, en gelijkheid</w:t>
            </w:r>
            <w:r>
              <w:t xml:space="preserve"> en het recht van personen om </w:t>
            </w:r>
            <w:r>
              <w:rPr>
                <w:b/>
                <w:i/>
              </w:rPr>
              <w:t xml:space="preserve">in gerechtelijke procedures </w:t>
            </w:r>
            <w:r>
              <w:t xml:space="preserve">niet gediscrimineerd te worden, </w:t>
            </w:r>
            <w:r>
              <w:rPr>
                <w:b/>
                <w:i/>
              </w:rPr>
              <w:t>moeten bevorderen; verzoekt de Commissie handelend op te treden</w:t>
            </w:r>
            <w:r>
              <w:t xml:space="preserve"> in </w:t>
            </w:r>
            <w:r>
              <w:rPr>
                <w:b/>
                <w:i/>
              </w:rPr>
              <w:t>gevallen waarin deze beginselen niet worden gerespecteerd</w:t>
            </w:r>
            <w:r>
              <w:t xml:space="preserve">; is van oordeel dat het vrij verkeer van </w:t>
            </w:r>
            <w:r>
              <w:rPr>
                <w:b/>
                <w:i/>
              </w:rPr>
              <w:t>personen</w:t>
            </w:r>
            <w:r>
              <w:t xml:space="preserve"> binnen de EU niet mag worden belemmerd door discriminerende praktijken;</w:t>
            </w:r>
          </w:p>
        </w:tc>
        <w:tc>
          <w:tcPr>
            <w:tcW w:w="4876" w:type="dxa"/>
            <w:tcBorders>
              <w:top w:val="nil"/>
              <w:left w:val="nil"/>
              <w:bottom w:val="nil"/>
              <w:right w:val="nil"/>
            </w:tcBorders>
          </w:tcPr>
          <w:p w:rsidR="00F81D50" w:rsidRPr="00CF469D" w:rsidRDefault="00F81D50" w:rsidP="00F81D50">
            <w:pPr>
              <w:pStyle w:val="Normal6a"/>
            </w:pPr>
            <w:r>
              <w:lastRenderedPageBreak/>
              <w:t>14.</w:t>
            </w:r>
            <w:r>
              <w:tab/>
            </w:r>
            <w:r>
              <w:rPr>
                <w:b/>
                <w:i/>
              </w:rPr>
              <w:t>merkt op</w:t>
            </w:r>
            <w:r>
              <w:t xml:space="preserve"> dat </w:t>
            </w:r>
            <w:r>
              <w:rPr>
                <w:b/>
                <w:i/>
              </w:rPr>
              <w:t>gelijke behandeling</w:t>
            </w:r>
            <w:r>
              <w:t xml:space="preserve"> </w:t>
            </w:r>
            <w:r>
              <w:lastRenderedPageBreak/>
              <w:t xml:space="preserve">en het recht van personen om niet gediscrimineerd te worden, </w:t>
            </w:r>
            <w:r>
              <w:rPr>
                <w:b/>
                <w:i/>
              </w:rPr>
              <w:t>niet alleen in gerechtelijke procedures, stevig verankerd zijn</w:t>
            </w:r>
            <w:r>
              <w:t xml:space="preserve"> in </w:t>
            </w:r>
            <w:r>
              <w:rPr>
                <w:b/>
                <w:i/>
              </w:rPr>
              <w:t>de rechtsstelsels van de lidstaten</w:t>
            </w:r>
            <w:r>
              <w:t xml:space="preserve">; is van oordeel dat het vrij verkeer van </w:t>
            </w:r>
            <w:r>
              <w:rPr>
                <w:b/>
                <w:i/>
              </w:rPr>
              <w:t>EU-burgers</w:t>
            </w:r>
            <w:r>
              <w:t xml:space="preserve"> binnen de EU niet mag worden belemmerd door discriminerende praktijken;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394</w:t>
      </w:r>
      <w:r>
        <w:rPr>
          <w:rStyle w:val="HideTWBExt"/>
        </w:rPr>
        <w:t>&lt;/NumAm&gt;</w:t>
      </w:r>
    </w:p>
    <w:p w:rsidR="00F81D50" w:rsidRPr="00CF469D" w:rsidRDefault="00F81D50" w:rsidP="00F81D50">
      <w:pPr>
        <w:pStyle w:val="NormalBold"/>
      </w:pPr>
      <w:r>
        <w:rPr>
          <w:rStyle w:val="HideTWBExt"/>
          <w:b w:val="0"/>
        </w:rPr>
        <w:t>&lt;RepeatBlock-By&gt;&lt;Members&gt;</w:t>
      </w:r>
      <w:r>
        <w:t>Emma Rafowicz, Chloé Ridel, Birgit Sippel, Krzysztof Śmiszek, Hannes Heide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bis.</w:t>
            </w:r>
            <w:r>
              <w:tab/>
            </w:r>
            <w:r>
              <w:rPr>
                <w:b/>
                <w:i/>
              </w:rPr>
              <w:t>neemt met bezorgdheid kennis van het toenemende en wijdverbreide gebruik van artificiële intelligentie voor nationaleveiligheids- en rechtshandhavingsdoeleinden in de hele Europese Unie; wijst in dit verband op het advies van de Franse nationale adviescommissie voor mensenrechten</w:t>
            </w:r>
            <w:r>
              <w:rPr>
                <w:b/>
                <w:i/>
                <w:vertAlign w:val="superscript"/>
              </w:rPr>
              <w:t>2 bis</w:t>
            </w:r>
            <w:r>
              <w:rPr>
                <w:b/>
                <w:i/>
              </w:rPr>
              <w:t xml:space="preserve"> inzake het gebruik van een algoritmisch videobewakingssysteem door de Franse autoriteiten en de daaraan verbonden risico’s voor de grondrechten en fundamentele vrijheden; benadrukt dat het gebrek aan controle en transparantie en de ongekende betrokkenheid van particuliere actoren zoals softwareontwikkelaars bij de uitoefening van de soevereine taak van het beheer van de openbare orde een punt van zorg is; verzoekt de Europese Commissie het EU-acquis op dit gebied te versterken om grootschalige bewaking en discriminatie </w:t>
            </w:r>
            <w:r>
              <w:rPr>
                <w:b/>
                <w:i/>
              </w:rPr>
              <w:lastRenderedPageBreak/>
              <w:t>door het gebruik ervan te voorkomen; wijst bovendien op en vestigt de aandacht op alle jurisprudentie van het Europees Hof van Justitie inzake toezicht op en bescherming van de grondrechten, alsook op de strikte toetsing van de noodzakelijkheid en evenredigheid in alle wetgeving die de grondrechten zou inperken;</w:t>
            </w:r>
          </w:p>
        </w:tc>
      </w:tr>
      <w:tr w:rsidR="00F81D50" w:rsidTr="00F81D50">
        <w:trPr>
          <w:jc w:val="center"/>
        </w:trPr>
        <w:tc>
          <w:tcPr>
            <w:tcW w:w="4876" w:type="dxa"/>
            <w:tcBorders>
              <w:top w:val="nil"/>
              <w:left w:val="nil"/>
              <w:bottom w:val="nil"/>
              <w:right w:val="nil"/>
            </w:tcBorders>
          </w:tcPr>
          <w:p w:rsidR="00F81D50" w:rsidRPr="00CF469D" w:rsidRDefault="00F81D50" w:rsidP="00F81D50"/>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tc>
        <w:tc>
          <w:tcPr>
            <w:tcW w:w="4876" w:type="dxa"/>
            <w:tcBorders>
              <w:top w:val="nil"/>
              <w:left w:val="nil"/>
              <w:bottom w:val="nil"/>
              <w:right w:val="nil"/>
            </w:tcBorders>
          </w:tcPr>
          <w:p w:rsidR="00F81D50" w:rsidRPr="00CF469D" w:rsidRDefault="00F81D50" w:rsidP="00F81D50">
            <w:pPr>
              <w:pStyle w:val="Normal6a"/>
            </w:pPr>
            <w:r>
              <w:rPr>
                <w:b/>
                <w:i/>
                <w:vertAlign w:val="superscript"/>
              </w:rPr>
              <w:t>2 bis</w:t>
            </w:r>
            <w:r>
              <w:rPr>
                <w:b/>
                <w:i/>
              </w:rPr>
              <w:t xml:space="preserve"> De nationale adviescommissie voor mensenrechten is de bij de Verenigde Naties geaccrediteerde Franse instelling die zich bezighoudt met de bescherming en bevordering van de mensenrechten.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395</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Emma Rafowicz, Alessandro Zan,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bis.</w:t>
            </w:r>
            <w:r>
              <w:tab/>
            </w:r>
            <w:r>
              <w:rPr>
                <w:b/>
                <w:i/>
              </w:rPr>
              <w:t xml:space="preserve">neemt kennis van de alarmerende toename van het aantal haatmisdrijven en haatzaaiende uitlatingen tegen lhbtiq+’ers in verschillende lidstaten in 2024, die nog eens wordt verergerd door politieke retoriek en ontoereikende handhaving van antidiscriminatiewetgeving; betreurt dat er ondanks de bestaande EU-kaders, waaronder Richtlijn 2000/78/EG tot instelling van een algemeen kader voor gelijke behandeling in arbeid en beroep, nog altijd lacunes in de uitvoering bestaan, waardoor slachtoffers geen passende rechtsmiddelen kunnen aanwenden; is bezorgd over het feit dat in het verslag van de Commissie over de rechtsstaat is vastgesteld dat bepaalde </w:t>
            </w:r>
            <w:r>
              <w:rPr>
                <w:b/>
                <w:i/>
              </w:rPr>
              <w:lastRenderedPageBreak/>
              <w:t>lidstaten haatmisdrijven niet doeltreffend hebben vervolgd of onvoldoende steun hebben verleend aan slachtoffers, als gevolg waarvan het vertrouwen in de betreffende rechtsstelsels wordt ondergraven en de ongelijkheid voor de wet in stand wordt gehouden;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396</w:t>
      </w:r>
      <w:r>
        <w:rPr>
          <w:rStyle w:val="HideTWBExt"/>
        </w:rPr>
        <w:t>&lt;/NumAm&gt;</w:t>
      </w:r>
    </w:p>
    <w:p w:rsidR="00F81D50" w:rsidRPr="00CF469D" w:rsidRDefault="00F81D50" w:rsidP="00F81D50">
      <w:pPr>
        <w:pStyle w:val="NormalBold"/>
      </w:pPr>
      <w:r>
        <w:rPr>
          <w:rStyle w:val="HideTWBExt"/>
          <w:b w:val="0"/>
        </w:rPr>
        <w:t>&lt;RepeatBlock-By&gt;&lt;Members&gt;</w:t>
      </w:r>
      <w:r>
        <w:t>Alessandro Zan, Cecilia Strada, Sandro Ruotolo, Pina Picierno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bis.</w:t>
            </w:r>
            <w:r>
              <w:tab/>
            </w:r>
            <w:r>
              <w:rPr>
                <w:b/>
                <w:i/>
              </w:rPr>
              <w:t>laakt de maatregelen en instructies van de Italiaanse regering waarbij beperkingen van de ouderlijke rechten worden ingevoerd en de registratie van geboorteakten voor kinderen van paren van hetzelfde geslacht wordt verboden; meent dat deze besluiten niet alleen rechtstreeks schade toebrengen aan ouders van hetzelfde geslacht, maar ook aan de belangen van het kind; merkt op dat dit een schending van de rechten van het kind vormt, zoals uiteengezet in het VN-Verdrag inzake de rechten van het kind van 1989; benadrukt dat deze besluiten deel uitmaken van een bredere campagne tegen de lhbtqia+-gemeenschap, onder leiding van de Italiaanse regering; verzoekt de Italiaanse regering met klem deze besluiten onmiddellijk nietig te verklaren;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397</w:t>
      </w:r>
      <w:r>
        <w:rPr>
          <w:rStyle w:val="HideTWBExt"/>
        </w:rPr>
        <w:t>&lt;/NumAm&gt;</w:t>
      </w:r>
    </w:p>
    <w:p w:rsidR="00F81D50" w:rsidRPr="00CF469D" w:rsidRDefault="00F81D50" w:rsidP="00F81D50">
      <w:pPr>
        <w:pStyle w:val="NormalBold"/>
      </w:pPr>
      <w:r>
        <w:rPr>
          <w:rStyle w:val="HideTWBExt"/>
          <w:b w:val="0"/>
        </w:rPr>
        <w:t>&lt;RepeatBlock-By&gt;&lt;Members&gt;</w:t>
      </w:r>
      <w:r>
        <w:t>Chloé Ridel, Emma Rafowicz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bis.</w:t>
            </w:r>
            <w:r>
              <w:tab/>
            </w:r>
            <w:r>
              <w:rPr>
                <w:b/>
                <w:i/>
              </w:rPr>
              <w:t>verzoekt de lidstaten alle gevallen van buitensporig gebruik van geweld of discriminerende behandeling door rechtshandhavingsinstanties, met name in Frankrijk, grondig te onderzoeken en te zorgen voor systemische garanties tegen dergelijk misbruik; neemt met bezorgdheid kennis van het toenemende gebruik van bewaring om te voorkomen dat mensen deelnemen aan protesten; betreurt dat beperkingen van de vrijheid van vergadering, de vrijheid van meningsuiting en de vrijheid van vereniging, alsook het gebruik van buitensporig geweld minderheden, kinderen en vrouwen naar verhouding harder treffen;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398</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bis.</w:t>
            </w:r>
            <w:r>
              <w:tab/>
            </w:r>
            <w:r>
              <w:rPr>
                <w:b/>
                <w:i/>
              </w:rPr>
              <w:t xml:space="preserve">is ingenomen met het voorstel van de Commissie voor een verordening van de Raad inzake de erkenning van ouderschap tussen de lidstaten; verzoekt de Raad de onderhandelingen te deblokkeren zodat snel een akkoord kan worden bereikt; wijst op het advies van het Europees Parlement tot ondersteuning van de erkenning van ouderschap in de hele EU, ongeacht de wijze waarop het </w:t>
            </w:r>
            <w:r>
              <w:rPr>
                <w:b/>
                <w:i/>
              </w:rPr>
              <w:lastRenderedPageBreak/>
              <w:t>kind wordt verwekt of geboren of het soort gezin waarin het terechtkomt;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399</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bis.</w:t>
            </w:r>
            <w:r>
              <w:tab/>
            </w:r>
            <w:r>
              <w:rPr>
                <w:b/>
                <w:i/>
              </w:rPr>
              <w:t>stelt vast dat maatschappelijke organisaties en mensenrechtenverdedigers aanzienlijke Europese middelen uit de nationale begrotingen van de lidstaten ontvangen; is bezorgd dat deze middelen kunnen worden toegewezen op een manier die in strijd is met of afbreuk doet aan de beoogde doelstellingen van de Europese fondsen; dringt aan op volledige transparantie bij de besteding van het geld van de belastingbetaler;</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400</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Alessandro Zan,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ter.</w:t>
            </w:r>
            <w:r>
              <w:tab/>
            </w:r>
            <w:r>
              <w:rPr>
                <w:b/>
                <w:i/>
              </w:rPr>
              <w:t xml:space="preserve">wijst erop dat verschillende lidstaten in 2024 wetten en beleidsmaatregelen zijn blijven uitvoeren of handhaven die de rechten van lhbtiq+’ers ondergraven, wat in strijd is met de EU-beginselen van gelijkheid en non-discriminatie; herinnert eraan dat dit </w:t>
            </w:r>
            <w:r>
              <w:rPr>
                <w:b/>
                <w:i/>
              </w:rPr>
              <w:lastRenderedPageBreak/>
              <w:t>inperkingen van de vrijheid van meningsuiting en de vrijheid van vergadering van lhbtiq+’ers omvat, alsook juridische belemmeringen voor de erkenning van partnerschappen tussen personen van hetzelfde geslacht en grensoverschrijdend ouderschap; waarschuwt dat dergelijke praktijken niet alleen het vrije verkeer van lhbtiq+-gezinnen binnen de EU belemmeren, maar eveneens in strijd zijn met de in het Handvest van de grondrechten verankerde grondrechten; verzoekt de Commissie deze problemen aan te merken als aanzienlijke schendingen van de beginselen van de rechtsstaat, aangezien deze wijzen op een gebrek aan uniforme bescherming van lhbtiq+’ers in alle lidstaten;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401</w:t>
      </w:r>
      <w:r>
        <w:rPr>
          <w:rStyle w:val="HideTWBExt"/>
        </w:rPr>
        <w:t>&lt;/NumAm&gt;</w:t>
      </w:r>
    </w:p>
    <w:p w:rsidR="00F81D50" w:rsidRPr="00CF469D" w:rsidRDefault="00F81D50" w:rsidP="00F81D50">
      <w:pPr>
        <w:pStyle w:val="NormalBold"/>
      </w:pPr>
      <w:r>
        <w:rPr>
          <w:rStyle w:val="HideTWBExt"/>
          <w:b w:val="0"/>
        </w:rPr>
        <w:t>&lt;RepeatBlock-By&gt;&lt;Members&gt;</w:t>
      </w:r>
      <w:r>
        <w:t>Alessandro Zan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ter.</w:t>
            </w:r>
            <w:r>
              <w:tab/>
            </w:r>
            <w:r>
              <w:rPr>
                <w:b/>
                <w:i/>
              </w:rPr>
              <w:t xml:space="preserve">is ingenomen met het voorstel van de Commissie voor een verordening van de Raad inzake de erkenning van ouderschap tussen de lidstaten; wijst op het advies van het Parlement tot ondersteuning van de erkenning van ouderschap in de hele EU, ongeacht de wijze waarop het kind wordt verwekt of geboren of het soort gezin waarin het terechtkomt; verzoekt de Raad deze aanbevelingen volledig in aanmerking te nemen en de grondrechten van kinderen te beschermen, in het belang van het kind te handelen, de rechtszekerheid te vergroten en discriminatie van kinderen van ouders van hetzelfde geslacht te </w:t>
            </w:r>
            <w:r>
              <w:rPr>
                <w:b/>
                <w:i/>
              </w:rPr>
              <w:lastRenderedPageBreak/>
              <w:t>verminderen;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402</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Alessandro Zan, Daniel Freund,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ter.</w:t>
            </w:r>
            <w:r>
              <w:tab/>
            </w:r>
            <w:r>
              <w:rPr>
                <w:b/>
                <w:i/>
              </w:rPr>
              <w:t>dringt aan op de invoering van een bindend EU-verbod op conversiepraktijken in alle lidstaten; vestigt de aandacht op het belang van de zelfbeschikking van lhbtqia+’ers en pleit voor de bescherming en bevordering van de lichamelijke en geestelijke gezondheid van lhbtqia+’ers;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403</w:t>
      </w:r>
      <w:r>
        <w:rPr>
          <w:rStyle w:val="HideTWBExt"/>
        </w:rPr>
        <w:t>&lt;/NumAm&gt;</w:t>
      </w:r>
    </w:p>
    <w:p w:rsidR="00F81D50" w:rsidRPr="00CF469D" w:rsidRDefault="00F81D50" w:rsidP="00F81D50">
      <w:pPr>
        <w:pStyle w:val="NormalBold"/>
      </w:pPr>
      <w:r>
        <w:rPr>
          <w:rStyle w:val="HideTWBExt"/>
          <w:b w:val="0"/>
        </w:rPr>
        <w:t>&lt;RepeatBlock-By&gt;&lt;Members&gt;</w:t>
      </w:r>
      <w:r>
        <w:t>Alessandro Zan, Cecilia Strada, Sandro Ruotolo, Pina Picierno, Marco Tarquinio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14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14 quater.</w:t>
            </w:r>
            <w:r>
              <w:tab/>
            </w:r>
            <w:r>
              <w:rPr>
                <w:b/>
                <w:i/>
              </w:rPr>
              <w:t xml:space="preserve">is ernstig bezorgd over de discriminerende maatregelen die in Bulgarije en Hongarije zijn ingevoerd en in Slowakije zijn voorgesteld tegen zogenaamde “lhbtqia+-propaganda”, alsook over de door de Italiaanse Kamer van Afgevaardigden goedgekeurde resolutie tegen zogenaamde “genderideologie”; wijst op de negatieve gevolgen hiervan voor kinderen, gezinnen </w:t>
            </w:r>
            <w:r>
              <w:rPr>
                <w:b/>
                <w:i/>
              </w:rPr>
              <w:lastRenderedPageBreak/>
              <w:t>en werknemers; beklemtoont dat deze acties discriminatie van lhbtqia+’ers aanwakkeren en in strijd zijn met de regelgeving en de beginselen van de EU;</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404</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15.</w:t>
            </w:r>
            <w:r>
              <w:tab/>
            </w:r>
            <w:r>
              <w:rPr>
                <w:b/>
                <w:i/>
              </w:rPr>
              <w:t>verzoekt de Commissie en de lidstaten de rechtsgrond van de EU op dit gebied uit te breiden en een voorstel inzake haatmisdrijven en haatzaaiende uitlatingen te presenteren; verzoekt de Raad goedkeuring te hechten aan Richtlijn 2008/140</w:t>
            </w:r>
            <w:r>
              <w:rPr>
                <w:b/>
                <w:i/>
                <w:vertAlign w:val="superscript"/>
              </w:rPr>
              <w:t>42</w:t>
            </w:r>
            <w:r>
              <w:rPr>
                <w:b/>
                <w:i/>
              </w:rPr>
              <w: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405</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15.</w:t>
            </w:r>
            <w:r>
              <w:tab/>
            </w:r>
            <w:r>
              <w:rPr>
                <w:b/>
                <w:i/>
              </w:rPr>
              <w:t xml:space="preserve">verzoekt de Commissie en de lidstaten de rechtsgrond van de EU op dit gebied uit te breiden en een voorstel inzake haatmisdrijven en haatzaaiende </w:t>
            </w:r>
            <w:r>
              <w:rPr>
                <w:b/>
                <w:i/>
              </w:rPr>
              <w:lastRenderedPageBreak/>
              <w:t>uitlatingen te presenteren; verzoekt de Raad goedkeuring te hechten aan Richtlijn 2008/140</w:t>
            </w:r>
            <w:r>
              <w:rPr>
                <w:b/>
                <w:i/>
                <w:vertAlign w:val="superscript"/>
              </w:rPr>
              <w:t>42</w:t>
            </w:r>
            <w:r>
              <w:rPr>
                <w:b/>
                <w:i/>
              </w:rPr>
              <w:t>;</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bCs/>
                <w:i/>
                <w:iCs/>
                <w:vertAlign w:val="superscript"/>
              </w:rPr>
              <w:t>42</w:t>
            </w:r>
            <w:r>
              <w:rPr>
                <w:b/>
                <w:bCs/>
                <w:i/>
                <w:iCs/>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406</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15.</w:t>
            </w:r>
            <w:r>
              <w:tab/>
            </w:r>
            <w:r>
              <w:rPr>
                <w:b/>
                <w:i/>
              </w:rPr>
              <w:t>verzoekt de Commissie en de lidstaten de rechtsgrond van de EU op dit gebied uit te breiden en een voorstel inzake haatmisdrijven en haatzaaiende uitlatingen te presenteren; verzoekt de Raad goedkeuring te hechten aan Richtlijn 2008/140</w:t>
            </w:r>
            <w:r>
              <w:rPr>
                <w:b/>
                <w:i/>
                <w:vertAlign w:val="superscript"/>
              </w:rPr>
              <w:t>42</w:t>
            </w:r>
            <w:r>
              <w:rPr>
                <w:b/>
                <w:i/>
              </w:rPr>
              <w: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407</w:t>
      </w:r>
      <w:r>
        <w:rPr>
          <w:rStyle w:val="HideTWBExt"/>
        </w:rPr>
        <w:t>&lt;/NumAm&gt;</w:t>
      </w:r>
    </w:p>
    <w:p w:rsidR="00F81D50" w:rsidRPr="00CF469D" w:rsidRDefault="00F81D50" w:rsidP="00F81D50">
      <w:pPr>
        <w:pStyle w:val="NormalBold"/>
      </w:pPr>
      <w:r>
        <w:rPr>
          <w:rStyle w:val="HideTWBExt"/>
          <w:b w:val="0"/>
        </w:rPr>
        <w:t>&lt;RepeatBlock-By&gt;&lt;Members&gt;</w:t>
      </w:r>
      <w:r>
        <w:t>Ewa Zajączkowska-Hernik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15.</w:t>
            </w:r>
            <w:r>
              <w:tab/>
            </w:r>
            <w:r>
              <w:rPr>
                <w:b/>
                <w:i/>
              </w:rPr>
              <w:t>verzoekt de Commissie en de lidstaten de rechtsgrond van de EU op dit gebied uit te breiden en een voorstel inzake haatmisdrijven en haatzaaiende uitlatingen te presenteren; verzoekt de Raad goedkeuring te hechten aan Richtlijn 2008/140</w:t>
            </w:r>
            <w:r>
              <w:rPr>
                <w:b/>
                <w:i/>
                <w:vertAlign w:val="superscript"/>
              </w:rPr>
              <w:t>42</w:t>
            </w:r>
            <w:r>
              <w:rPr>
                <w:b/>
                <w:i/>
              </w:rPr>
              <w: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408</w:t>
      </w:r>
      <w:r>
        <w:rPr>
          <w:rStyle w:val="HideTWBExt"/>
        </w:rPr>
        <w:t>&lt;/NumAm&gt;</w:t>
      </w:r>
    </w:p>
    <w:p w:rsidR="00F81D50" w:rsidRPr="00CF469D" w:rsidRDefault="00F81D50" w:rsidP="00F81D50">
      <w:pPr>
        <w:pStyle w:val="NormalBold"/>
      </w:pPr>
      <w:r>
        <w:rPr>
          <w:rStyle w:val="HideTWBExt"/>
          <w:b w:val="0"/>
        </w:rPr>
        <w:t>&lt;RepeatBlock-By&gt;&lt;Members&gt;</w:t>
      </w:r>
      <w:r>
        <w:t>Daniel Freund, Alice Kuhnke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15.</w:t>
            </w:r>
            <w:r>
              <w:tab/>
              <w:t xml:space="preserve">verzoekt de Commissie en de lidstaten de rechtsgrond van de EU op dit gebied uit te breiden en een voorstel inzake haatmisdrijven en haatzaaiende uitlatingen te presenteren; verzoekt de Raad goedkeuring te hechten aan </w:t>
            </w:r>
            <w:r>
              <w:rPr>
                <w:b/>
                <w:i/>
              </w:rPr>
              <w:t>Richtlijn 2008/140</w:t>
            </w:r>
            <w:r>
              <w:rPr>
                <w:b/>
                <w:i/>
                <w:vertAlign w:val="superscript"/>
              </w:rPr>
              <w:t>42</w:t>
            </w:r>
            <w:r>
              <w:t>;</w:t>
            </w:r>
          </w:p>
        </w:tc>
        <w:tc>
          <w:tcPr>
            <w:tcW w:w="4876" w:type="dxa"/>
            <w:tcBorders>
              <w:top w:val="nil"/>
              <w:left w:val="nil"/>
              <w:bottom w:val="nil"/>
              <w:right w:val="nil"/>
            </w:tcBorders>
          </w:tcPr>
          <w:p w:rsidR="00F81D50" w:rsidRPr="00CF469D" w:rsidRDefault="00F81D50" w:rsidP="00F81D50">
            <w:pPr>
              <w:pStyle w:val="Normal6a"/>
            </w:pPr>
            <w:r>
              <w:t>15.</w:t>
            </w:r>
            <w:r>
              <w:tab/>
              <w:t xml:space="preserve">verzoekt de Commissie en de lidstaten de rechtsgrond van de EU op dit gebied uit te breiden en een voorstel inzake haatmisdrijven en haatzaaiende uitlatingen te presenteren; </w:t>
            </w:r>
            <w:r>
              <w:rPr>
                <w:b/>
                <w:i/>
              </w:rPr>
              <w:t>betreurt het voornemen van de Commissie om het voorstel voor de horizontale antidiscriminatierichtlijn in te trekken</w:t>
            </w:r>
            <w:r>
              <w:rPr>
                <w:b/>
                <w:i/>
                <w:vertAlign w:val="superscript"/>
              </w:rPr>
              <w:t>42</w:t>
            </w:r>
            <w:r>
              <w:rPr>
                <w:b/>
                <w:i/>
              </w:rPr>
              <w:t xml:space="preserve"> en</w:t>
            </w:r>
            <w:r>
              <w:t xml:space="preserve"> verzoekt de Raad </w:t>
            </w:r>
            <w:r>
              <w:rPr>
                <w:b/>
                <w:i/>
              </w:rPr>
              <w:t>met klem onverwijld</w:t>
            </w:r>
            <w:r>
              <w:t xml:space="preserve"> goedkeuring te hechten aan </w:t>
            </w:r>
            <w:r>
              <w:rPr>
                <w:b/>
                <w:i/>
              </w:rPr>
              <w:t>de richtlijn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w:t>
            </w:r>
            <w:r>
              <w:rPr>
                <w:b/>
                <w:i/>
              </w:rPr>
              <w:lastRenderedPageBreak/>
              <w:t>(COM(2008)0426).</w:t>
            </w:r>
          </w:p>
        </w:tc>
        <w:tc>
          <w:tcPr>
            <w:tcW w:w="4876" w:type="dxa"/>
            <w:tcBorders>
              <w:top w:val="nil"/>
              <w:left w:val="nil"/>
              <w:bottom w:val="nil"/>
              <w:right w:val="nil"/>
            </w:tcBorders>
          </w:tcPr>
          <w:p w:rsidR="00F81D50" w:rsidRPr="00CF469D" w:rsidRDefault="00F81D50" w:rsidP="00F81D50">
            <w:pPr>
              <w:pStyle w:val="Normal6a"/>
            </w:pPr>
            <w:r>
              <w:rPr>
                <w:b/>
                <w:i/>
                <w:vertAlign w:val="superscript"/>
              </w:rPr>
              <w:lastRenderedPageBreak/>
              <w:t>42</w:t>
            </w:r>
            <w:r>
              <w:rPr>
                <w:b/>
                <w:i/>
              </w:rPr>
              <w:t xml:space="preserve"> Voorstel voor een richtlijn van de Raad betreffende de toepassing van het beginsel van gelijke behandeling van personen ongeacht godsdienst of overtuiging, handicap, leeftijd of seksuele geaardheid </w:t>
            </w:r>
            <w:r>
              <w:rPr>
                <w:b/>
                <w:i/>
              </w:rPr>
              <w:lastRenderedPageBreak/>
              <w:t>(COM(2008)0426).</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409</w:t>
      </w:r>
      <w:r>
        <w:rPr>
          <w:rStyle w:val="HideTWBExt"/>
        </w:rPr>
        <w:t>&lt;/NumAm&gt;</w:t>
      </w:r>
    </w:p>
    <w:p w:rsidR="00F81D50" w:rsidRPr="00CF469D" w:rsidRDefault="00F81D50" w:rsidP="00F81D50">
      <w:pPr>
        <w:pStyle w:val="NormalBold"/>
      </w:pPr>
      <w:r>
        <w:rPr>
          <w:rStyle w:val="HideTWBExt"/>
          <w:b w:val="0"/>
        </w:rPr>
        <w:t>&lt;RepeatBlock-By&gt;&lt;Members&gt;</w:t>
      </w:r>
      <w:r>
        <w:t>Mary Khan, Christine Anderson, Milan Uhrík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15.</w:t>
            </w:r>
            <w:r>
              <w:tab/>
            </w:r>
            <w:r>
              <w:rPr>
                <w:b/>
                <w:i/>
              </w:rPr>
              <w:t>verzoekt de Commissie en de lidstaten de rechtsgrond van de EU op dit gebied uit te breiden en een</w:t>
            </w:r>
            <w:r>
              <w:t xml:space="preserve"> voorstel inzake haatmisdrijven en haatzaaiende uitlatingen </w:t>
            </w:r>
            <w:r>
              <w:rPr>
                <w:b/>
                <w:i/>
              </w:rPr>
              <w:t>te presenteren</w:t>
            </w:r>
            <w:r>
              <w:t xml:space="preserve">; </w:t>
            </w:r>
            <w:r>
              <w:rPr>
                <w:b/>
                <w:i/>
              </w:rPr>
              <w:t>verzoekt de Raad goedkeuring te hechten aan Richtlijn 2008/140</w:t>
            </w:r>
            <w:r>
              <w:rPr>
                <w:b/>
                <w:i/>
                <w:vertAlign w:val="superscript"/>
              </w:rPr>
              <w:t>42</w:t>
            </w:r>
            <w:r>
              <w:rPr>
                <w:b/>
                <w:i/>
              </w:rPr>
              <w:t>;</w:t>
            </w:r>
          </w:p>
        </w:tc>
        <w:tc>
          <w:tcPr>
            <w:tcW w:w="4876" w:type="dxa"/>
            <w:tcBorders>
              <w:top w:val="nil"/>
              <w:left w:val="nil"/>
              <w:bottom w:val="nil"/>
              <w:right w:val="nil"/>
            </w:tcBorders>
          </w:tcPr>
          <w:p w:rsidR="00F81D50" w:rsidRPr="00CF469D" w:rsidRDefault="00F81D50" w:rsidP="00F81D50">
            <w:pPr>
              <w:pStyle w:val="Normal6a"/>
            </w:pPr>
            <w:r>
              <w:t>15.</w:t>
            </w:r>
            <w:r>
              <w:tab/>
            </w:r>
            <w:r>
              <w:rPr>
                <w:b/>
                <w:i/>
              </w:rPr>
              <w:t>verwerpt elk</w:t>
            </w:r>
            <w:r>
              <w:t xml:space="preserve"> voorstel </w:t>
            </w:r>
            <w:r>
              <w:rPr>
                <w:b/>
                <w:i/>
              </w:rPr>
              <w:t>van de Commissie</w:t>
            </w:r>
            <w:r>
              <w:t xml:space="preserve"> inzake haatmisdrijven en haatzaaiende uitlatingen;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410</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15.</w:t>
            </w:r>
            <w:r>
              <w:tab/>
              <w:t xml:space="preserve">verzoekt de Commissie en de lidstaten de </w:t>
            </w:r>
            <w:r>
              <w:rPr>
                <w:b/>
                <w:i/>
              </w:rPr>
              <w:t>rechtsgrond</w:t>
            </w:r>
            <w:r>
              <w:t xml:space="preserve"> van </w:t>
            </w:r>
            <w:r>
              <w:rPr>
                <w:b/>
                <w:i/>
              </w:rPr>
              <w:t>de EU op dit gebied uit te breiden en een voorstel inzake haatmisdrijven en haatzaaiende uitlatingen te presenteren; verzoekt</w:t>
            </w:r>
            <w:r>
              <w:t xml:space="preserve"> de </w:t>
            </w:r>
            <w:r>
              <w:rPr>
                <w:b/>
                <w:i/>
              </w:rPr>
              <w:t>Raad goedkeuring te hechten aan</w:t>
            </w:r>
            <w:r>
              <w:t xml:space="preserve"> </w:t>
            </w:r>
            <w:r>
              <w:lastRenderedPageBreak/>
              <w:t>Richtlijn 2008/140</w:t>
            </w:r>
            <w:r>
              <w:rPr>
                <w:vertAlign w:val="superscript"/>
              </w:rPr>
              <w:t>42</w:t>
            </w:r>
            <w:r>
              <w:t>;</w:t>
            </w:r>
          </w:p>
        </w:tc>
        <w:tc>
          <w:tcPr>
            <w:tcW w:w="4876" w:type="dxa"/>
            <w:tcBorders>
              <w:top w:val="nil"/>
              <w:left w:val="nil"/>
              <w:bottom w:val="nil"/>
              <w:right w:val="nil"/>
            </w:tcBorders>
          </w:tcPr>
          <w:p w:rsidR="00F81D50" w:rsidRPr="00CF469D" w:rsidRDefault="00F81D50" w:rsidP="00F81D50">
            <w:pPr>
              <w:pStyle w:val="Normal6a"/>
            </w:pPr>
            <w:r>
              <w:lastRenderedPageBreak/>
              <w:t>15.</w:t>
            </w:r>
            <w:r>
              <w:tab/>
              <w:t xml:space="preserve">verzoekt de Commissie en de lidstaten </w:t>
            </w:r>
            <w:r>
              <w:rPr>
                <w:b/>
                <w:i/>
              </w:rPr>
              <w:t xml:space="preserve">het regelgevingskader op dit gebied te toetsen en </w:t>
            </w:r>
            <w:r>
              <w:t xml:space="preserve">de </w:t>
            </w:r>
            <w:r>
              <w:rPr>
                <w:b/>
                <w:i/>
              </w:rPr>
              <w:t>vrijheid</w:t>
            </w:r>
            <w:r>
              <w:t xml:space="preserve"> van </w:t>
            </w:r>
            <w:r>
              <w:rPr>
                <w:b/>
                <w:i/>
              </w:rPr>
              <w:t xml:space="preserve">meningsuiting te eerbiedigen; is gekant tegen de invoering van censuur in de vorm van de strafbaarstelling van </w:t>
            </w:r>
            <w:r>
              <w:rPr>
                <w:b/>
                <w:i/>
              </w:rPr>
              <w:lastRenderedPageBreak/>
              <w:t>zogenaamde “haatzaaiende uitlatingen” en</w:t>
            </w:r>
            <w:r>
              <w:t xml:space="preserve"> de </w:t>
            </w:r>
            <w:r>
              <w:rPr>
                <w:b/>
                <w:i/>
              </w:rPr>
              <w:t>analyse in dit verband van</w:t>
            </w:r>
            <w:r>
              <w:t xml:space="preserve"> Richtlijn 2008/140</w:t>
            </w:r>
            <w:r>
              <w:rPr>
                <w:vertAlign w:val="superscript"/>
              </w:rPr>
              <w:t>42</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42</w:t>
            </w:r>
            <w: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pPr>
              <w:pStyle w:val="Normal6a"/>
            </w:pPr>
            <w:r>
              <w:rPr>
                <w:vertAlign w:val="superscript"/>
              </w:rPr>
              <w:t>42</w:t>
            </w:r>
            <w:r>
              <w:t xml:space="preserve"> Voorstel voor een richtlijn van de Raad betreffende de toepassing van het beginsel van gelijke behandeling van personen ongeacht godsdienst of overtuiging, handicap, leeftijd of seksuele geaardheid (COM(2008)0426).</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411</w:t>
      </w:r>
      <w:r>
        <w:rPr>
          <w:rStyle w:val="HideTWBExt"/>
        </w:rPr>
        <w:t>&lt;/NumAm&gt;</w:t>
      </w:r>
    </w:p>
    <w:p w:rsidR="00F81D50" w:rsidRPr="00CF469D" w:rsidRDefault="00F81D50" w:rsidP="00F81D50">
      <w:pPr>
        <w:pStyle w:val="NormalBold"/>
      </w:pPr>
      <w:r>
        <w:rPr>
          <w:rStyle w:val="HideTWBExt"/>
          <w:b w:val="0"/>
        </w:rPr>
        <w:t>&lt;RepeatBlock-By&gt;&lt;Members&gt;</w:t>
      </w:r>
      <w:r>
        <w:t>Alessandro Zan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15.</w:t>
            </w:r>
            <w:r>
              <w:tab/>
              <w:t>verzoekt de Commissie en de lidstaten de rechtsgrond van de EU op dit gebied uit te breiden en een voorstel inzake haatmisdrijven en haatzaaiende uitlatingen te presenteren; verzoekt de Raad goedkeuring te hechten aan Richtlijn 2008/140</w:t>
            </w:r>
            <w:r>
              <w:rPr>
                <w:vertAlign w:val="superscript"/>
              </w:rPr>
              <w:t>42</w:t>
            </w:r>
            <w:r>
              <w:t>;</w:t>
            </w:r>
          </w:p>
        </w:tc>
        <w:tc>
          <w:tcPr>
            <w:tcW w:w="4876" w:type="dxa"/>
            <w:tcBorders>
              <w:top w:val="nil"/>
              <w:left w:val="nil"/>
              <w:bottom w:val="nil"/>
              <w:right w:val="nil"/>
            </w:tcBorders>
          </w:tcPr>
          <w:p w:rsidR="00F81D50" w:rsidRPr="00CF469D" w:rsidRDefault="00F81D50" w:rsidP="00F81D50">
            <w:pPr>
              <w:pStyle w:val="Normal6a"/>
            </w:pPr>
            <w:r>
              <w:t>15.</w:t>
            </w:r>
            <w:r>
              <w:tab/>
            </w:r>
            <w:r>
              <w:rPr>
                <w:b/>
                <w:i/>
              </w:rPr>
              <w:t>benadrukt dat alle vormen van discriminatie moeten worden bestreden en</w:t>
            </w:r>
            <w:r>
              <w:t xml:space="preserve"> verzoekt de Commissie en de lidstaten de rechtsgrond van de EU op dit gebied uit te breiden en een voorstel inzake haatmisdrijven en haatzaaiende uitlatingen te presenteren; verzoekt de Raad goedkeuring te hechten aan Richtlijn 2008/140</w:t>
            </w:r>
            <w:r>
              <w:rPr>
                <w:vertAlign w:val="superscript"/>
              </w:rPr>
              <w:t>42</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42</w:t>
            </w:r>
            <w: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pPr>
              <w:pStyle w:val="Normal6a"/>
            </w:pPr>
            <w:r>
              <w:rPr>
                <w:vertAlign w:val="superscript"/>
              </w:rPr>
              <w:t>42</w:t>
            </w:r>
            <w:r>
              <w:t xml:space="preserve"> Voorstel voor een richtlijn van de Raad betreffende de toepassing van het beginsel van gelijke behandeling van personen ongeacht godsdienst of overtuiging, handicap, leeftijd of seksuele geaardheid (COM(2008)0426).</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412</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15.</w:t>
            </w:r>
            <w:r>
              <w:tab/>
              <w:t xml:space="preserve">verzoekt de Commissie </w:t>
            </w:r>
            <w:r>
              <w:rPr>
                <w:b/>
                <w:i/>
              </w:rPr>
              <w:t xml:space="preserve">en </w:t>
            </w:r>
            <w:r>
              <w:t xml:space="preserve">de </w:t>
            </w:r>
            <w:r>
              <w:rPr>
                <w:b/>
                <w:i/>
              </w:rPr>
              <w:t>lidstaten de rechtsgrond van</w:t>
            </w:r>
            <w:r>
              <w:t xml:space="preserve"> de EU </w:t>
            </w:r>
            <w:r>
              <w:rPr>
                <w:b/>
                <w:i/>
              </w:rPr>
              <w:t xml:space="preserve">op dit gebied uit te breiden </w:t>
            </w:r>
            <w:r>
              <w:t xml:space="preserve">en </w:t>
            </w:r>
            <w:r>
              <w:rPr>
                <w:b/>
                <w:i/>
              </w:rPr>
              <w:t>een voorstel inzake haatmisdrijven en haatzaaiende uitlatingen</w:t>
            </w:r>
            <w:r>
              <w:t xml:space="preserve"> te </w:t>
            </w:r>
            <w:r>
              <w:rPr>
                <w:b/>
                <w:i/>
              </w:rPr>
              <w:t>presenteren;</w:t>
            </w:r>
            <w:r>
              <w:t xml:space="preserve"> </w:t>
            </w:r>
            <w:r>
              <w:rPr>
                <w:b/>
                <w:i/>
              </w:rPr>
              <w:t>verzoekt de Raad goedkeuring te hechten aan Richtlijn 2008/140</w:t>
            </w:r>
            <w:r>
              <w:rPr>
                <w:b/>
                <w:i/>
                <w:vertAlign w:val="superscript"/>
              </w:rPr>
              <w:t>42</w:t>
            </w:r>
            <w:r>
              <w:t>;</w:t>
            </w:r>
          </w:p>
        </w:tc>
        <w:tc>
          <w:tcPr>
            <w:tcW w:w="4876" w:type="dxa"/>
            <w:tcBorders>
              <w:top w:val="nil"/>
              <w:left w:val="nil"/>
              <w:bottom w:val="nil"/>
              <w:right w:val="nil"/>
            </w:tcBorders>
          </w:tcPr>
          <w:p w:rsidR="00F81D50" w:rsidRPr="00CF469D" w:rsidRDefault="00F81D50" w:rsidP="00F81D50">
            <w:pPr>
              <w:pStyle w:val="Normal6a"/>
            </w:pPr>
            <w:r>
              <w:t>15.</w:t>
            </w:r>
            <w:r>
              <w:tab/>
              <w:t xml:space="preserve">verzoekt de Commissie de </w:t>
            </w:r>
            <w:r>
              <w:rPr>
                <w:b/>
                <w:i/>
              </w:rPr>
              <w:t>bestaande bevoegdheidsverdeling tussen</w:t>
            </w:r>
            <w:r>
              <w:t xml:space="preserve"> de EU en </w:t>
            </w:r>
            <w:r>
              <w:rPr>
                <w:b/>
                <w:i/>
              </w:rPr>
              <w:t>haar lidstaten op dit gebied strikt</w:t>
            </w:r>
            <w:r>
              <w:t xml:space="preserve"> te </w:t>
            </w:r>
            <w:r>
              <w:rPr>
                <w:b/>
                <w:i/>
              </w:rPr>
              <w:t>eerbiedigen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413</w:t>
      </w:r>
      <w:r>
        <w:rPr>
          <w:rStyle w:val="HideTWBExt"/>
        </w:rPr>
        <w:t>&lt;/NumAm&gt;</w:t>
      </w:r>
    </w:p>
    <w:p w:rsidR="00F81D50" w:rsidRPr="00CF469D" w:rsidRDefault="00F81D50" w:rsidP="00F81D50">
      <w:pPr>
        <w:pStyle w:val="NormalBold"/>
      </w:pPr>
      <w:r>
        <w:rPr>
          <w:rStyle w:val="HideTWBExt"/>
        </w:rPr>
        <w:t>&lt;RepeatBlock-By&gt;&lt;Members&gt;</w:t>
      </w:r>
      <w:r>
        <w:t>Emmanouil Fragkos, Geadis Geadi, Galato Alexandraki</w:t>
      </w:r>
      <w:r>
        <w:rPr>
          <w:rStyle w:val="HideTWBExt"/>
        </w:rPr>
        <w:t>&lt;/Members&gt;</w:t>
      </w:r>
    </w:p>
    <w:p w:rsidR="00F81D50" w:rsidRPr="00CF469D" w:rsidRDefault="00F81D50" w:rsidP="00F81D50">
      <w:pPr>
        <w:pStyle w:val="NormalBold"/>
      </w:pPr>
      <w:r>
        <w:rPr>
          <w:rStyle w:val="HideTWBExt"/>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15.</w:t>
            </w:r>
            <w:r>
              <w:tab/>
              <w:t xml:space="preserve">verzoekt de Commissie en de lidstaten de rechtsgrond van de EU op dit gebied uit te breiden en een voorstel inzake haatmisdrijven en haatzaaiende uitlatingen te presenteren; </w:t>
            </w:r>
            <w:r>
              <w:rPr>
                <w:b/>
                <w:i/>
              </w:rPr>
              <w:t>verzoekt de Raad goedkeuring te hechten aan Richtlijn 2008/140</w:t>
            </w:r>
            <w:r>
              <w:rPr>
                <w:b/>
                <w:i/>
                <w:vertAlign w:val="superscript"/>
              </w:rPr>
              <w:t>42</w:t>
            </w:r>
            <w:r>
              <w:rPr>
                <w:b/>
                <w:i/>
              </w:rPr>
              <w:t>;</w:t>
            </w:r>
          </w:p>
        </w:tc>
        <w:tc>
          <w:tcPr>
            <w:tcW w:w="4876" w:type="dxa"/>
            <w:tcBorders>
              <w:top w:val="nil"/>
              <w:left w:val="nil"/>
              <w:bottom w:val="nil"/>
              <w:right w:val="nil"/>
            </w:tcBorders>
          </w:tcPr>
          <w:p w:rsidR="00F81D50" w:rsidRPr="00CF469D" w:rsidRDefault="00F81D50" w:rsidP="00F81D50">
            <w:pPr>
              <w:pStyle w:val="Normal6a"/>
            </w:pPr>
            <w:r>
              <w:t>15.</w:t>
            </w:r>
            <w:r>
              <w:tab/>
              <w:t>verzoekt de Commissie en de lidstaten de rechtsgrond van de EU op dit gebied uit te breiden en een voorstel inzake haatmisdrijven en haatzaaiende uitlatingen te presenteren;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42</w:t>
            </w:r>
            <w:r>
              <w:rPr>
                <w:b/>
                <w:i/>
              </w:rPr>
              <w:t xml:space="preserve"> Voorstel voor een richtlijn van de Raad betreffende de toepassing van het beginsel van gelijke behandeling van personen ongeacht godsdienst of overtuiging, handicap, leeftijd of seksuele geaardheid </w:t>
            </w:r>
            <w:r>
              <w:rPr>
                <w:b/>
                <w:i/>
              </w:rPr>
              <w:lastRenderedPageBreak/>
              <w:t>(COM(2008)0426).</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{EL}</w:t>
      </w:r>
      <w:r w:rsidRPr="00CF469D">
        <w:t>el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414</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15 bis.</w:t>
            </w:r>
            <w:r>
              <w:tab/>
            </w:r>
            <w:r>
              <w:rPr>
                <w:b/>
                <w:i/>
              </w:rPr>
              <w:t>verzoekt de Commissie in haar verslag in pijler 1 inzake rechtsstelsels een subpijler op te nemen inzake de registratie en monitoring van haatmisdrijven;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415</w:t>
      </w:r>
      <w:r>
        <w:rPr>
          <w:rStyle w:val="HideTWBExt"/>
        </w:rPr>
        <w:t>&lt;/NumAm&gt;</w:t>
      </w:r>
    </w:p>
    <w:p w:rsidR="00F81D50" w:rsidRPr="00CF469D" w:rsidRDefault="00F81D50" w:rsidP="00F81D50">
      <w:pPr>
        <w:pStyle w:val="NormalBold"/>
      </w:pPr>
      <w:r>
        <w:rPr>
          <w:rStyle w:val="HideTWBExt"/>
        </w:rPr>
        <w:t>&lt;RepeatBlock-By&gt;&lt;Members&gt;</w:t>
      </w:r>
      <w:r>
        <w:t>Emmanouil Fragkos, Geadis Geadi, Galato Alexandraki</w:t>
      </w:r>
      <w:r>
        <w:rPr>
          <w:rStyle w:val="HideTWBExt"/>
        </w:rPr>
        <w:t>&lt;/Members&gt;</w:t>
      </w:r>
    </w:p>
    <w:p w:rsidR="00F81D50" w:rsidRPr="00CF469D" w:rsidRDefault="00F81D50" w:rsidP="00F81D50">
      <w:pPr>
        <w:pStyle w:val="NormalBold"/>
      </w:pPr>
      <w:r>
        <w:rPr>
          <w:rStyle w:val="HideTWBExt"/>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15 bis.</w:t>
            </w:r>
            <w:r>
              <w:tab/>
            </w:r>
            <w:r>
              <w:rPr>
                <w:b/>
                <w:i/>
              </w:rPr>
              <w:t>verzoekt de Commissie de discriminatie van inwoners van berg- en eilandgebieden aan te pakken, zoals uiteengezet in artikel 174 VWEU;</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{EL}</w:t>
      </w:r>
      <w:r w:rsidRPr="00CF469D">
        <w:t>el</w:t>
      </w:r>
      <w:r w:rsidRPr="00CF469D">
        <w:rPr>
          <w:rStyle w:val="HideTWBExt"/>
        </w:rPr>
        <w:t>&lt;/Original&gt;</w:t>
      </w:r>
    </w:p>
    <w:p w:rsidR="00F81D50" w:rsidRDefault="00F81D50" w:rsidP="00F81D50">
      <w:r>
        <w:rPr>
          <w:rStyle w:val="HideTWBExt"/>
        </w:rPr>
        <w:t>&lt;/Amend</w:t>
      </w:r>
      <w:r w:rsidR="00D74041">
        <w:rPr>
          <w:rStyle w:val="HideTWBExt"/>
        </w:rPr>
        <w:t>&gt;</w:t>
      </w:r>
    </w:p>
    <w:p w:rsidR="00F81D50" w:rsidRPr="00CF469D" w:rsidRDefault="00F81D50" w:rsidP="00F81D50">
      <w:pPr>
        <w:pStyle w:val="AmNumberTabs"/>
      </w:pPr>
      <w:r>
        <w:rPr>
          <w:rStyle w:val="HideTWBExt"/>
        </w:rPr>
        <w:t>&lt;Amend&gt;</w:t>
      </w:r>
      <w:r>
        <w:t>Amendement</w:t>
      </w:r>
      <w:r>
        <w:tab/>
      </w:r>
      <w:r>
        <w:tab/>
      </w:r>
      <w:r>
        <w:rPr>
          <w:rStyle w:val="HideTWBExt"/>
        </w:rPr>
        <w:t>&lt;NumAm&gt;</w:t>
      </w:r>
      <w:r>
        <w:t>416</w:t>
      </w:r>
      <w:r>
        <w:rPr>
          <w:rStyle w:val="HideTWBExt"/>
        </w:rPr>
        <w:t>&lt;/NumAm&gt;</w:t>
      </w:r>
    </w:p>
    <w:p w:rsidR="00F81D50" w:rsidRPr="00CF469D" w:rsidRDefault="00F81D50" w:rsidP="00F81D50">
      <w:pPr>
        <w:pStyle w:val="NormalBold"/>
      </w:pPr>
      <w:r>
        <w:rPr>
          <w:rStyle w:val="HideTWBExt"/>
          <w:b w:val="0"/>
        </w:rPr>
        <w:t>&lt;RepeatBlock-By&gt;&lt;Members&gt;</w:t>
      </w:r>
      <w:r>
        <w:t>Javier Zarzalejos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w:t>
      </w:r>
      <w:bookmarkStart w:id="0" w:name="_GoBack"/>
      <w:bookmarkEnd w:id="0"/>
      <w:r>
        <w:t>e</w:t>
      </w:r>
      <w:r>
        <w:rPr>
          <w:rStyle w:val="HideTWBExt"/>
        </w:rPr>
        <w:t>&lt;/DocAmend&gt;</w:t>
      </w:r>
    </w:p>
    <w:p w:rsidR="00F81D50" w:rsidRPr="00CF469D" w:rsidRDefault="00F81D50" w:rsidP="00F81D50">
      <w:pPr>
        <w:pStyle w:val="NormalBold"/>
      </w:pPr>
      <w:r>
        <w:rPr>
          <w:rStyle w:val="HideTWBExt"/>
        </w:rPr>
        <w:t>&lt;Article&gt;</w:t>
      </w:r>
      <w:r>
        <w:t>Paragraaf 15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15 bis.</w:t>
            </w:r>
            <w:r>
              <w:tab/>
            </w:r>
            <w:r>
              <w:rPr>
                <w:b/>
                <w:i/>
              </w:rPr>
              <w:t>verzoekt de Commissie gemeenschappelijke beschermingsnormen vast te stellen om de veiligheid van politie- en rechtshandhavingsfunctionarissen te waarborgen;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417</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16.</w:t>
            </w:r>
            <w:r>
              <w:tab/>
            </w:r>
            <w:r>
              <w:rPr>
                <w:b/>
                <w:i/>
              </w:rPr>
              <w:t>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418</w:t>
      </w:r>
      <w:r>
        <w:rPr>
          <w:rStyle w:val="HideTWBExt"/>
        </w:rPr>
        <w:t>&lt;/NumAm&gt;</w:t>
      </w:r>
    </w:p>
    <w:p w:rsidR="00F81D50" w:rsidRPr="00CF469D" w:rsidRDefault="00F81D50" w:rsidP="00F81D50">
      <w:pPr>
        <w:pStyle w:val="NormalBold"/>
      </w:pPr>
      <w:r>
        <w:rPr>
          <w:rStyle w:val="HideTWBExt"/>
          <w:b w:val="0"/>
        </w:rPr>
        <w:t>&lt;RepeatBlock-By&gt;&lt;Members&gt;</w:t>
      </w:r>
      <w:r>
        <w:t>Jorge Buxadé Villalba,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16.</w:t>
            </w:r>
            <w:r>
              <w:tab/>
            </w:r>
            <w:r>
              <w:rPr>
                <w:b/>
                <w:i/>
              </w:rPr>
              <w:t xml:space="preserve">dringt aan op de wettelijke bescherming van vrouwen, op toevoeging van gendergerelateerd geweld aan de lijst </w:t>
            </w:r>
            <w:r>
              <w:rPr>
                <w:b/>
                <w:i/>
              </w:rPr>
              <w:lastRenderedPageBreak/>
              <w:t>van misdrijven in het EU-recht, op een EU-voorstel betreffende op instemming 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419</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w:t>
            </w:r>
            <w:r>
              <w:rPr>
                <w:b/>
                <w:i/>
              </w:rPr>
              <w:t>, op toevoeging van gendergerelateerd geweld aan de lijst van misdrijven in het EU-recht, op een EU-voorstel betreffende op instemming gebaseerde wetgeving inzake verkrachting, en op opname van het recht op veilige en wettelijke abortus in het Handvest</w:t>
            </w:r>
            <w:r>
              <w:t>;</w:t>
            </w:r>
          </w:p>
        </w:tc>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420</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w:t>
            </w:r>
            <w:r>
              <w:rPr>
                <w:b/>
                <w:i/>
              </w:rPr>
              <w:t xml:space="preserve">vrouwen, op toevoeging van gendergerelateerd geweld aan de lijst van misdrijven in het EU-recht, op een EU-voorstel betreffende op instemming gebaseerde wetgeving inzake verkrachting, en op opname van het recht op veilige en wettelijke abortus in het </w:t>
            </w:r>
            <w:r>
              <w:rPr>
                <w:b/>
                <w:i/>
              </w:rPr>
              <w:lastRenderedPageBreak/>
              <w:t>Handvest</w:t>
            </w:r>
            <w:r>
              <w:t>;</w:t>
            </w:r>
          </w:p>
        </w:tc>
        <w:tc>
          <w:tcPr>
            <w:tcW w:w="4876" w:type="dxa"/>
            <w:tcBorders>
              <w:top w:val="nil"/>
              <w:left w:val="nil"/>
              <w:bottom w:val="nil"/>
              <w:right w:val="nil"/>
            </w:tcBorders>
          </w:tcPr>
          <w:p w:rsidR="00F81D50" w:rsidRPr="00CF469D" w:rsidRDefault="00F81D50" w:rsidP="00F81D50">
            <w:pPr>
              <w:pStyle w:val="Normal6a"/>
            </w:pPr>
            <w:r>
              <w:lastRenderedPageBreak/>
              <w:t>16.</w:t>
            </w:r>
            <w:r>
              <w:tab/>
              <w:t xml:space="preserve">dringt aan op de </w:t>
            </w:r>
            <w:r>
              <w:rPr>
                <w:b/>
                <w:i/>
              </w:rPr>
              <w:t>gelijke</w:t>
            </w:r>
            <w:r>
              <w:t xml:space="preserve"> wettelijke bescherming van </w:t>
            </w:r>
            <w:r>
              <w:rPr>
                <w:b/>
                <w:i/>
              </w:rPr>
              <w:t>alle burgers</w:t>
            </w:r>
            <w:r>
              <w:t>;</w:t>
            </w:r>
            <w:r>
              <w:rPr>
                <w:b/>
                <w:i/>
              </w:rPr>
              <w:t xml:space="preserve"> herinnert eraan dat staten soeverein zijn in strafzaken;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421</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t>16.</w:t>
            </w:r>
            <w:r>
              <w:tab/>
            </w:r>
            <w:r>
              <w:rPr>
                <w:b/>
                <w:i/>
              </w:rPr>
              <w:t>onderstreept dat gendergerelateerd geweld, zowel online als offline, een groot en wijdverbreid misdrijf is waarmee de grondrechten en de fundamentele vrijheden systematisch worden geschonden;</w:t>
            </w:r>
            <w:r>
              <w:t xml:space="preserve"> 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422</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r>
            <w:r>
              <w:rPr>
                <w:b/>
                <w:bCs/>
                <w:i/>
                <w:iCs/>
              </w:rPr>
              <w:t xml:space="preserve">dringt aan op de wettelijke bescherming van vrouwen, op toevoeging van gendergerelateerd geweld aan de lijst van misdrijven in het EU-recht, op een EU-voorstel betreffende op instemming </w:t>
            </w:r>
            <w:r>
              <w:rPr>
                <w:b/>
                <w:bCs/>
                <w:i/>
                <w:iCs/>
              </w:rPr>
              <w:lastRenderedPageBreak/>
              <w:t>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lastRenderedPageBreak/>
              <w:t>16.</w:t>
            </w:r>
            <w:r>
              <w:tab/>
            </w:r>
            <w:r>
              <w:rPr>
                <w:b/>
                <w:bCs/>
                <w:i/>
                <w:iCs/>
              </w:rPr>
              <w:t>benadrukt dat gelijkheid van vrouwen en mannen een in de Verdragen verankerd beginsel is dat de lidstaten van de Unie verenigt;</w:t>
            </w:r>
            <w:r>
              <w:rPr>
                <w:b/>
                <w:i/>
              </w:rPr>
              <w:t xml:space="preserve"> </w:t>
            </w:r>
            <w:r>
              <w:rPr>
                <w:b/>
                <w:bCs/>
                <w:i/>
                <w:iCs/>
              </w:rPr>
              <w:t xml:space="preserve">verzoekt de lidstaten nationaal beleid ten uitvoer te leggen om </w:t>
            </w:r>
            <w:r>
              <w:rPr>
                <w:b/>
                <w:bCs/>
                <w:i/>
                <w:iCs/>
              </w:rPr>
              <w:lastRenderedPageBreak/>
              <w:t>gelijkheid tussen vrouwen en mannen tot stand te brengen;</w:t>
            </w:r>
            <w:r>
              <w:rPr>
                <w:b/>
                <w:i/>
              </w:rPr>
              <w:t xml:space="preserve"> </w:t>
            </w:r>
            <w:r>
              <w:rPr>
                <w:b/>
                <w:bCs/>
                <w:i/>
                <w:iCs/>
              </w:rPr>
              <w:t>benadrukt de primaire verantwoordelijkheid van de lidstaten om nationale wetgeving vast te stellen inzake de strafbaarstelling van vormen van gendergerelateerd geweld, zoals verkrachting en eerwraak;</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423</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 </w:t>
            </w:r>
            <w:r>
              <w:rPr>
                <w:b/>
                <w:i/>
              </w:rPr>
              <w:t>dringt aan op maatregelen tegen gendergerelateerd geweld, zowel offline als online;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424</w:t>
      </w:r>
      <w:r>
        <w:rPr>
          <w:rStyle w:val="HideTWBExt"/>
        </w:rPr>
        <w:t>&lt;/NumAm&gt;</w:t>
      </w:r>
    </w:p>
    <w:p w:rsidR="00F81D50" w:rsidRPr="00CF469D" w:rsidRDefault="00F81D50" w:rsidP="00F81D50">
      <w:pPr>
        <w:pStyle w:val="NormalBold"/>
      </w:pPr>
      <w:r>
        <w:rPr>
          <w:rStyle w:val="HideTWBExt"/>
          <w:b w:val="0"/>
        </w:rPr>
        <w:t>&lt;RepeatBlock-By&gt;&lt;Members&gt;</w:t>
      </w:r>
      <w:r>
        <w:t>Marieke Ehlers, Tom Vandendriessche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lastRenderedPageBreak/>
              <w:t>16.</w:t>
            </w:r>
            <w:r>
              <w:tab/>
              <w:t>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 op toevoeging van gendergerelateerd geweld</w:t>
            </w:r>
            <w:r>
              <w:rPr>
                <w:b/>
                <w:i/>
              </w:rPr>
              <w:t>, met inbegrip van vrouwelijke genitale verminking (VGV),</w:t>
            </w:r>
            <w:r>
              <w:t xml:space="preserve"> aan de lijst van misdrijven in het EU-recht, op een EU-voorstel betreffende op instemming gebaseerde wetgeving inzake verkrachting, en op opname van het recht op veilige en wettelijke abortus in het Handvest;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425</w:t>
      </w:r>
      <w:r>
        <w:rPr>
          <w:rStyle w:val="HideTWBExt"/>
        </w:rPr>
        <w:t>&lt;/NumAm&gt;</w:t>
      </w:r>
    </w:p>
    <w:p w:rsidR="00F81D50" w:rsidRPr="00CF469D" w:rsidRDefault="00F81D50" w:rsidP="00F81D50">
      <w:pPr>
        <w:pStyle w:val="NormalBold"/>
      </w:pPr>
      <w:r>
        <w:rPr>
          <w:rStyle w:val="HideTWBExt"/>
          <w:b w:val="0"/>
        </w:rPr>
        <w:t>&lt;RepeatBlock-By&gt;&lt;Members&gt;</w:t>
      </w:r>
      <w:r>
        <w:t>Ewa Zajączkowska-Hernik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 op toevoeging van gendergerelateerd geweld aan de lijst van misdrijven in het EU-recht, op een EU-voorstel betreffende op instemming gebaseerde wetgeving inzake verkrachting</w:t>
            </w:r>
            <w:r>
              <w:rPr>
                <w:b/>
                <w:i/>
              </w:rPr>
              <w:t>, en op opname van het recht op veilige en wettelijke abortus in het Handvest</w:t>
            </w:r>
            <w:r>
              <w:t>;</w:t>
            </w:r>
          </w:p>
        </w:tc>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op toevoeging van gendergerelateerd geweld aan de lijst van misdrijven in het EU-recht, </w:t>
            </w:r>
            <w:r>
              <w:rPr>
                <w:b/>
                <w:bCs/>
                <w:i/>
                <w:iCs/>
              </w:rPr>
              <w:t>en</w:t>
            </w:r>
            <w:r>
              <w:t xml:space="preserve"> op een EU-voorstel betreffende op instemming gebaseerde wetgeving inzake verkrachting;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426</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op toevoeging van gendergerelateerd geweld aan de lijst van misdrijven in het EU-recht, op een EU-voorstel betreffende op instemming </w:t>
            </w:r>
            <w:r>
              <w:lastRenderedPageBreak/>
              <w:t>gebaseerde wetgeving inzake verkrachting</w:t>
            </w:r>
            <w:r>
              <w:rPr>
                <w:b/>
                <w:i/>
              </w:rPr>
              <w:t>, en op opname van het recht op veilige en wettelijke abortus in het Handvest</w:t>
            </w:r>
            <w:r>
              <w:t>;</w:t>
            </w:r>
          </w:p>
        </w:tc>
        <w:tc>
          <w:tcPr>
            <w:tcW w:w="4876" w:type="dxa"/>
            <w:tcBorders>
              <w:top w:val="nil"/>
              <w:left w:val="nil"/>
              <w:bottom w:val="nil"/>
              <w:right w:val="nil"/>
            </w:tcBorders>
          </w:tcPr>
          <w:p w:rsidR="00F81D50" w:rsidRPr="00CF469D" w:rsidRDefault="00F81D50" w:rsidP="00F81D50">
            <w:pPr>
              <w:pStyle w:val="Normal6a"/>
            </w:pPr>
            <w:r>
              <w:lastRenderedPageBreak/>
              <w:t>16.</w:t>
            </w:r>
            <w:r>
              <w:tab/>
              <w:t xml:space="preserve">dringt aan op de wettelijke bescherming van vrouwen, op toevoeging van gendergerelateerd geweld aan de lijst van misdrijven in het EU-recht, </w:t>
            </w:r>
            <w:r>
              <w:rPr>
                <w:b/>
                <w:bCs/>
                <w:i/>
                <w:iCs/>
              </w:rPr>
              <w:t>en</w:t>
            </w:r>
            <w:r>
              <w:t xml:space="preserve"> op een EU-voorstel betreffende op instemming </w:t>
            </w:r>
            <w:r>
              <w:lastRenderedPageBreak/>
              <w:t>gebaseerde wetgeving inzake verkrachting;</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427</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 xml:space="preserve">dringt aan op de </w:t>
            </w:r>
            <w:r>
              <w:rPr>
                <w:b/>
                <w:i/>
              </w:rPr>
              <w:t xml:space="preserve">wettelijke </w:t>
            </w:r>
            <w:r>
              <w:t xml:space="preserve">bescherming van vrouwen, </w:t>
            </w:r>
            <w:r>
              <w:rPr>
                <w:b/>
                <w:i/>
              </w:rPr>
              <w:t>op toevoeging van gendergerelateerd geweld aan de lijst van misdrijven in het EU-recht</w:t>
            </w:r>
            <w:r>
              <w:t xml:space="preserve">, </w:t>
            </w:r>
            <w:r>
              <w:rPr>
                <w:b/>
                <w:i/>
              </w:rPr>
              <w:t>op een EU-voorstel betreffende op instemming gebaseerde wetgeving inzake verkrachting, en op opname van het recht op veilige en wettelijke abortus in het Handvest</w:t>
            </w:r>
            <w:r>
              <w:t>;</w:t>
            </w:r>
          </w:p>
        </w:tc>
        <w:tc>
          <w:tcPr>
            <w:tcW w:w="4876" w:type="dxa"/>
            <w:tcBorders>
              <w:top w:val="nil"/>
              <w:left w:val="nil"/>
              <w:bottom w:val="nil"/>
              <w:right w:val="nil"/>
            </w:tcBorders>
          </w:tcPr>
          <w:p w:rsidR="00F81D50" w:rsidRPr="00CF469D" w:rsidRDefault="00F81D50" w:rsidP="00F81D50">
            <w:pPr>
              <w:pStyle w:val="Normal6a"/>
            </w:pPr>
            <w:r>
              <w:t>16.</w:t>
            </w:r>
            <w:r>
              <w:tab/>
              <w:t xml:space="preserve">dringt aan op de bescherming van vrouwen, </w:t>
            </w:r>
            <w:r>
              <w:rPr>
                <w:b/>
                <w:i/>
              </w:rPr>
              <w:t>met name in milieus waar zij worden blootgesteld aan systemisch geweld</w:t>
            </w:r>
            <w:r>
              <w:t xml:space="preserve">, </w:t>
            </w:r>
            <w:r>
              <w:rPr>
                <w:b/>
                <w:i/>
              </w:rPr>
              <w:t>onder meer in radicale islamitische milieus waar de sharia of praktijken als kindhuwelijken, verkrachting of vrouwelijke genitale verminking worden toegepast</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428</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op toevoeging van gendergerelateerd geweld aan de lijst van misdrijven in het EU-recht, op een EU-voorstel betreffende </w:t>
            </w:r>
            <w:r>
              <w:rPr>
                <w:b/>
                <w:i/>
              </w:rPr>
              <w:t>op instemming gebaseerde wetgeving inzake verkrachting</w:t>
            </w:r>
            <w:r>
              <w:t>,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op toevoeging van gendergerelateerd geweld aan de lijst van misdrijven in het EU-recht, op een </w:t>
            </w:r>
            <w:r>
              <w:rPr>
                <w:b/>
                <w:i/>
              </w:rPr>
              <w:t>wetgevingsvoorstel van de EU</w:t>
            </w:r>
            <w:r>
              <w:t xml:space="preserve"> betreffende </w:t>
            </w:r>
            <w:r>
              <w:rPr>
                <w:b/>
                <w:i/>
              </w:rPr>
              <w:t>de bestrijding van verkrachting op grond van het ontbreken van instemming</w:t>
            </w:r>
            <w:r>
              <w:t>, en op opname van het recht op veilige en wettelijke abortus in het Handvest;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429</w:t>
      </w:r>
      <w:r>
        <w:rPr>
          <w:rStyle w:val="HideTWBExt"/>
        </w:rPr>
        <w:t>&lt;/NumAm&gt;</w:t>
      </w:r>
    </w:p>
    <w:p w:rsidR="00F81D50" w:rsidRPr="00CF469D" w:rsidRDefault="00F81D50" w:rsidP="00F81D50">
      <w:pPr>
        <w:pStyle w:val="NormalBold"/>
      </w:pPr>
      <w:r>
        <w:rPr>
          <w:rStyle w:val="HideTWBExt"/>
          <w:b w:val="0"/>
        </w:rPr>
        <w:t>&lt;RepeatBlock-By&gt;&lt;Members&gt;</w:t>
      </w:r>
      <w:r>
        <w:t>Javier Zarzalejos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w:t>
            </w:r>
            <w:r>
              <w:rPr>
                <w:b/>
                <w:i/>
              </w:rPr>
              <w:t>,</w:t>
            </w:r>
            <w:r>
              <w:t xml:space="preserve"> op toevoeging van gendergerelateerd geweld aan de lijst van misdrijven in het EU-recht</w:t>
            </w:r>
            <w:r>
              <w:rPr>
                <w:b/>
                <w:i/>
              </w:rPr>
              <w:t>, op een EU-voorstel</w:t>
            </w:r>
            <w:r>
              <w:t xml:space="preserve"> betreffende op instemming gebaseerde wetgeving inzake verkrachting</w:t>
            </w:r>
            <w:r>
              <w:rPr>
                <w:b/>
                <w:i/>
              </w:rPr>
              <w:t>, en op opname van het recht op veilige en wettelijke abortus in het Handvest</w:t>
            </w:r>
            <w:r>
              <w:t>;</w:t>
            </w:r>
          </w:p>
        </w:tc>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w:t>
            </w:r>
            <w:r>
              <w:rPr>
                <w:b/>
                <w:i/>
              </w:rPr>
              <w:t>en</w:t>
            </w:r>
            <w:r>
              <w:t xml:space="preserve"> op toevoeging van gendergerelateerd geweld aan de lijst van misdrijven in het EU-recht</w:t>
            </w:r>
            <w:r>
              <w:rPr>
                <w:b/>
                <w:i/>
              </w:rPr>
              <w:t>; kijkt uit naar de bespreking van het voorstel</w:t>
            </w:r>
            <w:r>
              <w:t xml:space="preserve"> betreffende op instemming gebaseerde wetgeving inzake verkrachting;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430</w:t>
      </w:r>
      <w:r>
        <w:rPr>
          <w:rStyle w:val="HideTWBExt"/>
        </w:rPr>
        <w:t>&lt;/NumAm&gt;</w:t>
      </w:r>
    </w:p>
    <w:p w:rsidR="00F81D50" w:rsidRPr="00CF469D" w:rsidRDefault="00F81D50" w:rsidP="00F81D50">
      <w:pPr>
        <w:pStyle w:val="NormalBold"/>
      </w:pPr>
      <w:r>
        <w:rPr>
          <w:rStyle w:val="HideTWBExt"/>
          <w:b w:val="0"/>
        </w:rPr>
        <w:t>&lt;RepeatBlock-By&gt;&lt;Members&gt;</w:t>
      </w:r>
      <w:r>
        <w:t>Alessandro Zan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t>dringt aan op de wettelijke bescherming van vrouwen, op toevoeging van gendergerelateerd geweld aan de lijst van misdrijven in het EU-recht, op een EU-voorstel betreffende op instemming gebaseerde wetgeving inzake verkrachting, en op opname van het recht op veilige en wettelijke abortus in het Handvest;</w:t>
            </w:r>
          </w:p>
        </w:tc>
        <w:tc>
          <w:tcPr>
            <w:tcW w:w="4876" w:type="dxa"/>
            <w:tcBorders>
              <w:top w:val="nil"/>
              <w:left w:val="nil"/>
              <w:bottom w:val="nil"/>
              <w:right w:val="nil"/>
            </w:tcBorders>
          </w:tcPr>
          <w:p w:rsidR="00F81D50" w:rsidRPr="00CF469D" w:rsidRDefault="00F81D50" w:rsidP="00F81D50">
            <w:pPr>
              <w:pStyle w:val="Normal6a"/>
            </w:pPr>
            <w:r>
              <w:t>16.</w:t>
            </w:r>
            <w:r>
              <w:tab/>
              <w:t xml:space="preserve">dringt aan op de wettelijke bescherming van vrouwen, op toevoeging van gendergerelateerd geweld </w:t>
            </w:r>
            <w:r>
              <w:rPr>
                <w:b/>
                <w:i/>
              </w:rPr>
              <w:t>en haat op basis van gender</w:t>
            </w:r>
            <w:r>
              <w:t xml:space="preserve"> aan de lijst van misdrijven in het EU-recht, op een EU-voorstel betreffende op instemming gebaseerde wetgeving inzake verkrachting, en op opname van het recht op veilige en wettelijke abortus in het Handvest;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431</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lastRenderedPageBreak/>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16.</w:t>
            </w:r>
            <w:r>
              <w:tab/>
            </w:r>
            <w:r>
              <w:rPr>
                <w:b/>
                <w:i/>
              </w:rPr>
              <w:t>dringt aan</w:t>
            </w:r>
            <w:r>
              <w:t xml:space="preserve"> op de </w:t>
            </w:r>
            <w:r>
              <w:rPr>
                <w:b/>
                <w:i/>
              </w:rPr>
              <w:t>wettelijke bescherming</w:t>
            </w:r>
            <w:r>
              <w:t xml:space="preserve"> van </w:t>
            </w:r>
            <w:r>
              <w:rPr>
                <w:b/>
                <w:i/>
              </w:rPr>
              <w:t>vrouwen, op toevoeging van gendergerelateerd geweld aan</w:t>
            </w:r>
            <w:r>
              <w:t xml:space="preserve"> de </w:t>
            </w:r>
            <w:r>
              <w:rPr>
                <w:b/>
                <w:i/>
              </w:rPr>
              <w:t>lijst van misdrijven in het EU-recht</w:t>
            </w:r>
            <w:r>
              <w:t xml:space="preserve">, </w:t>
            </w:r>
            <w:r>
              <w:rPr>
                <w:b/>
                <w:i/>
              </w:rPr>
              <w:t>op een EU-voorstel betreffende op instemming gebaseerde wetgeving inzake verkrachting, en op opname</w:t>
            </w:r>
            <w:r>
              <w:t xml:space="preserve"> van </w:t>
            </w:r>
            <w:r>
              <w:rPr>
                <w:b/>
                <w:i/>
              </w:rPr>
              <w:t>het recht op veilige en wettelijke abortus in het Handvest</w:t>
            </w:r>
            <w:r>
              <w:t>;</w:t>
            </w:r>
          </w:p>
        </w:tc>
        <w:tc>
          <w:tcPr>
            <w:tcW w:w="4876" w:type="dxa"/>
            <w:tcBorders>
              <w:top w:val="nil"/>
              <w:left w:val="nil"/>
              <w:bottom w:val="nil"/>
              <w:right w:val="nil"/>
            </w:tcBorders>
          </w:tcPr>
          <w:p w:rsidR="00F81D50" w:rsidRPr="00CF469D" w:rsidRDefault="00F81D50" w:rsidP="00F81D50">
            <w:pPr>
              <w:pStyle w:val="Normal6a"/>
            </w:pPr>
            <w:r>
              <w:t>16.</w:t>
            </w:r>
            <w:r>
              <w:tab/>
            </w:r>
            <w:r>
              <w:rPr>
                <w:b/>
                <w:i/>
              </w:rPr>
              <w:t>wijst er nogmaals op dat de lidstaten uit hoofde van artikel 2 VEU en het Handvest van de grondrechten verplicht zijn gendergelijkheid te garanderen, beschermen en bevorderen; veroordeelt ten stelligste alle vormen</w:t>
            </w:r>
            <w:r>
              <w:t xml:space="preserve"> van </w:t>
            </w:r>
            <w:r>
              <w:rPr>
                <w:b/>
                <w:i/>
              </w:rPr>
              <w:t>geweld tegen vrouwen en dringt erop aan hen wettelijk te beschermen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E92577" w:rsidRDefault="00F81D50" w:rsidP="00F81D50">
      <w:pPr>
        <w:pStyle w:val="AmNumberTabs"/>
      </w:pPr>
      <w:r>
        <w:rPr>
          <w:rStyle w:val="HideTWBExt"/>
        </w:rPr>
        <w:t>&lt;Amend&gt;</w:t>
      </w:r>
      <w:r>
        <w:t>Amendement</w:t>
      </w:r>
      <w:r>
        <w:tab/>
      </w:r>
      <w:r>
        <w:tab/>
      </w:r>
      <w:r>
        <w:rPr>
          <w:rStyle w:val="HideTWBExt"/>
        </w:rPr>
        <w:t>&lt;NumAm&gt;</w:t>
      </w:r>
      <w:r>
        <w:t>432</w:t>
      </w:r>
      <w:r>
        <w:rPr>
          <w:rStyle w:val="HideTWBExt"/>
        </w:rPr>
        <w:t>&lt;/NumAm&gt;</w:t>
      </w:r>
    </w:p>
    <w:p w:rsidR="00F81D50" w:rsidRPr="00E92577" w:rsidRDefault="00F81D50" w:rsidP="00F81D50">
      <w:pPr>
        <w:pStyle w:val="NormalBold"/>
      </w:pPr>
      <w:r>
        <w:rPr>
          <w:rStyle w:val="HideTWBExt"/>
          <w:b w:val="0"/>
        </w:rPr>
        <w:t>&lt;RepeatBlock-By&gt;&lt;Members&gt;</w:t>
      </w:r>
      <w:r>
        <w:t>Maria Walsh</w:t>
      </w:r>
      <w:r>
        <w:rPr>
          <w:rStyle w:val="HideTWBExt"/>
          <w:b w:val="0"/>
        </w:rPr>
        <w:t>&lt;/Members&gt;</w:t>
      </w:r>
    </w:p>
    <w:p w:rsidR="00F81D50" w:rsidRPr="00E92577" w:rsidRDefault="00F81D50" w:rsidP="00F81D50">
      <w:pPr>
        <w:pStyle w:val="NormalBold"/>
      </w:pPr>
      <w:r>
        <w:rPr>
          <w:rStyle w:val="HideTWBExt"/>
          <w:b w:val="0"/>
        </w:rPr>
        <w:t>&lt;/RepeatBlock-By&gt;</w:t>
      </w:r>
    </w:p>
    <w:p w:rsidR="00F81D50" w:rsidRPr="00E92577" w:rsidRDefault="00F81D50" w:rsidP="00F81D50">
      <w:pPr>
        <w:pStyle w:val="NormalBold"/>
      </w:pPr>
      <w:r>
        <w:rPr>
          <w:rStyle w:val="HideTWBExt"/>
        </w:rPr>
        <w:t>&lt;DocAmend&gt;</w:t>
      </w:r>
      <w:r>
        <w:t>Ontwerpresolutie</w:t>
      </w:r>
      <w:r>
        <w:rPr>
          <w:rStyle w:val="HideTWBExt"/>
        </w:rPr>
        <w:t>&lt;/DocAmend&gt;</w:t>
      </w:r>
    </w:p>
    <w:p w:rsidR="00F81D50" w:rsidRPr="00E92577" w:rsidRDefault="00F81D50" w:rsidP="00F81D50">
      <w:pPr>
        <w:pStyle w:val="NormalBold"/>
      </w:pPr>
      <w:r>
        <w:rPr>
          <w:rStyle w:val="HideTWBExt"/>
        </w:rPr>
        <w:t>&lt;Article&gt;</w:t>
      </w:r>
      <w:r>
        <w:t>Paragraaf 16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E92577" w:rsidRDefault="00F81D50" w:rsidP="00F81D50"/>
        </w:tc>
      </w:tr>
      <w:tr w:rsidR="00F81D50" w:rsidTr="00F81D50">
        <w:trPr>
          <w:trHeight w:val="240"/>
          <w:jc w:val="center"/>
        </w:trPr>
        <w:tc>
          <w:tcPr>
            <w:tcW w:w="4876" w:type="dxa"/>
            <w:tcBorders>
              <w:top w:val="nil"/>
              <w:left w:val="nil"/>
              <w:bottom w:val="nil"/>
              <w:right w:val="nil"/>
            </w:tcBorders>
          </w:tcPr>
          <w:p w:rsidR="00F81D50" w:rsidRPr="00E92577" w:rsidRDefault="00F81D50" w:rsidP="00F81D50">
            <w:pPr>
              <w:pStyle w:val="AmColumnHeading"/>
            </w:pPr>
            <w:r>
              <w:t>Ontwerpresolutie</w:t>
            </w:r>
          </w:p>
        </w:tc>
        <w:tc>
          <w:tcPr>
            <w:tcW w:w="4876" w:type="dxa"/>
            <w:tcBorders>
              <w:top w:val="nil"/>
              <w:left w:val="nil"/>
              <w:bottom w:val="nil"/>
              <w:right w:val="nil"/>
            </w:tcBorders>
          </w:tcPr>
          <w:p w:rsidR="00F81D50" w:rsidRPr="00E92577"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E92577" w:rsidRDefault="00F81D50" w:rsidP="00F81D50">
            <w:pPr>
              <w:pStyle w:val="Normal6a"/>
            </w:pPr>
          </w:p>
        </w:tc>
        <w:tc>
          <w:tcPr>
            <w:tcW w:w="4876" w:type="dxa"/>
            <w:tcBorders>
              <w:top w:val="nil"/>
              <w:left w:val="nil"/>
              <w:bottom w:val="nil"/>
              <w:right w:val="nil"/>
            </w:tcBorders>
          </w:tcPr>
          <w:p w:rsidR="00F81D50" w:rsidRPr="00E92577" w:rsidRDefault="00F81D50" w:rsidP="00F81D50">
            <w:pPr>
              <w:pStyle w:val="Normal6a"/>
            </w:pPr>
            <w:r>
              <w:rPr>
                <w:b/>
                <w:i/>
              </w:rPr>
              <w:t>16 bis.</w:t>
            </w:r>
            <w:r>
              <w:tab/>
            </w:r>
            <w:r>
              <w:rPr>
                <w:b/>
                <w:i/>
              </w:rPr>
              <w:t>Gezien de verbreidheid van gendergerelateerd geweld moet de Commissie de toename van onlinegeweld waar vrouwen mee geconfronteerd worden als een ernstig misdrijf beschouwen en digitale platforms aan strengere controles onderwerpen. Bovendien moet zij ervoor zorgen dat slachtoffers wettelijke bescherming genieten om een veiliger onlineomgeving voor vrouwen te bewerkstelligen;</w:t>
            </w:r>
          </w:p>
        </w:tc>
      </w:tr>
    </w:tbl>
    <w:p w:rsidR="00F81D50" w:rsidRPr="00E92577" w:rsidRDefault="00F81D50" w:rsidP="00F81D50">
      <w:pPr>
        <w:pStyle w:val="AmOrLang"/>
      </w:pPr>
      <w:r w:rsidRPr="00E92577">
        <w:t xml:space="preserve">Or. </w:t>
      </w:r>
      <w:r w:rsidRPr="00E92577">
        <w:rPr>
          <w:rStyle w:val="HideTWBExt"/>
        </w:rPr>
        <w:t>&lt;Original&gt;</w:t>
      </w:r>
      <w:r w:rsidRPr="00E92577">
        <w:rPr>
          <w:rStyle w:val="HideTWBInt"/>
        </w:rPr>
        <w:t>{GA}</w:t>
      </w:r>
      <w:r w:rsidRPr="00E92577">
        <w:t>ga</w:t>
      </w:r>
      <w:r w:rsidRPr="00E92577">
        <w:rPr>
          <w:rStyle w:val="HideTWBExt"/>
        </w:rPr>
        <w:t>&lt;/Original&gt;</w:t>
      </w:r>
    </w:p>
    <w:p w:rsidR="00F81D50" w:rsidRPr="00E92577"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433</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16 bis.</w:t>
            </w:r>
            <w:r>
              <w:tab/>
            </w:r>
            <w:r>
              <w:rPr>
                <w:b/>
                <w:i/>
              </w:rPr>
              <w:t>benadrukt dat gezondheidsdiensten krachtens artikel 168 VWEU een nationale bevoegdheid zijn;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434</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17.</w:t>
            </w:r>
            <w:r>
              <w:tab/>
            </w:r>
            <w:r>
              <w:rPr>
                <w:b/>
                <w:i/>
              </w:rPr>
              <w:t>onderstreept dat alle burgers, ongeacht nationaliteit, geboorteplaats, of verblijfsstatus in de lidstaten, gelijk moeten zijn voor de wet, en verzoekt de Commissie en de lidstaten discriminatie op grond van nationaliteit harder aan te 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435</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17.</w:t>
            </w:r>
            <w:r>
              <w:tab/>
            </w:r>
            <w:r>
              <w:rPr>
                <w:b/>
                <w:i/>
              </w:rPr>
              <w:t xml:space="preserve">onderstreept dat alle burgers, ongeacht nationaliteit, geboorteplaats, of verblijfsstatus in de lidstaten, gelijk moeten zijn voor de wet, en verzoekt de Commissie en de lidstaten discriminatie op grond van nationaliteit harder aan te </w:t>
            </w:r>
            <w:r>
              <w:rPr>
                <w:b/>
                <w:i/>
              </w:rPr>
              <w:lastRenderedPageBreak/>
              <w:t>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436</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17.</w:t>
            </w:r>
            <w:r>
              <w:tab/>
            </w:r>
            <w:r>
              <w:rPr>
                <w:b/>
                <w:i/>
              </w:rPr>
              <w:t>onderstreept dat alle burgers, ongeacht nationaliteit, geboorteplaats, of verblijfsstatus in de lidstaten, gelijk moeten zijn voor de wet, en verzoekt de Commissie en de lidstaten discriminatie op grond van nationaliteit harder aan te 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437</w:t>
      </w:r>
      <w:r>
        <w:rPr>
          <w:rStyle w:val="HideTWBExt"/>
        </w:rPr>
        <w:t>&lt;/NumAm&gt;</w:t>
      </w:r>
    </w:p>
    <w:p w:rsidR="00F81D50" w:rsidRPr="00CF469D" w:rsidRDefault="00F81D50" w:rsidP="00F81D50">
      <w:pPr>
        <w:pStyle w:val="NormalBold"/>
      </w:pPr>
      <w:r>
        <w:rPr>
          <w:rStyle w:val="HideTWBExt"/>
          <w:b w:val="0"/>
        </w:rPr>
        <w:t>&lt;RepeatBlock-By&gt;&lt;Members&gt;</w:t>
      </w:r>
      <w:r>
        <w:t>Ewa Zajączkowska-Hernik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17.</w:t>
            </w:r>
            <w:r>
              <w:tab/>
            </w:r>
            <w:r>
              <w:rPr>
                <w:b/>
                <w:i/>
              </w:rPr>
              <w:t xml:space="preserve">onderstreept dat alle burgers, ongeacht nationaliteit, geboorteplaats, of verblijfsstatus in de lidstaten, gelijk moeten zijn voor de wet, en verzoekt de Commissie en de lidstaten discriminatie op grond van nationaliteit harder aan te pakken; verzoekt de Commissie erop toe te </w:t>
            </w:r>
            <w:r>
              <w:rPr>
                <w:b/>
                <w:i/>
              </w:rPr>
              <w:lastRenderedPageBreak/>
              <w:t>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438</w:t>
      </w:r>
      <w:r>
        <w:rPr>
          <w:rStyle w:val="HideTWBExt"/>
        </w:rPr>
        <w:t>&lt;/NumAm&gt;</w:t>
      </w:r>
    </w:p>
    <w:p w:rsidR="00F81D50" w:rsidRPr="00CF469D" w:rsidRDefault="00F81D50" w:rsidP="00F81D50">
      <w:pPr>
        <w:pStyle w:val="NormalBold"/>
      </w:pPr>
      <w:r>
        <w:rPr>
          <w:rStyle w:val="HideTWBExt"/>
          <w:b w:val="0"/>
        </w:rPr>
        <w:t>&lt;RepeatBlock-By&gt;&lt;Members&gt;</w:t>
      </w:r>
      <w:r>
        <w:t>Alessandro Zan, Cecilia Strada, Sandro Ruotolo, Pina Picierno, Marco Tarquinio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w:t>
            </w:r>
            <w:r>
              <w:rPr>
                <w:b/>
                <w:i/>
              </w:rPr>
              <w:t>en verzoekt</w:t>
            </w:r>
            <w:r>
              <w:t xml:space="preserve"> de Commissie en de lidstaten discriminatie op grond van nationaliteit harder aan te 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w:t>
            </w:r>
            <w:r>
              <w:rPr>
                <w:b/>
                <w:i/>
              </w:rPr>
              <w:t>hun rechten volledig moeten kunnen uitoefenen, gelijk en humaan moeten worden behandeld en toegang moeten hebben tot billijke procedures inzake internationale bescherming, met volledige inachtneming van het internationaal recht en het beginsel van “non</w:t>
            </w:r>
            <w:r>
              <w:rPr>
                <w:b/>
                <w:i/>
              </w:rPr>
              <w:noBreakHyphen/>
              <w:t>refoulement”</w:t>
            </w:r>
            <w:r>
              <w:t>;</w:t>
            </w:r>
            <w:r>
              <w:rPr>
                <w:b/>
                <w:i/>
              </w:rPr>
              <w:t xml:space="preserve"> merkt op dat de externalisering en het extraterritoriale beheer van migratie, zoals de bilaterale overeenkomsten die de lidstaten sluiten met derde landen, deze beginselen en het gemeenschappelijk Europees asielstelsel in gevaar brengen en de uitvoering van gemeenschappelijke EU-normen, de doelstellingen van het EU-recht en de rechten van migranten ondermijnen;</w:t>
            </w:r>
            <w:r>
              <w:t xml:space="preserve"> </w:t>
            </w:r>
            <w:r>
              <w:rPr>
                <w:b/>
                <w:i/>
              </w:rPr>
              <w:t>spoort</w:t>
            </w:r>
            <w:r>
              <w:t xml:space="preserve"> de Commissie en de lidstaten </w:t>
            </w:r>
            <w:r>
              <w:rPr>
                <w:b/>
                <w:i/>
              </w:rPr>
              <w:t>ertoe aan</w:t>
            </w:r>
            <w:r>
              <w:t xml:space="preserve"> discriminatie op grond van nationaliteit harder aan te pakken; verzoekt de Commissie erop toe te zien dat de lidstaten in hun nationale plannen voor de uitvoering van het migratie- en asielpact de beginselen van de rechtsstaat </w:t>
            </w:r>
            <w:r>
              <w:rPr>
                <w:b/>
                <w:i/>
              </w:rPr>
              <w:t>evenals de in het Handvest van de grondrechten van de EU en het internationaal recht verankerde beginselen</w:t>
            </w:r>
            <w:r>
              <w:t xml:space="preserve"> eerbiedigen; </w:t>
            </w:r>
            <w:r>
              <w:rPr>
                <w:b/>
                <w:i/>
              </w:rPr>
              <w:lastRenderedPageBreak/>
              <w:t>veroordeelt ten stelligste alle willekeurige en onwettige inperkingen van de individuele rechten van migranten, buitensporig gebruik van bewaringspraktijken en beperkte rechtsbijstand, zoals reeds in Italië werd gemeld;</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439</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w:t>
            </w:r>
            <w:r>
              <w:rPr>
                <w:b/>
                <w:i/>
              </w:rPr>
              <w:t>en verzoekt</w:t>
            </w:r>
            <w:r>
              <w:t xml:space="preserve"> de Commissie en de lidstaten discriminatie op grond van nationaliteit harder aan te 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w:t>
            </w:r>
            <w:r>
              <w:rPr>
                <w:b/>
                <w:i/>
              </w:rPr>
              <w:t>hun rechten volledig moeten kunnen uitoefenen, gelijk en humaan moeten worden behandeld en toegang moeten hebben tot billijke procedures inzake internationale bescherming, met volledige inachtneming van het internationaal recht en het beginsel van “non</w:t>
            </w:r>
            <w:r>
              <w:rPr>
                <w:b/>
                <w:i/>
              </w:rPr>
              <w:noBreakHyphen/>
              <w:t>refoulement”</w:t>
            </w:r>
            <w:r>
              <w:t>;</w:t>
            </w:r>
            <w:r>
              <w:rPr>
                <w:b/>
                <w:i/>
              </w:rPr>
              <w:t xml:space="preserve"> merkt op dat deze beginselen en de in de wetgeving van de EU vastgelegde criteria op geen enkele wijze mogen worden ondermijnd door de externalisering en het extraterritoriale beheer van migratie, zoals de bilaterale overeenkomsten die de lidstaten sluiten met derde landen;</w:t>
            </w:r>
            <w:r>
              <w:t xml:space="preserve"> </w:t>
            </w:r>
            <w:r>
              <w:rPr>
                <w:b/>
                <w:i/>
              </w:rPr>
              <w:t>spoort</w:t>
            </w:r>
            <w:r>
              <w:t xml:space="preserve"> de Commissie en de lidstaten </w:t>
            </w:r>
            <w:r>
              <w:rPr>
                <w:b/>
                <w:i/>
              </w:rPr>
              <w:t>ertoe aan</w:t>
            </w:r>
            <w:r>
              <w:t xml:space="preserve"> discriminatie op grond van nationaliteit harder aan te pakken; verzoekt de Commissie erop toe te zien dat de lidstaten in hun nationale plannen voor de uitvoering van het migratie- en asielpact de </w:t>
            </w:r>
            <w:r>
              <w:lastRenderedPageBreak/>
              <w:t>beginselen van de rechtsstaat respecteren;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440</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w:t>
            </w:r>
            <w:r>
              <w:rPr>
                <w:b/>
                <w:i/>
              </w:rPr>
              <w:t>burgers</w:t>
            </w:r>
            <w:r>
              <w:t>, ongeacht nationaliteit</w:t>
            </w:r>
            <w:r>
              <w:rPr>
                <w:b/>
                <w:i/>
              </w:rPr>
              <w:t>, geboorteplaats,</w:t>
            </w:r>
            <w:r>
              <w:t xml:space="preserve"> of </w:t>
            </w:r>
            <w:r>
              <w:rPr>
                <w:b/>
                <w:i/>
              </w:rPr>
              <w:t>verblijfsstatus in de lidstaten</w:t>
            </w:r>
            <w:r>
              <w:t xml:space="preserve">, gelijk moeten zijn voor de wet, </w:t>
            </w:r>
            <w:r>
              <w:rPr>
                <w:b/>
                <w:i/>
              </w:rPr>
              <w:t>en verzoekt de Commissie en de lidstaten discriminatie op grond van nationaliteit harder aan te pakken;</w:t>
            </w:r>
            <w:r>
              <w:t xml:space="preserve"> </w:t>
            </w:r>
            <w:r>
              <w:rPr>
                <w:b/>
                <w:i/>
              </w:rPr>
              <w:t>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w:t>
            </w:r>
            <w:r>
              <w:rPr>
                <w:b/>
                <w:i/>
              </w:rPr>
              <w:t>personen</w:t>
            </w:r>
            <w:r>
              <w:t xml:space="preserve">, ongeacht nationaliteit of </w:t>
            </w:r>
            <w:r>
              <w:rPr>
                <w:b/>
                <w:i/>
              </w:rPr>
              <w:t>geboorteplaats</w:t>
            </w:r>
            <w:r>
              <w:t xml:space="preserve">, gelijk moeten zijn voor de wet, </w:t>
            </w:r>
            <w:r>
              <w:rPr>
                <w:b/>
                <w:i/>
              </w:rPr>
              <w:t>zowel wat rechten als wat plichten betreft</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441</w:t>
      </w:r>
      <w:r>
        <w:rPr>
          <w:rStyle w:val="HideTWBExt"/>
        </w:rPr>
        <w:t>&lt;/NumAm&gt;</w:t>
      </w:r>
    </w:p>
    <w:p w:rsidR="00F81D50" w:rsidRPr="00CF469D" w:rsidRDefault="00F81D50" w:rsidP="00F81D50">
      <w:pPr>
        <w:pStyle w:val="NormalBold"/>
      </w:pPr>
      <w:r>
        <w:rPr>
          <w:rStyle w:val="HideTWBExt"/>
          <w:b w:val="0"/>
        </w:rPr>
        <w:t>&lt;RepeatBlock-By&gt;&lt;Members&gt;</w:t>
      </w:r>
      <w:r>
        <w:t>Loránt Vincze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w:t>
            </w:r>
            <w:r>
              <w:rPr>
                <w:b/>
                <w:i/>
              </w:rPr>
              <w:t>geboorteplaats, of verblijfsstatus in de lidstaten,</w:t>
            </w:r>
            <w:r>
              <w:t xml:space="preserve"> gelijk moeten zijn voor de wet, en verzoekt de Commissie en de lidstaten discriminatie op grond van nationaliteit harder aan te pakken; </w:t>
            </w:r>
            <w:r>
              <w:rPr>
                <w:b/>
                <w:i/>
              </w:rPr>
              <w:t xml:space="preserve">verzoekt de Commissie erop toe te zien dat de lidstaten in hun nationale plannen voor de uitvoering van het migratie- en asielpact de beginselen van </w:t>
            </w:r>
            <w:r>
              <w:rPr>
                <w:b/>
                <w:i/>
              </w:rPr>
              <w:lastRenderedPageBreak/>
              <w:t>de rechtsstaat respecteren;</w:t>
            </w:r>
          </w:p>
        </w:tc>
        <w:tc>
          <w:tcPr>
            <w:tcW w:w="4876" w:type="dxa"/>
            <w:tcBorders>
              <w:top w:val="nil"/>
              <w:left w:val="nil"/>
              <w:bottom w:val="nil"/>
              <w:right w:val="nil"/>
            </w:tcBorders>
          </w:tcPr>
          <w:p w:rsidR="00F81D50" w:rsidRPr="00CF469D" w:rsidRDefault="00F81D50" w:rsidP="00F81D50">
            <w:pPr>
              <w:pStyle w:val="Normal6a"/>
            </w:pPr>
            <w:r>
              <w:lastRenderedPageBreak/>
              <w:t>17.</w:t>
            </w:r>
            <w:r>
              <w:tab/>
              <w:t>onderstreept dat alle burgers, ongeacht nationaliteit, gelijk moeten zijn voor de wet, en verzoekt de Commissie en de lidstaten discriminatie op grond van nationaliteit harder aan te pakken;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442</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onderstreept dat alle burgers, ongeacht nationaliteit</w:t>
            </w:r>
            <w:r>
              <w:rPr>
                <w:b/>
                <w:i/>
              </w:rPr>
              <w:t>,</w:t>
            </w:r>
            <w:r>
              <w:t xml:space="preserve"> geboorteplaats, </w:t>
            </w:r>
            <w:r>
              <w:rPr>
                <w:b/>
                <w:i/>
              </w:rPr>
              <w:t>of verblijfsstatus in de lidstaten,</w:t>
            </w:r>
            <w:r>
              <w:t xml:space="preserve"> gelijk moeten zijn voor de wet, en verzoekt de Commissie en de lidstaten discriminatie op grond van nationaliteit harder aan te pakken; </w:t>
            </w:r>
            <w:r>
              <w:rPr>
                <w:b/>
                <w:i/>
              </w:rPr>
              <w:t>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w:t>
            </w:r>
            <w:r>
              <w:rPr>
                <w:b/>
                <w:i/>
              </w:rPr>
              <w:t>van de Unie</w:t>
            </w:r>
            <w:r>
              <w:t xml:space="preserve">, ongeacht nationaliteit </w:t>
            </w:r>
            <w:r>
              <w:rPr>
                <w:b/>
                <w:i/>
              </w:rPr>
              <w:t>en</w:t>
            </w:r>
            <w:r>
              <w:t xml:space="preserve"> geboorteplaats, gelijk moeten zijn voor de wet, en verzoekt de Commissie en de lidstaten discriminatie op grond van nationaliteit harder aan te pakken;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443</w:t>
      </w:r>
      <w:r>
        <w:rPr>
          <w:rStyle w:val="HideTWBExt"/>
        </w:rPr>
        <w:t>&lt;/NumAm&gt;</w:t>
      </w:r>
    </w:p>
    <w:p w:rsidR="00F81D50" w:rsidRPr="00CF469D" w:rsidRDefault="00F81D50" w:rsidP="00F81D50">
      <w:pPr>
        <w:pStyle w:val="NormalBold"/>
      </w:pPr>
      <w:r>
        <w:rPr>
          <w:rStyle w:val="HideTWBExt"/>
          <w:b w:val="0"/>
        </w:rPr>
        <w:t>&lt;RepeatBlock-By&gt;&lt;Members&gt;</w:t>
      </w:r>
      <w:r>
        <w:t>Mary Khan, Milan Uhrík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onderstreept dat alle burgers, ongeacht nationaliteit</w:t>
            </w:r>
            <w:r>
              <w:rPr>
                <w:b/>
                <w:i/>
              </w:rPr>
              <w:t>,</w:t>
            </w:r>
            <w:r>
              <w:t xml:space="preserve"> geboorteplaats, </w:t>
            </w:r>
            <w:r>
              <w:rPr>
                <w:b/>
                <w:i/>
              </w:rPr>
              <w:t>of verblijfsstatus in de lidstaten,</w:t>
            </w:r>
            <w:r>
              <w:t xml:space="preserve"> gelijk moeten zijn voor de wet</w:t>
            </w:r>
            <w:r>
              <w:rPr>
                <w:b/>
                <w:i/>
              </w:rPr>
              <w:t>, en verzoekt de Commissie en</w:t>
            </w:r>
            <w:r>
              <w:t xml:space="preserve"> de lidstaten </w:t>
            </w:r>
            <w:r>
              <w:rPr>
                <w:b/>
                <w:i/>
              </w:rPr>
              <w:t>discriminatie op grond van nationaliteit harder aan te pakken</w:t>
            </w:r>
            <w:r>
              <w:t>;</w:t>
            </w:r>
            <w:r>
              <w:rPr>
                <w:b/>
                <w:i/>
              </w:rPr>
              <w:t xml:space="preserve"> verzoekt de Commissie erop toe te zien dat de lidstaten in hun nationale plannen voor de uitvoering van het migratie- en asielpact de beginselen van </w:t>
            </w:r>
            <w:r>
              <w:rPr>
                <w:b/>
                <w:i/>
              </w:rPr>
              <w:lastRenderedPageBreak/>
              <w:t>de rechtsstaat respecteren;</w:t>
            </w:r>
          </w:p>
        </w:tc>
        <w:tc>
          <w:tcPr>
            <w:tcW w:w="4876" w:type="dxa"/>
            <w:tcBorders>
              <w:top w:val="nil"/>
              <w:left w:val="nil"/>
              <w:bottom w:val="nil"/>
              <w:right w:val="nil"/>
            </w:tcBorders>
          </w:tcPr>
          <w:p w:rsidR="00F81D50" w:rsidRPr="00CF469D" w:rsidRDefault="00F81D50" w:rsidP="00F81D50">
            <w:pPr>
              <w:pStyle w:val="Normal6a"/>
            </w:pPr>
            <w:r>
              <w:lastRenderedPageBreak/>
              <w:t>17.</w:t>
            </w:r>
            <w:r>
              <w:tab/>
              <w:t xml:space="preserve">onderstreept dat alle burgers, ongeacht nationaliteit </w:t>
            </w:r>
            <w:r>
              <w:rPr>
                <w:b/>
                <w:i/>
              </w:rPr>
              <w:t>of</w:t>
            </w:r>
            <w:r>
              <w:t xml:space="preserve"> geboorteplaats, gelijk moeten zijn voor de wet</w:t>
            </w:r>
            <w:r>
              <w:rPr>
                <w:b/>
                <w:i/>
              </w:rPr>
              <w:t>; erkent het soevereine recht van</w:t>
            </w:r>
            <w:r>
              <w:t xml:space="preserve"> de lidstaten </w:t>
            </w:r>
            <w:r>
              <w:rPr>
                <w:b/>
                <w:i/>
              </w:rPr>
              <w:t>om hun eigen immigratiebeleid te bepalen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055FDB" w:rsidRPr="00CF469D" w:rsidRDefault="00055FDB" w:rsidP="00055FDB">
      <w:pPr>
        <w:pStyle w:val="AmNumberTabs"/>
      </w:pPr>
      <w:r>
        <w:rPr>
          <w:rStyle w:val="HideTWBExt"/>
        </w:rPr>
        <w:t>&lt;Amend&gt;</w:t>
      </w:r>
      <w:r>
        <w:t>Amendement</w:t>
      </w:r>
      <w:r>
        <w:tab/>
      </w:r>
      <w:r>
        <w:tab/>
      </w:r>
      <w:r>
        <w:rPr>
          <w:rStyle w:val="HideTWBExt"/>
        </w:rPr>
        <w:t>&lt;NumAm&gt;</w:t>
      </w:r>
      <w:r>
        <w:t>444</w:t>
      </w:r>
      <w:r>
        <w:rPr>
          <w:rStyle w:val="HideTWBExt"/>
        </w:rPr>
        <w:t>&lt;/NumAm&gt;</w:t>
      </w:r>
    </w:p>
    <w:p w:rsidR="00055FDB" w:rsidRPr="00CF469D" w:rsidRDefault="00055FDB" w:rsidP="00055FDB">
      <w:pPr>
        <w:pStyle w:val="NormalBold"/>
      </w:pPr>
      <w:r>
        <w:rPr>
          <w:rStyle w:val="HideTWBExt"/>
        </w:rPr>
        <w:t>&lt;RepeatBlock-By&gt;&lt;Members&gt;</w:t>
      </w:r>
      <w:r>
        <w:t>Emmanouil Fragkos, Geadis Geadi, Galato Alexandraki</w:t>
      </w:r>
      <w:r>
        <w:rPr>
          <w:rStyle w:val="HideTWBExt"/>
        </w:rPr>
        <w:t>&lt;/Members&gt;</w:t>
      </w:r>
    </w:p>
    <w:p w:rsidR="00055FDB" w:rsidRPr="00CF469D" w:rsidRDefault="00055FDB" w:rsidP="00055FDB">
      <w:pPr>
        <w:pStyle w:val="NormalBold"/>
      </w:pPr>
      <w:r>
        <w:rPr>
          <w:rStyle w:val="HideTWBExt"/>
        </w:rPr>
        <w:t>&lt;/RepeatBlock-By&gt;</w:t>
      </w:r>
    </w:p>
    <w:p w:rsidR="00055FDB" w:rsidRPr="00CF469D" w:rsidRDefault="00055FDB" w:rsidP="00055FDB">
      <w:pPr>
        <w:pStyle w:val="NormalBold"/>
      </w:pPr>
      <w:r>
        <w:rPr>
          <w:rStyle w:val="HideTWBExt"/>
        </w:rPr>
        <w:t>&lt;DocAmend&gt;</w:t>
      </w:r>
      <w:r>
        <w:t>Ontwerpresolutie</w:t>
      </w:r>
      <w:r>
        <w:rPr>
          <w:rStyle w:val="HideTWBExt"/>
        </w:rPr>
        <w:t>&lt;/DocAmend&gt;</w:t>
      </w:r>
    </w:p>
    <w:p w:rsidR="00055FDB" w:rsidRPr="00CF469D" w:rsidRDefault="00055FDB" w:rsidP="00055FDB">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55FDB" w:rsidTr="00207BD1">
        <w:trPr>
          <w:trHeight w:hRule="exact" w:val="240"/>
          <w:jc w:val="center"/>
        </w:trPr>
        <w:tc>
          <w:tcPr>
            <w:tcW w:w="9752" w:type="dxa"/>
            <w:gridSpan w:val="2"/>
            <w:tcBorders>
              <w:top w:val="nil"/>
              <w:left w:val="nil"/>
              <w:bottom w:val="nil"/>
              <w:right w:val="nil"/>
            </w:tcBorders>
          </w:tcPr>
          <w:p w:rsidR="00055FDB" w:rsidRPr="00CF469D" w:rsidRDefault="00055FDB" w:rsidP="00207BD1"/>
        </w:tc>
      </w:tr>
      <w:tr w:rsidR="00055FDB" w:rsidTr="00207BD1">
        <w:trPr>
          <w:trHeight w:val="240"/>
          <w:jc w:val="center"/>
        </w:trPr>
        <w:tc>
          <w:tcPr>
            <w:tcW w:w="4876" w:type="dxa"/>
            <w:tcBorders>
              <w:top w:val="nil"/>
              <w:left w:val="nil"/>
              <w:bottom w:val="nil"/>
              <w:right w:val="nil"/>
            </w:tcBorders>
          </w:tcPr>
          <w:p w:rsidR="00055FDB" w:rsidRPr="00CF469D" w:rsidRDefault="00055FDB" w:rsidP="00207BD1">
            <w:pPr>
              <w:pStyle w:val="AmColumnHeading"/>
            </w:pPr>
            <w:r>
              <w:t>Ontwerpresolutie</w:t>
            </w:r>
          </w:p>
        </w:tc>
        <w:tc>
          <w:tcPr>
            <w:tcW w:w="4876" w:type="dxa"/>
            <w:tcBorders>
              <w:top w:val="nil"/>
              <w:left w:val="nil"/>
              <w:bottom w:val="nil"/>
              <w:right w:val="nil"/>
            </w:tcBorders>
          </w:tcPr>
          <w:p w:rsidR="00055FDB" w:rsidRPr="00CF469D" w:rsidRDefault="00055FDB" w:rsidP="00207BD1">
            <w:pPr>
              <w:pStyle w:val="AmColumnHeading"/>
            </w:pPr>
            <w:r>
              <w:t>Amendement</w:t>
            </w:r>
          </w:p>
        </w:tc>
      </w:tr>
      <w:tr w:rsidR="00055FDB" w:rsidTr="00207BD1">
        <w:trPr>
          <w:jc w:val="center"/>
        </w:trPr>
        <w:tc>
          <w:tcPr>
            <w:tcW w:w="4876" w:type="dxa"/>
            <w:tcBorders>
              <w:top w:val="nil"/>
              <w:left w:val="nil"/>
              <w:bottom w:val="nil"/>
              <w:right w:val="nil"/>
            </w:tcBorders>
          </w:tcPr>
          <w:p w:rsidR="00055FDB" w:rsidRPr="00CF469D" w:rsidRDefault="00055FDB" w:rsidP="00207BD1">
            <w:pPr>
              <w:pStyle w:val="Normal6a"/>
            </w:pPr>
            <w:r>
              <w:t>17.</w:t>
            </w:r>
            <w:r>
              <w:tab/>
              <w:t xml:space="preserve">onderstreept dat alle burgers, ongeacht nationaliteit, geboorteplaats, of verblijfsstatus in de lidstaten, gelijk moeten zijn voor de wet, en verzoekt de Commissie en de lidstaten discriminatie op grond van nationaliteit harder aan te pakken; </w:t>
            </w:r>
            <w:r>
              <w:rPr>
                <w:b/>
                <w:i/>
              </w:rPr>
              <w:t>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055FDB" w:rsidRPr="00CF469D" w:rsidRDefault="00055FDB" w:rsidP="00207BD1">
            <w:pPr>
              <w:pStyle w:val="Normal6a"/>
            </w:pPr>
            <w:r>
              <w:t>17.</w:t>
            </w:r>
            <w:r>
              <w:tab/>
              <w:t>onderstreept dat alle burgers, ongeacht nationaliteit, geboorteplaats, of verblijfsstatus in de lidstaten, gelijk moeten zijn voor de wet, en verzoekt de Commissie en de lidstaten discriminatie op grond van nationaliteit harder aan te pakken;</w:t>
            </w:r>
          </w:p>
        </w:tc>
      </w:tr>
    </w:tbl>
    <w:p w:rsidR="00055FDB" w:rsidRPr="00CF469D" w:rsidRDefault="00055FDB" w:rsidP="00055FDB">
      <w:pPr>
        <w:pStyle w:val="AmOrLang"/>
      </w:pPr>
      <w:r w:rsidRPr="00CF469D">
        <w:t xml:space="preserve">Or. </w:t>
      </w:r>
      <w:r w:rsidRPr="00CF469D">
        <w:rPr>
          <w:rStyle w:val="HideTWBExt"/>
        </w:rPr>
        <w:t>&lt;Original&gt;</w:t>
      </w:r>
      <w:r w:rsidRPr="00CF469D">
        <w:rPr>
          <w:rStyle w:val="HideTWBInt"/>
        </w:rPr>
        <w:t>{EL}</w:t>
      </w:r>
      <w:r w:rsidRPr="00CF469D">
        <w:t>el</w:t>
      </w:r>
      <w:r w:rsidRPr="00CF469D">
        <w:rPr>
          <w:rStyle w:val="HideTWBExt"/>
        </w:rPr>
        <w:t>&lt;/Original&gt;</w:t>
      </w:r>
    </w:p>
    <w:p w:rsidR="00055FDB" w:rsidRDefault="00055FDB" w:rsidP="00055FDB">
      <w:pPr>
        <w:rPr>
          <w:rStyle w:val="HideTWBExt"/>
        </w:rPr>
      </w:pPr>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445</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onderstreept dat alle burgers, ongeacht nationaliteit, geboorteplaats, of verblijfsstatus in de lidstaten, gelijk moeten zijn voor de wet</w:t>
            </w:r>
            <w:r>
              <w:rPr>
                <w:b/>
                <w:i/>
              </w:rPr>
              <w:t>, en verzoekt de Commissie en de lidstaten discriminatie op grond van nationaliteit harder aan te pakken</w:t>
            </w:r>
            <w:r>
              <w:t xml:space="preserve">; verzoekt de Commissie </w:t>
            </w:r>
            <w:r>
              <w:rPr>
                <w:b/>
                <w:i/>
              </w:rPr>
              <w:t>erop toe te zien dat de lidstaten in hun nationale plannen voor de uitvoering van</w:t>
            </w:r>
            <w:r>
              <w:t xml:space="preserve"> het </w:t>
            </w:r>
            <w:r>
              <w:lastRenderedPageBreak/>
              <w:t xml:space="preserve">migratie- en asielpact </w:t>
            </w:r>
            <w:r>
              <w:rPr>
                <w:b/>
                <w:i/>
              </w:rPr>
              <w:t>de beginselen van de rechtsstaat respecteren</w:t>
            </w:r>
            <w:r>
              <w:t>;</w:t>
            </w:r>
          </w:p>
        </w:tc>
        <w:tc>
          <w:tcPr>
            <w:tcW w:w="4876" w:type="dxa"/>
            <w:tcBorders>
              <w:top w:val="nil"/>
              <w:left w:val="nil"/>
              <w:bottom w:val="nil"/>
              <w:right w:val="nil"/>
            </w:tcBorders>
          </w:tcPr>
          <w:p w:rsidR="00F81D50" w:rsidRPr="00CF469D" w:rsidRDefault="00F81D50" w:rsidP="00F81D50">
            <w:pPr>
              <w:pStyle w:val="Normal6a"/>
            </w:pPr>
            <w:r>
              <w:lastRenderedPageBreak/>
              <w:t>17.</w:t>
            </w:r>
            <w:r>
              <w:tab/>
              <w:t>onderstreept dat alle burgers, ongeacht nationaliteit, geboorteplaats, of verblijfsstatus in de lidstaten, gelijk moeten zijn voor de wet;</w:t>
            </w:r>
            <w:r>
              <w:rPr>
                <w:b/>
                <w:i/>
              </w:rPr>
              <w:t xml:space="preserve"> vestigt in dit verband de aandacht op het belang van de doeltreffendheid van het stelsel voor terugkeer;</w:t>
            </w:r>
            <w:r>
              <w:t xml:space="preserve"> verzoekt de Commissie </w:t>
            </w:r>
            <w:r>
              <w:rPr>
                <w:b/>
                <w:i/>
              </w:rPr>
              <w:t>de nodige aanpassingen aan te brengen in</w:t>
            </w:r>
            <w:r>
              <w:t xml:space="preserve"> het migratie- en asielpact </w:t>
            </w:r>
            <w:r>
              <w:rPr>
                <w:b/>
                <w:i/>
              </w:rPr>
              <w:t xml:space="preserve">om ervoor te </w:t>
            </w:r>
            <w:r>
              <w:rPr>
                <w:b/>
                <w:i/>
              </w:rPr>
              <w:lastRenderedPageBreak/>
              <w:t>zorgen dat alle terugkeerbesluiten van de lidstaten onmiddellijk worden uitgevoerd en nieuwe sancties en/of heffingen voor te stellen voor derde landen die hier niet aan mee willen werken</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446</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onderstreept dat alle burgers, ongeacht nationaliteit, geboorteplaats, of verblijfsstatus in de lidstaten, gelijk moeten zijn voor de wet, en verzoekt de Commissie en de lidstaten discriminatie op grond van nationaliteit harder aan te 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en verzoekt de Commissie en de lidstaten discriminatie op grond van nationaliteit harder aan te pakken; verzoekt de Commissie erop toe te zien dat de lidstaten in hun nationale plannen voor de uitvoering van het migratie- en asielpact </w:t>
            </w:r>
            <w:r>
              <w:rPr>
                <w:b/>
                <w:i/>
              </w:rPr>
              <w:t>en het Schengenacquis</w:t>
            </w:r>
            <w:r>
              <w:t xml:space="preserve"> de beginselen van de rechtsstaat respecteren; </w:t>
            </w:r>
            <w:r>
              <w:rPr>
                <w:b/>
                <w:i/>
              </w:rPr>
              <w:t>herhaalt dat pushbacks onder alle omstandigheden in strijd zijn met het EU-recht en het internationaal recht;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447</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w:t>
            </w:r>
            <w:r>
              <w:lastRenderedPageBreak/>
              <w:t xml:space="preserve">zijn voor de wet, en verzoekt de Commissie en de lidstaten discriminatie op grond van nationaliteit harder aan te pakken; verzoekt de Commissie erop toe te zien dat de lidstaten in hun nationale plannen </w:t>
            </w:r>
            <w:r>
              <w:rPr>
                <w:b/>
                <w:i/>
              </w:rPr>
              <w:t>voor de uitvoering van het migratie- en asielpact</w:t>
            </w:r>
            <w:r>
              <w:t xml:space="preserve">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lastRenderedPageBreak/>
              <w:t>17.</w:t>
            </w:r>
            <w:r>
              <w:tab/>
              <w:t xml:space="preserve">onderstreept dat alle burgers, ongeacht nationaliteit, geboorteplaats, of verblijfsstatus in de lidstaten, gelijk moeten </w:t>
            </w:r>
            <w:r>
              <w:lastRenderedPageBreak/>
              <w:t>zijn voor de wet, en verzoekt de Commissie en de lidstaten discriminatie op grond van nationaliteit harder aan te pakken; verzoekt de Commissie erop toe te zien dat de lidstaten in hun nationale plannen de beginselen van de rechtsstaat respecteren;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448</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en verzoekt de Commissie en de lidstaten discriminatie op grond van nationaliteit harder aan te pakken; verzoekt de Commissie </w:t>
            </w:r>
            <w:r>
              <w:rPr>
                <w:b/>
                <w:i/>
              </w:rPr>
              <w:t>erop toe te zien dat de lidstaten in hun nationale plannen voor de uitvoering van</w:t>
            </w:r>
            <w:r>
              <w:t xml:space="preserve"> het migratie- en asielpact </w:t>
            </w:r>
            <w:r>
              <w:rPr>
                <w:b/>
                <w:i/>
              </w:rPr>
              <w:t>de beginselen van de rechtsstaat respecteren</w:t>
            </w:r>
            <w:r>
              <w:t>;</w:t>
            </w:r>
          </w:p>
        </w:tc>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in de lidstaten, gelijk moeten zijn voor de wet, en verzoekt de Commissie en de lidstaten discriminatie op grond van nationaliteit harder aan te pakken; verzoekt de Commissie </w:t>
            </w:r>
            <w:r>
              <w:rPr>
                <w:b/>
                <w:i/>
              </w:rPr>
              <w:t>af te zien van</w:t>
            </w:r>
            <w:r>
              <w:t xml:space="preserve"> het migratie- en asielpact </w:t>
            </w:r>
            <w:r>
              <w:rPr>
                <w:b/>
                <w:i/>
              </w:rPr>
              <w:t>of de lidstaten een opt-out van het pact te bieden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449</w:t>
      </w:r>
      <w:r>
        <w:rPr>
          <w:rStyle w:val="HideTWBExt"/>
        </w:rPr>
        <w:t>&lt;/NumAm&gt;</w:t>
      </w:r>
    </w:p>
    <w:p w:rsidR="00F81D50" w:rsidRPr="00CF469D" w:rsidRDefault="00F81D50" w:rsidP="00F81D50">
      <w:pPr>
        <w:pStyle w:val="NormalBold"/>
      </w:pPr>
      <w:r>
        <w:rPr>
          <w:rStyle w:val="HideTWBExt"/>
          <w:b w:val="0"/>
        </w:rPr>
        <w:t>&lt;RepeatBlock-By&gt;&lt;Members&gt;</w:t>
      </w:r>
      <w:r>
        <w:t>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17.</w:t>
            </w:r>
            <w:r>
              <w:tab/>
              <w:t xml:space="preserve">onderstreept dat alle burgers, ongeacht nationaliteit, geboorteplaats, of verblijfsstatus </w:t>
            </w:r>
            <w:r>
              <w:rPr>
                <w:b/>
                <w:i/>
              </w:rPr>
              <w:t>in de lidstaten</w:t>
            </w:r>
            <w:r>
              <w:t xml:space="preserve">, gelijk moeten zijn voor de wet, en verzoekt de </w:t>
            </w:r>
            <w:r>
              <w:lastRenderedPageBreak/>
              <w:t>Commissie en de lidstaten discriminatie op grond van nationaliteit harder aan te pakken; verzoekt de Commissie erop toe te zien dat de lidstaten in hun nationale plannen voor de uitvoering van het migratie- en asielpact de beginselen van de rechtsstaat respecteren;</w:t>
            </w:r>
          </w:p>
        </w:tc>
        <w:tc>
          <w:tcPr>
            <w:tcW w:w="4876" w:type="dxa"/>
            <w:tcBorders>
              <w:top w:val="nil"/>
              <w:left w:val="nil"/>
              <w:bottom w:val="nil"/>
              <w:right w:val="nil"/>
            </w:tcBorders>
          </w:tcPr>
          <w:p w:rsidR="00F81D50" w:rsidRPr="00CF469D" w:rsidRDefault="00F81D50" w:rsidP="00F81D50">
            <w:pPr>
              <w:pStyle w:val="Normal6a"/>
            </w:pPr>
            <w:r>
              <w:lastRenderedPageBreak/>
              <w:t>17.</w:t>
            </w:r>
            <w:r>
              <w:tab/>
              <w:t xml:space="preserve">onderstreept dat alle burgers, ongeacht nationaliteit, geboorteplaats, of verblijfsstatus, gelijk moeten zijn voor de wet, en verzoekt de Commissie en de </w:t>
            </w:r>
            <w:r>
              <w:lastRenderedPageBreak/>
              <w:t>lidstaten discriminatie op grond van nationaliteit harder aan te pakken; verzoekt de Commissie erop toe te zien dat de lidstaten in hun nationale plannen voor de uitvoering van het migratie- en asielpact de beginselen van de rechtsstaat respecteren;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450</w:t>
      </w:r>
      <w:r>
        <w:rPr>
          <w:rStyle w:val="HideTWBExt"/>
        </w:rPr>
        <w:t>&lt;/NumAm&gt;</w:t>
      </w:r>
    </w:p>
    <w:p w:rsidR="00F81D50" w:rsidRPr="00CF469D" w:rsidRDefault="00F81D50" w:rsidP="00F81D50">
      <w:pPr>
        <w:pStyle w:val="NormalBold"/>
      </w:pPr>
      <w:r>
        <w:rPr>
          <w:rStyle w:val="HideTWBExt"/>
          <w:b w:val="0"/>
        </w:rPr>
        <w:t>&lt;RepeatBlock-By&gt;&lt;Members&gt;</w:t>
      </w:r>
      <w:r>
        <w:t>Alessandro Zan, Cecilia Strada, Sandro Ruotolo, Pina Picierno, Marco Tarquinio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bis.</w:t>
            </w:r>
            <w:r>
              <w:tab/>
            </w:r>
            <w:r>
              <w:rPr>
                <w:b/>
                <w:i/>
              </w:rPr>
              <w:t>onderkent dat de aanwijzing van een derde land als veilig land van herkomst door de bevoegde autoriteiten altijd in overeenstemming moet zijn met de democratische beginselen, de beginselen van de rechtsstaat, de in de EU-wetgeving neergelegde criteria, de arresten van het HvJ-EU en het internationaal recht; vestigt de aandacht op de verplichting uit hoofde van het EU- en het internationaal recht om internationale bescherming te bieden aan personen die worden vervolgd op grond van en/of anderszins gevaar lopen vanwege hun ras of etnische afkomst, godsdienst of overtuiging, nationaliteit, politieke opinie, taal, handicap, leeftijd, gender, waaronder genderidentiteit en genderexpressie, of seksuele geaardheid;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451</w:t>
      </w:r>
      <w:r>
        <w:rPr>
          <w:rStyle w:val="HideTWBExt"/>
        </w:rPr>
        <w:t>&lt;/NumAm&gt;</w:t>
      </w:r>
    </w:p>
    <w:p w:rsidR="00F81D50" w:rsidRPr="00CF469D" w:rsidRDefault="00F81D50" w:rsidP="00F81D50">
      <w:pPr>
        <w:pStyle w:val="NormalBold"/>
      </w:pPr>
      <w:r>
        <w:rPr>
          <w:rStyle w:val="HideTWBExt"/>
          <w:b w:val="0"/>
        </w:rPr>
        <w:t>&lt;RepeatBlock-By&gt;&lt;Members&gt;</w:t>
      </w:r>
      <w:r>
        <w:t xml:space="preserve">Ana Catarina Mendes, Chloé Ridel, Sandro Ruotolo, Francisco Assis, Hannes Heide, Pina Picierno, Matjaž Nemec, Emma Rafowicz, </w:t>
      </w:r>
      <w:r>
        <w:lastRenderedPageBreak/>
        <w:t>Krzysztof Śmiszek, Katarina Barley, Evin Incir, Juan Fernando López Aguilar, Nacho Sánchez Amor, Marco Tarquinio, Javier Moreno Sánchez, Alessandro Zan,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bis.</w:t>
            </w:r>
            <w:r>
              <w:tab/>
            </w:r>
            <w:r>
              <w:rPr>
                <w:b/>
                <w:i/>
              </w:rPr>
              <w:t>onderkent dat de aanwijzing van een derde land als veilig land van herkomst door de bevoegde autoriteiten altijd in overeenstemming moet zijn met de democratische beginselen, de beginselen van de rechtsstaat, de in de EU-wetgeving neergelegde criteria, de arresten van het HvJ-EU en het internationaal recht; vestigt de aandacht op de verplichting uit hoofde van het EU- en het internationaal recht om internationale bescherming te bieden aan personen die worden vervolgd en/of anderszins gevaar lopen;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452</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bis.</w:t>
            </w:r>
            <w:r>
              <w:tab/>
            </w:r>
            <w:r>
              <w:rPr>
                <w:b/>
                <w:i/>
              </w:rPr>
              <w:t>benadrukt dat het beginsel moet worden geëerbiedigd van gelijkheid voor de wet voor alle burgers; verzoekt de Commissie ervoor te zorgen dat de uitvoering van het migratie- en asielpact plaatsvindt binnen de bevoegdheden van de lidstaten op het gebied van veiligheid, openbare orde en grenscontrole, met volledige inachtneming van de besluiten van de medewetgevers;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453</w:t>
      </w:r>
      <w:r>
        <w:rPr>
          <w:rStyle w:val="HideTWBExt"/>
        </w:rPr>
        <w:t>&lt;/NumAm&gt;</w:t>
      </w:r>
    </w:p>
    <w:p w:rsidR="00F81D50" w:rsidRPr="00CF469D" w:rsidRDefault="00F81D50" w:rsidP="00F81D50">
      <w:pPr>
        <w:pStyle w:val="NormalBold"/>
      </w:pPr>
      <w:r>
        <w:rPr>
          <w:rStyle w:val="HideTWBExt"/>
          <w:b w:val="0"/>
        </w:rPr>
        <w:t>&lt;RepeatBlock-By&gt;&lt;Members&gt;</w:t>
      </w:r>
      <w:r>
        <w:t>Marco Tarquinio, Alessandro Zan, Damien Carême, Mélissa Camara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bis.</w:t>
            </w:r>
            <w:r>
              <w:tab/>
            </w:r>
            <w:r>
              <w:rPr>
                <w:b/>
                <w:i/>
              </w:rPr>
              <w:t>benadrukt dat het gebrek aan verantwoording naar verhouding ernstigere gevolgen heeft voor geracialiseerde gemeenschappen, die vaak te maken hebben met systemische uitsluiting van overheidsdiensten, billijke politieke vertegenwoordiging en economische kansen; dringt aan op meer transparantie in openbare besluitvormingsprocessen ter waarborging van inclusieve en rechtvaardige governance;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454</w:t>
      </w:r>
      <w:r>
        <w:rPr>
          <w:rStyle w:val="HideTWBExt"/>
        </w:rPr>
        <w:t>&lt;/NumAm&gt;</w:t>
      </w:r>
    </w:p>
    <w:p w:rsidR="00F81D50" w:rsidRPr="00CF469D" w:rsidRDefault="00F81D50" w:rsidP="00F81D50">
      <w:pPr>
        <w:pStyle w:val="NormalBold"/>
      </w:pPr>
      <w:r>
        <w:rPr>
          <w:rStyle w:val="HideTWBExt"/>
          <w:b w:val="0"/>
        </w:rPr>
        <w:t>&lt;RepeatBlock-By&gt;&lt;Members&gt;</w:t>
      </w:r>
      <w:r>
        <w:t>Marco Tarquinio, Alessandro Zan, Damien Carême, Mélissa Camara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ter.</w:t>
            </w:r>
            <w:r>
              <w:tab/>
            </w:r>
            <w:r>
              <w:rPr>
                <w:b/>
                <w:i/>
              </w:rPr>
              <w:t>betreurt dat politiegeweld en onevenredig gebruik van geweld door rechtshandhavingsinstanties tegen geracialiseerde minderheden in de lidstaten vaak niet worden bestraft; is van mening dat verantwoordingsplicht en onafhankelijk toezicht van essentieel belang zijn voor het aanpakken van institutioneel racisme bij de rechtshandhaving;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455</w:t>
      </w:r>
      <w:r>
        <w:rPr>
          <w:rStyle w:val="HideTWBExt"/>
        </w:rPr>
        <w:t>&lt;/NumAm&gt;</w:t>
      </w:r>
    </w:p>
    <w:p w:rsidR="00F81D50" w:rsidRPr="00CF469D" w:rsidRDefault="00F81D50" w:rsidP="00F81D50">
      <w:pPr>
        <w:pStyle w:val="NormalBold"/>
      </w:pPr>
      <w:r>
        <w:rPr>
          <w:rStyle w:val="HideTWBExt"/>
          <w:b w:val="0"/>
        </w:rPr>
        <w:t>&lt;RepeatBlock-By&gt;&lt;Members&gt;</w:t>
      </w:r>
      <w:r>
        <w:t>Marco Tarquinio, Alessandro Zan, Damien Carême, Mélissa Camara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quater.</w:t>
            </w:r>
            <w:r>
              <w:tab/>
            </w:r>
            <w:r>
              <w:rPr>
                <w:b/>
                <w:i/>
              </w:rPr>
              <w:t>merkt op dat raciale en etnische minderheden te maken hebben met structurele discriminatie in het rechtsstelsel, met inbegrip van raciale profilering, overmatig politieoptreden en andere discriminerende politiepraktijken en belemmering van de toegang tot de rechter; verzoekt de lidstaten maatregelen te treffen om gelijke behandeling in gerechtelijke procedures te waarborgen en uitgesplitste gegevens te verzamelen over raciale verschillen in rechtshandhaving en veroordeling;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456</w:t>
      </w:r>
      <w:r>
        <w:rPr>
          <w:rStyle w:val="HideTWBExt"/>
        </w:rPr>
        <w:t>&lt;/NumAm&gt;</w:t>
      </w:r>
    </w:p>
    <w:p w:rsidR="00F81D50" w:rsidRPr="00CF469D" w:rsidRDefault="00F81D50" w:rsidP="00F81D50">
      <w:pPr>
        <w:pStyle w:val="NormalBold"/>
      </w:pPr>
      <w:r>
        <w:rPr>
          <w:rStyle w:val="HideTWBExt"/>
          <w:b w:val="0"/>
        </w:rPr>
        <w:t>&lt;RepeatBlock-By&gt;&lt;Members&gt;</w:t>
      </w:r>
      <w:r>
        <w:t>Marco Tarquinio, Alessandro Zan, Damien Carême, Mélissa Camara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17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17 quinquies.</w:t>
            </w:r>
            <w:r>
              <w:tab/>
            </w:r>
            <w:r>
              <w:rPr>
                <w:b/>
                <w:i/>
              </w:rPr>
              <w:t>verzoekt de lidstaten Richtlijn (EU) 2024/1500 en Richtlijn (EU) 2024/1499 van de Raad, waarin minimumnormen voor organen voor gelijke behandeling zijn vastgesteld, volledig uit te voeren; dringt aan op concrete maatregelen om de onafhankelijkheid van organen voor gelijke behandeling te garanderen en hun doeltreffendheid bij de bevordering van gelijkheid te waarborgen;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457</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18.</w:t>
            </w:r>
            <w:r>
              <w:tab/>
            </w:r>
            <w:r>
              <w:rPr>
                <w:b/>
                <w:i/>
              </w:rPr>
              <w:t>roept ertoe op niet-aflatend de strijd aan te binden met discriminatie en misdrijven tegen minderheidsgroepen, en tegen nationale, etnische, taalkundige en godsdienstige minderheden; verzoekt de Commissie aan het jaarlijkse verslag over de rechtsstaat een pijler toe te voegen over versterking van de strijd tegen alle vormen van discriminatie;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458</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18.</w:t>
            </w:r>
            <w:r>
              <w:tab/>
            </w:r>
            <w:r>
              <w:rPr>
                <w:b/>
                <w:i/>
              </w:rPr>
              <w:t>roept ertoe op niet-aflatend de strijd aan te binden met discriminatie en misdrijven tegen minderheidsgroepen, en tegen nationale, etnische, taalkundige en godsdienstige minderheden; verzoekt de Commissie aan het jaarlijkse verslag over de rechtsstaat een pijler toe te voegen over versterking van de strijd tegen alle vormen van discriminatie;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459</w:t>
      </w:r>
      <w:r>
        <w:rPr>
          <w:rStyle w:val="HideTWBExt"/>
        </w:rPr>
        <w:t>&lt;/NumAm&gt;</w:t>
      </w:r>
    </w:p>
    <w:p w:rsidR="00F81D50" w:rsidRPr="00CF469D" w:rsidRDefault="00F81D50" w:rsidP="00F81D50">
      <w:pPr>
        <w:pStyle w:val="NormalBold"/>
      </w:pPr>
      <w:r>
        <w:rPr>
          <w:rStyle w:val="HideTWBExt"/>
          <w:b w:val="0"/>
        </w:rPr>
        <w:lastRenderedPageBreak/>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w:t>
            </w:r>
            <w:r>
              <w:rPr>
                <w:b/>
                <w:i/>
              </w:rPr>
              <w:t>minderheidsgroepen, en tegen nationale, etnische, taalkundige en godsdienstige minderheden;</w:t>
            </w:r>
            <w:r>
              <w:t xml:space="preserve"> </w:t>
            </w:r>
            <w:r>
              <w:rPr>
                <w:b/>
                <w:i/>
              </w:rPr>
              <w:t>verzoekt de Commissie aan het jaarlijkse verslag over de rechtsstaat een pijler toe te voegen over versterking van de strijd tegen alle vormen van discriminatie;</w:t>
            </w:r>
          </w:p>
        </w:tc>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w:t>
            </w:r>
            <w:r>
              <w:rPr>
                <w:b/>
                <w:i/>
              </w:rPr>
              <w:t>kwetsbare groepen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460</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w:t>
            </w:r>
            <w:r>
              <w:rPr>
                <w:b/>
                <w:i/>
              </w:rPr>
              <w:t>minderheden</w:t>
            </w:r>
            <w:r>
              <w:t>; verzoekt de Commissie aan het jaarlijkse verslag over de rechtsstaat een pijler toe te voegen over versterking van de strijd tegen alle vormen van discriminatie;</w:t>
            </w:r>
          </w:p>
        </w:tc>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w:t>
            </w:r>
            <w:r>
              <w:rPr>
                <w:b/>
                <w:i/>
              </w:rPr>
              <w:t>overtuigingen</w:t>
            </w:r>
            <w:r>
              <w:t>;</w:t>
            </w:r>
            <w:r>
              <w:rPr>
                <w:b/>
                <w:i/>
              </w:rPr>
              <w:t xml:space="preserve"> veroordeelt ten stelligste de toenemende aanvallen op christenen en de toename van antisemitisme in de EU sinds de terroristische aanslag van 7 oktober 2023 in Israël;</w:t>
            </w:r>
            <w:r>
              <w:t xml:space="preserve"> verzoekt de Commissie aan het jaarlijkse verslag over de rechtsstaat een pijler toe te voegen over versterking van de strijd tegen alle vormen van discriminatie;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461</w:t>
      </w:r>
      <w:r>
        <w:rPr>
          <w:rStyle w:val="HideTWBExt"/>
        </w:rPr>
        <w:t>&lt;/NumAm&gt;</w:t>
      </w:r>
    </w:p>
    <w:p w:rsidR="00F81D50" w:rsidRPr="00CF469D" w:rsidRDefault="00F81D50" w:rsidP="00F81D50">
      <w:pPr>
        <w:pStyle w:val="NormalBold"/>
      </w:pPr>
      <w:r>
        <w:rPr>
          <w:rStyle w:val="HideTWBExt"/>
          <w:b w:val="0"/>
        </w:rPr>
        <w:lastRenderedPageBreak/>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18.</w:t>
            </w:r>
            <w:r>
              <w:tab/>
              <w:t>roept ertoe op niet-aflatend de strijd aan te binden met discriminatie en misdrijven tegen minderheidsgroepen, en tegen nationale, etnische, taalkundige en godsdienstige minderheden; verzoekt de Commissie aan het jaarlijkse verslag over de rechtsstaat een pijler toe te voegen over versterking van de strijd tegen alle vormen van discriminatie;</w:t>
            </w:r>
          </w:p>
        </w:tc>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minderheden; </w:t>
            </w:r>
            <w:r>
              <w:rPr>
                <w:b/>
                <w:i/>
              </w:rPr>
              <w:t>is uiterst bezorgd over de prevalentie van antisemitisme in Europa;</w:t>
            </w:r>
            <w:r>
              <w:t xml:space="preserve"> verzoekt de Commissie aan het jaarlijkse verslag over de rechtsstaat een pijler toe te voegen over versterking van de strijd tegen alle vormen van discriminatie;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462</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minderheden; </w:t>
            </w:r>
            <w:r>
              <w:rPr>
                <w:b/>
                <w:i/>
              </w:rPr>
              <w:t>verzoekt de Commissie aan het jaarlijkse verslag over de rechtsstaat een pijler toe te voegen over versterking van de strijd tegen alle vormen van discriminatie</w:t>
            </w:r>
            <w:r>
              <w:t>;</w:t>
            </w:r>
          </w:p>
        </w:tc>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minderheden; </w:t>
            </w:r>
            <w:r>
              <w:rPr>
                <w:b/>
                <w:i/>
              </w:rPr>
              <w:t>benadrukt dat deze maatregelen op nationaal niveau moeten worden genomen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463</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lastRenderedPageBreak/>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w:t>
            </w:r>
            <w:r>
              <w:rPr>
                <w:b/>
                <w:i/>
              </w:rPr>
              <w:t>en</w:t>
            </w:r>
            <w:r>
              <w:t xml:space="preserve"> godsdienstige minderheden; verzoekt de Commissie aan het jaarlijkse verslag over de rechtsstaat een pijler toe te voegen over versterking van de strijd tegen alle vormen van discriminatie;</w:t>
            </w:r>
          </w:p>
        </w:tc>
        <w:tc>
          <w:tcPr>
            <w:tcW w:w="4876" w:type="dxa"/>
            <w:tcBorders>
              <w:top w:val="nil"/>
              <w:left w:val="nil"/>
              <w:bottom w:val="nil"/>
              <w:right w:val="nil"/>
            </w:tcBorders>
          </w:tcPr>
          <w:p w:rsidR="00F81D50" w:rsidRPr="00CF469D" w:rsidRDefault="00F81D50" w:rsidP="00F81D50">
            <w:pPr>
              <w:pStyle w:val="Normal6a"/>
            </w:pPr>
            <w:r>
              <w:t>18.</w:t>
            </w:r>
            <w:r>
              <w:tab/>
              <w:t>roept ertoe op niet-aflatend de strijd aan te binden met discriminatie en misdrijven tegen minderheidsgroepen, en tegen nationale, etnische, taalkundige</w:t>
            </w:r>
            <w:r>
              <w:rPr>
                <w:b/>
                <w:i/>
              </w:rPr>
              <w:t>,</w:t>
            </w:r>
            <w:r>
              <w:t xml:space="preserve"> godsdienstige </w:t>
            </w:r>
            <w:r>
              <w:rPr>
                <w:b/>
                <w:i/>
              </w:rPr>
              <w:t>en seksuele</w:t>
            </w:r>
            <w:r>
              <w:t xml:space="preserve"> minderheden; verzoekt de Commissie aan het jaarlijkse verslag over de rechtsstaat een pijler toe te voegen over versterking van de strijd tegen alle vormen van discriminatie;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464</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minderheden; verzoekt de Commissie </w:t>
            </w:r>
            <w:r>
              <w:rPr>
                <w:b/>
                <w:i/>
              </w:rPr>
              <w:t>aan het jaarlijkse</w:t>
            </w:r>
            <w:r>
              <w:t xml:space="preserve"> verslag </w:t>
            </w:r>
            <w:r>
              <w:rPr>
                <w:b/>
                <w:i/>
              </w:rPr>
              <w:t>over de rechtsstaat een pijler toe te voegen over versterking van de strijd tegen alle vormen van discriminatie</w:t>
            </w:r>
            <w:r>
              <w:t>;</w:t>
            </w:r>
          </w:p>
        </w:tc>
        <w:tc>
          <w:tcPr>
            <w:tcW w:w="4876" w:type="dxa"/>
            <w:tcBorders>
              <w:top w:val="nil"/>
              <w:left w:val="nil"/>
              <w:bottom w:val="nil"/>
              <w:right w:val="nil"/>
            </w:tcBorders>
          </w:tcPr>
          <w:p w:rsidR="00F81D50" w:rsidRPr="00CF469D" w:rsidRDefault="00F81D50" w:rsidP="00F81D50">
            <w:pPr>
              <w:pStyle w:val="Normal6a"/>
            </w:pPr>
            <w:r>
              <w:t>18.</w:t>
            </w:r>
            <w:r>
              <w:tab/>
              <w:t xml:space="preserve">roept ertoe op niet-aflatend de strijd aan te binden met discriminatie en misdrijven tegen minderheidsgroepen, en tegen nationale, etnische, taalkundige en godsdienstige minderheden; verzoekt de Commissie </w:t>
            </w:r>
            <w:r>
              <w:rPr>
                <w:b/>
                <w:i/>
              </w:rPr>
              <w:t>met klem onderzoek in te stellen naar de democratische achteruitgang van de EU-instellingen en hierover</w:t>
            </w:r>
            <w:r>
              <w:t xml:space="preserve"> verslag </w:t>
            </w:r>
            <w:r>
              <w:rPr>
                <w:b/>
                <w:i/>
              </w:rPr>
              <w:t>uit te brengen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465</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lastRenderedPageBreak/>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 punt 1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w:t>
            </w:r>
            <w:r>
              <w:tab/>
            </w:r>
            <w:r>
              <w:rPr>
                <w:b/>
                <w:i/>
              </w:rPr>
              <w:t>verzoekt de lidstaten lhbtiq-rechten te beschermen en ervoor te zorgen dat deze in de hele EU worden geëerbiedigd;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466</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vestigt de aandacht op het duidelijke verband tussen de verslechterende normen van de rechtsstaat en schendingen van de grondrechten en de rechten van minderheden, zoals het gebruik van buitensporig geweld door wetshandhavingsautoriteiten bij betogingen en aan de grenzen van de EU, het gebrek aan garanties en een eerlijke rechtsbedeling voor arrestanten, het aanzetten tot haat door politieke actoren, de toegenomen bevoegdheden van autoriteiten om aan grootschalige bewaking te doen en onderschepte gegevens op grote schaal te bewaren, en beperkingen die worden opgelegd aan maatschappelijke organisaties op basis van hun religieuze overtuiging of het feit dat zij buitenlandse financiering ontvangen;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467</w:t>
      </w:r>
      <w:r>
        <w:rPr>
          <w:rStyle w:val="HideTWBExt"/>
        </w:rPr>
        <w:t>&lt;/NumAm&gt;</w:t>
      </w:r>
    </w:p>
    <w:p w:rsidR="00F81D50" w:rsidRPr="00CF469D" w:rsidRDefault="00F81D50" w:rsidP="00F81D50">
      <w:pPr>
        <w:pStyle w:val="NormalBold"/>
      </w:pPr>
      <w:r>
        <w:rPr>
          <w:rStyle w:val="HideTWBExt"/>
          <w:b w:val="0"/>
        </w:rPr>
        <w:lastRenderedPageBreak/>
        <w:t>&lt;RepeatBlock-By&gt;&lt;Members&gt;</w:t>
      </w:r>
      <w:r>
        <w:t>Paolo Inselvini, Alessandro Ciriani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benadrukt dat demografische duurzaamheid een essentieel element is voor de handhaving van de rechtsstaat, aangezien het van invloed is op de economische stabiliteit, democratische vertegenwoordiging en intergenerationele rechtvaardigheid; verzoekt de Commissie aan het jaarlijks verslag over de rechtsstaat een hoofdstuk toe te voegen om toezicht te houden op de impact van het demografisch beleid van de lidstaten op de eerbiediging van de sociale rechten, de duurzaamheid van de socialezekerheidsstelsels en de sociale cohesie, alsook de maatregelen ter ondersteuning van het gezin en de nataliteit;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468</w:t>
      </w:r>
      <w:r>
        <w:rPr>
          <w:rStyle w:val="HideTWBExt"/>
        </w:rPr>
        <w:t>&lt;/NumAm&gt;</w:t>
      </w:r>
    </w:p>
    <w:p w:rsidR="00F81D50" w:rsidRPr="00CF469D" w:rsidRDefault="00F81D50" w:rsidP="00F81D50">
      <w:pPr>
        <w:pStyle w:val="NormalBold"/>
      </w:pPr>
      <w:r>
        <w:rPr>
          <w:rStyle w:val="HideTWBExt"/>
          <w:b w:val="0"/>
        </w:rPr>
        <w:t>&lt;RepeatBlock-By&gt;&lt;Members&gt;</w:t>
      </w:r>
      <w:r>
        <w:t>Loránt Vincze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onderstreept dat een mechanisme voor democratie, de rechtsstaat en grondrechten moet worden ingesteld dat alle in artikel 2 VEU genoemde waarden bestrijkt; dringt erop aan dat in de hele EU toezicht wordt gehouden op de situatie van autochtone nationale en taalkundige minderheden;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469</w:t>
      </w:r>
      <w:r>
        <w:rPr>
          <w:rStyle w:val="HideTWBExt"/>
        </w:rPr>
        <w:t>&lt;/NumAm&gt;</w:t>
      </w:r>
    </w:p>
    <w:p w:rsidR="00F81D50" w:rsidRPr="00CF469D" w:rsidRDefault="00F81D50" w:rsidP="00F81D50">
      <w:pPr>
        <w:pStyle w:val="NormalBold"/>
      </w:pPr>
      <w:r>
        <w:rPr>
          <w:rStyle w:val="HideTWBExt"/>
          <w:b w:val="0"/>
        </w:rPr>
        <w:t>&lt;RepeatBlock-By&gt;&lt;Members&gt;</w:t>
      </w:r>
      <w:r>
        <w:t>Mary Khan, Milan Uhrík, Ewa Zajączkowska-Hernik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onderkent het belang van het behoud van de nationale identiteit en cultuur, waarbij ervoor wordt gezorgd dat de rechtsstaatmechanismen van de EU niet ingrijpen op gebieden als familierecht, onderwijs en sociaal beleid;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470</w:t>
      </w:r>
      <w:r>
        <w:rPr>
          <w:rStyle w:val="HideTWBExt"/>
        </w:rPr>
        <w:t>&lt;/NumAm&gt;</w:t>
      </w:r>
    </w:p>
    <w:p w:rsidR="00F81D50" w:rsidRPr="00CF469D" w:rsidRDefault="00F81D50" w:rsidP="00F81D50">
      <w:pPr>
        <w:pStyle w:val="NormalBold"/>
      </w:pPr>
      <w:r>
        <w:rPr>
          <w:rStyle w:val="HideTWBExt"/>
          <w:b w:val="0"/>
        </w:rPr>
        <w:t>&lt;RepeatBlock-By&gt;&lt;Members&gt;</w:t>
      </w:r>
      <w:r>
        <w:t>Isabel Serra Sánchez, Ana Catarina Mendes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ter.</w:t>
            </w:r>
            <w:r>
              <w:tab/>
            </w:r>
            <w:r>
              <w:rPr>
                <w:b/>
                <w:i/>
              </w:rPr>
              <w:t xml:space="preserve">is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geslachtskenmerken of minderheidsstatus van personen; verzoekt de Commissie en de lidstaten de werkzaamheden op het gebied van de uitwisseling van beproefde praktijken te intensiveren en hun samenwerking te versterken om racisme, vreemdelingenhaat, homofobie, transfobie en andere vormen van onverdraagzaamheid te bestrijden, met volledige betrokkenheid van het maatschappelijk middenveld en input van vertegenwoordigers van betrokken </w:t>
            </w:r>
            <w:r>
              <w:rPr>
                <w:b/>
                <w:i/>
              </w:rPr>
              <w:lastRenderedPageBreak/>
              <w:t>partijen, zoals het FRA;</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471</w:t>
      </w:r>
      <w:r>
        <w:rPr>
          <w:rStyle w:val="HideTWBExt"/>
        </w:rPr>
        <w:t>&lt;/NumAm&gt;</w:t>
      </w:r>
    </w:p>
    <w:p w:rsidR="00F81D50" w:rsidRPr="00CF469D" w:rsidRDefault="00F81D50" w:rsidP="00F81D50">
      <w:pPr>
        <w:pStyle w:val="NormalBold"/>
      </w:pPr>
      <w:r>
        <w:rPr>
          <w:rStyle w:val="HideTWBExt"/>
          <w:b w:val="0"/>
        </w:rPr>
        <w:t>&lt;RepeatBlock-By&gt;&lt;Members&gt;</w:t>
      </w:r>
      <w:r>
        <w:t>Loránt Vincze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ter.</w:t>
            </w:r>
            <w:r>
              <w:tab/>
            </w:r>
            <w:r>
              <w:rPr>
                <w:b/>
                <w:i/>
              </w:rPr>
              <w:t>verzoekt de Europese Unie andermaal toe te treden tot het Kaderverdrag inzake de bescherming van nationale minderheden en het Europees Handvest voor regionale talen of talen van minderheden; pleit voor nauwere banden tussen de EU en de Raad van Europa op het gebied van de rechten van minderheden, onder meer met het oog op het uitbreidingsproces;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472</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quater.</w:t>
            </w:r>
            <w:r>
              <w:tab/>
            </w:r>
            <w:r>
              <w:rPr>
                <w:b/>
                <w:i/>
              </w:rPr>
              <w:t xml:space="preserve">is ernstig bezorgd over het toenemende racisme ten aanzien van moslims en de groeiende perceptie van moslims als “verdachte gemeenschap”; verzoekt de lidstaten wetten en beleidsmaatregelen in verband met de bestrijding van terrorisme en extremisme te herzien om ervoor te zorgen dat deze niet direct of indirect discriminerend zijn ten aanzien van moslims, en alle wettelijke en bestuursrechtelijke bepalingen die als discriminerend worden </w:t>
            </w:r>
            <w:r>
              <w:rPr>
                <w:b/>
                <w:i/>
              </w:rPr>
              <w:lastRenderedPageBreak/>
              <w:t>beschouwd, in te trekken;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473</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De interne markt en de rechtsstaat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474</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De interne markt en de rechtsstaat</w:t>
            </w:r>
          </w:p>
        </w:tc>
        <w:tc>
          <w:tcPr>
            <w:tcW w:w="4876" w:type="dxa"/>
            <w:tcBorders>
              <w:top w:val="nil"/>
              <w:left w:val="nil"/>
              <w:bottom w:val="nil"/>
              <w:right w:val="nil"/>
            </w:tcBorders>
          </w:tcPr>
          <w:p w:rsidR="00F81D50" w:rsidRPr="00CF469D" w:rsidRDefault="00F81D50" w:rsidP="00F81D50">
            <w:pPr>
              <w:pStyle w:val="Normal6a"/>
            </w:pPr>
            <w:r>
              <w:t xml:space="preserve">De </w:t>
            </w:r>
            <w:r>
              <w:rPr>
                <w:b/>
                <w:i/>
              </w:rPr>
              <w:t>economische- en internemarktdimensie van</w:t>
            </w:r>
            <w:r>
              <w:t xml:space="preserve"> de rechtsstaat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475</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 xml:space="preserve">geeft aan verontrust te zijn over de </w:t>
            </w:r>
            <w:r>
              <w:rPr>
                <w:b/>
                <w:i/>
              </w:rPr>
              <w:lastRenderedPageBreak/>
              <w:t>recente toename van antisemitisme, waaronder gewelddaden, intimidatie en de vertoning van haatsymbolen in openbare ruimten;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476</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spoort de Europese Commissie ertoe aan haar inspanningen op het gebied van de monitoring van en verslaglegging over de staat van de rechtsstaat in de hele EU voort te zetten en daarbij bijzondere aandacht te besteden aan de gevolgen van schendingen van de beginselen van de rechtsstaat voor de interne markt; verzoekt de Commissie met klem alle beschikbare juridische instrumenten te gebruiken om tekortkomingen met betrekking tot de rechtsstaat aan te pakken, onder meer door, indien nodig, inbreukprocedures in te leiden, om de werking van de interne markt in stand te houden;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477</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18 bis.</w:t>
            </w:r>
            <w:r>
              <w:tab/>
            </w:r>
            <w:r>
              <w:rPr>
                <w:b/>
                <w:i/>
              </w:rPr>
              <w:t>dringt aan op versterking van het beginsel van de rechtsstaat in de interne markt; onderstreept dat betrouwbare en stabiele rechtsstatelijke structuren belangrijke pijlers zijn voor investeringen en handel, die essentieel zijn voor het concurrentievermogen en derhalve voor de capaciteit van het socialezekerheidsstelsel en de arbeidsmarkt in de Europese Unie; betreurt de maatregelen van de lidstaten op dit gebied die in strijd zijn met het Unierecht, zoals bepaalde protectionistische maatregelen;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478</w:t>
      </w:r>
      <w:r>
        <w:rPr>
          <w:rStyle w:val="HideTWBExt"/>
        </w:rPr>
        <w:t>&lt;/NumAm&gt;</w:t>
      </w:r>
    </w:p>
    <w:p w:rsidR="00F81D50" w:rsidRPr="00CF469D" w:rsidRDefault="00F81D50" w:rsidP="00F81D50">
      <w:pPr>
        <w:pStyle w:val="NormalBold"/>
      </w:pPr>
      <w:r>
        <w:rPr>
          <w:rStyle w:val="HideTWBExt"/>
          <w:b w:val="0"/>
        </w:rPr>
        <w:t>&lt;RepeatBlock-By&gt;&lt;Members&gt;</w:t>
      </w:r>
      <w:r>
        <w:t>Klára Dobrev, Csaba Molnár, Birgit Sippel, Krzysztof Śmiszek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verzoekt de lidstaten nationale mensenrechteninstellingen op te richten, in overeenstemming met de VN-beginselen van Parijs, om de onafhankelijkheid van deze instellingen te waarborgen en ervoor te zorgen dat ze in staat zijn hun taken doeltreffend uit te voeren;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479</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19.</w:t>
            </w:r>
            <w:r>
              <w:tab/>
            </w:r>
            <w:r>
              <w:rPr>
                <w:b/>
                <w:i/>
              </w:rPr>
              <w:t>beklemtoont dat de rechtsstaat een belangrijke rol speelt bij het waarborgen van de goede werking van de interne markt, en bevestigt nogmaals dat rechtsstelsels, doeltreffende kaders voor de bestrijding van corruptie, en de bescherming van mediavrijheid cruciaal zijn voor billijke mededinging, rechtszekerheid, en onderling vertrouwen tussen economische actoren</w:t>
            </w:r>
            <w:r>
              <w:rPr>
                <w:b/>
                <w:i/>
                <w:vertAlign w:val="superscript"/>
              </w:rPr>
              <w:t>43</w:t>
            </w:r>
            <w:r>
              <w:rPr>
                <w:b/>
                <w:i/>
              </w:rPr>
              <w: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43</w:t>
            </w:r>
            <w:r>
              <w:rPr>
                <w:b/>
                <w:i/>
              </w:rPr>
              <w:t xml:space="preserve"> Mededeling van de Commissie van 24 juli 2024, getiteld “Verslag over de rechtsstaat 2024” (COM(2024)0800), blz. 5.</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480</w:t>
      </w:r>
      <w:r>
        <w:rPr>
          <w:rStyle w:val="HideTWBExt"/>
        </w:rPr>
        <w:t>&lt;/NumAm&gt;</w:t>
      </w:r>
    </w:p>
    <w:p w:rsidR="00F81D50" w:rsidRPr="00CF469D" w:rsidRDefault="00F81D50" w:rsidP="00F81D50">
      <w:pPr>
        <w:pStyle w:val="NormalBold"/>
      </w:pPr>
      <w:r>
        <w:rPr>
          <w:rStyle w:val="HideTWBExt"/>
          <w:b w:val="0"/>
        </w:rPr>
        <w:t>&lt;RepeatBlock-By&gt;&lt;Members&gt;</w:t>
      </w:r>
      <w:r>
        <w:t>Ioan-Rareş Bogdan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19.</w:t>
            </w:r>
            <w:r>
              <w:tab/>
              <w:t xml:space="preserve">beklemtoont dat de rechtsstaat een belangrijke rol speelt bij het waarborgen van de </w:t>
            </w:r>
            <w:r>
              <w:rPr>
                <w:b/>
                <w:i/>
              </w:rPr>
              <w:t>goede</w:t>
            </w:r>
            <w:r>
              <w:t xml:space="preserve"> werking van de interne markt, en bevestigt nogmaals dat rechtsstelsels, doeltreffende kaders voor de bestrijding van corruptie, en </w:t>
            </w:r>
            <w:r>
              <w:rPr>
                <w:b/>
                <w:i/>
              </w:rPr>
              <w:t>de</w:t>
            </w:r>
            <w:r>
              <w:t xml:space="preserve"> bescherming van mediavrijheid cruciaal zijn voor billijke mededinging, rechtszekerheid, en onderling vertrouwen tussen economische actoren</w:t>
            </w:r>
            <w:r>
              <w:rPr>
                <w:vertAlign w:val="superscript"/>
              </w:rPr>
              <w:t>43</w:t>
            </w:r>
            <w:r>
              <w:t>;</w:t>
            </w:r>
          </w:p>
        </w:tc>
        <w:tc>
          <w:tcPr>
            <w:tcW w:w="4876" w:type="dxa"/>
            <w:tcBorders>
              <w:top w:val="nil"/>
              <w:left w:val="nil"/>
              <w:bottom w:val="nil"/>
              <w:right w:val="nil"/>
            </w:tcBorders>
          </w:tcPr>
          <w:p w:rsidR="00F81D50" w:rsidRPr="00CF469D" w:rsidRDefault="00F81D50" w:rsidP="00F81D50">
            <w:pPr>
              <w:pStyle w:val="Normal6a"/>
            </w:pPr>
            <w:r>
              <w:t>19.</w:t>
            </w:r>
            <w:r>
              <w:tab/>
              <w:t xml:space="preserve">beklemtoont dat de rechtsstaat een belangrijke rol speelt bij het waarborgen van de </w:t>
            </w:r>
            <w:r>
              <w:rPr>
                <w:b/>
                <w:i/>
              </w:rPr>
              <w:t>soepele en efficiënte</w:t>
            </w:r>
            <w:r>
              <w:t xml:space="preserve"> werking van de interne markt, en bevestigt nogmaals dat </w:t>
            </w:r>
            <w:r>
              <w:rPr>
                <w:b/>
                <w:i/>
              </w:rPr>
              <w:t>goed werkende</w:t>
            </w:r>
            <w:r>
              <w:t xml:space="preserve"> rechtsstelsels, doeltreffende kaders voor de bestrijding van corruptie, en </w:t>
            </w:r>
            <w:r>
              <w:rPr>
                <w:b/>
                <w:i/>
              </w:rPr>
              <w:t>sterke</w:t>
            </w:r>
            <w:r>
              <w:t xml:space="preserve"> bescherming van mediavrijheid cruciaal zijn voor </w:t>
            </w:r>
            <w:r>
              <w:rPr>
                <w:b/>
                <w:i/>
              </w:rPr>
              <w:t>het in stand houden van</w:t>
            </w:r>
            <w:r>
              <w:t xml:space="preserve"> billijke mededinging, </w:t>
            </w:r>
            <w:r>
              <w:rPr>
                <w:b/>
                <w:i/>
              </w:rPr>
              <w:t>het handhaven van</w:t>
            </w:r>
            <w:r>
              <w:t xml:space="preserve"> rechtszekerheid, en </w:t>
            </w:r>
            <w:r>
              <w:rPr>
                <w:b/>
                <w:i/>
              </w:rPr>
              <w:t>het bevorderen van</w:t>
            </w:r>
            <w:r>
              <w:t xml:space="preserve"> onderling vertrouwen tussen economische actoren</w:t>
            </w:r>
            <w:r>
              <w:rPr>
                <w:vertAlign w:val="superscript"/>
              </w:rPr>
              <w:t>43</w:t>
            </w:r>
            <w:r>
              <w:t xml:space="preserve">; </w:t>
            </w:r>
            <w:r>
              <w:rPr>
                <w:b/>
                <w:i/>
              </w:rPr>
              <w:t xml:space="preserve">benadrukt dat deze elementen niet alleen de integriteit van marktinteracties waarborgen, maar ook bijdragen tot een stabiel en voorspelbaar ondernemingsklimaat door investeringen </w:t>
            </w:r>
            <w:r>
              <w:rPr>
                <w:b/>
                <w:i/>
              </w:rPr>
              <w:lastRenderedPageBreak/>
              <w:t>en economische groei te stimuleren;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43</w:t>
            </w:r>
            <w:r>
              <w:t xml:space="preserve"> Mededeling van de Commissie van 24 juli 2024, getiteld “Verslag over de rechtsstaat 2024” (COM(2024)0800), blz. 5.</w:t>
            </w:r>
          </w:p>
        </w:tc>
        <w:tc>
          <w:tcPr>
            <w:tcW w:w="4876" w:type="dxa"/>
            <w:tcBorders>
              <w:top w:val="nil"/>
              <w:left w:val="nil"/>
              <w:bottom w:val="nil"/>
              <w:right w:val="nil"/>
            </w:tcBorders>
          </w:tcPr>
          <w:p w:rsidR="00F81D50" w:rsidRPr="00CF469D" w:rsidRDefault="00F81D50" w:rsidP="00F81D50">
            <w:pPr>
              <w:pStyle w:val="Normal6a"/>
            </w:pPr>
            <w:r>
              <w:rPr>
                <w:vertAlign w:val="superscript"/>
              </w:rPr>
              <w:t>43</w:t>
            </w:r>
            <w:r>
              <w:t xml:space="preserve"> Mededeling van de Commissie van 24 juli 2024, getiteld “Verslag over de rechtsstaat 2024” (COM(2024)0800), blz. 5.</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481</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19.</w:t>
            </w:r>
            <w:r>
              <w:tab/>
              <w:t>beklemtoont dat de rechtsstaat een belangrijke rol speelt bij het waarborgen van de goede werking van de interne markt, en bevestigt nogmaals dat rechtsstelsels, doeltreffende kaders voor de bestrijding van corruptie, en de bescherming van mediavrijheid cruciaal zijn voor billijke mededinging, rechtszekerheid, en onderling vertrouwen tussen economische actoren</w:t>
            </w:r>
            <w:r>
              <w:rPr>
                <w:vertAlign w:val="superscript"/>
              </w:rPr>
              <w:t>43</w:t>
            </w:r>
            <w:r>
              <w:t>;</w:t>
            </w:r>
          </w:p>
        </w:tc>
        <w:tc>
          <w:tcPr>
            <w:tcW w:w="4876" w:type="dxa"/>
            <w:tcBorders>
              <w:top w:val="nil"/>
              <w:left w:val="nil"/>
              <w:bottom w:val="nil"/>
              <w:right w:val="nil"/>
            </w:tcBorders>
          </w:tcPr>
          <w:p w:rsidR="00F81D50" w:rsidRPr="00CF469D" w:rsidRDefault="00F81D50" w:rsidP="00F81D50">
            <w:pPr>
              <w:pStyle w:val="Normal6a"/>
            </w:pPr>
            <w:r>
              <w:t>19.</w:t>
            </w:r>
            <w:r>
              <w:tab/>
              <w:t>beklemtoont dat de rechtsstaat</w:t>
            </w:r>
            <w:r>
              <w:rPr>
                <w:b/>
                <w:i/>
              </w:rPr>
              <w:t>, waaronder een efficiënte rechtsbedeling,</w:t>
            </w:r>
            <w:r>
              <w:t xml:space="preserve"> een belangrijke rol speelt bij het waarborgen van de goede werking van de interne markt</w:t>
            </w:r>
            <w:r>
              <w:rPr>
                <w:b/>
                <w:i/>
              </w:rPr>
              <w:t xml:space="preserve"> en een efficiënte vrijemarkteconomie</w:t>
            </w:r>
            <w:r>
              <w:t>, en bevestigt nogmaals dat rechtsstelsels, doeltreffende kaders voor de bestrijding van corruptie, en de bescherming van mediavrijheid cruciaal zijn voor billijke mededinging, rechtszekerheid, en onderling vertrouwen tussen economische actoren</w:t>
            </w:r>
            <w:r>
              <w:rPr>
                <w:vertAlign w:val="superscript"/>
              </w:rPr>
              <w:t>43</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43</w:t>
            </w:r>
            <w:r>
              <w:t xml:space="preserve"> Mededeling van de Commissie van 24 juli 2024, getiteld “Verslag over de rechtsstaat 2024” (COM(2024)0800), blz. 5.</w:t>
            </w:r>
          </w:p>
        </w:tc>
        <w:tc>
          <w:tcPr>
            <w:tcW w:w="4876" w:type="dxa"/>
            <w:tcBorders>
              <w:top w:val="nil"/>
              <w:left w:val="nil"/>
              <w:bottom w:val="nil"/>
              <w:right w:val="nil"/>
            </w:tcBorders>
          </w:tcPr>
          <w:p w:rsidR="00F81D50" w:rsidRPr="00CF469D" w:rsidRDefault="00F81D50" w:rsidP="00F81D50">
            <w:pPr>
              <w:pStyle w:val="Normal6a"/>
            </w:pPr>
            <w:r>
              <w:rPr>
                <w:vertAlign w:val="superscript"/>
              </w:rPr>
              <w:t>43</w:t>
            </w:r>
            <w:r>
              <w:t xml:space="preserve"> Mededeling van de Commissie van 24 juli 2024, getiteld “Verslag over de rechtsstaat 2024” (COM(2024)0800), blz. 5.</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482</w:t>
      </w:r>
      <w:r>
        <w:rPr>
          <w:rStyle w:val="HideTWBExt"/>
        </w:rPr>
        <w:t>&lt;/NumAm&gt;</w:t>
      </w:r>
    </w:p>
    <w:p w:rsidR="00F81D50" w:rsidRPr="00CF469D" w:rsidRDefault="00F81D50" w:rsidP="00F81D50">
      <w:pPr>
        <w:pStyle w:val="NormalBold"/>
      </w:pPr>
      <w:r>
        <w:rPr>
          <w:rStyle w:val="HideTWBExt"/>
          <w:b w:val="0"/>
        </w:rPr>
        <w:t>&lt;RepeatBlock-By&gt;&lt;Members&gt;</w:t>
      </w:r>
      <w:r>
        <w:t>Birgit Sippel, Klára Dobrev</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19.</w:t>
            </w:r>
            <w:r>
              <w:tab/>
              <w:t>beklemtoont dat de rechtsstaat een belangrijke rol speelt bij het waarborgen van de goede werking van de interne markt, en bevestigt nogmaals dat rechtsstelsels, doeltreffende kaders voor de bestrijding van corruptie, en de bescherming van mediavrijheid cruciaal zijn voor billijke mededinging, rechtszekerheid, en onderling vertrouwen tussen economische actoren</w:t>
            </w:r>
            <w:r>
              <w:rPr>
                <w:vertAlign w:val="superscript"/>
              </w:rPr>
              <w:t>43</w:t>
            </w:r>
            <w:r>
              <w:t>;</w:t>
            </w:r>
          </w:p>
        </w:tc>
        <w:tc>
          <w:tcPr>
            <w:tcW w:w="4876" w:type="dxa"/>
            <w:tcBorders>
              <w:top w:val="nil"/>
              <w:left w:val="nil"/>
              <w:bottom w:val="nil"/>
              <w:right w:val="nil"/>
            </w:tcBorders>
          </w:tcPr>
          <w:p w:rsidR="00F81D50" w:rsidRPr="00CF469D" w:rsidRDefault="00F81D50" w:rsidP="00F81D50">
            <w:pPr>
              <w:pStyle w:val="Normal6a"/>
            </w:pPr>
            <w:r>
              <w:t>19.</w:t>
            </w:r>
            <w:r>
              <w:tab/>
              <w:t xml:space="preserve">beklemtoont dat de rechtsstaat een belangrijke rol speelt bij het waarborgen van de goede werking van de interne markt, en bevestigt nogmaals dat </w:t>
            </w:r>
            <w:r>
              <w:rPr>
                <w:b/>
                <w:i/>
              </w:rPr>
              <w:t>onafhankelijke</w:t>
            </w:r>
            <w:r>
              <w:t xml:space="preserve"> rechtsstelsels, doeltreffende kaders voor de bestrijding van corruptie, en de bescherming van mediavrijheid cruciaal zijn voor billijke mededinging, rechtszekerheid, en onderling vertrouwen tussen economische actoren</w:t>
            </w:r>
            <w:r>
              <w:rPr>
                <w:vertAlign w:val="superscript"/>
              </w:rPr>
              <w:t>43</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43</w:t>
            </w:r>
            <w:r>
              <w:t xml:space="preserve"> Mededeling van de Commissie van 24 juli 2024, getiteld “Verslag over de rechtsstaat 2024” (COM(2024)0800), blz. 5.</w:t>
            </w:r>
          </w:p>
        </w:tc>
        <w:tc>
          <w:tcPr>
            <w:tcW w:w="4876" w:type="dxa"/>
            <w:tcBorders>
              <w:top w:val="nil"/>
              <w:left w:val="nil"/>
              <w:bottom w:val="nil"/>
              <w:right w:val="nil"/>
            </w:tcBorders>
          </w:tcPr>
          <w:p w:rsidR="00F81D50" w:rsidRPr="00CF469D" w:rsidRDefault="00F81D50" w:rsidP="00F81D50">
            <w:pPr>
              <w:pStyle w:val="Normal6a"/>
            </w:pPr>
            <w:r>
              <w:rPr>
                <w:vertAlign w:val="superscript"/>
              </w:rPr>
              <w:t>43</w:t>
            </w:r>
            <w:r>
              <w:t xml:space="preserve"> Mededeling van de Commissie van 24 juli 2024, getiteld “Verslag over de rechtsstaat 2024” (COM(2024)0800), blz. 5.</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483</w:t>
      </w:r>
      <w:r>
        <w:rPr>
          <w:rStyle w:val="HideTWBExt"/>
        </w:rPr>
        <w:t>&lt;/NumAm&gt;</w:t>
      </w:r>
    </w:p>
    <w:p w:rsidR="00F81D50" w:rsidRPr="00CF469D" w:rsidRDefault="00F81D50" w:rsidP="00F81D50">
      <w:pPr>
        <w:pStyle w:val="NormalBold"/>
      </w:pPr>
      <w:r>
        <w:rPr>
          <w:rStyle w:val="HideTWBExt"/>
          <w:b w:val="0"/>
        </w:rPr>
        <w:t>&lt;RepeatBlock-By&gt;&lt;Members&gt;</w:t>
      </w:r>
      <w:r>
        <w:t>Michał Wawrykiewicz, Ana Catarina Mendes, Moritz Körner, 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 xml:space="preserve">benadrukt dat betrouwbare en stabiele rechtsstatelijke structuren belangrijke pijlers zijn voor investeringen en handel, die essentieel zijn voor het concurrentievermogen en derhalve voor de capaciteit van het socialezekerheidsstelsel en de arbeidsmarkt in de Europese Unie; benadrukt dat systematische schendingen van de rechtsstaat de rechtszekerheid ondermijnen, investeringen ontmoedigen en de interne markt fragmenteren, en daarmee de algehele economische stabiliteit van de EU verzwakken; verzoekt de Commissie de economische dimensie </w:t>
            </w:r>
            <w:r>
              <w:rPr>
                <w:b/>
                <w:i/>
              </w:rPr>
              <w:lastRenderedPageBreak/>
              <w:t>van de rechtsstaat explicieter op te nemen in haar toezichtmechanismen en ervoor te zorgen dat de naleving van de beginselen van de rechtsstaat door de lidstaten niet alleen wordt beoordeeld vanuit een democratisch en gerechtelijk oogpunt, maar ook in termen van de economische gevolgen ervan voor de interne markt en de financiële stabiliteit;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484</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herinnert eraan dat binnen het toepassingsgebied van de Verdragen alle discriminatie op grond van nationaliteit is verboden in overeenstemming met het Handvest, en dat de vrijheid van vestiging, de vrijheid om diensten te verrichten en het vrij verkeer van kapitaal van fundamenteel belang zijn voor de interne markt; onderstreept dat de regels inzake gelijke behandeling openlijke en verkapte discriminatie op grond van nationaliteit, of, in het geval van een onderneming, haar zetel, verbieden; herhaalt zijn veroordeling van de gemelde systemische discriminerende, niet-transparante en oneerlijke praktijken tegen ondernemingen in sommige lidstaten en het gebruik van EU-middelen om politieke bondgenoten van de regering te verrijken, hetgeen in strijd is met de EU-regels inzake mededinging en overheidsopdrachten;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485</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is ingenomen met de goedkeuring van de richtlijn inzake passende zorgvuldigheid in het bedrijfsleven op het gebied van duurzaamheid op 24 mei 2024, waarin mensenrechtennormen zijn vastgesteld voor grote bedrijven die in de EU actief zijn; steunt de verdere benutting van de interne markt om verantwoorde bedrijfspraktijken te bevorderen en ervoor te zorgen dat bedrijven de milieu-, sociale en governancenormen naleven in overeenstemming met de rechtsstaat;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486</w:t>
      </w:r>
      <w:r>
        <w:rPr>
          <w:rStyle w:val="HideTWBExt"/>
        </w:rPr>
        <w:t>&lt;/NumAm&gt;</w:t>
      </w:r>
    </w:p>
    <w:p w:rsidR="00F81D50" w:rsidRPr="00CF469D" w:rsidRDefault="00F81D50" w:rsidP="00F81D50">
      <w:pPr>
        <w:pStyle w:val="NormalBold"/>
      </w:pPr>
      <w:r>
        <w:rPr>
          <w:rStyle w:val="HideTWBExt"/>
          <w:b w:val="0"/>
        </w:rPr>
        <w:t>&lt;RepeatBlock-By&gt;&lt;Members&gt;</w:t>
      </w:r>
      <w:r>
        <w:t>Jorge Buxadé Villalba,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verzoekt de Commissie de invoercontroles op te voeren om ervoor te zorgen dat industriële en landbouwproducten die vanuit derde landen de EU binnenkomen, voldoen aan dezelfde kwaliteits- en productie-eisen als de eisen die gelden voor lokaal geproduceerde producten, om oneerlijke mededinging te voorkomen;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487</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benadrukt dat economische ongelijkheid en sociale uitsluiting moeten worden aangepakt, aangezien ze een bedreiging vormen voor de democratische participatie en de rechtsstaat; verzoekt de lidstaten met klem progressieve belastingheffing en robuuste sociale vangnetten in te voeren;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488</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vestigt de aandacht op de negatieve economische gevolgen van corruptie en zwakke rechtsstelsels voor het vertrouwen van investeerders en de grensoverschrijdende samenwerking;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489</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w:t>
      </w:r>
      <w:r>
        <w:lastRenderedPageBreak/>
        <w:t>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ter.</w:t>
            </w:r>
            <w:r>
              <w:tab/>
            </w:r>
            <w:r>
              <w:rPr>
                <w:b/>
                <w:i/>
              </w:rPr>
              <w:t>is bezorgd dat nationale regeringen en instellingen die de rechtsstaat niet eerbiedigen, concurrentiebeperkend gedrag kunnen laten gedijen of zelfs actief kunnen aanmoedigen voor politiek of economisch gewin, en daarmee de economie van de EU kunnen schaden en de billijkheid van haar interne markt kunnen ondermijnen (bv. in de media, in de detailhandel of op het gebied van onroerend goed);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490</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Alessandro Zan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ter.</w:t>
            </w:r>
            <w:r>
              <w:tab/>
            </w:r>
            <w:r>
              <w:rPr>
                <w:b/>
                <w:i/>
              </w:rPr>
              <w:t>verzoekt de lidstaten de bescherming van de rechten van werknemers, collectieve onderhandelingen en vakbondsvrijheden te versterken, aangezien dit essentiële onderdelen zijn van democratische controlemechanismen; neemt met bezorgdheid kennis van de uitholling van de arbeidsrechten in verschillende lidstaten;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491</w:t>
      </w:r>
      <w:r>
        <w:rPr>
          <w:rStyle w:val="HideTWBExt"/>
        </w:rPr>
        <w:t>&lt;/NumAm&gt;</w:t>
      </w:r>
    </w:p>
    <w:p w:rsidR="00F81D50" w:rsidRPr="00CF469D" w:rsidRDefault="00F81D50" w:rsidP="00F81D50">
      <w:pPr>
        <w:pStyle w:val="NormalBold"/>
      </w:pPr>
      <w:r>
        <w:rPr>
          <w:rStyle w:val="HideTWBExt"/>
          <w:b w:val="0"/>
        </w:rPr>
        <w:t>&lt;RepeatBlock-By&gt;&lt;Members&gt;</w:t>
      </w:r>
      <w:r>
        <w:t xml:space="preserve">Moritz Körner, Malik Azmani, Dainius Žalimas, Lucia Yar, </w:t>
      </w:r>
      <w:r>
        <w:lastRenderedPageBreak/>
        <w:t>Fabienne Keller, Sophie Wilmès, Raquel García Hermida-Van Der Walle, Abir Al-Sahlani, Veronika Cifrová Ostrihoňová, Ana Catarina Mendes, 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quater.</w:t>
            </w:r>
            <w:r>
              <w:tab/>
            </w:r>
            <w:r>
              <w:rPr>
                <w:b/>
                <w:i/>
              </w:rPr>
              <w:t>verzoekt de Commissie de economische dimensie van de rechtsstaat intensiever te monitoren en met name na te gaan hoe systemische tekortkomingen met betrekking tot de rechtsstaat de interne markt kunnen verstoren door middel van oneerlijke mededinging, discriminerende praktijken of corrupte aanbestedingen;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492</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quinquies.</w:t>
            </w:r>
            <w:r>
              <w:tab/>
            </w:r>
            <w:r>
              <w:rPr>
                <w:b/>
                <w:i/>
              </w:rPr>
              <w:t>verzoekt de Commissie in haar verslag 2025 over de rechtsstaat een specifiek hoofdstuk over de internemarktdimensie op te nemen, waarin wordt uiteengezet hoe schendingen van de rechtsstaat de eerlijke mededinging en de werking van de interne markt in de lidstaten beïnvloeden;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493</w:t>
      </w:r>
      <w:r>
        <w:rPr>
          <w:rStyle w:val="HideTWBExt"/>
        </w:rPr>
        <w:t>&lt;/NumAm&gt;</w:t>
      </w:r>
    </w:p>
    <w:p w:rsidR="00F81D50" w:rsidRPr="00CF469D" w:rsidRDefault="00F81D50" w:rsidP="00F81D50">
      <w:pPr>
        <w:pStyle w:val="NormalBold"/>
      </w:pPr>
      <w:r>
        <w:rPr>
          <w:rStyle w:val="HideTWBExt"/>
          <w:b w:val="0"/>
        </w:rPr>
        <w:t>&lt;RepeatBlock-By&gt;&lt;Members&gt;</w:t>
      </w:r>
      <w:r>
        <w:t xml:space="preserve">Moritz Körner, Malik Azmani, Dainius Žalimas, Lucia Yar, Fabienne Keller, Raquel García Hermida-Van Der Walle, Abir Al-Sahlani, Veronika </w:t>
      </w:r>
      <w:r>
        <w:lastRenderedPageBreak/>
        <w:t>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sexies.</w:t>
            </w:r>
            <w:r>
              <w:tab/>
            </w:r>
            <w:r>
              <w:rPr>
                <w:b/>
                <w:i/>
              </w:rPr>
              <w:t>verwacht dat de handhaving van het mededingingsrecht wordt geïntegreerd in het EU-kader voor toezicht op de rechtsstaat door middel van de oprichting van een gezamenlijk team in de directoraten-generaal die zich bezighouden met mededinging en justitie, dat belast is met de doeltreffende handhaving van maatregelen tegen tekortkomingen op het gebied van de rechtsstaat die de mededinging verstoren;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494</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Instrumenten van de rechtsstaat en de economische dimensie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495</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Abir Al-Sahlani, Fabienne Keller, Lucia Yar, Irena Joveva</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verzoekt de Commissie in deze nieuwe dimensie alle rechtsstatelijke kwesties op te nemen die van invloed zijn op bedrijven, en met name kmo’s, die over de grens werken;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496</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19 bis.</w:t>
            </w:r>
            <w:r>
              <w:tab/>
            </w:r>
            <w:r>
              <w:rPr>
                <w:b/>
                <w:i/>
              </w:rPr>
              <w:t>onderstreept dat niet-naleving en omzeiling van Europese regelgeving leiden tot enorme verstoringen van de mededinging op de interne markt; vraagt dat een sterkere nadruk wordt gelegd op de uniforme en snelle toepassing, uitvoering en handhaving van bestaande wetgeving;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497</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20.</w:t>
            </w:r>
            <w:r>
              <w:tab/>
            </w:r>
            <w:r>
              <w:rPr>
                <w:b/>
                <w:i/>
              </w:rPr>
              <w:t xml:space="preserve">verzoekt de Commissie verder een rechtstreekse link tot stand te brengen tussen preventieve en reactieve instrumenten, en inbreukprocedures in te leiden middels de toepassing van artikel 7 VEU, het algemene conditionaliteitsmechanisme, en de horizontale randvoorwaarden in het </w:t>
            </w:r>
            <w:r>
              <w:rPr>
                <w:b/>
                <w:i/>
              </w:rPr>
              <w:lastRenderedPageBreak/>
              <w:t>Handvest;</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498</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20.</w:t>
            </w:r>
            <w:r>
              <w:tab/>
            </w:r>
            <w:r>
              <w:rPr>
                <w:b/>
                <w:i/>
              </w:rPr>
              <w:t>verzoekt de Commissie verder een rechtstreekse link tot stand te brengen tussen preventieve en reactieve instrumenten, en inbreukprocedures in te leiden middels de toepassing van artikel 7 VEU, het algemene conditionaliteitsmechanisme, en de horizontale randvoorwaarden in het Handvest;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499</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20.</w:t>
            </w:r>
            <w:r>
              <w:tab/>
            </w:r>
            <w:r>
              <w:rPr>
                <w:b/>
                <w:i/>
              </w:rPr>
              <w:t>verzoekt de Commissie verder een rechtstreekse link tot stand te brengen tussen preventieve en reactieve instrumenten, en inbreukprocedures in te leiden middels de toepassing van artikel 7 VEU, het algemene conditionaliteitsmechanisme, en de horizontale randvoorwaarden in het Handvest;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500</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t xml:space="preserve">verzoekt de Commissie verder een rechtstreekse link tot stand te brengen tussen preventieve en reactieve instrumenten, </w:t>
            </w:r>
            <w:r>
              <w:rPr>
                <w:b/>
                <w:i/>
              </w:rPr>
              <w:t>en</w:t>
            </w:r>
            <w:r>
              <w:t xml:space="preserve"> inbreukprocedures in te leiden </w:t>
            </w:r>
            <w:r>
              <w:rPr>
                <w:b/>
                <w:i/>
              </w:rPr>
              <w:t>middels de toepassing van</w:t>
            </w:r>
            <w:r>
              <w:t xml:space="preserve"> artikel 7 VEU, </w:t>
            </w:r>
            <w:r>
              <w:rPr>
                <w:b/>
                <w:i/>
              </w:rPr>
              <w:t>het algemene conditionaliteitsmechanisme, en de horizontale randvoorwaarden in het Handvest</w:t>
            </w:r>
            <w:r>
              <w:t>;</w:t>
            </w:r>
          </w:p>
        </w:tc>
        <w:tc>
          <w:tcPr>
            <w:tcW w:w="4876" w:type="dxa"/>
            <w:tcBorders>
              <w:top w:val="nil"/>
              <w:left w:val="nil"/>
              <w:bottom w:val="nil"/>
              <w:right w:val="nil"/>
            </w:tcBorders>
          </w:tcPr>
          <w:p w:rsidR="00F81D50" w:rsidRPr="00CF469D" w:rsidRDefault="00F81D50" w:rsidP="00F81D50">
            <w:pPr>
              <w:pStyle w:val="Normal6a"/>
            </w:pPr>
            <w:r>
              <w:t>20.</w:t>
            </w:r>
            <w:r>
              <w:tab/>
              <w:t xml:space="preserve">verzoekt de Commissie verder een rechtstreekse link tot stand te brengen tussen preventieve en reactieve instrumenten, </w:t>
            </w:r>
            <w:r>
              <w:rPr>
                <w:b/>
                <w:i/>
              </w:rPr>
              <w:t>onverwijld en op doortastende en gecoördineerde wijze</w:t>
            </w:r>
            <w:r>
              <w:t xml:space="preserve"> inbreukprocedures in te leiden </w:t>
            </w:r>
            <w:r>
              <w:rPr>
                <w:b/>
                <w:i/>
              </w:rPr>
              <w:t>en</w:t>
            </w:r>
            <w:r>
              <w:t xml:space="preserve"> artikel 7 VEU</w:t>
            </w:r>
            <w:r>
              <w:rPr>
                <w:b/>
                <w:i/>
              </w:rPr>
              <w:t>, de verordening inzake conditionaliteit met betrekking tot de rechtsstaat en de relevante bepalingen van het Financieel Reglement en de verordening gemeenschappelijke bepalingen toe te passen wanneer in het jaarlijkse verslag over de rechtsstaat melding wordt gemaakt van inbreuken op de beginselen van de rechtsstaat</w:t>
            </w:r>
            <w:r>
              <w:t xml:space="preserve">; </w:t>
            </w:r>
            <w:r>
              <w:rPr>
                <w:b/>
                <w:i/>
              </w:rPr>
              <w:t>onderstreept dat zowel de activering van de reactieve instrumenten als de afsluiting van procedures ter zake niet gebaseerd moeten zijn op politieke overwegingen of het resultaat van onderhandelingen, maar op de objectieve criteria van naleving van de beginselen van de rechtsstaat en het EU- en internationaal recht zoals uitgelegd door de betrokken organen;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501</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t xml:space="preserve">verzoekt de Commissie </w:t>
            </w:r>
            <w:r>
              <w:rPr>
                <w:b/>
                <w:i/>
              </w:rPr>
              <w:t xml:space="preserve">verder een </w:t>
            </w:r>
            <w:r>
              <w:rPr>
                <w:b/>
                <w:i/>
              </w:rPr>
              <w:lastRenderedPageBreak/>
              <w:t>rechtstreekse link tot stand te brengen</w:t>
            </w:r>
            <w:r>
              <w:t xml:space="preserve"> tussen preventieve en reactieve instrumenten, en inbreukprocedures </w:t>
            </w:r>
            <w:r>
              <w:rPr>
                <w:b/>
                <w:i/>
              </w:rPr>
              <w:t>in</w:t>
            </w:r>
            <w:r>
              <w:t xml:space="preserve"> te </w:t>
            </w:r>
            <w:r>
              <w:rPr>
                <w:b/>
                <w:i/>
              </w:rPr>
              <w:t>leiden</w:t>
            </w:r>
            <w:r>
              <w:t xml:space="preserve"> middels de toepassing van artikel 7 VEU, het </w:t>
            </w:r>
            <w:r>
              <w:rPr>
                <w:b/>
                <w:i/>
              </w:rPr>
              <w:t>algemene conditionaliteitsmechanisme, en</w:t>
            </w:r>
            <w:r>
              <w:t xml:space="preserve"> de </w:t>
            </w:r>
            <w:r>
              <w:rPr>
                <w:b/>
                <w:i/>
              </w:rPr>
              <w:t>horizontale randvoorwaarden in het Handvest</w:t>
            </w:r>
            <w:r>
              <w:t>;</w:t>
            </w:r>
          </w:p>
        </w:tc>
        <w:tc>
          <w:tcPr>
            <w:tcW w:w="4876" w:type="dxa"/>
            <w:tcBorders>
              <w:top w:val="nil"/>
              <w:left w:val="nil"/>
              <w:bottom w:val="nil"/>
              <w:right w:val="nil"/>
            </w:tcBorders>
          </w:tcPr>
          <w:p w:rsidR="00F81D50" w:rsidRPr="00CF469D" w:rsidRDefault="00F81D50" w:rsidP="00F81D50">
            <w:pPr>
              <w:pStyle w:val="Normal6a"/>
            </w:pPr>
            <w:r>
              <w:lastRenderedPageBreak/>
              <w:t>20.</w:t>
            </w:r>
            <w:r>
              <w:tab/>
              <w:t xml:space="preserve">verzoekt de Commissie </w:t>
            </w:r>
            <w:r>
              <w:rPr>
                <w:b/>
                <w:i/>
              </w:rPr>
              <w:t xml:space="preserve">de </w:t>
            </w:r>
            <w:r>
              <w:rPr>
                <w:b/>
                <w:i/>
              </w:rPr>
              <w:lastRenderedPageBreak/>
              <w:t>rechtsgrondslagen in de Verdragen voor een rechtstreekse link</w:t>
            </w:r>
            <w:r>
              <w:t xml:space="preserve"> tussen preventieve en reactieve instrumenten</w:t>
            </w:r>
            <w:r>
              <w:rPr>
                <w:b/>
                <w:i/>
              </w:rPr>
              <w:t xml:space="preserve"> grondig te onderzoeken, ermee op te houden de bevoegdheden van de EU verder dan de Verdragen toelaten uit te breiden tot gebieden die de lidstaten nooit aan de EU hebben overgedragen, zoals de organisatie van justitie</w:t>
            </w:r>
            <w:r>
              <w:t xml:space="preserve">, en </w:t>
            </w:r>
            <w:r>
              <w:rPr>
                <w:b/>
                <w:i/>
              </w:rPr>
              <w:t xml:space="preserve">de procedures tot instelling van </w:t>
            </w:r>
            <w:r>
              <w:t xml:space="preserve">inbreukprocedures </w:t>
            </w:r>
            <w:r>
              <w:rPr>
                <w:b/>
                <w:i/>
              </w:rPr>
              <w:t>niet</w:t>
            </w:r>
            <w:r>
              <w:t xml:space="preserve"> te </w:t>
            </w:r>
            <w:r>
              <w:rPr>
                <w:b/>
                <w:i/>
              </w:rPr>
              <w:t>misbruiken en niet te politiseren</w:t>
            </w:r>
            <w:r>
              <w:t xml:space="preserve"> middels de toepassing van artikel 7 VEU, </w:t>
            </w:r>
            <w:r>
              <w:rPr>
                <w:b/>
                <w:i/>
              </w:rPr>
              <w:t xml:space="preserve">dat </w:t>
            </w:r>
            <w:r>
              <w:t xml:space="preserve">het </w:t>
            </w:r>
            <w:r>
              <w:rPr>
                <w:b/>
                <w:i/>
              </w:rPr>
              <w:t>enige Verdragsmechanisme is ter bescherming van waarden; benadrukt dat de Verdragen geen rechtsgrondslag bieden die</w:t>
            </w:r>
            <w:r>
              <w:t xml:space="preserve"> de </w:t>
            </w:r>
            <w:r>
              <w:rPr>
                <w:b/>
                <w:i/>
              </w:rPr>
              <w:t>instellingen de bevoegdheid geven een nieuw toezichtsmechanisme voor de eerbiediging van de rechtsstaat door de lidstaten tot stand te brengen</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502</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t>verzoekt de Commissie verder een rechtstreekse link tot stand te brengen tussen preventieve en reactieve instrumenten, en inbreukprocedures in te leiden middels de toepassing van artikel 7 VEU, het algemene conditionaliteitsmechanisme, en de horizontale randvoorwaarden in het Handvest;</w:t>
            </w:r>
          </w:p>
        </w:tc>
        <w:tc>
          <w:tcPr>
            <w:tcW w:w="4876" w:type="dxa"/>
            <w:tcBorders>
              <w:top w:val="nil"/>
              <w:left w:val="nil"/>
              <w:bottom w:val="nil"/>
              <w:right w:val="nil"/>
            </w:tcBorders>
          </w:tcPr>
          <w:p w:rsidR="00F81D50" w:rsidRPr="00CF469D" w:rsidRDefault="00F81D50" w:rsidP="00F81D50">
            <w:pPr>
              <w:pStyle w:val="Normal6a"/>
            </w:pPr>
            <w:r>
              <w:t>20.</w:t>
            </w:r>
            <w:r>
              <w:tab/>
            </w:r>
            <w:r>
              <w:rPr>
                <w:b/>
                <w:i/>
              </w:rPr>
              <w:t xml:space="preserve">is ingenomen met de preventie-instrumenten van het instrumentarium voor de rechtsstaat, waaronder de jaarlijkse rechtsstaatcyclus, het EU-scorebord voor justitie, het Europees Semester, de EU-fondsen ter ondersteuning van het maatschappelijk middenveld, justitiële netwerken, pluriformiteit van de media en mediavrijheid en de invoering van de mijlpalen op het gebied van de rechtsstaat in het kader van de herstel- en </w:t>
            </w:r>
            <w:r>
              <w:rPr>
                <w:b/>
                <w:i/>
              </w:rPr>
              <w:lastRenderedPageBreak/>
              <w:t>veerkrachtfaciliteit;</w:t>
            </w:r>
            <w:r>
              <w:t xml:space="preserve"> verzoekt de Commissie verder een rechtstreekse link tot stand te brengen tussen preventieve en reactieve instrumenten, en inbreukprocedures in te leiden middels de toepassing van artikel 7 VEU, het algemene conditionaliteitsmechanisme, en de horizontale randvoorwaarden in het Handvest;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503</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r>
            <w:r>
              <w:rPr>
                <w:b/>
                <w:i/>
              </w:rPr>
              <w:t>verzoekt de Commissie verder een rechtstreekse link tot stand te brengen tussen preventieve en reactieve instrumenten, en inbreukprocedures in te leiden middels de toepassing van artikel 7 VEU, het algemene conditionaliteitsmechanisme, en de horizontale randvoorwaarden in het Handvest;</w:t>
            </w:r>
          </w:p>
        </w:tc>
        <w:tc>
          <w:tcPr>
            <w:tcW w:w="4876" w:type="dxa"/>
            <w:tcBorders>
              <w:top w:val="nil"/>
              <w:left w:val="nil"/>
              <w:bottom w:val="nil"/>
              <w:right w:val="nil"/>
            </w:tcBorders>
          </w:tcPr>
          <w:p w:rsidR="00F81D50" w:rsidRPr="00CF469D" w:rsidRDefault="00F81D50" w:rsidP="00F81D50">
            <w:pPr>
              <w:pStyle w:val="Normal6a"/>
            </w:pPr>
            <w:r>
              <w:t>20.</w:t>
            </w:r>
            <w:r>
              <w:tab/>
            </w:r>
            <w:r>
              <w:rPr>
                <w:b/>
                <w:i/>
              </w:rPr>
              <w:t>beklemtoont dat dit verslag niet als basis kan dienen voor verdere EU-mechanismen en -procedures;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504</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t xml:space="preserve">verzoekt de Commissie </w:t>
            </w:r>
            <w:r>
              <w:rPr>
                <w:b/>
                <w:i/>
              </w:rPr>
              <w:t>verder een rechtstreekse link tot stand te brengen tussen preventieve en reactieve instrumenten, en inbreukprocedures in</w:t>
            </w:r>
            <w:r>
              <w:t xml:space="preserve"> te </w:t>
            </w:r>
            <w:r>
              <w:rPr>
                <w:b/>
                <w:i/>
              </w:rPr>
              <w:t>leiden middels</w:t>
            </w:r>
            <w:r>
              <w:t xml:space="preserve"> de </w:t>
            </w:r>
            <w:r>
              <w:rPr>
                <w:b/>
                <w:i/>
              </w:rPr>
              <w:t xml:space="preserve">toepassing van artikel 7 </w:t>
            </w:r>
            <w:r>
              <w:rPr>
                <w:b/>
                <w:i/>
              </w:rPr>
              <w:lastRenderedPageBreak/>
              <w:t>VEU, het algemene conditionaliteitsmechanisme</w:t>
            </w:r>
            <w:r>
              <w:t xml:space="preserve">, </w:t>
            </w:r>
            <w:r>
              <w:rPr>
                <w:b/>
                <w:i/>
              </w:rPr>
              <w:t>en de horizontale randvoorwaarden in het Handvest</w:t>
            </w:r>
            <w:r>
              <w:t>;</w:t>
            </w:r>
          </w:p>
        </w:tc>
        <w:tc>
          <w:tcPr>
            <w:tcW w:w="4876" w:type="dxa"/>
            <w:tcBorders>
              <w:top w:val="nil"/>
              <w:left w:val="nil"/>
              <w:bottom w:val="nil"/>
              <w:right w:val="nil"/>
            </w:tcBorders>
          </w:tcPr>
          <w:p w:rsidR="00F81D50" w:rsidRPr="00CF469D" w:rsidRDefault="00F81D50" w:rsidP="00F81D50">
            <w:pPr>
              <w:pStyle w:val="Normal6a"/>
            </w:pPr>
            <w:r>
              <w:lastRenderedPageBreak/>
              <w:t>20.</w:t>
            </w:r>
            <w:r>
              <w:tab/>
              <w:t xml:space="preserve">verzoekt de Commissie </w:t>
            </w:r>
            <w:r>
              <w:rPr>
                <w:b/>
                <w:i/>
              </w:rPr>
              <w:t>voor de bescherming van de rechtsstaat gebruik</w:t>
            </w:r>
            <w:r>
              <w:t xml:space="preserve"> te </w:t>
            </w:r>
            <w:r>
              <w:rPr>
                <w:b/>
                <w:i/>
              </w:rPr>
              <w:t>maken van</w:t>
            </w:r>
            <w:r>
              <w:t xml:space="preserve"> de </w:t>
            </w:r>
            <w:r>
              <w:rPr>
                <w:b/>
                <w:i/>
              </w:rPr>
              <w:t>bestaande instrumenten en mechanismen en geen nieuwe</w:t>
            </w:r>
            <w:r>
              <w:t xml:space="preserve">, </w:t>
            </w:r>
            <w:r>
              <w:rPr>
                <w:b/>
                <w:i/>
              </w:rPr>
              <w:t xml:space="preserve">overlappende instrumenten in het leven te </w:t>
            </w:r>
            <w:r>
              <w:rPr>
                <w:b/>
                <w:i/>
              </w:rPr>
              <w:lastRenderedPageBreak/>
              <w:t>roepen</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505</w:t>
      </w:r>
      <w:r>
        <w:rPr>
          <w:rStyle w:val="HideTWBExt"/>
        </w:rPr>
        <w:t>&lt;/NumAm&gt;</w:t>
      </w:r>
    </w:p>
    <w:p w:rsidR="00F81D50" w:rsidRPr="00CF469D" w:rsidRDefault="00F81D50" w:rsidP="00F81D50">
      <w:pPr>
        <w:pStyle w:val="NormalBold"/>
      </w:pPr>
      <w:r>
        <w:rPr>
          <w:rStyle w:val="HideTWBExt"/>
          <w:b w:val="0"/>
        </w:rPr>
        <w:t>&lt;RepeatBlock-By&gt;&lt;Members&gt;</w:t>
      </w:r>
      <w:r>
        <w:t>Chloé Ridel, Jean-Marc Germain, Emma Rafowicz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t>verzoekt de Commissie verder een rechtstreekse link tot stand te brengen tussen preventieve en reactieve instrumenten, en inbreukprocedures in te leiden middels de toepassing van artikel 7 VEU, het algemene conditionaliteitsmechanisme, en de horizontale randvoorwaarden in het Handvest;</w:t>
            </w:r>
          </w:p>
        </w:tc>
        <w:tc>
          <w:tcPr>
            <w:tcW w:w="4876" w:type="dxa"/>
            <w:tcBorders>
              <w:top w:val="nil"/>
              <w:left w:val="nil"/>
              <w:bottom w:val="nil"/>
              <w:right w:val="nil"/>
            </w:tcBorders>
          </w:tcPr>
          <w:p w:rsidR="00F81D50" w:rsidRPr="00CF469D" w:rsidRDefault="00F81D50" w:rsidP="00F81D50">
            <w:pPr>
              <w:pStyle w:val="Normal6a"/>
            </w:pPr>
            <w:r>
              <w:t>20.</w:t>
            </w:r>
            <w:r>
              <w:tab/>
              <w:t xml:space="preserve">verzoekt de Commissie verder een rechtstreekse link tot stand te brengen tussen preventieve en reactieve instrumenten, en inbreukprocedures in te leiden middels de toepassing van artikel 7 VEU, het algemene conditionaliteitsmechanisme, en </w:t>
            </w:r>
            <w:r>
              <w:rPr>
                <w:b/>
                <w:i/>
              </w:rPr>
              <w:t>andere beschermingslagen voor de EU-begroting, met inbegrip van</w:t>
            </w:r>
            <w:r>
              <w:t xml:space="preserve"> de horizontale randvoorwaarden in het Handvest;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506</w:t>
      </w:r>
      <w:r>
        <w:rPr>
          <w:rStyle w:val="HideTWBExt"/>
        </w:rPr>
        <w:t>&lt;/NumAm&gt;</w:t>
      </w:r>
    </w:p>
    <w:p w:rsidR="00F81D50" w:rsidRPr="00CF469D" w:rsidRDefault="00F81D50" w:rsidP="00F81D50">
      <w:pPr>
        <w:pStyle w:val="NormalBold"/>
      </w:pPr>
      <w:r>
        <w:rPr>
          <w:rStyle w:val="HideTWBExt"/>
          <w:b w:val="0"/>
        </w:rPr>
        <w:t>&lt;RepeatBlock-By&gt;&lt;Members&gt;</w:t>
      </w:r>
      <w:r>
        <w:t>Tomáš Zdechovský</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20.</w:t>
            </w:r>
            <w:r>
              <w:tab/>
              <w:t xml:space="preserve">verzoekt de Commissie verder een rechtstreekse link tot stand te brengen tussen preventieve en reactieve instrumenten, en inbreukprocedures in te leiden middels de toepassing van artikel 7 VEU, het algemene conditionaliteitsmechanisme, en de horizontale randvoorwaarden in het </w:t>
            </w:r>
            <w:r>
              <w:lastRenderedPageBreak/>
              <w:t>Handvest;</w:t>
            </w:r>
          </w:p>
        </w:tc>
        <w:tc>
          <w:tcPr>
            <w:tcW w:w="4876" w:type="dxa"/>
            <w:tcBorders>
              <w:top w:val="nil"/>
              <w:left w:val="nil"/>
              <w:bottom w:val="nil"/>
              <w:right w:val="nil"/>
            </w:tcBorders>
          </w:tcPr>
          <w:p w:rsidR="00F81D50" w:rsidRPr="00CF469D" w:rsidRDefault="00F81D50" w:rsidP="00F81D50">
            <w:pPr>
              <w:pStyle w:val="Normal6a"/>
            </w:pPr>
            <w:r>
              <w:lastRenderedPageBreak/>
              <w:t>20.</w:t>
            </w:r>
            <w:r>
              <w:tab/>
              <w:t xml:space="preserve">verzoekt de Commissie verder een rechtstreekse link tot stand te brengen tussen preventieve en reactieve instrumenten, en inbreukprocedures in te leiden middels de </w:t>
            </w:r>
            <w:r>
              <w:rPr>
                <w:b/>
                <w:i/>
              </w:rPr>
              <w:t>onmiddellijke</w:t>
            </w:r>
            <w:r>
              <w:t xml:space="preserve"> toepassing van artikel 7 VEU, het algemene conditionaliteitsmechanisme, en de horizontale randvoorwaarden in het </w:t>
            </w:r>
            <w:r>
              <w:lastRenderedPageBreak/>
              <w:t>Handvest;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507</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veroordeelt de uitgesproken politieke manier waarop artikel 7 VEU wordt gebruikt om lidstaten te chanteren en zo de politieke doelstellingen van bepaalde andere lidstaten en politieke krachten te realiseren en de bevoegdheden van de EU verder dan de Verdragen toelaten uit te breiden; betreurt de ongerechtvaardigde instelling van de procedure op grond van artikel 7 VEU tegen Polen en het daaropvolgende gebruik ervan voor politieke spelletjes; wijst er met afkeer op dat de stopzetting van de procedure tegen Polen onmiddellijk na de parlementsverkiezingen in Polen en net voor de verkiezingen voor het Europees Parlement plaatsvond, en dat hier in weerwil van de chantage ten aanzien van de vorige regering geen wetswijzigingen aan zijn voorafgegaan, hetgeen duidelijk aantoont dat het gebruik van vermeende schendingen van de rechtsstaat een politiek aspect heeft;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508</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verzoekt de Commissie de uitbetaling van EU-middelen niet te gebruiken als politiek wapen om zich te mengen in de democratische processen van de lidstaten; vestigt in dit verband de aandacht op het belang van een sterk rechtskader om corruptie en verduistering van EU-middelen te voorkomen en vraagt dat dit kader in alle lidstaten gelijkelijk wordt toegepast;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509</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betreurt dat er vooruitgang is geboekt bij de lopende procedure uit hoofde van artikel 7, lid 1, VEU; benadrukt dat het Parlement in alle procedures in verband met artikel 7 VEU zijn met redenen omkleed voorstel aan de Raad moet kunnen voorleggen, hoorzittingen op grond van artikel 7 VEU moet kunnen bijwonen en in elke fase van de procedure onverwijld en volledig op de hoogte moet worden gehouden;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510</w:t>
      </w:r>
      <w:r>
        <w:rPr>
          <w:rStyle w:val="HideTWBExt"/>
        </w:rPr>
        <w:t>&lt;/NumAm&gt;</w:t>
      </w:r>
    </w:p>
    <w:p w:rsidR="00F81D50" w:rsidRPr="00CF469D" w:rsidRDefault="00F81D50" w:rsidP="00F81D50">
      <w:pPr>
        <w:pStyle w:val="NormalBold"/>
      </w:pPr>
      <w:r>
        <w:rPr>
          <w:rStyle w:val="HideTWBExt"/>
          <w:b w:val="0"/>
        </w:rPr>
        <w:t>&lt;RepeatBlock-By&gt;&lt;Members&gt;</w:t>
      </w:r>
      <w:r>
        <w:t xml:space="preserve">Moritz Körner, Malik Azmani, Dainius Žalimas, Lucia Yar, </w:t>
      </w:r>
      <w:r>
        <w:lastRenderedPageBreak/>
        <w:t>Fabienne Keller, Sophie Wilmès, Raquel García Hermida-Van Der Walle, Abir Al-Sahlani, 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betreurt dat de Raad geen vooruitgang heeft geboekt bij de lopende procedures op grond van artikel 7 VEU ter waarborging van de correcte toepassing van de Verdragen, waardoor de geloofwaardigheid van de EU wat betreft de handhaving van de rechtsstaat wordt ondermijnd;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511</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benadrukt dat de procedures van artikel 7 VEU bedoeld zijn ter bescherming van de waarden van de EU; verzoekt de Commissie het conditionaliteitsmechanisme toe te passen op eerlijke, transparante en onpartijdige wijze;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512</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 xml:space="preserve">verzoekt de Commissie “een internemarktdimensie op te nemen in het verslag over de rechtsstaat om kwesties met betrekking tot de rechtsstaat aan te pakken die gevolgen hebben voor bedrijven, en met name kmo’s, die over de grens werken” </w:t>
            </w:r>
            <w:r>
              <w:rPr>
                <w:b/>
                <w:i/>
                <w:vertAlign w:val="superscript"/>
              </w:rPr>
              <w:t>1 ter</w:t>
            </w:r>
            <w:r>
              <w:rPr>
                <w:b/>
                <w:i/>
              </w:rPr>
              <w:t>;</w:t>
            </w:r>
          </w:p>
        </w:tc>
      </w:tr>
      <w:tr w:rsidR="00F81D50" w:rsidTr="00F81D50">
        <w:trPr>
          <w:jc w:val="center"/>
        </w:trPr>
        <w:tc>
          <w:tcPr>
            <w:tcW w:w="4876" w:type="dxa"/>
            <w:tcBorders>
              <w:top w:val="nil"/>
              <w:left w:val="nil"/>
              <w:bottom w:val="nil"/>
              <w:right w:val="nil"/>
            </w:tcBorders>
          </w:tcPr>
          <w:p w:rsidR="00F81D50" w:rsidRPr="00CF469D" w:rsidRDefault="00F81D50" w:rsidP="00F81D50"/>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tc>
        <w:tc>
          <w:tcPr>
            <w:tcW w:w="4876" w:type="dxa"/>
            <w:tcBorders>
              <w:top w:val="nil"/>
              <w:left w:val="nil"/>
              <w:bottom w:val="nil"/>
              <w:right w:val="nil"/>
            </w:tcBorders>
          </w:tcPr>
          <w:p w:rsidR="00F81D50" w:rsidRPr="00CF469D" w:rsidRDefault="00F81D50" w:rsidP="00F81D50">
            <w:pPr>
              <w:pStyle w:val="Normal6a"/>
            </w:pPr>
            <w:r>
              <w:rPr>
                <w:b/>
                <w:i/>
                <w:vertAlign w:val="superscript"/>
              </w:rPr>
              <w:t>1 ter</w:t>
            </w:r>
            <w:r>
              <w:rPr>
                <w:b/>
                <w:i/>
              </w:rPr>
              <w:t xml:space="preserve"> Uit de opdrachtbrief aan commissaris McGrath.</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513</w:t>
      </w:r>
      <w:r>
        <w:rPr>
          <w:rStyle w:val="HideTWBExt"/>
        </w:rPr>
        <w:t>&lt;/NumAm&gt;</w:t>
      </w:r>
    </w:p>
    <w:p w:rsidR="00F81D50" w:rsidRPr="00CF469D" w:rsidRDefault="00F81D50" w:rsidP="00F81D50">
      <w:pPr>
        <w:pStyle w:val="NormalBold"/>
      </w:pPr>
      <w:r>
        <w:rPr>
          <w:rStyle w:val="HideTWBExt"/>
          <w:b w:val="0"/>
        </w:rPr>
        <w:t>&lt;RepeatBlock-By&gt;&lt;Members&gt;</w:t>
      </w:r>
      <w:r>
        <w:t>Chloé Ridel, Jean-Marc Germain, Emma Rafowicz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bis.</w:t>
            </w:r>
            <w:r>
              <w:tab/>
            </w:r>
            <w:r>
              <w:rPr>
                <w:b/>
                <w:i/>
              </w:rPr>
              <w:t>verzoekt de Commissie in het jaarlijkse verslag over de rechtsstaat vanaf 2025 aan te geven in hoeverre vastgestelde tekortkomingen in rechtsstaatregelingen een risico kunnen vormen voor de begroting van de Unie;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514</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20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20 ter.</w:t>
            </w:r>
            <w:r>
              <w:tab/>
            </w:r>
            <w:r>
              <w:rPr>
                <w:b/>
                <w:i/>
              </w:rPr>
              <w:t xml:space="preserve">herhaalt zijn veroordeling van de gemelde aanhoudende systemische discriminerende, niet-transparante en oneerlijke praktijken tegen ondernemingen in bepaalde sectoren in </w:t>
            </w:r>
            <w:r>
              <w:rPr>
                <w:b/>
                <w:i/>
              </w:rPr>
              <w:lastRenderedPageBreak/>
              <w:t>Hongarije en het gebruik van EU-middelen om politieke bondgenoten van de regering te verrijken, hetgeen in strijd is met de EU-regels inzake mededinging en overheidsopdrachten; maakt zich ernstig zorgen over de toenemende concentratie van bedrijven in handen van oligarchen die banden hebben met de huidige regering en die publiekelijk hun intentie hebben uitgesproken om zich in belangrijke sectoren in te kopen, alsook over maatregelen die gericht zijn op de concurrenten van die bedrijven;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515</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21.</w:t>
            </w:r>
            <w:r>
              <w:tab/>
            </w:r>
            <w:r>
              <w:rPr>
                <w:b/>
                <w:i/>
              </w:rPr>
              <w:t>benadrukt dat we behoefte hebben aan een alomvattend conditionaliteitsmechanisme dat de naleving van de rechtsstaat waarborgt via alle aspecten van het EU-recht, en dus niet alleen via de 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516</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21.</w:t>
            </w:r>
            <w:r>
              <w:tab/>
            </w:r>
            <w:r>
              <w:rPr>
                <w:b/>
                <w:i/>
              </w:rPr>
              <w:t>benadrukt dat we behoefte hebben aan een alomvattend conditionaliteitsmechanisme dat de naleving van de rechtsstaat waarborgt via alle aspecten van het EU-recht, en dus niet alleen via de 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517</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21.</w:t>
            </w:r>
            <w:r>
              <w:tab/>
            </w:r>
            <w:r>
              <w:rPr>
                <w:b/>
                <w:i/>
              </w:rPr>
              <w:t>benadrukt dat we behoefte hebben aan een alomvattend conditionaliteitsmechanisme dat de naleving van de rechtsstaat waarborgt via alle aspecten van het EU-recht, en dus niet alleen via de 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518</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t xml:space="preserve">benadrukt dat we behoefte hebben aan een alomvattend </w:t>
            </w:r>
            <w:r>
              <w:rPr>
                <w:b/>
                <w:i/>
              </w:rPr>
              <w:lastRenderedPageBreak/>
              <w:t>conditionaliteitsmechanisme</w:t>
            </w:r>
            <w:r>
              <w:t xml:space="preserve"> dat de naleving van de rechtsstaat waarborgt via alle aspecten van het EU-recht, en dus niet alleen via de begrotingsdimensie; verzoekt de Commissie met klem </w:t>
            </w:r>
            <w:r>
              <w:rPr>
                <w:b/>
                <w:i/>
              </w:rPr>
              <w:t>een voorstel</w:t>
            </w:r>
            <w:r>
              <w:t xml:space="preserve"> te presenteren houdende uitbreiding van het toepassingsgebied van dit </w:t>
            </w:r>
            <w:r>
              <w:rPr>
                <w:b/>
                <w:i/>
              </w:rPr>
              <w:t>mechanisme</w:t>
            </w:r>
            <w:r>
              <w:t>;</w:t>
            </w:r>
          </w:p>
        </w:tc>
        <w:tc>
          <w:tcPr>
            <w:tcW w:w="4876" w:type="dxa"/>
            <w:tcBorders>
              <w:top w:val="nil"/>
              <w:left w:val="nil"/>
              <w:bottom w:val="nil"/>
              <w:right w:val="nil"/>
            </w:tcBorders>
          </w:tcPr>
          <w:p w:rsidR="00F81D50" w:rsidRPr="00CF469D" w:rsidRDefault="00F81D50" w:rsidP="00F81D50">
            <w:pPr>
              <w:pStyle w:val="Normal6a"/>
            </w:pPr>
            <w:r>
              <w:lastRenderedPageBreak/>
              <w:t>21.</w:t>
            </w:r>
            <w:r>
              <w:tab/>
              <w:t xml:space="preserve">benadrukt dat we behoefte hebben aan een alomvattend </w:t>
            </w:r>
            <w:r>
              <w:rPr>
                <w:b/>
                <w:i/>
              </w:rPr>
              <w:t>instrumentarium</w:t>
            </w:r>
            <w:r>
              <w:t xml:space="preserve"> dat </w:t>
            </w:r>
            <w:r>
              <w:lastRenderedPageBreak/>
              <w:t xml:space="preserve">de naleving van de rechtsstaat </w:t>
            </w:r>
            <w:r>
              <w:rPr>
                <w:b/>
                <w:i/>
              </w:rPr>
              <w:t>en andere in artikel 2 VEU verankerde waarden</w:t>
            </w:r>
            <w:r>
              <w:t xml:space="preserve"> waarborgt via alle aspecten van het EU-recht, en dus niet alleen via de begrotingsdimensie; </w:t>
            </w:r>
            <w:r>
              <w:rPr>
                <w:b/>
                <w:i/>
              </w:rPr>
              <w:t>dringt erop aan dat het instrumentarium alle waarden van de Unie en de volledige EU-begroting bestrijkt en ervoor zorgt dat bij geen van de instrumenten sprake is van achteruitgang; benadrukt dat er behoefte is aan veel meer transparantie en consistentie bij de toepassing van instrumenten ter bescherming van de waarden van de Unie en dat de rol van het Parlement bij de toepassing van en het toezicht op dergelijke maatregelen moet worden versterkt; dringt bovendien aan op de noodzaak van consistentie tussen de instrumenten bij de beoordeling van schendingen van de rechtsstaat en andere waarden in de lidstaten;</w:t>
            </w:r>
            <w:r>
              <w:t xml:space="preserve"> verzoekt de Commissie met klem </w:t>
            </w:r>
            <w:r>
              <w:rPr>
                <w:b/>
                <w:i/>
              </w:rPr>
              <w:t>de tekortkomingen vast te stellen en voorstellen ter zake</w:t>
            </w:r>
            <w:r>
              <w:t xml:space="preserve"> te presenteren houdende uitbreiding van het toepassingsgebied van dit </w:t>
            </w:r>
            <w:r>
              <w:rPr>
                <w:b/>
                <w:i/>
              </w:rPr>
              <w:t>instrumentarium</w:t>
            </w:r>
            <w:r>
              <w:t xml:space="preserve">; </w:t>
            </w:r>
            <w:r>
              <w:rPr>
                <w:b/>
                <w:i/>
              </w:rPr>
              <w:t>wijst erop dat het beginsel van wederzijdse erkenning in geval van systematische inbreuken moet worden opgeschort;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519</w:t>
      </w:r>
      <w:r>
        <w:rPr>
          <w:rStyle w:val="HideTWBExt"/>
        </w:rPr>
        <w:t>&lt;/NumAm&gt;</w:t>
      </w:r>
    </w:p>
    <w:p w:rsidR="00F81D50" w:rsidRPr="00CF469D" w:rsidRDefault="00F81D50" w:rsidP="00F81D50">
      <w:pPr>
        <w:pStyle w:val="NormalBold"/>
      </w:pPr>
      <w:r>
        <w:rPr>
          <w:rStyle w:val="HideTWBExt"/>
          <w:b w:val="0"/>
        </w:rPr>
        <w:t>&lt;RepeatBlock-By&gt;&lt;Members&gt;</w:t>
      </w:r>
      <w:r>
        <w:t>Tomas Tobé, Mika Aaltola, Pekka Toveri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t xml:space="preserve">benadrukt dat we behoefte hebben aan een alomvattend conditionaliteitsmechanisme dat de naleving van de rechtsstaat waarborgt via alle aspecten van het EU-recht, en dus niet alleen via de begrotingsdimensie; verzoekt </w:t>
            </w:r>
            <w:r>
              <w:lastRenderedPageBreak/>
              <w:t>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lastRenderedPageBreak/>
              <w:t>21.</w:t>
            </w:r>
            <w:r>
              <w:tab/>
              <w:t xml:space="preserve">benadrukt dat we behoefte hebben aan een alomvattend conditionaliteitsmechanisme dat de naleving van de rechtsstaat waarborgt via alle aspecten van het EU-recht, en dus niet alleen via de begrotingsdimensie; verzoekt </w:t>
            </w:r>
            <w:r>
              <w:lastRenderedPageBreak/>
              <w:t xml:space="preserve">de Commissie met klem een voorstel te presenteren houdende uitbreiding van het toepassingsgebied van dit mechanisme; </w:t>
            </w:r>
            <w:r>
              <w:rPr>
                <w:b/>
                <w:i/>
              </w:rPr>
              <w:t>staat in dit verband achter de suggesties van de regeringen van Finland en Zweden van 16 september 2024 en verzoekt de Commissie met klem een alomvattende aanpak te volgen voor de eerbiediging van de rechtsstaat, met name door middel van de versterkte toepassing van de verordening algemene conditionaliteit, horizontale conditionaliteit in verband met de rechtsstaat in financieringsprogramma’s en -instrumenten van de EU, en de bredere bescherming van onze gemeenschappelijke waarden in financieringsprogramma’s en -instrumenten van de EU; verzoekt de Commissie verder te gaan met deze voorstellen;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520</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t xml:space="preserve">benadrukt dat </w:t>
            </w:r>
            <w:r>
              <w:rPr>
                <w:b/>
                <w:i/>
              </w:rPr>
              <w:t>we behoefte hebben aan</w:t>
            </w:r>
            <w:r>
              <w:t xml:space="preserve"> een alomvattend conditionaliteitsmechanisme dat</w:t>
            </w:r>
            <w:r>
              <w:rPr>
                <w:b/>
                <w:i/>
              </w:rPr>
              <w:t xml:space="preserve"> de</w:t>
            </w:r>
            <w:r>
              <w:t xml:space="preserve"> naleving van de rechtsstaat waarborgt via alle aspecten van het EU-recht, en dus niet alleen via de begrotingsdimensie; verzoekt de Commissie met klem </w:t>
            </w:r>
            <w:r>
              <w:rPr>
                <w:b/>
                <w:i/>
              </w:rPr>
              <w:t>een voorstel</w:t>
            </w:r>
            <w:r>
              <w:t xml:space="preserve"> te </w:t>
            </w:r>
            <w:r>
              <w:rPr>
                <w:b/>
                <w:i/>
              </w:rPr>
              <w:t>presenteren houdende uitbreiding van</w:t>
            </w:r>
            <w:r>
              <w:t xml:space="preserve"> het </w:t>
            </w:r>
            <w:r>
              <w:rPr>
                <w:b/>
                <w:i/>
              </w:rPr>
              <w:t>toepassingsgebied</w:t>
            </w:r>
            <w:r>
              <w:t xml:space="preserve"> van dit mechanisme;</w:t>
            </w:r>
          </w:p>
        </w:tc>
        <w:tc>
          <w:tcPr>
            <w:tcW w:w="4876" w:type="dxa"/>
            <w:tcBorders>
              <w:top w:val="nil"/>
              <w:left w:val="nil"/>
              <w:bottom w:val="nil"/>
              <w:right w:val="nil"/>
            </w:tcBorders>
          </w:tcPr>
          <w:p w:rsidR="00F81D50" w:rsidRPr="00CF469D" w:rsidRDefault="00F81D50" w:rsidP="00F81D50">
            <w:pPr>
              <w:pStyle w:val="Normal6a"/>
            </w:pPr>
            <w:r>
              <w:t>21.</w:t>
            </w:r>
            <w:r>
              <w:tab/>
              <w:t xml:space="preserve">benadrukt dat </w:t>
            </w:r>
            <w:r>
              <w:rPr>
                <w:b/>
                <w:i/>
              </w:rPr>
              <w:t>het conditionaliteitsmechanisme volgens de verduidelijkingen van het HvJ-EU niet de bescherming van de rechtsstaat, maar alleen de bescherming van de EU-begroting tot doel heeft; herinnert eraan dat de Unie geen federatie is en waarschuwt voor het opleggen van</w:t>
            </w:r>
            <w:r>
              <w:t xml:space="preserve"> een alomvattend conditionaliteitsmechanisme dat</w:t>
            </w:r>
            <w:r>
              <w:rPr>
                <w:b/>
                <w:i/>
              </w:rPr>
              <w:t>, onder het voorwendsel dat het zogezegd</w:t>
            </w:r>
            <w:r>
              <w:t xml:space="preserve"> naleving van de rechtsstaat waarborgt via alle aspecten van het EU-recht, en dus niet alleen via de </w:t>
            </w:r>
            <w:r>
              <w:lastRenderedPageBreak/>
              <w:t>begrotingsdimensie</w:t>
            </w:r>
            <w:r>
              <w:rPr>
                <w:b/>
                <w:i/>
              </w:rPr>
              <w:t>, uiteindelijk de uitgangspunten van de Gemeenschap zou kunnen verstoren en de toekomst van de Unie op het spel zou kunnen zetten</w:t>
            </w:r>
            <w:r>
              <w:t xml:space="preserve">; verzoekt de Commissie met klem </w:t>
            </w:r>
            <w:r>
              <w:rPr>
                <w:b/>
                <w:i/>
              </w:rPr>
              <w:t>dit mechanisme eerlijk toe</w:t>
            </w:r>
            <w:r>
              <w:t xml:space="preserve"> te </w:t>
            </w:r>
            <w:r>
              <w:rPr>
                <w:b/>
                <w:i/>
              </w:rPr>
              <w:t>passen en alleen in gevallen waarin de vereiste voorwaarden daadwerkelijk aanwezig zijn, en geen dubbele maatstaven te hanteren bij</w:t>
            </w:r>
            <w:r>
              <w:t xml:space="preserve"> het </w:t>
            </w:r>
            <w:r>
              <w:rPr>
                <w:b/>
                <w:i/>
              </w:rPr>
              <w:t>gebruik</w:t>
            </w:r>
            <w:r>
              <w:t xml:space="preserve"> van dit mechanisme</w:t>
            </w:r>
            <w:r>
              <w:rPr>
                <w:b/>
                <w:i/>
              </w:rPr>
              <w:t>, waarvan de gegrondheid twijfelachtig blijft</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521</w:t>
      </w:r>
      <w:r>
        <w:rPr>
          <w:rStyle w:val="HideTWBExt"/>
        </w:rPr>
        <w:t>&lt;/NumAm&gt;</w:t>
      </w:r>
    </w:p>
    <w:p w:rsidR="00F81D50" w:rsidRPr="00CF469D" w:rsidRDefault="00F81D50" w:rsidP="00F81D50">
      <w:pPr>
        <w:pStyle w:val="NormalBold"/>
      </w:pPr>
      <w:r>
        <w:rPr>
          <w:rStyle w:val="HideTWBExt"/>
          <w:b w:val="0"/>
        </w:rPr>
        <w:t>&lt;RepeatBlock-By&gt;&lt;Members&gt;</w:t>
      </w:r>
      <w:r>
        <w:t>Pekka Toveri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t>benadrukt dat we behoefte hebben aan een alomvattend conditionaliteitsmechanisme dat de naleving van de rechtsstaat waarborgt via alle aspecten van het EU-recht, en dus niet alleen via de 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t>21.</w:t>
            </w:r>
            <w:r>
              <w:tab/>
            </w:r>
            <w:r>
              <w:rPr>
                <w:b/>
                <w:i/>
              </w:rPr>
              <w:t>is ingenomen met het streven van de Commissie om de koppeling tussen de aanbevelingen uit het verslag over de rechtsstaat en de financiering uit de EU-begroting te versterken;</w:t>
            </w:r>
            <w:r>
              <w:t xml:space="preserve"> benadrukt dat we behoefte hebben aan een alomvattend conditionaliteitsmechanisme dat de naleving van de rechtsstaat waarborgt via alle aspecten van het EU-recht, en dus niet alleen via de begrotingsdimensie; verzoekt de Commissie met klem een voorstel te presenteren houdende uitbreiding van het toepassingsgebied van dit mechanisme;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522</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r>
            <w:r>
              <w:rPr>
                <w:b/>
                <w:i/>
              </w:rPr>
              <w:t>benadrukt dat we behoefte hebben aan een alomvattend conditionaliteitsmechanisme dat de naleving van de rechtsstaat waarborgt via alle aspecten van het EU-recht, en dus niet alleen via de 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t>21.</w:t>
            </w:r>
            <w:r>
              <w:tab/>
            </w:r>
            <w:r>
              <w:rPr>
                <w:b/>
                <w:i/>
              </w:rPr>
              <w:t>herhaalt dat dit verslag niet als basis kan dienen voor verdere EU-mechanismen en -procedures;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523</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t xml:space="preserve">benadrukt dat </w:t>
            </w:r>
            <w:r>
              <w:rPr>
                <w:b/>
                <w:i/>
              </w:rPr>
              <w:t>we behoefte hebben aan</w:t>
            </w:r>
            <w:r>
              <w:t xml:space="preserve"> een </w:t>
            </w:r>
            <w:r>
              <w:rPr>
                <w:b/>
                <w:i/>
              </w:rPr>
              <w:t>alomvattend conditionaliteitsmechanisme dat de naleving van de rechtsstaat waarborgt via alle aspecten van</w:t>
            </w:r>
            <w:r>
              <w:t xml:space="preserve"> het </w:t>
            </w:r>
            <w:r>
              <w:rPr>
                <w:b/>
                <w:i/>
              </w:rPr>
              <w:t>EU-recht, en dus niet alleen via</w:t>
            </w:r>
            <w:r>
              <w:t xml:space="preserve"> de </w:t>
            </w:r>
            <w:r>
              <w:rPr>
                <w:b/>
                <w:i/>
              </w:rPr>
              <w:t>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t>21.</w:t>
            </w:r>
            <w:r>
              <w:tab/>
              <w:t xml:space="preserve">benadrukt dat </w:t>
            </w:r>
            <w:r>
              <w:rPr>
                <w:b/>
                <w:i/>
              </w:rPr>
              <w:t>het niet nodig is</w:t>
            </w:r>
            <w:r>
              <w:t xml:space="preserve"> een </w:t>
            </w:r>
            <w:r>
              <w:rPr>
                <w:b/>
                <w:i/>
              </w:rPr>
              <w:t>aanvullend mechanisme in</w:t>
            </w:r>
            <w:r>
              <w:t xml:space="preserve"> het </w:t>
            </w:r>
            <w:r>
              <w:rPr>
                <w:b/>
                <w:i/>
              </w:rPr>
              <w:t>leven te roepen om</w:t>
            </w:r>
            <w:r>
              <w:t xml:space="preserve"> de </w:t>
            </w:r>
            <w:r>
              <w:rPr>
                <w:b/>
                <w:i/>
              </w:rPr>
              <w:t>naleving van</w:t>
            </w:r>
            <w:r>
              <w:t xml:space="preserve"> de </w:t>
            </w:r>
            <w:r>
              <w:rPr>
                <w:b/>
                <w:i/>
              </w:rPr>
              <w:t>rechtsstaat</w:t>
            </w:r>
            <w:r>
              <w:t xml:space="preserve"> te </w:t>
            </w:r>
            <w:r>
              <w:rPr>
                <w:b/>
                <w:i/>
              </w:rPr>
              <w:t>waarborgen, aangezien de bestaande mechanismen toereikend zijn</w:t>
            </w:r>
            <w:r>
              <w:t>;</w:t>
            </w:r>
            <w:r>
              <w:rPr>
                <w:b/>
                <w:i/>
              </w:rPr>
              <w:t>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524</w:t>
      </w:r>
      <w:r>
        <w:rPr>
          <w:rStyle w:val="HideTWBExt"/>
        </w:rPr>
        <w:t>&lt;/NumAm&gt;</w:t>
      </w:r>
    </w:p>
    <w:p w:rsidR="00F81D50" w:rsidRPr="00CF469D" w:rsidRDefault="00F81D50" w:rsidP="00F81D50">
      <w:pPr>
        <w:pStyle w:val="NormalBold"/>
      </w:pPr>
      <w:r>
        <w:rPr>
          <w:rStyle w:val="HideTWBExt"/>
          <w:b w:val="0"/>
        </w:rPr>
        <w:t>&lt;RepeatBlock-By&gt;&lt;Members&gt;</w:t>
      </w:r>
      <w:r>
        <w:t>Chloé Ridel, Jean-Marc Germain, Emma Rafowicz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lastRenderedPageBreak/>
              <w:t>21.</w:t>
            </w:r>
            <w:r>
              <w:tab/>
              <w:t>benadrukt dat we behoefte hebben aan een alomvattend conditionaliteitsmechanisme dat de naleving van de rechtsstaat waarborgt via alle aspecten van het EU-recht</w:t>
            </w:r>
            <w:r>
              <w:rPr>
                <w:b/>
                <w:i/>
              </w:rPr>
              <w:t>, en dus niet alleen via de begrotingsdimensie</w:t>
            </w:r>
            <w:r>
              <w:t xml:space="preserve">; </w:t>
            </w:r>
            <w:r>
              <w:rPr>
                <w:b/>
                <w:i/>
              </w:rPr>
              <w:t>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t>21.</w:t>
            </w:r>
            <w:r>
              <w:tab/>
              <w:t>benadrukt dat we behoefte hebben aan een alomvattend conditionaliteitsmechanisme dat de naleving van de rechtsstaat waarborgt via alle aspecten van het EU-recht;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525</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21.</w:t>
            </w:r>
            <w:r>
              <w:tab/>
              <w:t xml:space="preserve">benadrukt dat we behoefte hebben aan een alomvattend </w:t>
            </w:r>
            <w:r>
              <w:rPr>
                <w:b/>
                <w:i/>
              </w:rPr>
              <w:t>conditionaliteitsmechanisme</w:t>
            </w:r>
            <w:r>
              <w:t xml:space="preserve"> dat de naleving van de rechtsstaat waarborgt via alle aspecten van het EU-recht, en dus niet alleen via de begrotingsdimensie; verzoekt de Commissie met klem een voorstel te presenteren houdende uitbreiding van het toepassingsgebied van dit mechanisme;</w:t>
            </w:r>
          </w:p>
        </w:tc>
        <w:tc>
          <w:tcPr>
            <w:tcW w:w="4876" w:type="dxa"/>
            <w:tcBorders>
              <w:top w:val="nil"/>
              <w:left w:val="nil"/>
              <w:bottom w:val="nil"/>
              <w:right w:val="nil"/>
            </w:tcBorders>
          </w:tcPr>
          <w:p w:rsidR="00F81D50" w:rsidRPr="00CF469D" w:rsidRDefault="00F81D50" w:rsidP="00F81D50">
            <w:pPr>
              <w:pStyle w:val="Normal6a"/>
            </w:pPr>
            <w:r>
              <w:t>21.</w:t>
            </w:r>
            <w:r>
              <w:tab/>
              <w:t xml:space="preserve">benadrukt dat we behoefte hebben aan een alomvattend </w:t>
            </w:r>
            <w:r>
              <w:rPr>
                <w:b/>
                <w:bCs/>
                <w:i/>
                <w:iCs/>
              </w:rPr>
              <w:t>mechanisme</w:t>
            </w:r>
            <w:r>
              <w:t xml:space="preserve"> dat de naleving van de rechtsstaat waarborgt via alle aspecten van het EU-recht, en dus niet alleen via de begrotingsdimensie; verzoekt de Commissie met klem een voorstel te presenteren houdende uitbreiding van het toepassingsgebied van dit mechanisme;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526</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21 bis.</w:t>
            </w:r>
            <w:r>
              <w:tab/>
            </w:r>
            <w:r>
              <w:rPr>
                <w:b/>
                <w:i/>
              </w:rPr>
              <w:t xml:space="preserve">herinnert eraan dat in de verordening inzake conditionaliteit met betrekking tot de rechtsstaat is bepaald </w:t>
            </w:r>
            <w:r>
              <w:rPr>
                <w:b/>
                <w:i/>
              </w:rPr>
              <w:lastRenderedPageBreak/>
              <w:t>dat eindontvangers EU-financiering niet mag worden ontnomen indien er aan hun regering sancties zijn opgelegd; is van mening dat deze beschermende bepaling tot nu toe niet doeltreffend is geweest;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527</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21 ter.</w:t>
            </w:r>
            <w:r>
              <w:tab/>
            </w:r>
            <w:r>
              <w:rPr>
                <w:b/>
                <w:i/>
              </w:rPr>
              <w:t>uit zijn bezorgdheid over het feit dat de opschorting van EU-middelen door gesanctioneerde nationale regeringen kan worden misbruikt als politiek wapen om het maatschappelijk middenveld en lokale en regionale overheden rechten en/of privileges te ontnemen;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528</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22.</w:t>
            </w:r>
            <w:r>
              <w:tab/>
            </w:r>
            <w:r>
              <w:rPr>
                <w:b/>
                <w:i/>
              </w:rPr>
              <w:t xml:space="preserve">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t>
            </w:r>
            <w:r>
              <w:rPr>
                <w:b/>
                <w:i/>
              </w:rPr>
              <w:lastRenderedPageBreak/>
              <w:t>waarden van de EU respecteren;</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529</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22.</w:t>
            </w:r>
            <w:r>
              <w:tab/>
            </w:r>
            <w:r>
              <w:rPr>
                <w:b/>
                <w:i/>
              </w:rPr>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530</w:t>
      </w:r>
      <w:r>
        <w:rPr>
          <w:rStyle w:val="HideTWBExt"/>
        </w:rPr>
        <w:t>&lt;/NumAm&gt;</w:t>
      </w:r>
    </w:p>
    <w:p w:rsidR="00F81D50" w:rsidRPr="00CF469D" w:rsidRDefault="00F81D50" w:rsidP="00F81D50">
      <w:pPr>
        <w:pStyle w:val="NormalBold"/>
      </w:pPr>
      <w:r>
        <w:rPr>
          <w:rStyle w:val="HideTWBExt"/>
          <w:b w:val="0"/>
        </w:rPr>
        <w:t>&lt;RepeatBlock-By&gt;&lt;Members&gt;</w:t>
      </w:r>
      <w:r>
        <w:t>Lukas Mandl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22.</w:t>
            </w:r>
            <w:r>
              <w:tab/>
            </w:r>
            <w:r>
              <w:rPr>
                <w:b/>
                <w:i/>
              </w:rPr>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531</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22.</w:t>
            </w:r>
            <w:r>
              <w:tab/>
            </w:r>
            <w:r>
              <w:rPr>
                <w:b/>
                <w:i/>
              </w:rPr>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532</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22.</w:t>
            </w:r>
            <w:r>
              <w:tab/>
            </w:r>
            <w:r>
              <w:rPr>
                <w:b/>
                <w:i/>
              </w:rPr>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533</w:t>
      </w:r>
      <w:r>
        <w:rPr>
          <w:rStyle w:val="HideTWBExt"/>
        </w:rPr>
        <w:t>&lt;/NumAm&gt;</w:t>
      </w:r>
    </w:p>
    <w:p w:rsidR="00F81D50" w:rsidRPr="00CF469D" w:rsidRDefault="00F81D50" w:rsidP="00F81D50">
      <w:pPr>
        <w:pStyle w:val="NormalBold"/>
      </w:pPr>
      <w:r>
        <w:rPr>
          <w:rStyle w:val="HideTWBExt"/>
          <w:b w:val="0"/>
        </w:rPr>
        <w:t>&lt;RepeatBlock-By&gt;&lt;Members&gt;</w:t>
      </w:r>
      <w:r>
        <w:t>Moritz Körner, Dainius Žalimas, Lucia Yar, Fabienne Keller, Raquel García Hermida-Van Der Walle, Abir Al-Sahlani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r>
            <w:r>
              <w:rPr>
                <w:b/>
                <w:i/>
              </w:rPr>
              <w:t>dringt aan op de invoering van een mechanisme voor “slimme conditionaliteit”, waarmee het mogelijk zou zijn bij de toekenning van EU-gelden</w:t>
            </w:r>
            <w:r>
              <w:t xml:space="preserve"> nationale overheden </w:t>
            </w:r>
            <w:r>
              <w:rPr>
                <w:b/>
                <w:i/>
              </w:rPr>
              <w:t>die de rechtsstaat ondermijnen te omzeilen en de middelen</w:t>
            </w:r>
            <w:r>
              <w:t xml:space="preserve"> rechtstreeks </w:t>
            </w:r>
            <w:r>
              <w:rPr>
                <w:b/>
                <w:i/>
              </w:rPr>
              <w:t>terecht te laten komen bij gemeenten, non-gouvernementele organisaties, en andere actoren die de waarden van de EU respecteren</w:t>
            </w:r>
            <w:r>
              <w:t>;</w:t>
            </w:r>
          </w:p>
        </w:tc>
        <w:tc>
          <w:tcPr>
            <w:tcW w:w="4876" w:type="dxa"/>
            <w:tcBorders>
              <w:top w:val="nil"/>
              <w:left w:val="nil"/>
              <w:bottom w:val="nil"/>
              <w:right w:val="nil"/>
            </w:tcBorders>
          </w:tcPr>
          <w:p w:rsidR="00F81D50" w:rsidRPr="00CF469D" w:rsidRDefault="00F81D50" w:rsidP="00F81D50">
            <w:pPr>
              <w:pStyle w:val="Normal6a"/>
            </w:pPr>
            <w:r>
              <w:t>22.</w:t>
            </w:r>
            <w:r>
              <w:tab/>
            </w:r>
            <w:r>
              <w:rPr>
                <w:b/>
                <w:i/>
              </w:rPr>
              <w:t>wijst op het belang van de toepassing een slimmeconditionaliteitsbenadering, zodat begunstigden niet worden bestraft voor het optreden van hun regering; verzoekt de Commissie aanvullende maatregelen vast te stellen om ervoor te zorgen dat lokale en regionale overheden, het maatschappelijk middenveld en andere begunstigden kunnen blijven profiteren van Uniefinanciering in gevallen van schending van de rechtsstaat door</w:t>
            </w:r>
            <w:r>
              <w:t xml:space="preserve"> nationale overheden</w:t>
            </w:r>
            <w:r>
              <w:rPr>
                <w:b/>
                <w:i/>
              </w:rPr>
              <w:t>, zonder de toepassing van de verordening inzake conditionaliteit met betrekking tot de rechtsstaat af te zwakken; is van mening dat deze aanvullende maatregelen onder meer moeten bestaan uit de overheveling van vrijgemaakte middelen naar financieringsregelingen die</w:t>
            </w:r>
            <w:r>
              <w:t xml:space="preserve"> rechtstreeks </w:t>
            </w:r>
            <w:r>
              <w:rPr>
                <w:b/>
                <w:i/>
              </w:rPr>
              <w:t>door de Commissie worden beheerd</w:t>
            </w:r>
            <w:r>
              <w:t>;</w:t>
            </w:r>
            <w:r>
              <w:rPr>
                <w:b/>
                <w:i/>
              </w:rPr>
              <w:t xml:space="preserve"> onderstreept dat, om buitensporige administratieve lasten voor de Commissie te voorkomen, de rol van de beheersautoriteiten moet worden vervuld door bevoegde regionale en lokale instanties, door semi-onafhankelijke instanties zoals Jaspers of de Europese Investeringsbank, of door onafhankelijke professionele fondsbeheerders die de nodige organisatorische capaciteit hebben en geselecteerd worden via openbare aanbestedingen, zoals bedrijven die advies en technische ondersteuning bieden in het kader van internationale ontwikkelingsprojecten;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534</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t>22.</w:t>
            </w:r>
            <w:r>
              <w:tab/>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r>
              <w:rPr>
                <w:b/>
                <w:i/>
              </w:rPr>
              <w:t>, met behoud van de volledige impact van de getroffen maatregelen</w:t>
            </w:r>
            <w:r>
              <w:t xml:space="preserve">; </w:t>
            </w:r>
            <w:r>
              <w:rPr>
                <w:b/>
                <w:i/>
              </w:rPr>
              <w:t>beklemtoont dat deze “slimme conditionaliteit”, naast bevriezing van de middelen in samenhang met de betalingsverplichting van de lidstaat op grond van het EU-recht, ook de mogelijkheid zouden kunnen omvatten om de gebruikelijke procedures voor gedeeld beheer te vervangen door een speciale procedure waarbij een onafhankelijke derde partij betrokken is in plaats van de autoriteiten van de betrokken lidstaat, alsook de vereenvoudigde overheveling van middelen die bestemd zijn voor de lidstaat in kwestie naar de programma’s waarbij sprake is van direct en indirect beheer, zoals het programma Burgers, gelijkheid, rechten en waarden of het programma Creatief Europa, of opvolgers daarvan;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535</w:t>
      </w:r>
      <w:r>
        <w:rPr>
          <w:rStyle w:val="HideTWBExt"/>
        </w:rPr>
        <w:t>&lt;/NumAm&gt;</w:t>
      </w:r>
    </w:p>
    <w:p w:rsidR="00F81D50" w:rsidRPr="00CF469D" w:rsidRDefault="00F81D50" w:rsidP="00F81D50">
      <w:pPr>
        <w:pStyle w:val="NormalBold"/>
      </w:pPr>
      <w:r>
        <w:rPr>
          <w:rStyle w:val="HideTWBExt"/>
          <w:b w:val="0"/>
        </w:rPr>
        <w:t>&lt;RepeatBlock-By&gt;&lt;Members&gt;</w:t>
      </w:r>
      <w:r>
        <w:t>Chloé Ridel, Jean-Marc Germain, Emma Rafowicz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r>
            <w:r>
              <w:rPr>
                <w:b/>
                <w:i/>
              </w:rPr>
              <w:t>dringt aan op de invoering van een mechanisme voor “slimme conditionaliteit”, waarmee het mogelijk zou zijn bij de toekenning van EU-gelden</w:t>
            </w:r>
            <w:r>
              <w:t xml:space="preserve"> nationale overheden </w:t>
            </w:r>
            <w:r>
              <w:rPr>
                <w:b/>
                <w:i/>
              </w:rPr>
              <w:t>die de rechtsstaat ondermijnen te omzeilen en de middelen rechtstreeks terecht te laten komen bij gemeenten, non-gouvernementele organisaties, en andere actoren die de waarden van de EU respecteren</w:t>
            </w:r>
            <w:r>
              <w:t>;</w:t>
            </w:r>
          </w:p>
        </w:tc>
        <w:tc>
          <w:tcPr>
            <w:tcW w:w="4876" w:type="dxa"/>
            <w:tcBorders>
              <w:top w:val="nil"/>
              <w:left w:val="nil"/>
              <w:bottom w:val="nil"/>
              <w:right w:val="nil"/>
            </w:tcBorders>
          </w:tcPr>
          <w:p w:rsidR="00F81D50" w:rsidRPr="00CF469D" w:rsidRDefault="00F81D50" w:rsidP="00F81D50">
            <w:pPr>
              <w:pStyle w:val="Normal6a"/>
            </w:pPr>
            <w:r>
              <w:t>22.</w:t>
            </w:r>
            <w:r>
              <w:tab/>
            </w:r>
            <w:r>
              <w:rPr>
                <w:b/>
                <w:i/>
              </w:rPr>
              <w:t>herinnert eraan dat in de verordening inzake conditionaliteit met betrekking tot de rechtsstaat wordt bepaald dat eindontvangers de voordelen van EU-middelen niet mogen worden ontnomen indien tegen hun regering sancties zijn ingesteld; is van mening dat deze bepaling tot nu toe niet doeltreffend is geweest en wijst op het belang van een slimmeconditionaliteitsbenadering, zodat begunstigden niet worden bestraft voor het optreden van hun regering; verzoekt de Commissie te zoeken naar aanvullende manieren om ervoor te zorgen dat lokale en regionale overheden, het maatschappelijk middenveld en andere begunstigden kunnen blijven profiteren van Uniefinanciering in gevallen van schending van de rechtsstaat door</w:t>
            </w:r>
            <w:r>
              <w:t xml:space="preserve"> nationale overheden</w:t>
            </w:r>
            <w:r>
              <w:rPr>
                <w:b/>
                <w:i/>
              </w:rPr>
              <w:t>, zonder de toepassing van de verordening af te zwakken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536</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r>
            <w:r>
              <w:rPr>
                <w:b/>
                <w:i/>
              </w:rPr>
              <w:t xml:space="preserve">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t>
            </w:r>
            <w:r>
              <w:rPr>
                <w:b/>
                <w:i/>
              </w:rPr>
              <w:lastRenderedPageBreak/>
              <w:t>waarden van de EU respecteren;</w:t>
            </w:r>
          </w:p>
        </w:tc>
        <w:tc>
          <w:tcPr>
            <w:tcW w:w="4876" w:type="dxa"/>
            <w:tcBorders>
              <w:top w:val="nil"/>
              <w:left w:val="nil"/>
              <w:bottom w:val="nil"/>
              <w:right w:val="nil"/>
            </w:tcBorders>
          </w:tcPr>
          <w:p w:rsidR="00F81D50" w:rsidRPr="00CF469D" w:rsidRDefault="00F81D50" w:rsidP="00F81D50">
            <w:pPr>
              <w:pStyle w:val="Normal6a"/>
            </w:pPr>
            <w:r>
              <w:lastRenderedPageBreak/>
              <w:t>22.</w:t>
            </w:r>
            <w:r>
              <w:tab/>
            </w:r>
            <w:r>
              <w:rPr>
                <w:b/>
                <w:i/>
              </w:rPr>
              <w:t xml:space="preserve">herhaalt dat de EU ultra vires heeft gehandeld door de verordening inzake conditionaliteit met betrekking tot de rechtsstaat vast te stellen, in die zin dat zij verder is gegaan dan de bevoegdheden die haar door de lidstaten zijn toegekend; benadrukt voorts het feit dat de verordening strijdig is met het beginsel van rechtszekerheid; verwerpt daarom de </w:t>
            </w:r>
            <w:r>
              <w:rPr>
                <w:b/>
                <w:i/>
              </w:rPr>
              <w:lastRenderedPageBreak/>
              <w:t>verordening inzake conditionaliteit met betrekking tot de rechtsstaat in zijn geheel; is voorts van mening dat de verordening inzake conditionaliteit met betrekking tot de rechtsstaat in strijd is met het unanimiteitsbeginsel van artikel 7 VEU en bijgevolg een inbreuk vormt op het EU-recht;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537</w:t>
      </w:r>
      <w:r>
        <w:rPr>
          <w:rStyle w:val="HideTWBExt"/>
        </w:rPr>
        <w:t>&lt;/NumAm&gt;</w:t>
      </w:r>
    </w:p>
    <w:p w:rsidR="00F81D50" w:rsidRPr="00CF469D" w:rsidRDefault="00F81D50" w:rsidP="00F81D50">
      <w:pPr>
        <w:pStyle w:val="NormalBold"/>
      </w:pPr>
      <w:r>
        <w:rPr>
          <w:rStyle w:val="HideTWBExt"/>
          <w:b w:val="0"/>
        </w:rPr>
        <w:t>&lt;RepeatBlock-By&gt;&lt;Members&gt;</w:t>
      </w:r>
      <w:r>
        <w:t>Javier Zarzalejos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t xml:space="preserve">dringt aan op de invoering van </w:t>
            </w:r>
            <w:r>
              <w:rPr>
                <w:b/>
                <w:i/>
              </w:rPr>
              <w:t>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r>
              <w:t>;</w:t>
            </w:r>
          </w:p>
        </w:tc>
        <w:tc>
          <w:tcPr>
            <w:tcW w:w="4876" w:type="dxa"/>
            <w:tcBorders>
              <w:top w:val="nil"/>
              <w:left w:val="nil"/>
              <w:bottom w:val="nil"/>
              <w:right w:val="nil"/>
            </w:tcBorders>
          </w:tcPr>
          <w:p w:rsidR="00F81D50" w:rsidRPr="00CF469D" w:rsidRDefault="00F81D50" w:rsidP="00F81D50">
            <w:pPr>
              <w:pStyle w:val="Normal6a"/>
            </w:pPr>
            <w:r>
              <w:t>22.</w:t>
            </w:r>
            <w:r>
              <w:tab/>
              <w:t xml:space="preserve">dringt aan op de invoering van </w:t>
            </w:r>
            <w:r>
              <w:rPr>
                <w:b/>
                <w:i/>
              </w:rPr>
              <w:t>versterkte monitoringmechanismen voor de verdeling van EU-middelen om de naleving van de normen inzake de rechtsstaat te waarborgen</w:t>
            </w:r>
            <w:r>
              <w:t>;</w:t>
            </w:r>
            <w:r>
              <w:rPr>
                <w:b/>
                <w:i/>
              </w:rPr>
              <w:t xml:space="preserve"> vestigt de aandacht op de noodzaak van strikte controle op potentiële belangenconflicten, politieke instrumentalisering of ondoorzichtigheid bij de toewijzing van middelen op nationaal niveau; verzoekt de Commissie met klem systematische controles uit te voeren om misbruik te voorkomen, in overeenstemming met de verordening inzake conditionaliteit met betrekking tot de rechtsstaat;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538</w:t>
      </w:r>
      <w:r>
        <w:rPr>
          <w:rStyle w:val="HideTWBExt"/>
        </w:rPr>
        <w:t>&lt;/NumAm&gt;</w:t>
      </w:r>
    </w:p>
    <w:p w:rsidR="00F81D50" w:rsidRPr="00CF469D" w:rsidRDefault="00F81D50" w:rsidP="00F81D50">
      <w:pPr>
        <w:pStyle w:val="NormalBold"/>
      </w:pPr>
      <w:r>
        <w:rPr>
          <w:rStyle w:val="HideTWBExt"/>
          <w:b w:val="0"/>
        </w:rPr>
        <w:t>&lt;RepeatBlock-By&gt;&lt;Members&gt;</w:t>
      </w:r>
      <w:r>
        <w:t>Emma Rafowicz, Chloé Ridel, Birgit Sippel, Krzysztof Śmiszek, Hannes Heide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t>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t>22.</w:t>
            </w:r>
            <w:r>
              <w:tab/>
              <w:t xml:space="preserve">dringt aan op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 </w:t>
            </w:r>
            <w:r>
              <w:rPr>
                <w:b/>
                <w:i/>
              </w:rPr>
              <w:t>en voldoende onafhankelijk zijn van de autoriteiten van de betrokken lidstaten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539</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r>
            <w:r>
              <w:rPr>
                <w:b/>
                <w:i/>
              </w:rPr>
              <w:t>dringt aan op</w:t>
            </w:r>
            <w:r>
              <w:t xml:space="preserve">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w:t>
            </w:r>
            <w:r>
              <w:rPr>
                <w:b/>
                <w:i/>
              </w:rPr>
              <w:t xml:space="preserve"> die</w:t>
            </w:r>
            <w:r>
              <w:t xml:space="preserve"> de waarden van de EU</w:t>
            </w:r>
            <w:r>
              <w:rPr>
                <w:b/>
                <w:i/>
              </w:rPr>
              <w:t xml:space="preserve"> respecteren</w:t>
            </w:r>
            <w:r>
              <w:t>;</w:t>
            </w:r>
          </w:p>
        </w:tc>
        <w:tc>
          <w:tcPr>
            <w:tcW w:w="4876" w:type="dxa"/>
            <w:tcBorders>
              <w:top w:val="nil"/>
              <w:left w:val="nil"/>
              <w:bottom w:val="nil"/>
              <w:right w:val="nil"/>
            </w:tcBorders>
          </w:tcPr>
          <w:p w:rsidR="00F81D50" w:rsidRPr="00CF469D" w:rsidRDefault="00F81D50" w:rsidP="00F81D50">
            <w:pPr>
              <w:pStyle w:val="Normal6a"/>
            </w:pPr>
            <w:r>
              <w:t>22.</w:t>
            </w:r>
            <w:r>
              <w:tab/>
            </w:r>
            <w:r>
              <w:rPr>
                <w:b/>
                <w:i/>
              </w:rPr>
              <w:t>beklemtoont dat alle initiatieven zoals</w:t>
            </w:r>
            <w:r>
              <w:t xml:space="preserve">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w:t>
            </w:r>
            <w:r>
              <w:rPr>
                <w:b/>
                <w:i/>
              </w:rPr>
              <w:t>, onverenigbaar zijn met de Verdragen en een schending vormen van</w:t>
            </w:r>
            <w:r>
              <w:t xml:space="preserve"> de waarden </w:t>
            </w:r>
            <w:r>
              <w:rPr>
                <w:b/>
                <w:i/>
              </w:rPr>
              <w:t xml:space="preserve">en het recht </w:t>
            </w:r>
            <w:r>
              <w:t>van de EU;</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540</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t xml:space="preserve">dringt aan op de invoering van een mechanisme voor “slimme conditionaliteit”, waarmee het mogelijk zou zijn bij de toekenning van EU-gelden nationale overheden die de rechtsstaat ondermijnen te omzeilen en de middelen </w:t>
            </w:r>
            <w:r>
              <w:rPr>
                <w:b/>
                <w:bCs/>
                <w:i/>
                <w:iCs/>
              </w:rPr>
              <w:t>rechtstreeks terecht te laten komen bij gemeenten, non-gouvernementele organisaties, en andere actoren die de waarden van de EU respecteren</w:t>
            </w:r>
            <w:r>
              <w:t>;</w:t>
            </w:r>
          </w:p>
        </w:tc>
        <w:tc>
          <w:tcPr>
            <w:tcW w:w="4876" w:type="dxa"/>
            <w:tcBorders>
              <w:top w:val="nil"/>
              <w:left w:val="nil"/>
              <w:bottom w:val="nil"/>
              <w:right w:val="nil"/>
            </w:tcBorders>
          </w:tcPr>
          <w:p w:rsidR="00F81D50" w:rsidRPr="00CF469D" w:rsidRDefault="00F81D50" w:rsidP="00F81D50">
            <w:pPr>
              <w:pStyle w:val="Normal6a"/>
            </w:pPr>
            <w:r>
              <w:t>22.</w:t>
            </w:r>
            <w:r>
              <w:tab/>
              <w:t xml:space="preserve">dringt aan op de invoering van een mechanisme voor “slimme conditionaliteit”, waarmee het mogelijk zou zijn bij de toekenning van EU-gelden nationale overheden die de rechtsstaat ondermijnen te omzeilen en de middelen </w:t>
            </w:r>
            <w:r>
              <w:rPr>
                <w:b/>
                <w:bCs/>
                <w:i/>
                <w:iCs/>
              </w:rPr>
              <w:t>in plaats daarvan in te zetten ter ondersteuning van Oekraïne, dat op de concreetst denkbare wijze heel Europa en zijn onderliggende waarden verdedigt tegen de Russische agressie</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541</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t xml:space="preserve">dringt aan op de invoering van een mechanisme </w:t>
            </w:r>
            <w:r>
              <w:rPr>
                <w:b/>
                <w:i/>
              </w:rPr>
              <w:t>voor “slimme conditionaliteit”,</w:t>
            </w:r>
            <w:r>
              <w:t xml:space="preserve"> waarmee het mogelijk zou zijn bij de toekenning van EU-gelden nationale overheden die de rechtsstaat ondermijnen te omzeilen en de middelen rechtstreeks terecht te laten komen bij gemeenten</w:t>
            </w:r>
            <w:r>
              <w:rPr>
                <w:b/>
                <w:i/>
              </w:rPr>
              <w:t>, non-gouvernementele organisaties, en andere actoren die de waarden van de EU respecteren</w:t>
            </w:r>
            <w:r>
              <w:t>;</w:t>
            </w:r>
          </w:p>
        </w:tc>
        <w:tc>
          <w:tcPr>
            <w:tcW w:w="4876" w:type="dxa"/>
            <w:tcBorders>
              <w:top w:val="nil"/>
              <w:left w:val="nil"/>
              <w:bottom w:val="nil"/>
              <w:right w:val="nil"/>
            </w:tcBorders>
          </w:tcPr>
          <w:p w:rsidR="00F81D50" w:rsidRPr="00CF469D" w:rsidRDefault="00F81D50" w:rsidP="00F81D50">
            <w:pPr>
              <w:pStyle w:val="Normal6a"/>
            </w:pPr>
            <w:r>
              <w:t>22.</w:t>
            </w:r>
            <w:r>
              <w:tab/>
              <w:t>dringt aan op de invoering van een mechanisme waarmee het mogelijk zou zijn bij de toekenning van EU-gelden nationale overheden die de rechtsstaat ondermijnen te omzeilen en de middelen rechtstreeks terecht te laten komen bij gemeenten;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542</w:t>
      </w:r>
      <w:r>
        <w:rPr>
          <w:rStyle w:val="HideTWBExt"/>
        </w:rPr>
        <w:t>&lt;/NumAm&gt;</w:t>
      </w:r>
    </w:p>
    <w:p w:rsidR="00F81D50" w:rsidRPr="00CF469D" w:rsidRDefault="00F81D50" w:rsidP="00F81D50">
      <w:pPr>
        <w:pStyle w:val="NormalBold"/>
      </w:pPr>
      <w:r>
        <w:rPr>
          <w:rStyle w:val="HideTWBExt"/>
          <w:b w:val="0"/>
        </w:rPr>
        <w:t>&lt;RepeatBlock-By&gt;&lt;Members&gt;</w:t>
      </w:r>
      <w:r>
        <w:t>Mary Khan, Ewa Zajączkowska-Hernik, Milan Uhrík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r>
            <w:r>
              <w:rPr>
                <w:b/>
                <w:i/>
              </w:rPr>
              <w:t>dringt aan op</w:t>
            </w:r>
            <w:r>
              <w:t xml:space="preserve"> de invoering van een mechanisme voor “slimme conditionaliteit”, waarmee het mogelijk zou zijn bij de toekenning van EU-gelden nationale overheden die de rechtsstaat ondermijnen te omzeilen en de middelen rechtstreeks terecht te laten komen bij gemeenten, non-gouvernementele organisaties, en andere actoren die de waarden van de EU respecteren;</w:t>
            </w:r>
          </w:p>
        </w:tc>
        <w:tc>
          <w:tcPr>
            <w:tcW w:w="4876" w:type="dxa"/>
            <w:tcBorders>
              <w:top w:val="nil"/>
              <w:left w:val="nil"/>
              <w:bottom w:val="nil"/>
              <w:right w:val="nil"/>
            </w:tcBorders>
          </w:tcPr>
          <w:p w:rsidR="00F81D50" w:rsidRPr="00CF469D" w:rsidRDefault="00F81D50" w:rsidP="00F81D50">
            <w:pPr>
              <w:pStyle w:val="Normal6a"/>
            </w:pPr>
            <w:r>
              <w:t>22.</w:t>
            </w:r>
            <w:r>
              <w:tab/>
            </w:r>
            <w:r>
              <w:rPr>
                <w:b/>
                <w:i/>
              </w:rPr>
              <w:t>betreurt</w:t>
            </w:r>
            <w:r>
              <w:t xml:space="preserve"> de invoering van een mechanisme voor “slimme conditionaliteit”, waarmee het mogelijk zou zijn bij de toekenning van EU-gelden nationale overheden die </w:t>
            </w:r>
            <w:r>
              <w:rPr>
                <w:b/>
                <w:i/>
              </w:rPr>
              <w:t>naar verluidt</w:t>
            </w:r>
            <w:r>
              <w:t xml:space="preserve"> de rechtsstaat ondermijnen te omzeilen en de middelen rechtstreeks terecht te laten komen bij gemeenten, non-gouvernementele organisaties, en andere actoren die de </w:t>
            </w:r>
            <w:r>
              <w:rPr>
                <w:b/>
                <w:i/>
              </w:rPr>
              <w:t>zogenaamde</w:t>
            </w:r>
            <w:r>
              <w:t xml:space="preserve"> waarden van de EU respecteren;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543</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22.</w:t>
            </w:r>
            <w:r>
              <w:tab/>
            </w:r>
            <w:r>
              <w:rPr>
                <w:b/>
                <w:i/>
              </w:rPr>
              <w:t>dringt aan op de invoering van een mechanisme voor “slimme conditionaliteit”, waarmee het mogelijk zou zijn bij de toekenning van EU-gelden</w:t>
            </w:r>
            <w:r>
              <w:t xml:space="preserve"> nationale overheden </w:t>
            </w:r>
            <w:r>
              <w:rPr>
                <w:b/>
                <w:i/>
              </w:rPr>
              <w:t>die de rechtsstaat ondermijnen</w:t>
            </w:r>
            <w:r>
              <w:t xml:space="preserve"> te omzeilen </w:t>
            </w:r>
            <w:r>
              <w:rPr>
                <w:b/>
                <w:i/>
              </w:rPr>
              <w:t>en de middelen rechtstreeks terecht te laten komen bij gemeenten, non-gouvernementele organisaties, en andere actoren die de waarden van de EU respecteren</w:t>
            </w:r>
            <w:r>
              <w:t>;</w:t>
            </w:r>
          </w:p>
        </w:tc>
        <w:tc>
          <w:tcPr>
            <w:tcW w:w="4876" w:type="dxa"/>
            <w:tcBorders>
              <w:top w:val="nil"/>
              <w:left w:val="nil"/>
              <w:bottom w:val="nil"/>
              <w:right w:val="nil"/>
            </w:tcBorders>
          </w:tcPr>
          <w:p w:rsidR="00F81D50" w:rsidRPr="00CF469D" w:rsidRDefault="00F81D50" w:rsidP="00F81D50">
            <w:pPr>
              <w:pStyle w:val="Normal6a"/>
            </w:pPr>
            <w:r>
              <w:t>22.</w:t>
            </w:r>
            <w:r>
              <w:tab/>
            </w:r>
            <w:r>
              <w:rPr>
                <w:b/>
                <w:i/>
              </w:rPr>
              <w:t>betreurt de poging van Europees Links om</w:t>
            </w:r>
            <w:r>
              <w:t xml:space="preserve"> nationale overheden te omzeilen </w:t>
            </w:r>
            <w:r>
              <w:rPr>
                <w:b/>
                <w:i/>
              </w:rPr>
              <w:t>door de invoering van zogenaamde “slimme conditionaliteit”, die in werkelijkheid zou indruisen tegen de soevereiniteit van de lidstaten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544</w:t>
      </w:r>
      <w:r>
        <w:rPr>
          <w:rStyle w:val="HideTWBExt"/>
        </w:rPr>
        <w:t>&lt;/NumAm&gt;</w:t>
      </w:r>
    </w:p>
    <w:p w:rsidR="00F81D50" w:rsidRPr="00CF469D" w:rsidRDefault="00F81D50" w:rsidP="00F81D50">
      <w:pPr>
        <w:pStyle w:val="NormalBold"/>
      </w:pPr>
      <w:r>
        <w:rPr>
          <w:rStyle w:val="HideTWBExt"/>
          <w:b w:val="0"/>
        </w:rPr>
        <w:t>&lt;RepeatBlock-By&gt;&lt;Members&gt;</w:t>
      </w:r>
      <w:r>
        <w:t>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bis.</w:t>
            </w:r>
            <w:r>
              <w:tab/>
            </w:r>
            <w:r>
              <w:rPr>
                <w:b/>
                <w:i/>
              </w:rPr>
              <w:t>stelt de oprichting voor van een permanente groep van vooraanstaande personen (een “Groep van wijzen”) die bestaat uit onafhankelijke juridisch, academisch en mensenrechtendeskundigen en die tot taak heeft de ontwikkelingen in de lidstaten op het gebied van de rechtsstaat systematisch te monitoren en de Europese Commissie regelmatig te voorzien van beoordelingen, aanbevelingen en vroegtijdige waarschuwingen; benadrukt dat volledige onafhankelijkheid en objectiviteit moet worden betracht bij de samenstelling en werking van dit orgaan, naar het voorbeeld van het bij Verordening (EU, Euratom) nr. 1141/2014 opgerichte comité van onafhankelijke vooraanstaande personen, en dat het mandaat van het orgaan specifiek moet worden afgestemd op het aanpakken van uitdagingen op het gebied van de rechtsstaat;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545</w:t>
      </w:r>
      <w:r>
        <w:rPr>
          <w:rStyle w:val="HideTWBExt"/>
        </w:rPr>
        <w:t>&lt;/NumAm&gt;</w:t>
      </w:r>
    </w:p>
    <w:p w:rsidR="00F81D50" w:rsidRPr="00CF469D" w:rsidRDefault="00F81D50" w:rsidP="00F81D50">
      <w:pPr>
        <w:pStyle w:val="NormalBold"/>
      </w:pPr>
      <w:r>
        <w:rPr>
          <w:rStyle w:val="HideTWBExt"/>
          <w:b w:val="0"/>
        </w:rPr>
        <w:t>&lt;RepeatBlock-By&gt;&lt;Members&gt;</w:t>
      </w:r>
      <w:r>
        <w:t>Moritz Körner, Dainius Žalimas, Lucia Yar, Fabienne Keller, Raquel García Hermida-Van Der Walle, Abir Al-Sahlani, Veronika Cifrová Ostrihoňová, 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bis.</w:t>
            </w:r>
            <w:r>
              <w:tab/>
            </w:r>
            <w:r>
              <w:rPr>
                <w:b/>
                <w:i/>
              </w:rPr>
              <w:t>pleit voor de ontwikkeling van een transparant systeem met behulp waarvan lokale instanties rechtstreeks EU-middelen kunnen aanvragen wanneer nationale regeringen EU-middelen blokkeren of misbruiken;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546</w:t>
      </w:r>
      <w:r>
        <w:rPr>
          <w:rStyle w:val="HideTWBExt"/>
        </w:rPr>
        <w:t>&lt;/NumAm&gt;</w:t>
      </w:r>
    </w:p>
    <w:p w:rsidR="00F81D50" w:rsidRPr="00CF469D" w:rsidRDefault="00F81D50" w:rsidP="00F81D50">
      <w:pPr>
        <w:pStyle w:val="NormalBold"/>
      </w:pPr>
      <w:r>
        <w:rPr>
          <w:rStyle w:val="HideTWBExt"/>
          <w:b w:val="0"/>
        </w:rPr>
        <w:t>&lt;RepeatBlock-By&gt;&lt;Members&gt;</w:t>
      </w:r>
      <w:r>
        <w:t>Moritz Körner,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ter.</w:t>
            </w:r>
            <w:r>
              <w:tab/>
            </w:r>
            <w:r>
              <w:rPr>
                <w:b/>
                <w:i/>
              </w:rPr>
              <w:t>benadrukt dat besluiten tot opschorting of vermindering van EU-financiering wegens schendingen van de rechtsstaat gebaseerd moeten zijn op objectieve criteria en niet mogen worden ingegeven door andere overwegingen, noch het resultaat mogen zijn van onderhandelingen;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547</w:t>
      </w:r>
      <w:r>
        <w:rPr>
          <w:rStyle w:val="HideTWBExt"/>
        </w:rPr>
        <w:t>&lt;/NumAm&gt;</w:t>
      </w:r>
    </w:p>
    <w:p w:rsidR="00F81D50" w:rsidRPr="00CF469D" w:rsidRDefault="00F81D50" w:rsidP="00F81D50">
      <w:pPr>
        <w:pStyle w:val="NormalBold"/>
      </w:pPr>
      <w:r>
        <w:rPr>
          <w:rStyle w:val="HideTWBExt"/>
          <w:b w:val="0"/>
        </w:rPr>
        <w:t>&lt;RepeatBlock-By&gt;&lt;Members&gt;</w:t>
      </w:r>
      <w:r>
        <w:t>Moritz Körner,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quater.</w:t>
            </w:r>
            <w:r>
              <w:tab/>
            </w:r>
            <w:r>
              <w:rPr>
                <w:b/>
                <w:i/>
              </w:rPr>
              <w:t>herhaalt dat geen enkele lidstaat mag worden vrijgesteld van permanent en voortdurend toezicht, ongeacht de politieke partij waaraan zijn regering gelieerd is;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548</w:t>
      </w:r>
      <w:r>
        <w:rPr>
          <w:rStyle w:val="HideTWBExt"/>
        </w:rPr>
        <w:t>&lt;/NumAm&gt;</w:t>
      </w:r>
    </w:p>
    <w:p w:rsidR="00F81D50" w:rsidRPr="00CF469D" w:rsidRDefault="00F81D50" w:rsidP="00F81D50">
      <w:pPr>
        <w:pStyle w:val="NormalBold"/>
      </w:pPr>
      <w:r>
        <w:rPr>
          <w:rStyle w:val="HideTWBExt"/>
          <w:b w:val="0"/>
        </w:rPr>
        <w:t>&lt;RepeatBlock-By&gt;&lt;Members&gt;</w:t>
      </w:r>
      <w:r>
        <w:t>Moritz Körner, Dainius Žalimas, Lucia Yar, Fabienne Keller, Sophie Wilmès, Raquel García Hermida-Van Der Walle, Abir Al-Sahlani, Veronika Cifrová Ostrihoňová, Michał Wawrykiewicz</w:t>
      </w:r>
      <w:r>
        <w:rPr>
          <w:rStyle w:val="HideTWBExt"/>
          <w:b w:val="0"/>
        </w:rPr>
        <w:t>&lt;/Members&gt;</w:t>
      </w:r>
    </w:p>
    <w:p w:rsidR="00F81D50" w:rsidRPr="00CF469D" w:rsidRDefault="00F81D50" w:rsidP="00F81D50">
      <w:pPr>
        <w:pStyle w:val="NormalBold"/>
      </w:pPr>
      <w:r>
        <w:rPr>
          <w:rStyle w:val="HideTWBExt"/>
          <w:b w:val="0"/>
        </w:rPr>
        <w:lastRenderedPageBreak/>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quinquies.</w:t>
            </w:r>
            <w:r>
              <w:tab/>
            </w:r>
            <w:r>
              <w:rPr>
                <w:b/>
                <w:i/>
              </w:rPr>
              <w:t>erkent het Europees Openbaar Ministerie (EOM) als een belangrijke verdediger van de financiële belangen van de Unie; verzoekt alle lidstaten zich aan te sluiten bij het EOM en dringt aan op de uitbreiding van zijn mandaat, opdat corruptie en financiële criminaliteit in de hele EU beter kan worden bestreden;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549</w:t>
      </w:r>
      <w:r>
        <w:rPr>
          <w:rStyle w:val="HideTWBExt"/>
        </w:rPr>
        <w:t>&lt;/NumAm&gt;</w:t>
      </w:r>
    </w:p>
    <w:p w:rsidR="00F81D50" w:rsidRPr="00CF469D" w:rsidRDefault="00F81D50" w:rsidP="00F81D50">
      <w:pPr>
        <w:pStyle w:val="NormalBold"/>
      </w:pPr>
      <w:r>
        <w:rPr>
          <w:rStyle w:val="HideTWBExt"/>
          <w:b w:val="0"/>
        </w:rPr>
        <w:t>&lt;RepeatBlock-By&gt;&lt;Members&gt;</w:t>
      </w:r>
      <w:r>
        <w:t>Moritz Körner,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sexies.</w:t>
            </w:r>
            <w:r>
              <w:tab/>
            </w:r>
            <w:r>
              <w:rPr>
                <w:b/>
                <w:i/>
              </w:rPr>
              <w:t>spoort aan tot nauwere operationele samenwerking tussen Europol, Eurojust, de Europese Rekenkamer, OLAF en het EOM om een naadloos netwerk tot stand te brengen voor het voorkomen, onderzoeken en vervolgen van corruptie en fraude die de financiële belangen van de Unie aantasten;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550</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F81D50" w:rsidRPr="00CF469D" w:rsidRDefault="00F81D50" w:rsidP="00F81D50">
      <w:r>
        <w:rPr>
          <w:rStyle w:val="HideTWBExt"/>
        </w:rPr>
        <w:t>&lt;AuNomDe&gt;</w:t>
      </w:r>
      <w:r>
        <w:rPr>
          <w:rStyle w:val="HideTWBInt"/>
        </w:rPr>
        <w:t>{LIBE}</w:t>
      </w:r>
      <w:r>
        <w:t xml:space="preserve">namens de Commissie burgerlijke vrijheden, justitie en binnenlandse </w:t>
      </w:r>
      <w:r>
        <w:lastRenderedPageBreak/>
        <w:t>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22 bis.</w:t>
            </w:r>
            <w:r>
              <w:tab/>
            </w:r>
            <w:r>
              <w:rPr>
                <w:b/>
                <w:i/>
              </w:rPr>
              <w:t>vraagt de Commissie na te gaan welke personele middelen nodig zijn voor de consequente en doeltreffende vervulling van de taken van dit mechanisme en de toepassing van de verordening algemene conditionaliteit, en daarnaast te verduidelijken wat een voldoende rechtstreeks verband is tussen schendingen van de beginselen van de rechtsstaat en de financiële belangen van de EU, en criteria vast te stellen voor de beoordeling van de doeltreffendheid van begrotings- en corrigerende maatregelen, zoals door de Europese Rekenkamer is gevraagd; verzoekt de Commissie voor alle lidstaten systematisch vast te stellen, te beoordelen en te documenteren hoe de rechtsstaat in het kader van de verordening algemene conditionaliteit is aangepakt; wijst erop dat elk voorstel tot opheffing van begrotingsmaatregelen gebaseerd moet zijn op solide, alomvattende en actuele informatie;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551</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r>
            <w:r>
              <w:rPr>
                <w:b/>
                <w:i/>
              </w:rPr>
              <w:t>verzoekt</w:t>
            </w:r>
            <w:r>
              <w:t xml:space="preserve"> de lidstaten </w:t>
            </w:r>
            <w:r>
              <w:rPr>
                <w:b/>
                <w:i/>
              </w:rPr>
              <w:t>af te zien</w:t>
            </w:r>
            <w:r>
              <w:t xml:space="preserve"> van </w:t>
            </w:r>
            <w:r>
              <w:rPr>
                <w:b/>
                <w:i/>
              </w:rPr>
              <w:t>een bovenmatig</w:t>
            </w:r>
            <w:r>
              <w:t xml:space="preserve"> gebruik van versnelde procedures, aangezien deze negatief uitwerken op de kwaliteit van wetgeving </w:t>
            </w:r>
            <w:r>
              <w:lastRenderedPageBreak/>
              <w:t>en de democratie; 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lastRenderedPageBreak/>
              <w:t>23.</w:t>
            </w:r>
            <w:r>
              <w:tab/>
            </w:r>
            <w:r>
              <w:rPr>
                <w:b/>
                <w:i/>
              </w:rPr>
              <w:t>spoort</w:t>
            </w:r>
            <w:r>
              <w:t xml:space="preserve"> de lidstaten </w:t>
            </w:r>
            <w:r>
              <w:rPr>
                <w:b/>
                <w:i/>
              </w:rPr>
              <w:t>aan, gezien de enorme omvang</w:t>
            </w:r>
            <w:r>
              <w:t xml:space="preserve"> van </w:t>
            </w:r>
            <w:r>
              <w:rPr>
                <w:b/>
                <w:i/>
              </w:rPr>
              <w:t>de uitdagingen en bedreigingen, verstandig</w:t>
            </w:r>
            <w:r>
              <w:t xml:space="preserve"> gebruik</w:t>
            </w:r>
            <w:r>
              <w:rPr>
                <w:b/>
                <w:i/>
              </w:rPr>
              <w:t xml:space="preserve"> te maken</w:t>
            </w:r>
            <w:r>
              <w:t xml:space="preserve"> van versnelde procedures, aangezien deze </w:t>
            </w:r>
            <w:r>
              <w:lastRenderedPageBreak/>
              <w:t>negatief</w:t>
            </w:r>
            <w:r>
              <w:rPr>
                <w:b/>
                <w:i/>
              </w:rPr>
              <w:t xml:space="preserve"> kunnen</w:t>
            </w:r>
            <w:r>
              <w:t xml:space="preserve"> uitwerken op de kwaliteit van wetgeving en de democratie; verzoekt de lidstaten te werken aan transparante wetgevingsprocedures, met de stelselmatige raadpleging van alle belanghebbende partijen</w:t>
            </w:r>
            <w:r>
              <w:rPr>
                <w:b/>
                <w:i/>
              </w:rPr>
              <w:t>, met volledige inachtneming van het transparantiebeginsel en rekening houdend met de belangen van de staat en het algemeen belang</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552</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 aangezien deze negatief uitwerken op de kwaliteit van wetgeving en de democratie; 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t>23.</w:t>
            </w:r>
            <w:r>
              <w:tab/>
              <w:t xml:space="preserve">verzoekt de lidstaten af te zien van een bovenmatig gebruik van versnelde procedures, </w:t>
            </w:r>
            <w:r>
              <w:rPr>
                <w:b/>
                <w:i/>
              </w:rPr>
              <w:t xml:space="preserve">waarmee de raadpleging van belanghebbenden wordt omzeild, met inbegrip van parlementaire controle en toezicht door het maatschappelijk middenveld, </w:t>
            </w:r>
            <w:r>
              <w:t>aangezien deze negatief uitwerken op de kwaliteit van wetgeving en de democratie; verzoekt de lidstaten te werken aan transparante wetgevingsprocedures, met de stelselmatige raadpleging van alle belanghebbende partijen;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553</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 xml:space="preserve">verzoekt de lidstaten </w:t>
            </w:r>
            <w:r>
              <w:rPr>
                <w:b/>
                <w:i/>
              </w:rPr>
              <w:t>af te zien van een bovenmatig gebruik</w:t>
            </w:r>
            <w:r>
              <w:t xml:space="preserve"> van versnelde procedures</w:t>
            </w:r>
            <w:r>
              <w:rPr>
                <w:b/>
                <w:i/>
              </w:rPr>
              <w:t>, aangezien deze negatief uitwerken op de kwaliteit</w:t>
            </w:r>
            <w:r>
              <w:t xml:space="preserve"> van wetgeving</w:t>
            </w:r>
            <w:r>
              <w:rPr>
                <w:b/>
                <w:i/>
              </w:rPr>
              <w:t xml:space="preserve"> en</w:t>
            </w:r>
            <w:r>
              <w:t xml:space="preserve"> de </w:t>
            </w:r>
            <w:r>
              <w:rPr>
                <w:b/>
                <w:i/>
              </w:rPr>
              <w:t>democratie;</w:t>
            </w:r>
            <w:r>
              <w:t xml:space="preserve"> </w:t>
            </w:r>
            <w:r>
              <w:rPr>
                <w:b/>
                <w:i/>
              </w:rPr>
              <w:t>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t>23.</w:t>
            </w:r>
            <w:r>
              <w:tab/>
              <w:t xml:space="preserve">verzoekt de lidstaten </w:t>
            </w:r>
            <w:r>
              <w:rPr>
                <w:b/>
                <w:i/>
              </w:rPr>
              <w:t>in de regel geen gebruik te maken</w:t>
            </w:r>
            <w:r>
              <w:t xml:space="preserve"> van versnelde procedures</w:t>
            </w:r>
            <w:r>
              <w:rPr>
                <w:b/>
                <w:i/>
              </w:rPr>
              <w:t xml:space="preserve"> voor het vaststellen</w:t>
            </w:r>
            <w:r>
              <w:t xml:space="preserve"> van wetgeving</w:t>
            </w:r>
            <w:r>
              <w:rPr>
                <w:b/>
                <w:i/>
              </w:rPr>
              <w:t>; eerbiedigt ten volle</w:t>
            </w:r>
            <w:r>
              <w:t xml:space="preserve"> de </w:t>
            </w:r>
            <w:r>
              <w:rPr>
                <w:b/>
                <w:i/>
              </w:rPr>
              <w:t>bevoegdheid van</w:t>
            </w:r>
            <w:r>
              <w:t xml:space="preserve"> de lidstaten </w:t>
            </w:r>
            <w:r>
              <w:rPr>
                <w:b/>
                <w:i/>
              </w:rPr>
              <w:t>om procedures voor de vaststelling van wetgeving vast te stellen naar eigen inzicht</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554</w:t>
      </w:r>
      <w:r>
        <w:rPr>
          <w:rStyle w:val="HideTWBExt"/>
        </w:rPr>
        <w:t>&lt;/NumAm&gt;</w:t>
      </w:r>
    </w:p>
    <w:p w:rsidR="00F81D50" w:rsidRPr="00CF469D" w:rsidRDefault="00F81D50" w:rsidP="00F81D50">
      <w:pPr>
        <w:pStyle w:val="NormalBold"/>
      </w:pPr>
      <w:r>
        <w:rPr>
          <w:rStyle w:val="HideTWBExt"/>
          <w:b w:val="0"/>
        </w:rPr>
        <w:t>&lt;RepeatBlock-By&gt;&lt;Members&gt;</w:t>
      </w:r>
      <w:r>
        <w:t>Javier Zarzalejos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 aangezien deze negatief uitwerken op de kwaliteit van wetgeving en de democratie; 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 aangezien deze negatief uitwerken op de kwaliteit van wetgeving en de democratie; verzoekt de lidstaten te werken aan transparante wetgevingsprocedures, met de stelselmatige raadpleging van alle belanghebbende partijen</w:t>
            </w:r>
            <w:r>
              <w:rPr>
                <w:b/>
                <w:i/>
              </w:rPr>
              <w:t xml:space="preserve"> en adviesorganen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555</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Fabienne Keller, Lucia Yar, Irena Joveva,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 aangezien deze negatief uitwerken op de kwaliteit van wetgeving en de democratie; 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w:t>
            </w:r>
            <w:r>
              <w:rPr>
                <w:b/>
                <w:i/>
              </w:rPr>
              <w:t xml:space="preserve"> of nooddecreten</w:t>
            </w:r>
            <w:r>
              <w:t>, aangezien deze negatief uitwerken op</w:t>
            </w:r>
            <w:r>
              <w:rPr>
                <w:b/>
                <w:i/>
              </w:rPr>
              <w:t xml:space="preserve"> de stabiliteit en</w:t>
            </w:r>
            <w:r>
              <w:t xml:space="preserve"> de kwaliteit van wetgeving en de democratie; verzoekt de lidstaten te werken aan transparante wetgevingsprocedures, met de stelselmatige raadpleging van alle belanghebbende partijen;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556</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 xml:space="preserve">verzoekt de </w:t>
            </w:r>
            <w:r>
              <w:rPr>
                <w:b/>
                <w:i/>
              </w:rPr>
              <w:t>lidstaten af te zien van een bovenmatig gebruik van versnelde procedures</w:t>
            </w:r>
            <w:r>
              <w:t xml:space="preserve">, </w:t>
            </w:r>
            <w:r>
              <w:rPr>
                <w:b/>
                <w:i/>
              </w:rPr>
              <w:t>aangezien deze negatief uitwerken op de kwaliteit van wetgeving en</w:t>
            </w:r>
            <w:r>
              <w:t xml:space="preserve"> de </w:t>
            </w:r>
            <w:r>
              <w:rPr>
                <w:b/>
                <w:i/>
              </w:rPr>
              <w:t>democratie;</w:t>
            </w:r>
            <w:r>
              <w:t xml:space="preserve"> </w:t>
            </w:r>
            <w:r>
              <w:rPr>
                <w:b/>
                <w:i/>
              </w:rPr>
              <w:t>verzoekt</w:t>
            </w:r>
            <w:r>
              <w:t xml:space="preserve">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t>23.</w:t>
            </w:r>
            <w:r>
              <w:tab/>
              <w:t xml:space="preserve">verzoekt de </w:t>
            </w:r>
            <w:r>
              <w:rPr>
                <w:b/>
                <w:i/>
              </w:rPr>
              <w:t>Commissie en de lidstaten te werken aan transparante wetgevingsprocedures</w:t>
            </w:r>
            <w:r>
              <w:t xml:space="preserve">, </w:t>
            </w:r>
            <w:r>
              <w:rPr>
                <w:b/>
                <w:i/>
              </w:rPr>
              <w:t>met de stelselmatige raadpleging van alle belanghebbende partijen;</w:t>
            </w:r>
            <w:r>
              <w:t xml:space="preserve"> </w:t>
            </w:r>
            <w:r>
              <w:rPr>
                <w:b/>
                <w:i/>
              </w:rPr>
              <w:t>verzoekt</w:t>
            </w:r>
            <w:r>
              <w:t xml:space="preserve"> de </w:t>
            </w:r>
            <w:r>
              <w:rPr>
                <w:b/>
                <w:i/>
              </w:rPr>
              <w:t>Commissie en</w:t>
            </w:r>
            <w:r>
              <w:t xml:space="preserve"> de lidstaten te werken aan transparante wetgevingsprocedures, met de stelselmatige raadpleging van alle belanghebbende partijen;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557</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 aangezien deze negatief uitwerken op de kwaliteit van wetgeving en de democratie; verzoekt de lidstaten te werken aan transparante wetgevingsprocedures</w:t>
            </w:r>
            <w:r>
              <w:rPr>
                <w:b/>
                <w:i/>
              </w:rPr>
              <w:t>, met de stelselmatige raadpleging van alle belanghebbende partijen</w:t>
            </w:r>
            <w:r>
              <w:t>;</w:t>
            </w:r>
          </w:p>
        </w:tc>
        <w:tc>
          <w:tcPr>
            <w:tcW w:w="4876" w:type="dxa"/>
            <w:tcBorders>
              <w:top w:val="nil"/>
              <w:left w:val="nil"/>
              <w:bottom w:val="nil"/>
              <w:right w:val="nil"/>
            </w:tcBorders>
          </w:tcPr>
          <w:p w:rsidR="00F81D50" w:rsidRPr="00CF469D" w:rsidRDefault="00F81D50" w:rsidP="00F81D50">
            <w:pPr>
              <w:pStyle w:val="Normal6a"/>
            </w:pPr>
            <w:r>
              <w:t>23.</w:t>
            </w:r>
            <w:r>
              <w:tab/>
              <w:t>verzoekt de lidstaten af te zien van een bovenmatig gebruik van versnelde procedures, aangezien deze negatief uitwerken op de kwaliteit van wetgeving en de democratie; verzoekt de lidstaten te werken aan transparante wetgevingsprocedures;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558</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 xml:space="preserve">verzoekt de </w:t>
            </w:r>
            <w:r>
              <w:rPr>
                <w:b/>
                <w:i/>
              </w:rPr>
              <w:t>lidstaten af te zien van een bovenmatig gebruik van versnelde procedures</w:t>
            </w:r>
            <w:r>
              <w:t xml:space="preserve">, </w:t>
            </w:r>
            <w:r>
              <w:rPr>
                <w:b/>
                <w:i/>
              </w:rPr>
              <w:t>aangezien deze negatief uitwerken op</w:t>
            </w:r>
            <w:r>
              <w:t xml:space="preserve"> de </w:t>
            </w:r>
            <w:r>
              <w:rPr>
                <w:b/>
                <w:i/>
              </w:rPr>
              <w:t>kwaliteit</w:t>
            </w:r>
            <w:r>
              <w:t xml:space="preserve"> van </w:t>
            </w:r>
            <w:r>
              <w:rPr>
                <w:b/>
                <w:i/>
              </w:rPr>
              <w:t>wetgeving en de democratie</w:t>
            </w:r>
            <w:r>
              <w:t>; 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t>23.</w:t>
            </w:r>
            <w:r>
              <w:tab/>
              <w:t xml:space="preserve">verzoekt de </w:t>
            </w:r>
            <w:r>
              <w:rPr>
                <w:b/>
                <w:i/>
              </w:rPr>
              <w:t>Commissie en de lidstaten te werken aan transparante wetgevingsprocedures en noodbevoegdheden</w:t>
            </w:r>
            <w:r>
              <w:t xml:space="preserve">, </w:t>
            </w:r>
            <w:r>
              <w:rPr>
                <w:b/>
                <w:i/>
              </w:rPr>
              <w:t>met</w:t>
            </w:r>
            <w:r>
              <w:t xml:space="preserve"> de </w:t>
            </w:r>
            <w:r>
              <w:rPr>
                <w:b/>
                <w:i/>
              </w:rPr>
              <w:t>stelselmatige raadpleging</w:t>
            </w:r>
            <w:r>
              <w:t xml:space="preserve"> van </w:t>
            </w:r>
            <w:r>
              <w:rPr>
                <w:b/>
                <w:i/>
              </w:rPr>
              <w:t>alle belanghebbende partijen</w:t>
            </w:r>
            <w:r>
              <w:t>; verzoekt de lidstaten te werken aan transparante wetgevingsprocedures, met de stelselmatige raadpleging van alle belanghebbende partijen;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559</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23.</w:t>
            </w:r>
            <w:r>
              <w:tab/>
              <w:t xml:space="preserve">verzoekt de lidstaten af te zien van </w:t>
            </w:r>
            <w:r>
              <w:lastRenderedPageBreak/>
              <w:t>een bovenmatig gebruik van versnelde procedures, aangezien deze negatief uitwerken op de kwaliteit van wetgeving en de democratie; verzoekt de lidstaten te werken aan transparante wetgevingsprocedures, met de stelselmatige raadpleging van alle belanghebbende partijen;</w:t>
            </w:r>
          </w:p>
        </w:tc>
        <w:tc>
          <w:tcPr>
            <w:tcW w:w="4876" w:type="dxa"/>
            <w:tcBorders>
              <w:top w:val="nil"/>
              <w:left w:val="nil"/>
              <w:bottom w:val="nil"/>
              <w:right w:val="nil"/>
            </w:tcBorders>
          </w:tcPr>
          <w:p w:rsidR="00F81D50" w:rsidRPr="00CF469D" w:rsidRDefault="00F81D50" w:rsidP="00F81D50">
            <w:pPr>
              <w:pStyle w:val="Normal6a"/>
            </w:pPr>
            <w:r>
              <w:lastRenderedPageBreak/>
              <w:t>23.</w:t>
            </w:r>
            <w:r>
              <w:tab/>
              <w:t xml:space="preserve">verzoekt de lidstaten af te zien van </w:t>
            </w:r>
            <w:r>
              <w:lastRenderedPageBreak/>
              <w:t>een bovenmatig gebruik van versnelde procedures, aangezien deze negatief uitwerken op de kwaliteit van wetgeving en de democratie; verzoekt de lidstaten te werken aan transparante wetgevingsprocedures, met de stelselmatige</w:t>
            </w:r>
            <w:r>
              <w:rPr>
                <w:b/>
                <w:i/>
              </w:rPr>
              <w:t>, publieke</w:t>
            </w:r>
            <w:r>
              <w:t xml:space="preserve"> raadpleging van alle belanghebbende partijen;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560</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23 bis.</w:t>
            </w:r>
            <w:r>
              <w:tab/>
            </w:r>
            <w:r>
              <w:rPr>
                <w:b/>
                <w:i/>
              </w:rPr>
              <w:t>herinnert eraan dat volgens de principes van goed bestuur de Commissie verplicht is om een wetgevend initiatief te laten voorafgaan door een effectbeoordeling, om de mogelijke economische, sociale en ecologische gevolgen van de voorgenomen wetgeving te evalueren; betreurt in dit verband dat de Commissie, onder het voorwendsel van urgentie of vanwege “de aard van het voorstel”, steeds vaker besluit geen effectbeoordeling uit te voeren, hetgeen blijkt uit recente voorbeelden zoals de herstel- en veerkrachtfaciliteit, de tijdelijke kaderregeling inzake staatssteun, bepaalde maatregelen inzake douane- en grenscontroles als gevolg van de brexit, de verordening inzake het Europees kader voor digitale identiteit en de hervormings- en groeifaciliteit voor de Republiek Moldavië; veroordeelt het feit dat de Commissie in wetgevingsvoorstellen steeds vaker afziet van effectbeoordelingen;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561</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23 bis.</w:t>
            </w:r>
            <w:r>
              <w:tab/>
            </w:r>
            <w:r>
              <w:rPr>
                <w:b/>
                <w:i/>
              </w:rPr>
              <w:t>is van mening dat rechterlijke en parlementaire controle op een regering en haar functionarissen van vitaal belang is voor de rechtsstaat en de democratie, met name voor zogenaamde speciale diensten waarvan de activiteiten doorgaans geheim worden gehouden; benadrukt het feit dat de veiligheids- en inlichtingendiensten van de staat, waarvan de noodzaak niet in twijfel kan worden getrokken, niettemin geen “staat binnen de staat” mogen worden, die is vrijgesteld van verantwoordingsplicht voor zijn optreden, aangezien een dergelijk gebrek aan verantwoordingsplicht leidt tot een gevaarlijke cultuur van straffeloosheid, die de fundamenten van democratische instellingen ondermijnt; veroordeelt in dit verband dat de preconstitutionele wet inzake staatsgeheimen in Spanje nog steeds van kracht is;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562</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Emma Rafowicz, Alessandro Zan,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23 bis.</w:t>
            </w:r>
            <w:r>
              <w:tab/>
            </w:r>
            <w:r>
              <w:rPr>
                <w:b/>
                <w:i/>
              </w:rPr>
              <w:t xml:space="preserve">uit zijn bezorgdheid over het toenemende gebruik van surveillancetechnologieën door de </w:t>
            </w:r>
            <w:r>
              <w:rPr>
                <w:b/>
                <w:i/>
              </w:rPr>
              <w:lastRenderedPageBreak/>
              <w:t>regeringen van de lidstaten tegen journalisten, activisten, oppositieleden en leden van de Europese instellingen; dringt aan op strenge regelgeving voor de hele EU inzake het gebruik van spyware en andere indringende surveillance-instrumenten;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563</w:t>
      </w:r>
      <w:r>
        <w:rPr>
          <w:rStyle w:val="HideTWBExt"/>
        </w:rPr>
        <w:t>&lt;/NumAm&gt;</w:t>
      </w:r>
    </w:p>
    <w:p w:rsidR="00F81D50" w:rsidRPr="00CF469D" w:rsidRDefault="00F81D50" w:rsidP="00F81D50">
      <w:pPr>
        <w:pStyle w:val="NormalBold"/>
      </w:pPr>
      <w:r>
        <w:rPr>
          <w:rStyle w:val="HideTWBExt"/>
          <w:b w:val="0"/>
        </w:rPr>
        <w:t>&lt;RepeatBlock-By&gt;&lt;Members&gt;</w:t>
      </w:r>
      <w:r>
        <w:t>David Casa, Chloé Ridel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23 bis.</w:t>
            </w:r>
            <w:r>
              <w:tab/>
            </w:r>
            <w:r>
              <w:rPr>
                <w:b/>
                <w:i/>
              </w:rPr>
              <w:t>verzoekt de Commissie proactief toezicht te houden op en snel te reageren op risico’s van achteruitgang van de rechtsstaat op het gebied van de onafhankelijkheid van de rechterlijke macht en toegang tot de rechter, overeenkomstig het non-regressiebeginsel, zoals verduidelijkt in recente rechtspraak van het HvJ-EU;</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564</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23 bis.</w:t>
            </w:r>
            <w:r>
              <w:tab/>
            </w:r>
            <w:r>
              <w:rPr>
                <w:b/>
                <w:i/>
              </w:rPr>
              <w:t xml:space="preserve">moedigt de nationale regeringen en parlementen ertoe aan voor elk belangrijk wetgevingsvoorstel openbaar toegankelijke effectbeoordelingen en resultaten van raadplegingen te </w:t>
            </w:r>
            <w:r>
              <w:rPr>
                <w:b/>
                <w:i/>
              </w:rPr>
              <w:lastRenderedPageBreak/>
              <w:t>publiceren;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565</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24.</w:t>
            </w:r>
            <w:r>
              <w:tab/>
            </w:r>
            <w:r>
              <w:rPr>
                <w:b/>
                <w:i/>
              </w:rPr>
              <w:t>verzoekt de lidstaten de onafhankelijkheid van de nationale toezichtsorganen te vergroten, teneinde de terbeschikkingstelling van middelen te garanderen en ervoor te zorgen dat er geen sprake is van politieke inmenging; onderstreept dat het maatschappelijk middenveld en mensenrechtenverdedigers belangrijk zijn voor het bevorderen van verantwoordingsplicht en het beschermen van de grondrechten; betreurt de beperkingen voor het maatschappelijk middenveld;</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566</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Fabienne Keller, Lucia Yar, Irena Joveva</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24.</w:t>
            </w:r>
            <w:r>
              <w:tab/>
            </w:r>
            <w:r>
              <w:rPr>
                <w:b/>
                <w:i/>
              </w:rPr>
              <w:t xml:space="preserve">verzoekt de lidstaten de onafhankelijkheid van de nationale toezichtsorganen te vergroten, teneinde de terbeschikkingstelling van middelen te </w:t>
            </w:r>
            <w:r>
              <w:rPr>
                <w:b/>
                <w:i/>
              </w:rPr>
              <w:lastRenderedPageBreak/>
              <w:t>garanderen en ervoor te zorgen dat er geen sprake is van politieke inmenging; onderstreept dat het maatschappelijk middenveld en mensenrechtenverdedigers belangrijk zijn voor het bevorderen van verantwoordingsplicht en het beschermen van de grondrechten; betreurt de beperkingen voor het maatschappelijk middenveld;</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567</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24.</w:t>
            </w:r>
            <w:r>
              <w:tab/>
              <w:t xml:space="preserve">verzoekt de lidstaten de onafhankelijkheid van de nationale toezichtsorganen te vergroten, teneinde de terbeschikkingstelling van middelen te garanderen en ervoor te zorgen dat er geen sprake is van politieke inmenging; </w:t>
            </w:r>
            <w:r>
              <w:rPr>
                <w:b/>
                <w:i/>
              </w:rPr>
              <w:t>onderstreept dat het maatschappelijk middenveld en mensenrechtenverdedigers belangrijk zijn voor het bevorderen van verantwoordingsplicht en het beschermen van de grondrechten; betreurt de beperkingen voor het maatschappelijk middenveld;</w:t>
            </w:r>
          </w:p>
        </w:tc>
        <w:tc>
          <w:tcPr>
            <w:tcW w:w="4876" w:type="dxa"/>
            <w:tcBorders>
              <w:top w:val="nil"/>
              <w:left w:val="nil"/>
              <w:bottom w:val="nil"/>
              <w:right w:val="nil"/>
            </w:tcBorders>
          </w:tcPr>
          <w:p w:rsidR="00F81D50" w:rsidRPr="00CF469D" w:rsidRDefault="00F81D50" w:rsidP="00F81D50">
            <w:pPr>
              <w:pStyle w:val="Normal6a"/>
            </w:pPr>
            <w:r>
              <w:t>24.</w:t>
            </w:r>
            <w:r>
              <w:tab/>
              <w:t>verzoekt de lidstaten de onafhankelijkheid van de nationale toezichtsorganen te vergroten, teneinde de terbeschikkingstelling van middelen te garanderen en ervoor te zorgen dat er geen sprake is van politieke inmenging;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568</w:t>
      </w:r>
      <w:r>
        <w:rPr>
          <w:rStyle w:val="HideTWBExt"/>
        </w:rPr>
        <w:t>&lt;/NumAm&gt;</w:t>
      </w:r>
    </w:p>
    <w:p w:rsidR="00F81D50" w:rsidRPr="00CF469D" w:rsidRDefault="00F81D50" w:rsidP="00F81D50">
      <w:pPr>
        <w:pStyle w:val="NormalBold"/>
      </w:pPr>
      <w:r>
        <w:rPr>
          <w:rStyle w:val="HideTWBExt"/>
          <w:b w:val="0"/>
        </w:rPr>
        <w:t>&lt;RepeatBlock-By&gt;&lt;Members&gt;</w:t>
      </w:r>
      <w:r>
        <w:t>Marieke Ehlers, Tom Vandendriessche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24.</w:t>
            </w:r>
            <w:r>
              <w:tab/>
              <w:t xml:space="preserve">verzoekt de lidstaten de </w:t>
            </w:r>
            <w:r>
              <w:lastRenderedPageBreak/>
              <w:t xml:space="preserve">onafhankelijkheid van de nationale </w:t>
            </w:r>
            <w:r>
              <w:rPr>
                <w:b/>
                <w:i/>
              </w:rPr>
              <w:t>toezichtsorganen</w:t>
            </w:r>
            <w:r>
              <w:t xml:space="preserve"> te vergroten, teneinde de terbeschikkingstelling van middelen te garanderen en ervoor te zorgen dat er geen sprake is van politieke inmenging; onderstreept dat het maatschappelijk middenveld en mensenrechtenverdedigers belangrijk zijn voor het bevorderen van verantwoordingsplicht en het beschermen van de grondrechten; </w:t>
            </w:r>
            <w:r>
              <w:rPr>
                <w:b/>
                <w:i/>
              </w:rPr>
              <w:t>betreurt</w:t>
            </w:r>
            <w:r>
              <w:t xml:space="preserve"> de </w:t>
            </w:r>
            <w:r>
              <w:rPr>
                <w:b/>
                <w:i/>
              </w:rPr>
              <w:t>beperkingen voor</w:t>
            </w:r>
            <w:r>
              <w:t xml:space="preserve"> het maatschappelijk middenveld;</w:t>
            </w:r>
          </w:p>
        </w:tc>
        <w:tc>
          <w:tcPr>
            <w:tcW w:w="4876" w:type="dxa"/>
            <w:tcBorders>
              <w:top w:val="nil"/>
              <w:left w:val="nil"/>
              <w:bottom w:val="nil"/>
              <w:right w:val="nil"/>
            </w:tcBorders>
          </w:tcPr>
          <w:p w:rsidR="00F81D50" w:rsidRPr="00CF469D" w:rsidRDefault="00F81D50" w:rsidP="00F81D50">
            <w:pPr>
              <w:pStyle w:val="Normal6a"/>
            </w:pPr>
            <w:r>
              <w:lastRenderedPageBreak/>
              <w:t>24.</w:t>
            </w:r>
            <w:r>
              <w:tab/>
              <w:t xml:space="preserve">verzoekt de </w:t>
            </w:r>
            <w:r>
              <w:rPr>
                <w:b/>
                <w:i/>
              </w:rPr>
              <w:t xml:space="preserve">Commissie en de </w:t>
            </w:r>
            <w:r>
              <w:lastRenderedPageBreak/>
              <w:t xml:space="preserve">lidstaten de onafhankelijkheid van de nationale </w:t>
            </w:r>
            <w:r>
              <w:rPr>
                <w:b/>
                <w:i/>
              </w:rPr>
              <w:t>en EU-toezichtsorganen</w:t>
            </w:r>
            <w:r>
              <w:t xml:space="preserve"> te vergroten, teneinde de terbeschikkingstelling van middelen te garanderen en ervoor te zorgen dat er geen sprake is van politieke inmenging; onderstreept dat het maatschappelijk middenveld en mensenrechtenverdedigers belangrijk zijn voor het bevorderen van verantwoordingsplicht en het beschermen van de grondrechten; </w:t>
            </w:r>
            <w:r>
              <w:rPr>
                <w:b/>
                <w:i/>
              </w:rPr>
              <w:t>verzoekt</w:t>
            </w:r>
            <w:r>
              <w:t xml:space="preserve"> de </w:t>
            </w:r>
            <w:r>
              <w:rPr>
                <w:b/>
                <w:i/>
              </w:rPr>
              <w:t>lidstaten een behoorlijk evenwicht te handhaven tussen legitieme regelgeving inzake de activiteiten van</w:t>
            </w:r>
            <w:r>
              <w:t xml:space="preserve"> het maatschappelijk middenveld</w:t>
            </w:r>
            <w:r>
              <w:rPr>
                <w:b/>
                <w:i/>
              </w:rPr>
              <w:t>, zoals vereisten inzake financiële transparantie, en de vrijheid van dergelijke organisaties om vrij te opereren binnen het kader van het democratische debat</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569</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24.</w:t>
            </w:r>
            <w:r>
              <w:tab/>
              <w:t xml:space="preserve">verzoekt de </w:t>
            </w:r>
            <w:r>
              <w:rPr>
                <w:b/>
                <w:i/>
              </w:rPr>
              <w:t>lidstaten</w:t>
            </w:r>
            <w:r>
              <w:t xml:space="preserve"> de onafhankelijkheid van </w:t>
            </w:r>
            <w:r>
              <w:rPr>
                <w:b/>
                <w:i/>
              </w:rPr>
              <w:t>de nationale</w:t>
            </w:r>
            <w:r>
              <w:t xml:space="preserve"> toezichtsorganen te vergroten, teneinde de terbeschikkingstelling van middelen te garanderen en ervoor te zorgen dat er geen sprake is van politieke inmenging; </w:t>
            </w:r>
            <w:r>
              <w:rPr>
                <w:b/>
                <w:i/>
              </w:rPr>
              <w:t>onderstreept dat het maatschappelijk middenveld en mensenrechtenverdedigers belangrijk zijn voor het bevorderen van verantwoordingsplicht en het beschermen van de grondrechten; betreurt de beperkingen voor het maatschappelijk middenveld;</w:t>
            </w:r>
          </w:p>
        </w:tc>
        <w:tc>
          <w:tcPr>
            <w:tcW w:w="4876" w:type="dxa"/>
            <w:tcBorders>
              <w:top w:val="nil"/>
              <w:left w:val="nil"/>
              <w:bottom w:val="nil"/>
              <w:right w:val="nil"/>
            </w:tcBorders>
          </w:tcPr>
          <w:p w:rsidR="00F81D50" w:rsidRPr="00CF469D" w:rsidRDefault="00F81D50" w:rsidP="00F81D50">
            <w:pPr>
              <w:pStyle w:val="Normal6a"/>
            </w:pPr>
            <w:r>
              <w:t>24.</w:t>
            </w:r>
            <w:r>
              <w:tab/>
              <w:t xml:space="preserve">verzoekt de </w:t>
            </w:r>
            <w:r>
              <w:rPr>
                <w:b/>
                <w:i/>
              </w:rPr>
              <w:t>Commissie</w:t>
            </w:r>
            <w:r>
              <w:t xml:space="preserve"> de onafhankelijkheid van </w:t>
            </w:r>
            <w:r>
              <w:rPr>
                <w:b/>
                <w:i/>
              </w:rPr>
              <w:t>haar</w:t>
            </w:r>
            <w:r>
              <w:t xml:space="preserve"> toezichtsorganen te vergroten, teneinde de terbeschikkingstelling van middelen te garanderen en ervoor te zorgen dat er geen sprake is van politieke inmenging;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570</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24.</w:t>
            </w:r>
            <w:r>
              <w:tab/>
              <w:t xml:space="preserve">verzoekt de lidstaten de onafhankelijkheid van de nationale toezichtsorganen te vergroten, teneinde de terbeschikkingstelling van middelen te garanderen en ervoor te zorgen dat er geen sprake is van politieke inmenging; </w:t>
            </w:r>
            <w:r>
              <w:rPr>
                <w:b/>
                <w:i/>
              </w:rPr>
              <w:t>onderstreept dat het maatschappelijk middenveld en mensenrechtenverdedigers belangrijk zijn voor het bevorderen van verantwoordingsplicht en het beschermen van de grondrechten; betreurt de beperkingen voor het maatschappelijk middenveld;</w:t>
            </w:r>
          </w:p>
        </w:tc>
        <w:tc>
          <w:tcPr>
            <w:tcW w:w="4876" w:type="dxa"/>
            <w:tcBorders>
              <w:top w:val="nil"/>
              <w:left w:val="nil"/>
              <w:bottom w:val="nil"/>
              <w:right w:val="nil"/>
            </w:tcBorders>
          </w:tcPr>
          <w:p w:rsidR="00F81D50" w:rsidRPr="00CF469D" w:rsidRDefault="00F81D50" w:rsidP="00F81D50">
            <w:pPr>
              <w:pStyle w:val="Normal6a"/>
            </w:pPr>
            <w:r>
              <w:t>24.</w:t>
            </w:r>
            <w:r>
              <w:tab/>
              <w:t>verzoekt de lidstaten de onafhankelijkheid van de nationale toezichtsorganen te vergroten, teneinde de terbeschikkingstelling van middelen te garanderen en ervoor te zorgen dat er geen sprake is van politieke inmenging;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571</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24.</w:t>
            </w:r>
            <w:r>
              <w:tab/>
              <w:t xml:space="preserve">verzoekt de lidstaten de onafhankelijkheid van de nationale toezichtsorganen te vergroten, teneinde de terbeschikkingstelling van middelen te garanderen en ervoor te zorgen dat er geen sprake is van politieke inmenging; </w:t>
            </w:r>
            <w:r>
              <w:rPr>
                <w:b/>
                <w:i/>
              </w:rPr>
              <w:t xml:space="preserve">onderstreept dat het maatschappelijk middenveld en mensenrechtenverdedigers belangrijk zijn voor het bevorderen van verantwoordingsplicht en het beschermen van de grondrechten; betreurt de beperkingen voor het maatschappelijk </w:t>
            </w:r>
            <w:r>
              <w:rPr>
                <w:b/>
                <w:i/>
              </w:rPr>
              <w:lastRenderedPageBreak/>
              <w:t>middenveld;</w:t>
            </w:r>
          </w:p>
        </w:tc>
        <w:tc>
          <w:tcPr>
            <w:tcW w:w="4876" w:type="dxa"/>
            <w:tcBorders>
              <w:top w:val="nil"/>
              <w:left w:val="nil"/>
              <w:bottom w:val="nil"/>
              <w:right w:val="nil"/>
            </w:tcBorders>
          </w:tcPr>
          <w:p w:rsidR="00F81D50" w:rsidRPr="00CF469D" w:rsidRDefault="00F81D50" w:rsidP="00F81D50">
            <w:pPr>
              <w:pStyle w:val="Normal6a"/>
            </w:pPr>
            <w:r>
              <w:lastRenderedPageBreak/>
              <w:t>24.</w:t>
            </w:r>
            <w:r>
              <w:tab/>
              <w:t>verzoekt de lidstaten de onafhankelijkheid van de nationale toezichtsorganen te vergroten, teneinde de terbeschikkingstelling van middelen te garanderen en ervoor te zorgen dat er geen sprake is van politieke inmenging;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572</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24.</w:t>
            </w:r>
            <w:r>
              <w:tab/>
              <w:t>verzoekt de lidstaten de onafhankelijkheid van de nationale toezichtsorganen te vergroten, teneinde de terbeschikkingstelling van middelen te garanderen en ervoor te zorgen dat er geen sprake is van politieke inmenging; onderstreept dat het maatschappelijk middenveld en mensenrechtenverdedigers belangrijk zijn voor het bevorderen van verantwoordingsplicht en het beschermen van de grondrechten; betreurt de beperkingen voor het maatschappelijk middenveld;</w:t>
            </w:r>
          </w:p>
        </w:tc>
        <w:tc>
          <w:tcPr>
            <w:tcW w:w="4876" w:type="dxa"/>
            <w:tcBorders>
              <w:top w:val="nil"/>
              <w:left w:val="nil"/>
              <w:bottom w:val="nil"/>
              <w:right w:val="nil"/>
            </w:tcBorders>
          </w:tcPr>
          <w:p w:rsidR="00F81D50" w:rsidRPr="00CF469D" w:rsidRDefault="00F81D50" w:rsidP="00F81D50">
            <w:pPr>
              <w:pStyle w:val="Normal6a"/>
            </w:pPr>
            <w:r>
              <w:t>24.</w:t>
            </w:r>
            <w:r>
              <w:tab/>
              <w:t>verzoekt de lidstaten de onafhankelijkheid van de nationale toezichtsorganen te vergroten, teneinde de terbeschikkingstelling van middelen te garanderen en ervoor te zorgen dat er geen sprake is van politieke inmenging; onderstreept dat het maatschappelijk middenveld</w:t>
            </w:r>
            <w:r>
              <w:rPr>
                <w:b/>
                <w:i/>
              </w:rPr>
              <w:t>, de pluralistische media</w:t>
            </w:r>
            <w:r>
              <w:t xml:space="preserve"> en</w:t>
            </w:r>
            <w:r>
              <w:rPr>
                <w:b/>
                <w:i/>
              </w:rPr>
              <w:t xml:space="preserve"> ook</w:t>
            </w:r>
            <w:r>
              <w:t xml:space="preserve"> mensenrechtenverdedigers belangrijk zijn voor het bevorderen van verantwoordingsplicht en het beschermen van de grondrechten; betreurt de beperkingen voor het maatschappelijk middenveld</w:t>
            </w:r>
            <w:r>
              <w:rPr>
                <w:b/>
                <w:i/>
              </w:rPr>
              <w:t xml:space="preserve"> en het feit dat vooral organisaties met een links-liberaal profiel worden gefinancierd</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573</w:t>
      </w:r>
      <w:r>
        <w:rPr>
          <w:rStyle w:val="HideTWBExt"/>
        </w:rPr>
        <w:t>&lt;/NumAm&gt;</w:t>
      </w:r>
    </w:p>
    <w:p w:rsidR="00F81D50" w:rsidRPr="00CF469D" w:rsidRDefault="00F81D50" w:rsidP="00F81D50">
      <w:pPr>
        <w:pStyle w:val="NormalBold"/>
      </w:pPr>
      <w:r>
        <w:rPr>
          <w:rStyle w:val="HideTWBExt"/>
          <w:b w:val="0"/>
        </w:rPr>
        <w:t>&lt;RepeatBlock-By&gt;&lt;Members&gt;</w:t>
      </w:r>
      <w:r>
        <w:t>Alessandro Zan, Cecilia Strada, Sandro Ruotolo, Pina Picierno, Marco Tarquinio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24 bis.</w:t>
            </w:r>
            <w:r>
              <w:tab/>
            </w:r>
            <w:r>
              <w:rPr>
                <w:b/>
                <w:i/>
              </w:rPr>
              <w:t xml:space="preserve">onderstreept het feit dat het belangrijk is in elke lidstaat de scheiding der machten en een stabiel institutioneel kader te waarborgen; uit zijn bezorgdheid </w:t>
            </w:r>
            <w:r>
              <w:rPr>
                <w:b/>
                <w:i/>
              </w:rPr>
              <w:lastRenderedPageBreak/>
              <w:t>over het Italiaanse voorstel tot hervorming van de grondwet waarbij een nieuwe procedure wordt ingevoerd voor de rechtstreekse verkiezing van de premier, zoals reeds opgemerkt in het verslag over de rechtsstaat 2024 van de Commissie;</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574</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Alessandro Zan,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24 bis.</w:t>
            </w:r>
            <w:r>
              <w:tab/>
            </w:r>
            <w:r>
              <w:rPr>
                <w:b/>
                <w:i/>
              </w:rPr>
              <w:t>verzoekt de Commissie een concreet tijdschema, indicatoren, streefdoelen en gedetailleerde acties vast te stellen voor de uitvoering van de aanbevelingen in haar verslag over de rechtsstaat en nader de mogelijke gevolgen te omschrijven in geval van niet-naleving; dringt aan op de opname van een meerjarig overzicht van rechtsstatelijke kwesties;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575</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24 bis.</w:t>
            </w:r>
            <w:r>
              <w:tab/>
            </w:r>
            <w:r>
              <w:rPr>
                <w:b/>
                <w:i/>
              </w:rPr>
              <w:t>kijkt met belangstelling uit naar de resultaten van het op 14 mei 2024 aangekondigde onderzoek van de Commissie naar haar financiële steun aan verenigingen die banden hebben met de Moslimbroederschap, waaronder Islamic Relief Worldwide, een organisatie die zich duidelijk niet houdt aan de in artikel 2 VEU verankerde beginselen;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576</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24 bis.</w:t>
            </w:r>
            <w:r>
              <w:tab/>
            </w:r>
            <w:r>
              <w:rPr>
                <w:b/>
                <w:i/>
              </w:rPr>
              <w:t>uit zijn grote bezorgdheid over het feit dat veel vragen in verband met het gebruik van spyware tegen onder meer journalisten en politici van de oppositie nog steeds niet zijn beantwoord, aangezien de onderzoeken nog niet zijn afgerond, in sommige gevallen meer dan drie jaar nadat ze van start zijn gegaan;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577</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Alessandro Zan,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24 ter.</w:t>
            </w:r>
            <w:r>
              <w:tab/>
            </w:r>
            <w:r>
              <w:rPr>
                <w:b/>
                <w:i/>
              </w:rPr>
              <w:t>betreurt het feit dat sommige aanbevelingen uit het verslag over de rechtsstaat 2023 niet zijn uitgevoerd en verzoekt de Commissie stappen te ondernemen om dit aan te pakken;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578</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25.</w:t>
            </w:r>
            <w:r>
              <w:tab/>
            </w:r>
            <w:r>
              <w:rPr>
                <w:b/>
                <w:i/>
              </w:rPr>
              <w:t>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b/>
                <w:i/>
                <w:vertAlign w:val="superscript"/>
              </w:rPr>
              <w:t>44</w:t>
            </w:r>
            <w:r>
              <w:rPr>
                <w:b/>
                <w:i/>
              </w:rPr>
              <w:t xml:space="preserve"> en de verordening digitale markten</w:t>
            </w:r>
            <w:r>
              <w:rPr>
                <w:b/>
                <w:i/>
                <w:vertAlign w:val="superscript"/>
              </w:rPr>
              <w:t>45</w:t>
            </w:r>
            <w:r>
              <w:rPr>
                <w:b/>
                <w:i/>
              </w:rP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bCs/>
                <w:i/>
                <w:iCs/>
                <w:vertAlign w:val="superscript"/>
              </w:rPr>
              <w:t>44</w:t>
            </w:r>
            <w:r>
              <w:rPr>
                <w:b/>
                <w:bCs/>
                <w:i/>
                <w:iCs/>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bCs/>
                <w:i/>
                <w:iCs/>
                <w:vertAlign w:val="superscript"/>
              </w:rPr>
              <w:t>45</w:t>
            </w:r>
            <w:r>
              <w:rPr>
                <w:b/>
                <w:bCs/>
                <w:i/>
                <w:iCs/>
              </w:rPr>
              <w:t xml:space="preserve"> Verordening (EU) 2022/1925 van het Europees Parlement en de Raad van 14 september 2022 over betwistbare en </w:t>
            </w:r>
            <w:r>
              <w:rPr>
                <w:b/>
                <w:bCs/>
                <w:i/>
                <w:iCs/>
              </w:rPr>
              <w:lastRenderedPageBreak/>
              <w:t>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579</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w:t>
            </w:r>
            <w:r>
              <w:rPr>
                <w:b/>
                <w:i/>
              </w:rPr>
              <w:t>buitenlandse</w:t>
            </w:r>
            <w:r>
              <w:t xml:space="preserve"> inmenging in de lidstaten, </w:t>
            </w:r>
            <w:r>
              <w:rPr>
                <w:b/>
                <w:i/>
              </w:rPr>
              <w:t>waaronder in de vorm van manipulatie van sociale media en desinformatie</w:t>
            </w:r>
            <w:r>
              <w:t>;</w:t>
            </w:r>
            <w:r>
              <w:rPr>
                <w:b/>
                <w:i/>
              </w:rPr>
              <w:t xml:space="preserve"> neemt kennis van</w:t>
            </w:r>
            <w:r>
              <w:t xml:space="preserve"> de </w:t>
            </w:r>
            <w:r>
              <w:rPr>
                <w:b/>
                <w:i/>
              </w:rPr>
              <w:t>onaanvaardbare initiatieven</w:t>
            </w:r>
            <w:r>
              <w:t xml:space="preserve"> van </w:t>
            </w:r>
            <w:r>
              <w:rPr>
                <w:b/>
                <w:i/>
              </w:rPr>
              <w:t>Elon Musk</w:t>
            </w:r>
            <w:r>
              <w:t xml:space="preserve"> om </w:t>
            </w:r>
            <w:r>
              <w:rPr>
                <w:b/>
                <w:i/>
              </w:rPr>
              <w:t>socialemediaplatforms</w:t>
            </w:r>
            <w:r>
              <w:t xml:space="preserve"> te </w:t>
            </w:r>
            <w:r>
              <w:rPr>
                <w:b/>
                <w:i/>
              </w:rPr>
              <w:t>gebruiken voor</w:t>
            </w:r>
            <w:r>
              <w:t xml:space="preserve"> het </w:t>
            </w:r>
            <w:r>
              <w:rPr>
                <w:b/>
                <w:i/>
              </w:rPr>
              <w:t>beïnvloeden van</w:t>
            </w:r>
            <w:r>
              <w:t xml:space="preserve"> de </w:t>
            </w:r>
            <w:r>
              <w:rPr>
                <w:b/>
                <w:i/>
              </w:rPr>
              <w:t>publieke</w:t>
            </w:r>
            <w:r>
              <w:t xml:space="preserve"> opinie </w:t>
            </w:r>
            <w:r>
              <w:rPr>
                <w:b/>
                <w:i/>
              </w:rPr>
              <w:t>in meerdere lidstaten</w:t>
            </w:r>
            <w:r>
              <w:t xml:space="preserve">; verzoekt de Commissie en de </w:t>
            </w:r>
            <w:r>
              <w:rPr>
                <w:b/>
                <w:i/>
              </w:rPr>
              <w:t>lidstaten deze ontwikkeling te blijven volgen</w:t>
            </w:r>
            <w:r>
              <w:t xml:space="preserve"> en </w:t>
            </w:r>
            <w:r>
              <w:rPr>
                <w:b/>
                <w:i/>
              </w:rPr>
              <w:t>uitvoering</w:t>
            </w:r>
            <w:r>
              <w:t xml:space="preserve"> te </w:t>
            </w:r>
            <w:r>
              <w:rPr>
                <w:b/>
                <w:i/>
              </w:rPr>
              <w:t>geven aan de verordening digitale diensten</w:t>
            </w:r>
            <w:r>
              <w:rPr>
                <w:b/>
                <w:i/>
                <w:vertAlign w:val="superscript"/>
              </w:rPr>
              <w:t>44</w:t>
            </w:r>
            <w:r>
              <w:rPr>
                <w:b/>
                <w:i/>
              </w:rPr>
              <w:t xml:space="preserve"> en de verordening digitale markten</w:t>
            </w:r>
            <w:r>
              <w:rPr>
                <w:b/>
                <w:i/>
                <w:vertAlign w:val="superscript"/>
              </w:rPr>
              <w:t>45</w:t>
            </w:r>
            <w:r>
              <w:rPr>
                <w:b/>
                <w:i/>
              </w:rPr>
              <w:t>, waaronder</w:t>
            </w:r>
            <w:r>
              <w:t xml:space="preserve"> bij </w:t>
            </w:r>
            <w:r>
              <w:rPr>
                <w:b/>
                <w:i/>
              </w:rPr>
              <w:t>haar reactie op het recente besluit</w:t>
            </w:r>
            <w:r>
              <w:t xml:space="preserve"> van </w:t>
            </w:r>
            <w:r>
              <w:rPr>
                <w:b/>
                <w:i/>
              </w:rPr>
              <w:t>Meta over factchecking</w:t>
            </w:r>
            <w:r>
              <w:t>;</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w:t>
            </w:r>
            <w:r>
              <w:rPr>
                <w:b/>
                <w:i/>
              </w:rPr>
              <w:t>de</w:t>
            </w:r>
            <w:r>
              <w:t xml:space="preserve"> inmenging </w:t>
            </w:r>
            <w:r>
              <w:rPr>
                <w:b/>
                <w:i/>
              </w:rPr>
              <w:t xml:space="preserve">van het Europees Parlement en de Commissie </w:t>
            </w:r>
            <w:r>
              <w:t xml:space="preserve">in </w:t>
            </w:r>
            <w:r>
              <w:rPr>
                <w:b/>
                <w:i/>
              </w:rPr>
              <w:t xml:space="preserve">nationale aangelegenheden van </w:t>
            </w:r>
            <w:r>
              <w:t>de lidstaten</w:t>
            </w:r>
            <w:r>
              <w:rPr>
                <w:b/>
                <w:i/>
              </w:rPr>
              <w:t>; herinnert eraan dat Mark Zuckerberg, CEO van Meta, op 7 januari 2025 heeft toegegeven dat Facebook inhoud heeft gecensureerd op politieke basis; is ingenomen met</w:t>
            </w:r>
            <w:r>
              <w:t xml:space="preserve"> de </w:t>
            </w:r>
            <w:r>
              <w:rPr>
                <w:b/>
                <w:i/>
              </w:rPr>
              <w:t>inspanningen</w:t>
            </w:r>
            <w:r>
              <w:t xml:space="preserve"> van </w:t>
            </w:r>
            <w:r>
              <w:rPr>
                <w:b/>
                <w:i/>
              </w:rPr>
              <w:t>Meta</w:t>
            </w:r>
            <w:r>
              <w:t xml:space="preserve"> om </w:t>
            </w:r>
            <w:r>
              <w:rPr>
                <w:b/>
                <w:i/>
              </w:rPr>
              <w:t>de vrije meningsuiting op zijnsocialemediaplatforms</w:t>
            </w:r>
            <w:r>
              <w:t xml:space="preserve"> te </w:t>
            </w:r>
            <w:r>
              <w:rPr>
                <w:b/>
                <w:i/>
              </w:rPr>
              <w:t>bevorderen; betreurt</w:t>
            </w:r>
            <w:r>
              <w:t xml:space="preserve"> het </w:t>
            </w:r>
            <w:r>
              <w:rPr>
                <w:b/>
                <w:i/>
              </w:rPr>
              <w:t>feit dat politiek vooringenomen factchecking op socialemediaplatforms in Europa gehandhaafd wordt;</w:t>
            </w:r>
            <w:r>
              <w:t xml:space="preserve"> </w:t>
            </w:r>
            <w:r>
              <w:rPr>
                <w:b/>
                <w:i/>
              </w:rPr>
              <w:t>verzoekt</w:t>
            </w:r>
            <w:r>
              <w:t xml:space="preserve"> de </w:t>
            </w:r>
            <w:r>
              <w:rPr>
                <w:b/>
                <w:i/>
              </w:rPr>
              <w:t>Commissie haar inspanningen stop te zetten om politieke</w:t>
            </w:r>
            <w:r>
              <w:t xml:space="preserve"> opinie </w:t>
            </w:r>
            <w:r>
              <w:rPr>
                <w:b/>
                <w:i/>
              </w:rPr>
              <w:t>op socialemediaplatforms te censureren</w:t>
            </w:r>
            <w:r>
              <w:t>;</w:t>
            </w:r>
            <w:r>
              <w:rPr>
                <w:b/>
                <w:i/>
              </w:rPr>
              <w:t xml:space="preserve"> </w:t>
            </w:r>
            <w:r>
              <w:t xml:space="preserve">verzoekt de </w:t>
            </w:r>
            <w:r>
              <w:rPr>
                <w:b/>
                <w:i/>
              </w:rPr>
              <w:t xml:space="preserve">Europese </w:t>
            </w:r>
            <w:r>
              <w:t xml:space="preserve">Commissie en </w:t>
            </w:r>
            <w:r>
              <w:rPr>
                <w:b/>
                <w:i/>
              </w:rPr>
              <w:t xml:space="preserve">het Europees Parlement het contract van 133 miljoen EUR dat met Havas Media France is gesloten om in </w:t>
            </w:r>
            <w:r>
              <w:t xml:space="preserve">de </w:t>
            </w:r>
            <w:r>
              <w:rPr>
                <w:b/>
                <w:i/>
              </w:rPr>
              <w:t>aanloop naar de Europese parlementsverkiezingen van 2024 EU-gezinde verhalen</w:t>
            </w:r>
            <w:r>
              <w:t xml:space="preserve"> en </w:t>
            </w:r>
            <w:r>
              <w:rPr>
                <w:b/>
                <w:i/>
              </w:rPr>
              <w:t>kandidaten</w:t>
            </w:r>
            <w:r>
              <w:t xml:space="preserve"> te </w:t>
            </w:r>
            <w:r>
              <w:rPr>
                <w:b/>
                <w:i/>
              </w:rPr>
              <w:t>promoten, volledig bekend te maken; verzoekt het Europees Parlement een enquêtecommissie inzake censuur</w:t>
            </w:r>
            <w:r>
              <w:t xml:space="preserve"> bij </w:t>
            </w:r>
            <w:r>
              <w:rPr>
                <w:b/>
                <w:i/>
              </w:rPr>
              <w:t>Facebook in te stellen;</w:t>
            </w:r>
            <w:r>
              <w:t xml:space="preserve"> </w:t>
            </w:r>
            <w:r>
              <w:rPr>
                <w:b/>
                <w:i/>
              </w:rPr>
              <w:t xml:space="preserve">is ingenomen met </w:t>
            </w:r>
            <w:r>
              <w:rPr>
                <w:b/>
                <w:i/>
              </w:rPr>
              <w:lastRenderedPageBreak/>
              <w:t>de inspanningen van Elon Musk in de strijd voor de vrijheid van meningsuiting;</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580</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Emma Rafowicz, Alessandro Zan,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w:t>
            </w:r>
            <w:r>
              <w:lastRenderedPageBreak/>
              <w:t>uitvoering te geven aan de verordening digitale diensten</w:t>
            </w:r>
            <w:r>
              <w:rPr>
                <w:vertAlign w:val="superscript"/>
              </w:rPr>
              <w:t>44</w:t>
            </w:r>
            <w:r>
              <w:t xml:space="preserve"> en de verordening digitale markten</w:t>
            </w:r>
            <w:r>
              <w:rPr>
                <w:vertAlign w:val="superscript"/>
              </w:rPr>
              <w:t>45</w:t>
            </w:r>
            <w: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lastRenderedPageBreak/>
              <w:t>25.</w:t>
            </w:r>
            <w:r>
              <w:tab/>
              <w:t xml:space="preserve">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w:t>
            </w:r>
            <w:r>
              <w:lastRenderedPageBreak/>
              <w:t>uitvoering te geven aan de verordening digitale diensten</w:t>
            </w:r>
            <w:r>
              <w:rPr>
                <w:vertAlign w:val="superscript"/>
              </w:rPr>
              <w:t>44</w:t>
            </w:r>
            <w:r>
              <w:t xml:space="preserve"> en de verordening digitale markten</w:t>
            </w:r>
            <w:r>
              <w:rPr>
                <w:vertAlign w:val="superscript"/>
              </w:rPr>
              <w:t>45</w:t>
            </w:r>
            <w:r>
              <w:t xml:space="preserve">, waaronder bij haar reactie op het recente besluit van Meta over factchecking; </w:t>
            </w:r>
            <w:r>
              <w:rPr>
                <w:b/>
                <w:i/>
              </w:rPr>
              <w:t>benadrukt dat de digitaledienstenverordening een robuust kader biedt voor het aanpakken van systeemrisico’s als gevolg van desinformatie, met name op grote onlineplatforms, en dringt er bij de Commissie op aan de bepalingen ervan strikt te handhaven; benadrukt het feit dat transparantie in de algoritmen van platforms, onafhankelijke audits en robuuste mechanismen voor factchecking en inhoudsmoderatie belangrijk zijn; benadrukt het feit dat de bestrijding van desinformatie van essentieel belang is voor het waarborgen van de democratie, de bescherming van de grondrechten en het behoud van het vertrouwen in overheidsinstellingen in de hele Europese Unie;</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581</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neemt kennis van de onaanvaardbare initiatieven </w:t>
            </w:r>
            <w:r>
              <w:rPr>
                <w:b/>
                <w:i/>
              </w:rPr>
              <w:t xml:space="preserve">van Elon Musk </w:t>
            </w:r>
            <w:r>
              <w:t>om socialemediaplatforms te gebruiken voor het beïnvloeden van de publieke opinie in meerdere lidstaten; verzoekt</w:t>
            </w:r>
            <w:r>
              <w:rPr>
                <w:b/>
                <w:i/>
              </w:rPr>
              <w:t xml:space="preserve"> de Commissie en</w:t>
            </w:r>
            <w:r>
              <w:t xml:space="preserve"> de lidstaten deze ontwikkeling te blijven volgen en uitvoering te geven aan de verordening digitale diensten</w:t>
            </w:r>
            <w:r>
              <w:rPr>
                <w:b/>
                <w:i/>
              </w:rPr>
              <w:t>44</w:t>
            </w:r>
            <w:r>
              <w:t xml:space="preserve"> en de verordening digitale markten</w:t>
            </w:r>
            <w:r>
              <w:rPr>
                <w:b/>
                <w:i/>
              </w:rPr>
              <w:t>45, waaronder bij haar reactie op</w:t>
            </w:r>
            <w:r>
              <w:t xml:space="preserve"> het</w:t>
            </w:r>
            <w:r>
              <w:rPr>
                <w:b/>
                <w:i/>
              </w:rPr>
              <w:t xml:space="preserve"> recente</w:t>
            </w:r>
            <w:r>
              <w:t xml:space="preserve"> besluit van Meta over factchecking;</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t>
            </w:r>
            <w:r>
              <w:rPr>
                <w:b/>
                <w:i/>
              </w:rPr>
              <w:t xml:space="preserve">waartoe ook inmenging moet worden gerekend die haar oorsprong heeft in andere lidstaten of instellingen van de Unie, </w:t>
            </w:r>
            <w:r>
              <w:t xml:space="preserve">waaronder in de vorm van manipulatie van sociale media en desinformatie; </w:t>
            </w:r>
            <w:r>
              <w:rPr>
                <w:b/>
                <w:i/>
              </w:rPr>
              <w:t>dringt erop aan de soevereiniteit van de lidstaten te eerbiedigen en zich te onthouden van inmenging in democratische processen, hetgeen helaas niet de regel is geweest in voorgaande jaren en grondig moet worden onderzocht, niet alleen wat inmenging door niet-EU-landen en -actoren betreft, maar ook in het geval van inmenging door andere lidstaten en de instellingen;</w:t>
            </w:r>
            <w:r>
              <w:t xml:space="preserve"> neemt kennis van de onaanvaardbare initiatieven om socialemediaplatforms te gebruiken voor het beïnvloeden van de publieke opinie in meerdere lidstaten; verzoekt de lidstaten deze ontwikkeling te blijven volgen en uitvoering te geven aan de verordening digitale diensten en de verordening digitale markten</w:t>
            </w:r>
            <w:r>
              <w:rPr>
                <w:b/>
                <w:i/>
              </w:rPr>
              <w:t>; spoort de Commissie aan</w:t>
            </w:r>
            <w:r>
              <w:t xml:space="preserve"> het besluit van Meta over </w:t>
            </w:r>
            <w:r>
              <w:rPr>
                <w:b/>
                <w:i/>
              </w:rPr>
              <w:t xml:space="preserve">de mechanismen voor </w:t>
            </w:r>
            <w:r>
              <w:t>factchecking</w:t>
            </w:r>
            <w:r>
              <w:rPr>
                <w:b/>
                <w:i/>
              </w:rPr>
              <w:t xml:space="preserve"> grondig te analyseren en de beschuldigingen dat er in de mechanismen sprake zou zijn van vertekening ernstig te onderzoeken, onder meer wat de beperking van het bereik van conservatieve inhoud betreft</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w:t>
            </w:r>
            <w:r>
              <w:rPr>
                <w:b/>
                <w:i/>
              </w:rPr>
              <w:lastRenderedPageBreak/>
              <w:t>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582</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w:t>
            </w:r>
            <w:r>
              <w:rPr>
                <w:b/>
                <w:i/>
              </w:rPr>
              <w:t>en desinformatie</w:t>
            </w:r>
            <w:r>
              <w:t xml:space="preserve">; </w:t>
            </w:r>
            <w:r>
              <w:rPr>
                <w:b/>
                <w:i/>
              </w:rPr>
              <w:t>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b/>
                <w:i/>
                <w:vertAlign w:val="superscript"/>
              </w:rPr>
              <w:t>44</w:t>
            </w:r>
            <w:r>
              <w:rPr>
                <w:b/>
                <w:i/>
              </w:rPr>
              <w:t xml:space="preserve"> en de verordening digitale markten</w:t>
            </w:r>
            <w:r>
              <w:rPr>
                <w:b/>
                <w:i/>
                <w:vertAlign w:val="superscript"/>
              </w:rPr>
              <w:t>45</w:t>
            </w:r>
            <w:r>
              <w:rPr>
                <w:b/>
                <w:i/>
              </w:rP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 waaronder in de vorm van manipulatie van sociale media;</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w:t>
            </w:r>
            <w:r>
              <w:rPr>
                <w:b/>
                <w:i/>
              </w:rPr>
              <w:lastRenderedPageBreak/>
              <w:t>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583</w:t>
      </w:r>
      <w:r>
        <w:rPr>
          <w:rStyle w:val="HideTWBExt"/>
        </w:rPr>
        <w:t>&lt;/NumAm&gt;</w:t>
      </w:r>
    </w:p>
    <w:p w:rsidR="00F81D50" w:rsidRPr="00CF469D" w:rsidRDefault="00F81D50" w:rsidP="00F81D50">
      <w:pPr>
        <w:pStyle w:val="NormalBold"/>
      </w:pPr>
      <w:r>
        <w:rPr>
          <w:rStyle w:val="HideTWBExt"/>
          <w:b w:val="0"/>
        </w:rPr>
        <w:t>&lt;RepeatBlock-By&gt;&lt;Members&gt;</w:t>
      </w:r>
      <w:r>
        <w:t>Ewa Zajączkowska-Hernik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w:t>
            </w:r>
            <w:r>
              <w:rPr>
                <w:b/>
                <w:i/>
              </w:rPr>
              <w:t>, waaronder in de vorm van manipulatie van sociale media en desinformatie;</w:t>
            </w:r>
            <w:r>
              <w:t xml:space="preserve"> </w:t>
            </w:r>
            <w:r>
              <w:rPr>
                <w:b/>
                <w:i/>
              </w:rPr>
              <w:t>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b/>
                <w:i/>
                <w:vertAlign w:val="superscript"/>
              </w:rPr>
              <w:t>44</w:t>
            </w:r>
            <w:r>
              <w:rPr>
                <w:b/>
                <w:i/>
              </w:rPr>
              <w:t xml:space="preserve"> en de verordening digitale markten</w:t>
            </w:r>
            <w:r>
              <w:rPr>
                <w:b/>
                <w:i/>
                <w:vertAlign w:val="superscript"/>
              </w:rPr>
              <w:t>45</w:t>
            </w:r>
            <w:r>
              <w:rPr>
                <w:b/>
                <w:i/>
              </w:rPr>
              <w:t>, waaronder bij haar 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lastRenderedPageBreak/>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584</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w:t>
            </w:r>
            <w:r>
              <w:rPr>
                <w:b/>
                <w:i/>
              </w:rPr>
              <w:t xml:space="preserve">hekelt het feit dat de buitenlandse beïnvloeding wordt ondersteund door extreemrechtse krachten binnen en buiten de Unie, die helpen desinformatie te verspreiden en extreemrechtse ideeën te bevorderen, en dat ultraconservatieve Amerikaanse stichtingen aantoonbaar een agenda uitvoeren waarbij zij financiering </w:t>
            </w:r>
            <w:r>
              <w:rPr>
                <w:b/>
                <w:i/>
              </w:rPr>
              <w:lastRenderedPageBreak/>
              <w:t>en andere vormen van steun verstrekken aan extreemrechtse krachten in heel Europa;</w:t>
            </w:r>
            <w:r>
              <w:t xml:space="preserve">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waaronder bij haar reactie op het recente besluit van Meta over factchecking;</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585</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w:t>
            </w:r>
            <w:r>
              <w:rPr>
                <w:b/>
                <w:i/>
              </w:rPr>
              <w:t>, waaronder in de vorm van manipulatie van sociale media en desinformatie</w:t>
            </w:r>
            <w:r>
              <w:t xml:space="preserve">; neemt kennis van de onaanvaardbare initiatieven van </w:t>
            </w:r>
            <w:r>
              <w:rPr>
                <w:b/>
                <w:i/>
              </w:rPr>
              <w:t>Elon Musk</w:t>
            </w:r>
            <w:r>
              <w:t xml:space="preserve"> om </w:t>
            </w:r>
            <w:r>
              <w:rPr>
                <w:b/>
                <w:i/>
              </w:rPr>
              <w:t xml:space="preserve">socialemediaplatforms </w:t>
            </w:r>
            <w:r>
              <w:rPr>
                <w:b/>
                <w:i/>
              </w:rPr>
              <w:lastRenderedPageBreak/>
              <w:t xml:space="preserve">te gebruiken voor het beïnvloeden van </w:t>
            </w:r>
            <w:r>
              <w:t xml:space="preserve">de publieke opinie in meerdere lidstaten; verzoekt de Commissie en de lidstaten deze ontwikkeling te blijven volgen en </w:t>
            </w:r>
            <w:r>
              <w:rPr>
                <w:b/>
                <w:i/>
              </w:rPr>
              <w:t>uitvoering te geven aan de verordening digitale diensten</w:t>
            </w:r>
            <w:r>
              <w:rPr>
                <w:b/>
                <w:i/>
                <w:vertAlign w:val="superscript"/>
              </w:rPr>
              <w:t>44</w:t>
            </w:r>
            <w:r>
              <w:rPr>
                <w:b/>
                <w:i/>
              </w:rPr>
              <w:t xml:space="preserve"> en de verordening digitale markten</w:t>
            </w:r>
            <w:r>
              <w:rPr>
                <w:b/>
                <w:i/>
                <w:vertAlign w:val="superscript"/>
              </w:rPr>
              <w:t>45</w:t>
            </w:r>
            <w:r>
              <w:rPr>
                <w:b/>
                <w:i/>
              </w:rPr>
              <w:t>, waaronder bij haar 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lastRenderedPageBreak/>
              <w:t>25.</w:t>
            </w:r>
            <w:r>
              <w:tab/>
              <w:t xml:space="preserve">maakt zich zorgen over buitenlandse inmenging in de lidstaten; neemt kennis van de onaanvaardbare initiatieven van </w:t>
            </w:r>
            <w:r>
              <w:rPr>
                <w:b/>
                <w:i/>
              </w:rPr>
              <w:t>George Soros</w:t>
            </w:r>
            <w:r>
              <w:t xml:space="preserve"> om de publieke opinie in meerdere lidstaten</w:t>
            </w:r>
            <w:r>
              <w:rPr>
                <w:b/>
                <w:i/>
              </w:rPr>
              <w:t xml:space="preserve"> te beïnvloeden</w:t>
            </w:r>
            <w:r>
              <w:t xml:space="preserve">; verzoekt de Commissie en de </w:t>
            </w:r>
            <w:r>
              <w:lastRenderedPageBreak/>
              <w:t xml:space="preserve">lidstaten deze ontwikkeling te blijven volgen en </w:t>
            </w:r>
            <w:r>
              <w:rPr>
                <w:b/>
                <w:i/>
              </w:rPr>
              <w:t>passende maatregelen te nemen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586</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w:t>
            </w:r>
            <w:r>
              <w:rPr>
                <w:b/>
                <w:i/>
              </w:rPr>
              <w:t xml:space="preserve">neemt kennis van de onaanvaardbare </w:t>
            </w:r>
            <w:r>
              <w:rPr>
                <w:b/>
                <w:i/>
              </w:rPr>
              <w:lastRenderedPageBreak/>
              <w:t>initiatieven van Elon Musk om socialemediaplatforms te gebruiken voor het beïnvloeden van de publieke opinie in meerdere lidstaten;</w:t>
            </w:r>
            <w:r>
              <w:t xml:space="preserve"> verzoekt de Commissie en de lidstaten </w:t>
            </w:r>
            <w:r>
              <w:rPr>
                <w:b/>
                <w:i/>
              </w:rPr>
              <w:t>deze ontwikkeling</w:t>
            </w:r>
            <w:r>
              <w:t xml:space="preserve"> te blijven </w:t>
            </w:r>
            <w:r>
              <w:rPr>
                <w:b/>
                <w:i/>
              </w:rPr>
              <w:t>volgen</w:t>
            </w:r>
            <w:r>
              <w:t xml:space="preserve"> en uitvoering te geven aan de verordening digitale diensten</w:t>
            </w:r>
            <w:r>
              <w:rPr>
                <w:vertAlign w:val="superscript"/>
              </w:rPr>
              <w:t>44</w:t>
            </w:r>
            <w:r>
              <w:t xml:space="preserve"> en de verordening digitale markten</w:t>
            </w:r>
            <w:r>
              <w:rPr>
                <w:vertAlign w:val="superscript"/>
              </w:rPr>
              <w:t>45</w:t>
            </w:r>
            <w:r>
              <w:rPr>
                <w:b/>
                <w:i/>
              </w:rPr>
              <w:t>, waaronder bij haar 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lastRenderedPageBreak/>
              <w:t>25.</w:t>
            </w:r>
            <w:r>
              <w:tab/>
              <w:t xml:space="preserve">maakt zich zorgen over buitenlandse inmenging in de lidstaten, waaronder in de vorm van manipulatie van sociale media en desinformatie; verzoekt de Commissie en de lidstaten </w:t>
            </w:r>
            <w:r>
              <w:rPr>
                <w:b/>
                <w:i/>
              </w:rPr>
              <w:t>toezicht</w:t>
            </w:r>
            <w:r>
              <w:t xml:space="preserve"> te </w:t>
            </w:r>
            <w:r>
              <w:lastRenderedPageBreak/>
              <w:t xml:space="preserve">blijven </w:t>
            </w:r>
            <w:r>
              <w:rPr>
                <w:b/>
                <w:i/>
              </w:rPr>
              <w:t>houden op de naleving van</w:t>
            </w:r>
            <w:r>
              <w:t xml:space="preserve"> en uitvoering te geven aan de verordening digitale diensten</w:t>
            </w:r>
            <w:r>
              <w:rPr>
                <w:vertAlign w:val="superscript"/>
              </w:rPr>
              <w:t>44</w:t>
            </w:r>
            <w:r>
              <w:t xml:space="preserve"> en de verordening digitale markten</w:t>
            </w:r>
            <w:r>
              <w:rPr>
                <w:vertAlign w:val="superscript"/>
              </w:rPr>
              <w:t>45</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587</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Raquel García Hermida-Van Der Walle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w:t>
            </w:r>
            <w:r>
              <w:lastRenderedPageBreak/>
              <w:t>sociale media en desinformatie;</w:t>
            </w:r>
            <w:r>
              <w:rPr>
                <w:b/>
                <w:i/>
              </w:rPr>
              <w:t xml:space="preserve"> neemt kennis van de onaanvaardbare initiatieven van Elon Musk om socialemediaplatforms te gebruiken voor het beïnvloeden van de publieke opinie in meerdere lidstaten;</w:t>
            </w:r>
            <w:r>
              <w:t xml:space="preserve">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rPr>
                <w:b/>
                <w:i/>
              </w:rPr>
              <w:t>, waaronder bij haar 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lastRenderedPageBreak/>
              <w:t>25.</w:t>
            </w:r>
            <w:r>
              <w:tab/>
              <w:t xml:space="preserve">maakt zich zorgen over buitenlandse inmenging in de lidstaten, waaronder in de vorm van manipulatie van </w:t>
            </w:r>
            <w:r>
              <w:lastRenderedPageBreak/>
              <w:t>sociale media en desinformatie;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588</w:t>
      </w:r>
      <w:r>
        <w:rPr>
          <w:rStyle w:val="HideTWBExt"/>
        </w:rPr>
        <w:t>&lt;/NumAm&gt;</w:t>
      </w:r>
    </w:p>
    <w:p w:rsidR="00F81D50" w:rsidRPr="00CF469D" w:rsidRDefault="00F81D50" w:rsidP="00F81D50">
      <w:pPr>
        <w:pStyle w:val="NormalBold"/>
      </w:pPr>
      <w:r>
        <w:rPr>
          <w:rStyle w:val="HideTWBExt"/>
          <w:b w:val="0"/>
        </w:rPr>
        <w:t>&lt;RepeatBlock-By&gt;&lt;Members&gt;</w:t>
      </w:r>
      <w:r>
        <w:t>Javier Zarzalejos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w:t>
            </w:r>
            <w:r>
              <w:rPr>
                <w:b/>
                <w:i/>
              </w:rPr>
              <w:t xml:space="preserve"> in de lidstaten</w:t>
            </w:r>
            <w:r>
              <w:t xml:space="preserve">, </w:t>
            </w:r>
            <w:r>
              <w:rPr>
                <w:b/>
                <w:i/>
              </w:rPr>
              <w:lastRenderedPageBreak/>
              <w:t xml:space="preserve">waaronder in de vorm van </w:t>
            </w:r>
            <w:r>
              <w:t>manipulatie van sociale media en desinformatie;</w:t>
            </w:r>
            <w:r>
              <w:rPr>
                <w:b/>
                <w:i/>
              </w:rPr>
              <w:t xml:space="preserve"> neemt kennis van de onaanvaardbare initiatieven van Elon Musk om socialemediaplatforms te gebruiken voor het beïnvloeden van de publieke opinie in meerdere lidstaten;</w:t>
            </w:r>
            <w:r>
              <w:t xml:space="preserve">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xml:space="preserve">, waaronder </w:t>
            </w:r>
            <w:r>
              <w:rPr>
                <w:b/>
                <w:i/>
              </w:rPr>
              <w:t>bij haar 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lastRenderedPageBreak/>
              <w:t>25.</w:t>
            </w:r>
            <w:r>
              <w:tab/>
              <w:t xml:space="preserve">maakt zich zorgen over buitenlandse inmenging, manipulatie van </w:t>
            </w:r>
            <w:r>
              <w:lastRenderedPageBreak/>
              <w:t>sociale media en desinformatie;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xml:space="preserve">, waaronder </w:t>
            </w:r>
            <w:r>
              <w:rPr>
                <w:b/>
                <w:i/>
              </w:rPr>
              <w:t>de toepasselijke regels inzake inhoudmoderatie en de toepasselijke verplichtingen</w:t>
            </w:r>
            <w:r>
              <w:t>;</w:t>
            </w:r>
            <w:r>
              <w:rPr>
                <w:b/>
                <w:i/>
              </w:rPr>
              <w:t> </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589</w:t>
      </w:r>
      <w:r>
        <w:rPr>
          <w:rStyle w:val="HideTWBExt"/>
        </w:rPr>
        <w:t>&lt;/NumAm&gt;</w:t>
      </w:r>
    </w:p>
    <w:p w:rsidR="00F81D50" w:rsidRPr="00CF469D" w:rsidRDefault="00F81D50" w:rsidP="00F81D50">
      <w:pPr>
        <w:pStyle w:val="NormalBold"/>
      </w:pPr>
      <w:r>
        <w:rPr>
          <w:rStyle w:val="HideTWBExt"/>
          <w:b w:val="0"/>
        </w:rPr>
        <w:t>&lt;RepeatBlock-By&gt;&lt;Members&gt;</w:t>
      </w:r>
      <w:r>
        <w:t>Jorge Buxadé Villalba,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lastRenderedPageBreak/>
              <w:t>25.</w:t>
            </w:r>
            <w:r>
              <w:tab/>
            </w:r>
            <w:r>
              <w:rPr>
                <w:b/>
                <w:i/>
              </w:rPr>
              <w:t>maakt zich zorgen over</w:t>
            </w:r>
            <w:r>
              <w:t xml:space="preserve"> buitenlandse inmenging in de lidstaten, waaronder in de vorm van manipulatie van sociale media en desinformatie; neemt kennis van de onaanvaardbare initiatieven van </w:t>
            </w:r>
            <w:r>
              <w:rPr>
                <w:b/>
                <w:i/>
              </w:rPr>
              <w:t>Elon Musk om socialemediaplatforms te gebruiken voor het beïnvloeden van de publieke opinie in meerdere lidstaten; verzoekt de Commissie en</w:t>
            </w:r>
            <w:r>
              <w:t xml:space="preserve"> de </w:t>
            </w:r>
            <w:r>
              <w:rPr>
                <w:b/>
                <w:i/>
              </w:rPr>
              <w:t>lidstaten deze ontwikkeling</w:t>
            </w:r>
            <w:r>
              <w:t xml:space="preserve"> te </w:t>
            </w:r>
            <w:r>
              <w:rPr>
                <w:b/>
                <w:i/>
              </w:rPr>
              <w:t>blijven volgen</w:t>
            </w:r>
            <w:r>
              <w:t xml:space="preserve"> en </w:t>
            </w:r>
            <w:r>
              <w:rPr>
                <w:b/>
                <w:i/>
              </w:rPr>
              <w:t>uitvoering te geven aan de verordening digitale diensten</w:t>
            </w:r>
            <w:r>
              <w:rPr>
                <w:b/>
                <w:i/>
                <w:vertAlign w:val="superscript"/>
              </w:rPr>
              <w:t>44</w:t>
            </w:r>
            <w:r>
              <w:rPr>
                <w:b/>
                <w:i/>
              </w:rPr>
              <w:t xml:space="preserve"> en</w:t>
            </w:r>
            <w:r>
              <w:t xml:space="preserve"> de </w:t>
            </w:r>
            <w:r>
              <w:rPr>
                <w:b/>
                <w:i/>
              </w:rPr>
              <w:t>verordening digitale markten</w:t>
            </w:r>
            <w:r>
              <w:rPr>
                <w:b/>
                <w:i/>
                <w:vertAlign w:val="superscript"/>
              </w:rPr>
              <w:t>45</w:t>
            </w:r>
            <w:r>
              <w:rPr>
                <w:b/>
                <w:i/>
              </w:rPr>
              <w:t>, waaronder bij haar reactie</w:t>
            </w:r>
            <w:r>
              <w:t xml:space="preserve"> op </w:t>
            </w:r>
            <w:r>
              <w:rPr>
                <w:b/>
                <w:i/>
              </w:rPr>
              <w:t>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t>25.</w:t>
            </w:r>
            <w:r>
              <w:tab/>
            </w:r>
            <w:r>
              <w:rPr>
                <w:b/>
                <w:i/>
              </w:rPr>
              <w:t>veroordeelt krachtig alle soorten van</w:t>
            </w:r>
            <w:r>
              <w:t xml:space="preserve"> buitenlandse inmenging in de lidstaten, waaronder in de vorm van manipulatie van sociale media en desinformatie; neemt kennis van de onaanvaardbare initiatieven van </w:t>
            </w:r>
            <w:r>
              <w:rPr>
                <w:b/>
                <w:i/>
              </w:rPr>
              <w:t>George Soros waarbij miljoenen euro worden toegestopt aan maatschappelijke organisaties en mensenrechtenverdedigers om</w:t>
            </w:r>
            <w:r>
              <w:t xml:space="preserve"> de </w:t>
            </w:r>
            <w:r>
              <w:rPr>
                <w:b/>
                <w:i/>
              </w:rPr>
              <w:t>Europese waarden</w:t>
            </w:r>
            <w:r>
              <w:t xml:space="preserve"> te </w:t>
            </w:r>
            <w:r>
              <w:rPr>
                <w:b/>
                <w:i/>
              </w:rPr>
              <w:t>vernietigen,</w:t>
            </w:r>
            <w:r>
              <w:t xml:space="preserve"> en </w:t>
            </w:r>
            <w:r>
              <w:rPr>
                <w:b/>
                <w:i/>
              </w:rPr>
              <w:t>van propagandaoperaties van derde landen om onder meer</w:t>
            </w:r>
            <w:r>
              <w:t xml:space="preserve"> de </w:t>
            </w:r>
            <w:r>
              <w:rPr>
                <w:b/>
                <w:i/>
              </w:rPr>
              <w:t>autonomie van de Unie</w:t>
            </w:r>
            <w:r>
              <w:t xml:space="preserve"> op </w:t>
            </w:r>
            <w:r>
              <w:rPr>
                <w:b/>
                <w:i/>
              </w:rPr>
              <w:t>energiegebied aan te vallen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590</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w:t>
            </w:r>
            <w:r>
              <w:rPr>
                <w:b/>
                <w:i/>
              </w:rPr>
              <w:t xml:space="preserve">snel </w:t>
            </w:r>
            <w:r>
              <w:t>uitvoering te geven aan de verordening digitale diensten</w:t>
            </w:r>
            <w:r>
              <w:rPr>
                <w:vertAlign w:val="superscript"/>
              </w:rPr>
              <w:t>44</w:t>
            </w:r>
            <w:r>
              <w:t xml:space="preserve"> en de verordening digitale markten</w:t>
            </w:r>
            <w:r>
              <w:rPr>
                <w:vertAlign w:val="superscript"/>
              </w:rPr>
              <w:t>45</w:t>
            </w:r>
            <w:r>
              <w:t xml:space="preserve">, waaronder bij haar reactie op het recente besluit van Meta </w:t>
            </w:r>
            <w:r>
              <w:rPr>
                <w:b/>
                <w:i/>
              </w:rPr>
              <w:t xml:space="preserve">en andere zeer grote platforms </w:t>
            </w:r>
            <w:r>
              <w:t>over factchecking</w:t>
            </w:r>
            <w:r>
              <w:rPr>
                <w:b/>
                <w:i/>
              </w:rPr>
              <w:t xml:space="preserve"> en hun herziening van het concept van hatelijk gedrag (“hateful conduct”)</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591</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w:t>
            </w:r>
            <w:r>
              <w:rPr>
                <w:b/>
                <w:i/>
              </w:rPr>
              <w:t xml:space="preserve">neemt kennis van de onaanvaardbare initiatieven van Elon Musk om socialemediaplatforms te gebruiken voor het beïnvloeden van de publieke opinie in meerdere lidstaten; </w:t>
            </w:r>
            <w:r>
              <w:rPr>
                <w:b/>
                <w:bCs/>
                <w:i/>
                <w:iCs/>
              </w:rPr>
              <w:t>verzoekt de Commissie en de lidstaten deze ontwikkeling te blijven volgen en uitvoering te geven aan de verordening digitale diensten</w:t>
            </w:r>
            <w:r>
              <w:rPr>
                <w:b/>
                <w:bCs/>
                <w:i/>
                <w:iCs/>
                <w:vertAlign w:val="superscript"/>
              </w:rPr>
              <w:t>44</w:t>
            </w:r>
            <w:r>
              <w:rPr>
                <w:b/>
                <w:bCs/>
                <w:i/>
                <w:iCs/>
              </w:rPr>
              <w:t xml:space="preserve"> en de verordening digitale markten</w:t>
            </w:r>
            <w:r>
              <w:rPr>
                <w:b/>
                <w:bCs/>
                <w:i/>
                <w:iCs/>
                <w:vertAlign w:val="superscript"/>
              </w:rPr>
              <w:t>45</w:t>
            </w:r>
            <w:r>
              <w:rPr>
                <w:b/>
                <w:bCs/>
                <w:i/>
                <w:iCs/>
              </w:rPr>
              <w:t>, waaronder bij haar 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w:t>
            </w:r>
            <w:r>
              <w:rPr>
                <w:b/>
                <w:i/>
              </w:rPr>
              <w:t xml:space="preserve">veroordeelt in dit verband met klem de pogingen van Rusland om de Europese verkiezingsprocessen en met name de publieke opinie te beïnvloeden; </w:t>
            </w:r>
            <w:r>
              <w:rPr>
                <w:b/>
                <w:bCs/>
                <w:i/>
                <w:iCs/>
              </w:rPr>
              <w:t>is van mening dat deze pogingen om invloed uit te oefenen ook worden ingegeven door de wens om de eenheid van de Europese landen bij de ondersteuning van Oekraïne te ondermijnen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592</w:t>
      </w:r>
      <w:r>
        <w:rPr>
          <w:rStyle w:val="HideTWBExt"/>
        </w:rPr>
        <w:t>&lt;/NumAm&gt;</w:t>
      </w:r>
    </w:p>
    <w:p w:rsidR="00F81D50" w:rsidRPr="00CF469D" w:rsidRDefault="00F81D50" w:rsidP="00F81D50">
      <w:pPr>
        <w:pStyle w:val="NormalBold"/>
      </w:pPr>
      <w:r>
        <w:rPr>
          <w:rStyle w:val="HideTWBExt"/>
          <w:b w:val="0"/>
        </w:rPr>
        <w:t>&lt;RepeatBlock-By&gt;&lt;Members&gt;</w:t>
      </w:r>
      <w:r>
        <w:t>Mary Khan, Christine Anderson, Milan Uhrík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w:t>
            </w:r>
            <w:r>
              <w:rPr>
                <w:b/>
                <w:i/>
              </w:rPr>
              <w:t>buitenlandse</w:t>
            </w:r>
            <w:r>
              <w:t xml:space="preserve"> inmenging in de lidstaten</w:t>
            </w:r>
            <w:r>
              <w:rPr>
                <w:b/>
                <w:i/>
              </w:rPr>
              <w:t>, waaronder in</w:t>
            </w:r>
            <w:r>
              <w:t xml:space="preserve"> de </w:t>
            </w:r>
            <w:r>
              <w:rPr>
                <w:b/>
                <w:i/>
              </w:rPr>
              <w:t>vorm van manipulatie van sociale media en desinformatie</w:t>
            </w:r>
            <w:r>
              <w:t>;</w:t>
            </w:r>
            <w:r>
              <w:rPr>
                <w:b/>
                <w:i/>
              </w:rPr>
              <w:t xml:space="preserve"> neemt kennis van</w:t>
            </w:r>
            <w:r>
              <w:t xml:space="preserve"> de </w:t>
            </w:r>
            <w:r>
              <w:rPr>
                <w:b/>
                <w:i/>
              </w:rPr>
              <w:t xml:space="preserve">onaanvaardbare </w:t>
            </w:r>
            <w:r>
              <w:t xml:space="preserve">initiatieven van Elon Musk om socialemediaplatforms te gebruiken voor het </w:t>
            </w:r>
            <w:r>
              <w:rPr>
                <w:b/>
                <w:i/>
              </w:rPr>
              <w:t>beïnvloeden</w:t>
            </w:r>
            <w:r>
              <w:t xml:space="preserve"> van </w:t>
            </w:r>
            <w:r>
              <w:rPr>
                <w:b/>
                <w:i/>
              </w:rPr>
              <w:t>de publieke opinie in meerdere lidstaten;</w:t>
            </w:r>
            <w:r>
              <w:t xml:space="preserve"> </w:t>
            </w:r>
            <w:r>
              <w:rPr>
                <w:b/>
                <w:i/>
              </w:rPr>
              <w:t>verzoekt de Commissie en</w:t>
            </w:r>
            <w:r>
              <w:t xml:space="preserve"> de </w:t>
            </w:r>
            <w:r>
              <w:rPr>
                <w:b/>
                <w:i/>
              </w:rPr>
              <w:t>lidstaten deze ontwikkeling te blijven volgen en uitvoering te geven aan</w:t>
            </w:r>
            <w:r>
              <w:t xml:space="preserve"> de verordening digitale diensten</w:t>
            </w:r>
            <w:r>
              <w:rPr>
                <w:b/>
                <w:i/>
                <w:vertAlign w:val="superscript"/>
              </w:rPr>
              <w:t>44</w:t>
            </w:r>
            <w:r>
              <w:rPr>
                <w:b/>
                <w:i/>
              </w:rPr>
              <w:t xml:space="preserve"> en de verordening digitale markten</w:t>
            </w:r>
            <w:r>
              <w:rPr>
                <w:b/>
                <w:i/>
                <w:vertAlign w:val="superscript"/>
              </w:rPr>
              <w:t>45</w:t>
            </w:r>
            <w:r>
              <w:rPr>
                <w:b/>
                <w:i/>
              </w:rPr>
              <w:t>, waaronder bij haar reactie op het recente besluit</w:t>
            </w:r>
            <w:r>
              <w:t xml:space="preserve"> van </w:t>
            </w:r>
            <w:r>
              <w:rPr>
                <w:b/>
                <w:i/>
              </w:rPr>
              <w:t>Meta over factchecking</w:t>
            </w:r>
            <w:r>
              <w:t>;</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w:t>
            </w:r>
            <w:r>
              <w:rPr>
                <w:b/>
                <w:i/>
              </w:rPr>
              <w:t>politieke</w:t>
            </w:r>
            <w:r>
              <w:t xml:space="preserve"> inmenging in de lidstaten</w:t>
            </w:r>
            <w:r>
              <w:rPr>
                <w:b/>
                <w:i/>
              </w:rPr>
              <w:t xml:space="preserve"> door</w:t>
            </w:r>
            <w:r>
              <w:t xml:space="preserve"> de </w:t>
            </w:r>
            <w:r>
              <w:rPr>
                <w:b/>
                <w:i/>
              </w:rPr>
              <w:t>Commissie en organisaties die EU-middelen ontvangen</w:t>
            </w:r>
            <w:r>
              <w:t>;</w:t>
            </w:r>
            <w:r>
              <w:rPr>
                <w:b/>
                <w:i/>
              </w:rPr>
              <w:t xml:space="preserve"> is ingenomen met</w:t>
            </w:r>
            <w:r>
              <w:t xml:space="preserve"> de initiatieven van Elon Musk om socialemediaplatforms te gebruiken voor het </w:t>
            </w:r>
            <w:r>
              <w:rPr>
                <w:b/>
                <w:i/>
              </w:rPr>
              <w:t>aanmoedigen</w:t>
            </w:r>
            <w:r>
              <w:t xml:space="preserve"> van </w:t>
            </w:r>
            <w:r>
              <w:rPr>
                <w:b/>
                <w:i/>
              </w:rPr>
              <w:t>een open debat en het betrekken van miljoenen gebruikers bij</w:t>
            </w:r>
            <w:r>
              <w:t xml:space="preserve"> de </w:t>
            </w:r>
            <w:r>
              <w:rPr>
                <w:b/>
                <w:i/>
              </w:rPr>
              <w:t>politiek;</w:t>
            </w:r>
            <w:r>
              <w:t xml:space="preserve"> </w:t>
            </w:r>
            <w:r>
              <w:rPr>
                <w:b/>
                <w:i/>
              </w:rPr>
              <w:t>verzoekt de Commissie</w:t>
            </w:r>
            <w:r>
              <w:t xml:space="preserve"> de verordening digitale diensten</w:t>
            </w:r>
            <w:r>
              <w:rPr>
                <w:b/>
                <w:i/>
              </w:rPr>
              <w:t xml:space="preserve"> met onmiddellijke ingang in te trekken, om de vrijheid</w:t>
            </w:r>
            <w:r>
              <w:t xml:space="preserve"> van </w:t>
            </w:r>
            <w:r>
              <w:rPr>
                <w:b/>
                <w:i/>
              </w:rPr>
              <w:t>meningsuiting te beschermen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593</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 inleidende formule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neemt kennis van de onaanvaardbare initiatieven van Elon Musk om socialemediaplatforms te gebruiken voor het beïnvloeden van de publieke opinie </w:t>
            </w:r>
            <w:r>
              <w:rPr>
                <w:b/>
                <w:i/>
              </w:rPr>
              <w:t xml:space="preserve">en het verstoren van het democratische debat </w:t>
            </w:r>
            <w:r>
              <w:t>in meerdere lidstaten; verzoekt de Commissie en de lidstaten deze ontwikkeling te blijven volgen en uitvoering te geven aan de verordening digitale diensten</w:t>
            </w:r>
            <w:r>
              <w:rPr>
                <w:vertAlign w:val="superscript"/>
              </w:rPr>
              <w:t>44</w:t>
            </w:r>
            <w:r>
              <w:t xml:space="preserve"> en de verordening digitale markten</w:t>
            </w:r>
            <w:r>
              <w:rPr>
                <w:vertAlign w:val="superscript"/>
              </w:rPr>
              <w:t>45</w:t>
            </w:r>
            <w:r>
              <w:t>, waaronder bij haar reactie op het recente besluit van Meta over factchecking;</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Europees Parlement en de Raad van 14 september 2022 over betwistbare en eerlijke markten in de digitale sector, en tot wijziging van Richtlijnen (EU) 2019/1937 </w:t>
            </w:r>
            <w:r>
              <w:lastRenderedPageBreak/>
              <w:t>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lastRenderedPageBreak/>
              <w:t>45</w:t>
            </w:r>
            <w:r>
              <w:t xml:space="preserve"> Verordening (EU) 2022/1925 van het Europees Parlement en de Raad van 14 september 2022 over betwistbare en eerlijke markten in de digitale sector, en tot wijziging van Richtlijnen (EU) 2019/1937 </w:t>
            </w:r>
            <w:r>
              <w:lastRenderedPageBreak/>
              <w:t>en (EU) 2020/1828 (digitalemarktenverordening) (PB L 265 van 12.10.2022, blz. 1, ELI: https://data.europa.eu/eli/reg/2022/1925/oj).</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594</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 xml:space="preserve">maakt zich zorgen over buitenlandse inmenging in de lidstaten, waaronder in de vorm van manipulatie van sociale media en desinformatie; </w:t>
            </w:r>
            <w:r>
              <w:rPr>
                <w:b/>
                <w:i/>
              </w:rPr>
              <w:t>neemt kennis van de onaanvaardbare initiatieven</w:t>
            </w:r>
            <w:r>
              <w:t xml:space="preserve"> van </w:t>
            </w:r>
            <w:r>
              <w:rPr>
                <w:b/>
                <w:i/>
              </w:rPr>
              <w:t>Elon Musk om socialemediaplatforms te gebruiken voor het beïnvloeden</w:t>
            </w:r>
            <w:r>
              <w:t xml:space="preserve"> van de </w:t>
            </w:r>
            <w:r>
              <w:rPr>
                <w:b/>
                <w:i/>
              </w:rPr>
              <w:t>publieke opinie in meerdere lidstaten; verzoekt de Commissie en de lidstaten deze ontwikkeling te blijven volgen en uitvoering</w:t>
            </w:r>
            <w:r>
              <w:t xml:space="preserve"> te </w:t>
            </w:r>
            <w:r>
              <w:rPr>
                <w:b/>
                <w:i/>
              </w:rPr>
              <w:t>geven aan de verordening digitale diensten</w:t>
            </w:r>
            <w:r>
              <w:rPr>
                <w:b/>
                <w:i/>
                <w:vertAlign w:val="superscript"/>
              </w:rPr>
              <w:t>44</w:t>
            </w:r>
            <w:r>
              <w:rPr>
                <w:b/>
                <w:i/>
              </w:rPr>
              <w:t xml:space="preserve"> en de verordening digitale markten</w:t>
            </w:r>
            <w:r>
              <w:rPr>
                <w:b/>
                <w:i/>
                <w:vertAlign w:val="superscript"/>
              </w:rPr>
              <w:t>45</w:t>
            </w:r>
            <w:r>
              <w:rPr>
                <w:b/>
                <w:i/>
              </w:rPr>
              <w:t>, waaronder bij</w:t>
            </w:r>
            <w:r>
              <w:t xml:space="preserve"> haar </w:t>
            </w:r>
            <w:r>
              <w:rPr>
                <w:b/>
                <w:i/>
              </w:rPr>
              <w:t>reactie op het recente besluit van Meta over factchecking</w:t>
            </w:r>
            <w:r>
              <w:t>;</w:t>
            </w:r>
          </w:p>
        </w:tc>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w:t>
            </w:r>
            <w:r>
              <w:rPr>
                <w:b/>
                <w:i/>
              </w:rPr>
              <w:t xml:space="preserve"> en de EU-instellingen</w:t>
            </w:r>
            <w:r>
              <w:t xml:space="preserve">, waaronder in de vorm van manipulatie van sociale media en desinformatie; </w:t>
            </w:r>
            <w:r>
              <w:rPr>
                <w:b/>
                <w:i/>
              </w:rPr>
              <w:t>is ingenomen met het werk</w:t>
            </w:r>
            <w:r>
              <w:t xml:space="preserve"> van </w:t>
            </w:r>
            <w:r>
              <w:rPr>
                <w:b/>
                <w:i/>
              </w:rPr>
              <w:t>het Amerikaanse ministerie van Bestuursefficiëntie (DOGE) om de federale begroting</w:t>
            </w:r>
            <w:r>
              <w:t xml:space="preserve"> van de </w:t>
            </w:r>
            <w:r>
              <w:rPr>
                <w:b/>
                <w:i/>
              </w:rPr>
              <w:t>VS te ontluizen door er programma’s uit te verwijderen waarmee wordt getracht de publieke opinie in derde landen</w:t>
            </w:r>
            <w:r>
              <w:t xml:space="preserve"> te </w:t>
            </w:r>
            <w:r>
              <w:rPr>
                <w:b/>
                <w:i/>
              </w:rPr>
              <w:t>beïnvloeden, met name in het kader van het USAID-programma; verzoekt de EU</w:t>
            </w:r>
            <w:r>
              <w:t xml:space="preserve"> haar </w:t>
            </w:r>
            <w:r>
              <w:rPr>
                <w:b/>
                <w:i/>
              </w:rPr>
              <w:t>begroting aan een soortgelijke controle te onderwerpen</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44</w:t>
            </w:r>
            <w:r>
              <w:rPr>
                <w:b/>
                <w:i/>
              </w:rP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45</w:t>
            </w:r>
            <w:r>
              <w:rPr>
                <w:b/>
                <w:i/>
              </w:rPr>
              <w:t xml:space="preserve"> Verordening (EU) 2022/1925 van het Europees Parlement en de Raad van </w:t>
            </w:r>
            <w:r>
              <w:rPr>
                <w:b/>
                <w:i/>
              </w:rPr>
              <w:lastRenderedPageBreak/>
              <w:t>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595</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 waaronder in de vorm van manipulatie van sociale media en desinformatie; neemt kennis van de onaanvaardbare initiatieven van Elon Musk om socialemediaplatforms te gebruiken voor het beïnvloeden van de publieke opinie in meerdere lidstaten; verzoekt de Commissie en de lidstaten deze ontwikkeling te blijven volgen en uitvoering te geven aan de verordening digitale diensten</w:t>
            </w:r>
            <w:r>
              <w:rPr>
                <w:vertAlign w:val="superscript"/>
              </w:rPr>
              <w:t>44</w:t>
            </w:r>
            <w:r>
              <w:rPr>
                <w:b/>
                <w:i/>
              </w:rPr>
              <w:t xml:space="preserve"> </w:t>
            </w:r>
            <w:r>
              <w:t>en de verordening digitale markten</w:t>
            </w:r>
            <w:r>
              <w:rPr>
                <w:vertAlign w:val="superscript"/>
              </w:rPr>
              <w:t>45</w:t>
            </w:r>
            <w:r>
              <w:t>, waaronder bij haar reactie op het recente besluit van Meta over factchecking;</w:t>
            </w:r>
          </w:p>
        </w:tc>
        <w:tc>
          <w:tcPr>
            <w:tcW w:w="4876" w:type="dxa"/>
            <w:tcBorders>
              <w:top w:val="nil"/>
              <w:left w:val="nil"/>
              <w:bottom w:val="nil"/>
              <w:right w:val="nil"/>
            </w:tcBorders>
          </w:tcPr>
          <w:p w:rsidR="00F81D50" w:rsidRPr="00CF469D" w:rsidRDefault="00F81D50" w:rsidP="00F81D50">
            <w:pPr>
              <w:pStyle w:val="Normal6a"/>
            </w:pPr>
            <w:r>
              <w:t>25.</w:t>
            </w:r>
            <w:r>
              <w:tab/>
              <w:t>maakt zich zorgen over buitenlandse inmenging in de lidstaten, waaronder in de vorm van manipulatie van sociale media en desinformatie; neemt kennis van de onaanvaardbare initiatieven</w:t>
            </w:r>
            <w:r>
              <w:rPr>
                <w:b/>
                <w:i/>
              </w:rPr>
              <w:t>, onder andere</w:t>
            </w:r>
            <w:r>
              <w:t xml:space="preserve"> van Elon Musk</w:t>
            </w:r>
            <w:r>
              <w:rPr>
                <w:b/>
                <w:i/>
              </w:rPr>
              <w:t>,</w:t>
            </w:r>
            <w:r>
              <w:t xml:space="preserve"> om socialemediaplatforms te gebruiken voor het beïnvloeden van de publieke opinie in meerdere lidstaten; verzoekt de Commissie en de lidstaten deze ontwikkeling te blijven volgen en </w:t>
            </w:r>
            <w:r>
              <w:rPr>
                <w:b/>
                <w:i/>
              </w:rPr>
              <w:t xml:space="preserve">strikte </w:t>
            </w:r>
            <w:r>
              <w:t>uitvoering te geven aan de verordening digitale diensten</w:t>
            </w:r>
            <w:r>
              <w:rPr>
                <w:vertAlign w:val="superscript"/>
              </w:rPr>
              <w:t>44</w:t>
            </w:r>
            <w:r>
              <w:t>en de verordening digitale markten</w:t>
            </w:r>
            <w:r>
              <w:rPr>
                <w:vertAlign w:val="superscript"/>
              </w:rPr>
              <w:t>45</w:t>
            </w:r>
            <w:r>
              <w:t>, waaronder bij haar reactie op het recente besluit van Meta over factchecking;</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c>
          <w:tcPr>
            <w:tcW w:w="4876" w:type="dxa"/>
            <w:tcBorders>
              <w:top w:val="nil"/>
              <w:left w:val="nil"/>
              <w:bottom w:val="nil"/>
              <w:right w:val="nil"/>
            </w:tcBorders>
          </w:tcPr>
          <w:p w:rsidR="00F81D50" w:rsidRPr="00CF469D" w:rsidRDefault="00F81D50" w:rsidP="00F81D50">
            <w:pPr>
              <w:pStyle w:val="Normal6a"/>
            </w:pPr>
            <w:r>
              <w:rPr>
                <w:vertAlign w:val="superscript"/>
              </w:rPr>
              <w:t>44</w:t>
            </w:r>
            <w:r>
              <w:t xml:space="preserve"> Verordening (EU) 2022/2065 van het Europees Parlement en de Raad van 19 oktober 2022 betreffende een eengemaakte markt voor digitale diensten en tot wijziging van Richtlijn 2000/31/EG (digitaledienstenverordening) (PB L 277 van 27.10.2022, blz. 1, ELI: http://data.europa.eu/eli/reg/2022/2065/oj).</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45</w:t>
            </w:r>
            <w:r>
              <w:t xml:space="preserve"> Verordening (EU) 2022/1925 van het </w:t>
            </w:r>
            <w:r>
              <w:lastRenderedPageBreak/>
              <w:t>Europees Parlement en de Raad van 14 september 2022 over betwistbare en eerlijke markten in de digitale sector, en tot wijziging van Richtlijnen (EU) 2019/1937 en (EU) 2020/1828 (digitalemarktenverordening) (PB L 265 van 12.10.2022, blz. 1, ELI: https://data.europa.eu/eli/reg/2022/1925/oj).</w:t>
            </w:r>
          </w:p>
        </w:tc>
        <w:tc>
          <w:tcPr>
            <w:tcW w:w="4876" w:type="dxa"/>
            <w:tcBorders>
              <w:top w:val="nil"/>
              <w:left w:val="nil"/>
              <w:bottom w:val="nil"/>
              <w:right w:val="nil"/>
            </w:tcBorders>
          </w:tcPr>
          <w:p w:rsidR="00F81D50" w:rsidRPr="00CF469D" w:rsidRDefault="00F81D50" w:rsidP="00F81D50">
            <w:pPr>
              <w:pStyle w:val="Normal6a"/>
            </w:pPr>
            <w:r>
              <w:rPr>
                <w:vertAlign w:val="superscript"/>
              </w:rPr>
              <w:lastRenderedPageBreak/>
              <w:t>45</w:t>
            </w:r>
            <w:r>
              <w:t xml:space="preserve"> Verordening (EU) 2022/1925 van het </w:t>
            </w:r>
            <w:r>
              <w:lastRenderedPageBreak/>
              <w:t>Europees Parlement en de Raad van 14 september 2022 over betwistbare en eerlijke markten in de digitale sector, en tot wijziging van Richtlijnen (EU) 2019/1937 en (EU) 2020/1828 (digitalemarktenverordening) (PB L 265 van 12.10.2022, blz. 1, ELI: https://data.europa.eu/eli/reg/2022/1925/oj).</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596</w:t>
      </w:r>
      <w:r>
        <w:rPr>
          <w:rStyle w:val="HideTWBExt"/>
        </w:rPr>
        <w:t>&lt;/NumAm&gt;</w:t>
      </w:r>
    </w:p>
    <w:p w:rsidR="00F81D50" w:rsidRPr="00CF469D" w:rsidRDefault="00F81D50" w:rsidP="00F81D50">
      <w:pPr>
        <w:pStyle w:val="NormalBold"/>
      </w:pPr>
      <w:r>
        <w:rPr>
          <w:rStyle w:val="HideTWBExt"/>
          <w:b w:val="0"/>
        </w:rPr>
        <w:t>&lt;RepeatBlock-By&gt;&lt;Members&gt;</w:t>
      </w:r>
      <w:r>
        <w:t>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benadrukt dat gecoördineerde desinformatiecampagnes moeten worden aangepakt, bijvoorbeeld campagnes waarbij trollennetwerken betrokken zijn, waarvan is vastgesteld dat zij de publieke opinie in de aanloop naar verkiezingen beïnvloeden; benadrukt dat het belangrijk is doeltreffende uitvoering te geven aan de verordening digitale diensten, om ervoor te zorgen dat platforms proactieve maatregelen nemen om te voorkomen dat valse verhalen ruim weerklank krijgen; verzoekt de Commissie de naleving van de verplichtingen van de verordening digitale diensten inzake transparantie van de algoritmen en beperking van de risico’s af te dwingen;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597</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verwelkomt het recente besluit van Meta om over te stappen van factcheckers naar een systeem van community notes, zoals ook gebruikt wordt door X; is van mening dat de netwerken van factcheckers niet onpartijdig te werk gingen; is van mening dat het van het grootste belang is dat de uitoefening van de vrijheid van meningsuiting mensen met verschillende standpunten gelijke kansen biedt om hun mening te uiten zonder censuur;</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598</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benadrukt het feit dat buitenlandse inmenging, met name op sociale media, op transparantere en evenwichtigere wijze moet worden aangepakt; is van mening dat de Commissie moet voorkomen dat het debat gepolitiseerd wordt en dat gefocust wordt op specifieke personen of bepaalde politieke oriëntaties, bijvoorbeeld met aanvallen die gericht zijn op particulieren;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599</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acht maatregelen die de oppositie financiële middelen ontzeggen, in strijd met gerechtelijke uitspraken, onaanvaardbaar; wijst erop dat dergelijke praktijken een inbreuk vormen op de beginselen van de democratie, het verkiezingsproces ernstig verstoren en bijgevolg de uitslag van verkiezingen ondermijnen; verzoekt het ODIHR om bij het waarnemen van de verkiezingen in Polen rekening te houden met deze beschuldigingen;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600</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benadrukt het feit dat academische vrijheid belangrijk is en een integraal aspect van de rechtsstaat vormt en dringt er bij de lidstaten op aan universiteiten te beschermen tegen politieke inmenging en institutionele autonomie te waarborgen;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601</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Gebruik van spyware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602</w:t>
      </w:r>
      <w:r>
        <w:rPr>
          <w:rStyle w:val="HideTWBExt"/>
        </w:rPr>
        <w:t>&lt;/NumAm&gt;</w:t>
      </w:r>
    </w:p>
    <w:p w:rsidR="00F81D50" w:rsidRPr="00CF469D" w:rsidRDefault="00F81D50" w:rsidP="00F81D50">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ter.</w:t>
            </w:r>
            <w:r>
              <w:tab/>
            </w:r>
            <w:r>
              <w:rPr>
                <w:b/>
                <w:i/>
              </w:rPr>
              <w:t>betreurt het gebrek aan follow-up door de Raad en de Commissie van de aanbeveling van het Europees Parlement van 15 juni 2023 over het illegale gebruik van Pegasus en soortgelijke spyware voor surveillance; dringt er bij de Commissie op aan onverwijld een plan van maatregelen voor te leggen om misbruik van spyware in de EU te voorkomen, waarbij ten volle gebruikgemaakt wordt van alle beschikbare wetgevingsmiddelen waarin in de Europese Verdragen is voorzien;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603</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ter.</w:t>
            </w:r>
            <w:r>
              <w:tab/>
            </w:r>
            <w:r>
              <w:rPr>
                <w:b/>
                <w:i/>
              </w:rPr>
              <w:t xml:space="preserve">spreekt opnieuw zijn bezorgdheid uit over de heropleving van antisemitische handelingen in bepaalde lidstaten; betreurt gevallen waarin </w:t>
            </w:r>
            <w:r>
              <w:rPr>
                <w:b/>
                <w:i/>
              </w:rPr>
              <w:lastRenderedPageBreak/>
              <w:t>rechtshandhavingsinstanties hun functionarissen hebben toegestaan de bescherming van Joodse instellingen en gemeenschappen te weigeren; dringt aan op aanhoudende inspanningen op zowel EU- als nationaal niveau om antisemitische haatmisdrijven te monitoren, te voorkomen en te vervolgen en om Joodse gemeenschappen te beschermen tegen intimidatie of geweld;</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604</w:t>
      </w:r>
      <w:r>
        <w:rPr>
          <w:rStyle w:val="HideTWBExt"/>
        </w:rPr>
        <w:t>&lt;/NumAm&gt;</w:t>
      </w:r>
    </w:p>
    <w:p w:rsidR="00F81D50" w:rsidRPr="00CF469D" w:rsidRDefault="00F81D50" w:rsidP="00F81D50">
      <w:pPr>
        <w:pStyle w:val="NormalBold"/>
      </w:pPr>
      <w:r>
        <w:rPr>
          <w:rStyle w:val="HideTWBExt"/>
          <w:b w:val="0"/>
        </w:rPr>
        <w:t>&lt;RepeatBlock-By&gt;&lt;Members&gt;</w:t>
      </w:r>
      <w:r>
        <w:t>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ter.</w:t>
            </w:r>
            <w:r>
              <w:tab/>
            </w:r>
            <w:r>
              <w:rPr>
                <w:b/>
                <w:i/>
              </w:rPr>
              <w:t>uit zijn diepe bezorgdheid over het feit dat grote digitale platforms vaak onvoldoende samenwerken met de nationale rechtshandhavingsinstanties, met name in kleinere lidstaten, hetgeen onderzoeken naar illegale onlineactiviteiten kan belemmeren;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605</w:t>
      </w:r>
      <w:r>
        <w:rPr>
          <w:rStyle w:val="HideTWBExt"/>
        </w:rPr>
        <w:t>&lt;/NumAm&gt;</w:t>
      </w:r>
    </w:p>
    <w:p w:rsidR="00F81D50" w:rsidRPr="00CF469D" w:rsidRDefault="00F81D50" w:rsidP="00F81D50">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verzoekt de Commissie in haar verslag over de rechtsstaat een specifiek onderdeel op te nemen over maatregelen ter bestrijding van desinformatie op onlineplatforms in pijler 3 (Pluralisme en mediavrijheid);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606</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Alessandro Zan,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ter.</w:t>
            </w:r>
            <w:r>
              <w:tab/>
            </w:r>
            <w:r>
              <w:rPr>
                <w:b/>
                <w:i/>
              </w:rPr>
              <w:t>herinnert eraan dat ervoor moet worden gezorgd dat er solide gegevensbeschermingswaarborgen zijn wanneer lidstaten of nationale autoriteiten gebruikmaken van surveillancesoftware; herinnert eraan dat het gebruik van spyware een evenredig karakter moet hebben;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607</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25 bis.</w:t>
            </w:r>
            <w:r>
              <w:tab/>
            </w:r>
            <w:r>
              <w:rPr>
                <w:b/>
                <w:i/>
              </w:rPr>
              <w:t xml:space="preserve">erkent dat het verslag van de Commissie over de rechtsstaat vollediger is geworden sinds hiermee werd begonnen in 2020; betreurt echter dat essentiële </w:t>
            </w:r>
            <w:r>
              <w:rPr>
                <w:b/>
                <w:i/>
              </w:rPr>
              <w:lastRenderedPageBreak/>
              <w:t>elementen uit de resolutie van het Parlement van 2016 nog niet zijn uitgevoerd en dat de Commissie niet volledig gevolg heeft gegeven aan de aanbevelingen die het Parlement in zijn eerdere resoluties heeft gedaan; is van mening dat deze aanbevelingen nog steeds gegrond zijn en herhaalt ze; dringt aan op de opneming in het jaarverslag van belangrijke ontbrekende elementen van de lijst met criteria voor de rechtsstaat van de Commissie van Venetië, zoals preventie van machtsmisbruik, gelijkheid voor de wet en non-discriminatie; herhaalt zijn standpunt dat het verslag het volledige bereik van de waarden van artikel 2 VEU moet bestrijken, aangezien deze niet los van elkaar kunnen worden gezien; verzoekt de Commissie de reikwijdte van het verslag volgend jaar uit te breiden;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608</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Fabienne Keller, Lucia Yar, Irena Joveva, Isabel Wiseler-Lima</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moedigt de lidstaten ertoe aan alle maatregelen te nemen om een cultuur van de rechtsstaat te bevorderen, door middel van bewustmakingscampagnes, voorlichtingsinitiatieven en acties die gericht zijn op de bevordering van democratische waarden en beginselen;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lastRenderedPageBreak/>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609</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8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stelt met bezorgdheid vast dat sommige rechtsstelsels weliswaar op papier solide lijken, maar dat dit niet altijd strookt met de realiteit ter plaatse; verzoekt de Commissie zo vaak mogelijk bezoeken ter plaatse af te leggen en de ontwikkelingen ter plaatse voortdurend te volgen; verzoekt de Commissie een beoordeling te verstrekken die niet alleen gebaseerd is op wetswijzigingen, maar ook op concrete en onafhankelijke bewijzen van de tenuitvoerlegging ervan in de praktijk;</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610</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Subtitel 8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 xml:space="preserve">verzoekt de Commissie na te gaan hoe alle verslagen met betrekking tot de rechtsstaat of de grondrechten, zoals de jaarverslagen over de naleving van het </w:t>
            </w:r>
            <w:r>
              <w:rPr>
                <w:b/>
                <w:i/>
              </w:rPr>
              <w:lastRenderedPageBreak/>
              <w:t>Handvest of het verslag van het Bureau van de Europese Unie voor de grondrechten, grosso modo binnen dezelfde termijn kunnen worden gepubliceerd, teneinde één algemeen debat over deze kwesties mogelijk te maken;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611</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r>
            <w:r>
              <w:rPr>
                <w:b/>
                <w:i/>
              </w:rPr>
              <w:t>spoort</w:t>
            </w:r>
            <w:r>
              <w:t xml:space="preserve"> de </w:t>
            </w:r>
            <w:r>
              <w:rPr>
                <w:b/>
                <w:i/>
              </w:rPr>
              <w:t>Commissie aan duidelijker taal te gebruiken bij</w:t>
            </w:r>
            <w:r>
              <w:t xml:space="preserve"> de </w:t>
            </w:r>
            <w:r>
              <w:rPr>
                <w:b/>
                <w:i/>
              </w:rPr>
              <w:t>beoordeling</w:t>
            </w:r>
            <w:r>
              <w:t xml:space="preserve"> van de </w:t>
            </w:r>
            <w:r>
              <w:rPr>
                <w:b/>
                <w:i/>
              </w:rPr>
              <w:t>naleving</w:t>
            </w:r>
            <w:r>
              <w:t xml:space="preserve"> van de </w:t>
            </w:r>
            <w:r>
              <w:rPr>
                <w:b/>
                <w:i/>
              </w:rPr>
              <w:t>waarden als bedoeld</w:t>
            </w:r>
            <w:r>
              <w:t xml:space="preserve"> in artikel 2 VEU; verzoekt om meer aandacht voor de implementatie van de landenspecifieke aanbevelingen</w:t>
            </w:r>
            <w:r>
              <w:rPr>
                <w:b/>
                <w:i/>
              </w:rPr>
              <w:t>, met</w:t>
            </w:r>
            <w:r>
              <w:t xml:space="preserve"> mechanismen voor follow-up </w:t>
            </w:r>
            <w:r>
              <w:rPr>
                <w:b/>
                <w:i/>
              </w:rPr>
              <w:t>en kwantificeerbare benchmarks</w:t>
            </w:r>
            <w:r>
              <w:t>; stelt voor een alomvattend mechanisme voor toezicht op de rechtsstaat te ontwikkelen met de participatie van alle EU-instellingen, de lidstaten en de kandidaat-lidstaten, teneinde tot grotere uniformiteit te komen; stelt voor een permanente groep in het leven</w:t>
            </w:r>
            <w:r>
              <w:rPr>
                <w:b/>
                <w:i/>
              </w:rPr>
              <w:t xml:space="preserve"> te</w:t>
            </w:r>
            <w:r>
              <w:t xml:space="preserve"> roepen voor het monitoren van rechtsstaatschendingen</w:t>
            </w:r>
            <w:r>
              <w:rPr>
                <w:b/>
                <w:i/>
              </w:rPr>
              <w:t xml:space="preserve"> door</w:t>
            </w:r>
            <w:r>
              <w:t xml:space="preserve"> de lidstaten;</w:t>
            </w:r>
          </w:p>
        </w:tc>
        <w:tc>
          <w:tcPr>
            <w:tcW w:w="4876" w:type="dxa"/>
            <w:tcBorders>
              <w:top w:val="nil"/>
              <w:left w:val="nil"/>
              <w:bottom w:val="nil"/>
              <w:right w:val="nil"/>
            </w:tcBorders>
          </w:tcPr>
          <w:p w:rsidR="00F81D50" w:rsidRPr="00CF469D" w:rsidRDefault="00F81D50" w:rsidP="00F81D50">
            <w:pPr>
              <w:pStyle w:val="Normal6a"/>
            </w:pPr>
            <w:r>
              <w:t>26.</w:t>
            </w:r>
            <w:r>
              <w:tab/>
            </w:r>
            <w:r>
              <w:rPr>
                <w:b/>
                <w:i/>
              </w:rPr>
              <w:t>herinnert aan het motto van</w:t>
            </w:r>
            <w:r>
              <w:t xml:space="preserve"> de </w:t>
            </w:r>
            <w:r>
              <w:rPr>
                <w:b/>
                <w:i/>
              </w:rPr>
              <w:t>Europese Unie “In verscheidenheid verenigd” en vestigt</w:t>
            </w:r>
            <w:r>
              <w:t xml:space="preserve"> de </w:t>
            </w:r>
            <w:r>
              <w:rPr>
                <w:b/>
                <w:i/>
              </w:rPr>
              <w:t>aandacht</w:t>
            </w:r>
            <w:r>
              <w:t xml:space="preserve"> van de </w:t>
            </w:r>
            <w:r>
              <w:rPr>
                <w:b/>
                <w:i/>
              </w:rPr>
              <w:t>Commissie op het feit dat zij rekening moet houden met de verschillende tradities, factoren die samenhangen met de staatsinrichting en specifieke kenmerken</w:t>
            </w:r>
            <w:r>
              <w:t xml:space="preserve"> van de </w:t>
            </w:r>
            <w:r>
              <w:rPr>
                <w:b/>
                <w:i/>
              </w:rPr>
              <w:t>lidstaten in aangelegenheden die verband houden met de</w:t>
            </w:r>
            <w:r>
              <w:t xml:space="preserve"> in artikel 2 VEU</w:t>
            </w:r>
            <w:r>
              <w:rPr>
                <w:b/>
                <w:i/>
              </w:rPr>
              <w:t xml:space="preserve"> opgenomen waarden</w:t>
            </w:r>
            <w:r>
              <w:t xml:space="preserve">; verzoekt om meer aandacht voor </w:t>
            </w:r>
            <w:r>
              <w:rPr>
                <w:b/>
                <w:i/>
              </w:rPr>
              <w:t xml:space="preserve">onpartijdigheid en vraagt af te stappen van het gebruik van dubbele maatstaven ten aanzien van de lidstaten, met name ten aanzien van soevereine regeringen die een andere visie op de ontwikkeling van Europa hebben dan de federalistische en links-liberale meerderheid in Brussel, en is van mening dat een politiek van chantage met betrekking tot </w:t>
            </w:r>
            <w:r>
              <w:t>de implementatie van de landenspecifieke aanbevelingen</w:t>
            </w:r>
            <w:r>
              <w:rPr>
                <w:b/>
                <w:i/>
              </w:rPr>
              <w:t xml:space="preserve"> en de</w:t>
            </w:r>
            <w:r>
              <w:t xml:space="preserve"> mechanismen voor follow-up </w:t>
            </w:r>
            <w:r>
              <w:rPr>
                <w:b/>
                <w:i/>
              </w:rPr>
              <w:t>onaanvaardbaar is</w:t>
            </w:r>
            <w:r>
              <w:t xml:space="preserve">; stelt voor een alomvattend mechanisme voor toezicht op de rechtsstaat te ontwikkelen met de participatie van alle EU-instellingen, de lidstaten en de kandidaat-lidstaten, </w:t>
            </w:r>
            <w:r>
              <w:lastRenderedPageBreak/>
              <w:t xml:space="preserve">teneinde tot grotere uniformiteit te komen; stelt voor </w:t>
            </w:r>
            <w:r>
              <w:rPr>
                <w:b/>
                <w:i/>
              </w:rPr>
              <w:t xml:space="preserve">dat de lidstaten </w:t>
            </w:r>
            <w:r>
              <w:t>een permanente groep in het leven roepen voor het monitoren van rechtsstaatschendingen</w:t>
            </w:r>
            <w:r>
              <w:rPr>
                <w:b/>
                <w:i/>
              </w:rPr>
              <w:t>; merkt op, nu er al enkele jaren verslagen worden gepubliceerd, dat we hiermee op een dood spoor zitten dat de onenigheid tussen</w:t>
            </w:r>
            <w:r>
              <w:t xml:space="preserve"> de lidstaten</w:t>
            </w:r>
            <w:r>
              <w:rPr>
                <w:b/>
                <w:i/>
              </w:rPr>
              <w:t xml:space="preserve"> verergert, een instrument voor politieke chantage vormt, de Commissie politiseert en het vertrouwen van de burgers in het EU-project ondermijnt</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612</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r>
            <w:r>
              <w:rPr>
                <w:b/>
                <w:i/>
              </w:rPr>
              <w:t>erkent het verslag van de Commissie over de rechtsstaat als een belangrijk preventief instrument voor het monitoren van de toestand van de rechtsstaat in de hele EU, het faciliteren van de dialoog tussen de lidstaten en het sturen van hervormingen op gebieden als de onafhankelijkheid van de rechterlijke macht, corruptiebestrijding, mediavrijheid en controlemechanismen;</w:t>
            </w:r>
            <w:r>
              <w:t xml:space="preserve"> 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w:t>
            </w:r>
            <w:r>
              <w:lastRenderedPageBreak/>
              <w:t>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r>
              <w:rPr>
                <w:b/>
                <w:bCs/>
                <w:i/>
                <w:iCs/>
              </w:rPr>
              <w:t>, via een volledig onafhankelijk en onpartijdig mechanisme om de uitvoering van de aanbevelingen in het verslag over de rechtsstaat op transparante en openbaar toegankelijke wijze te monitoren en te volgen</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613</w:t>
      </w:r>
      <w:r>
        <w:rPr>
          <w:rStyle w:val="HideTWBExt"/>
        </w:rPr>
        <w:t>&lt;/NumAm&gt;</w:t>
      </w:r>
    </w:p>
    <w:p w:rsidR="00F81D50" w:rsidRPr="00CF469D" w:rsidRDefault="00F81D50" w:rsidP="00F81D50">
      <w:pPr>
        <w:pStyle w:val="NormalBold"/>
      </w:pPr>
      <w:r>
        <w:rPr>
          <w:rStyle w:val="HideTWBExt"/>
          <w:b w:val="0"/>
        </w:rPr>
        <w:t>&lt;RepeatBlock-By&gt;&lt;Members&gt;</w:t>
      </w:r>
      <w:r>
        <w:t>Nikola Minchev, Moritz Körner, Hilde Vautmans, Veronika Cifrová Ostrihoňová, Chloé Ridel, Abir Al-Sahlani, Fabienne Keller, Lucia Yar, Irena Joveva, Isabel Wiseler-Lima, Daniel Freund</w:t>
      </w:r>
      <w:r>
        <w:rPr>
          <w:rStyle w:val="HideTWBExt"/>
          <w:b w:val="0"/>
        </w:rPr>
        <w:t>&lt;/Members&gt;</w:t>
      </w:r>
    </w:p>
    <w:p w:rsidR="00F81D50" w:rsidRPr="00CF469D" w:rsidRDefault="00F81D50" w:rsidP="00F81D50">
      <w:r>
        <w:rPr>
          <w:rStyle w:val="HideTWBExt"/>
        </w:rPr>
        <w:t>&lt;AuNomDe&gt;</w:t>
      </w:r>
      <w:r>
        <w:rPr>
          <w:rStyle w:val="HideTWBInt"/>
        </w:rPr>
        <w:t>{LIBE}</w:t>
      </w:r>
      <w:r>
        <w:t>namens de Commissie burgerlijke vrijheden, justitie en binnenlandse zaken</w:t>
      </w:r>
      <w:r>
        <w:rPr>
          <w:rStyle w:val="HideTWBExt"/>
        </w:rPr>
        <w:t>&lt;/AuNomDe&gt;</w:t>
      </w:r>
    </w:p>
    <w:p w:rsidR="00F81D50" w:rsidRPr="00CF469D" w:rsidRDefault="00F81D50" w:rsidP="00F81D50">
      <w:pPr>
        <w:pStyle w:val="NormalBold"/>
      </w:pPr>
      <w:r>
        <w:rPr>
          <w:rStyle w:val="HideTWBExt"/>
          <w:b w:val="0"/>
        </w:rPr>
        <w:t>&lt;Members&gt;</w:t>
      </w:r>
      <w:r>
        <w:t>Sophie Wilmès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spoort de Commissie aan duidelijker</w:t>
            </w:r>
            <w:r>
              <w:rPr>
                <w:b/>
                <w:i/>
              </w:rPr>
              <w:t>, minder diplomatieke en preciezere</w:t>
            </w:r>
            <w:r>
              <w:t xml:space="preserve"> taal te gebruiken bij de beoordeling van de naleving van de </w:t>
            </w:r>
            <w:r>
              <w:rPr>
                <w:b/>
                <w:i/>
              </w:rPr>
              <w:t xml:space="preserve">rechtsstaat; verzoekt de lidstaten volledig te voldoen aan de </w:t>
            </w:r>
            <w:r>
              <w:t>waarden als bedoeld in artikel 2 VEU;</w:t>
            </w:r>
            <w:r>
              <w:rPr>
                <w:b/>
                <w:i/>
              </w:rPr>
              <w:t xml:space="preserve"> betreurt de kunstmatige gelijke verdeling van aanbevelingen over de lidstaten en het gebrek aan differentiatie tussen aanbevelingen die betrekking hebben op systemische of ernstige problemen en aanbevelingen die minder belangrijk zijn;</w:t>
            </w:r>
            <w:r>
              <w:t xml:space="preserve"> verzoekt om meer aandacht voor de implementatie van de landenspecifieke aanbevelingen, met mechanismen voor follow-up en kwantificeerbare benchmarks; stelt voor </w:t>
            </w:r>
            <w:r>
              <w:lastRenderedPageBreak/>
              <w:t xml:space="preserve">een alomvattend mechanisme voor toezicht op de rechtsstaat te ontwikkelen met de participatie van alle EU-instellingen, de lidstaten en de kandidaat-lidstaten, teneinde tot grotere uniformiteit </w:t>
            </w:r>
            <w:r>
              <w:rPr>
                <w:b/>
                <w:i/>
              </w:rPr>
              <w:t xml:space="preserve">en complementariteit </w:t>
            </w:r>
            <w:r>
              <w:t>te komen</w:t>
            </w:r>
            <w:r>
              <w:rPr>
                <w:b/>
                <w:i/>
              </w:rPr>
              <w:t xml:space="preserve"> en synergieën te bevorderen</w:t>
            </w:r>
            <w:r>
              <w:t>; stelt voor een permanente groep in het leven te roepen voor het monitoren van rechtsstaatschendingen door de lidstaten;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614</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w:t>
            </w:r>
            <w:r>
              <w:rPr>
                <w:b/>
                <w:i/>
              </w:rPr>
              <w:t>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615</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w:t>
            </w:r>
            <w:r>
              <w:rPr>
                <w:b/>
                <w:i/>
              </w:rPr>
              <w:t>verzoekt om meer aandacht voor</w:t>
            </w:r>
            <w:r>
              <w:t xml:space="preserve"> de </w:t>
            </w:r>
            <w:r>
              <w:rPr>
                <w:b/>
                <w:i/>
              </w:rPr>
              <w:t>implementatie van</w:t>
            </w:r>
            <w:r>
              <w:t xml:space="preserve"> de </w:t>
            </w:r>
            <w:r>
              <w:rPr>
                <w:b/>
                <w:i/>
              </w:rPr>
              <w:t>landenspecifieke aanbevelingen</w:t>
            </w:r>
            <w:r>
              <w:t xml:space="preserve">, met </w:t>
            </w:r>
            <w:r>
              <w:rPr>
                <w:b/>
                <w:i/>
              </w:rPr>
              <w:t>mechanismen voor follow-up en kwantificeerbare benchmarks</w:t>
            </w:r>
            <w:r>
              <w:t>;</w:t>
            </w:r>
            <w:r>
              <w:rPr>
                <w:b/>
                <w:i/>
              </w:rPr>
              <w:t xml:space="preserve"> stelt voor een alomvattend mechanisme voor toezicht op de rechtsstaat te ontwikkelen met de participatie van alle EU-instellingen, de lidstaten en de kandidaat-lidstaten, teneinde tot grotere uniformiteit te komen; stelt voor een permanente groep in het leven te roepen</w:t>
            </w:r>
            <w:r>
              <w:t xml:space="preserve"> voor </w:t>
            </w:r>
            <w:r>
              <w:rPr>
                <w:b/>
                <w:i/>
              </w:rPr>
              <w:t>het monitoren van rechtsstaatschendingen door de lidstaten</w:t>
            </w:r>
            <w:r>
              <w:t>;</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w:t>
            </w:r>
            <w:r>
              <w:rPr>
                <w:b/>
                <w:i/>
              </w:rPr>
              <w:t>bevestigt dat het jaarverslag over</w:t>
            </w:r>
            <w:r>
              <w:t xml:space="preserve"> de </w:t>
            </w:r>
            <w:r>
              <w:rPr>
                <w:b/>
                <w:i/>
              </w:rPr>
              <w:t>rechtsstaat geen doel op zich is, aangezien toezicht op</w:t>
            </w:r>
            <w:r>
              <w:t xml:space="preserve"> de </w:t>
            </w:r>
            <w:r>
              <w:rPr>
                <w:b/>
                <w:i/>
              </w:rPr>
              <w:t>situatie niet voldoende is</w:t>
            </w:r>
            <w:r>
              <w:t>,</w:t>
            </w:r>
            <w:r>
              <w:rPr>
                <w:b/>
                <w:i/>
              </w:rPr>
              <w:t xml:space="preserve"> maar veeleer moet leiden tot specifieke handhavingsmaatregelen</w:t>
            </w:r>
            <w:r>
              <w:t xml:space="preserve"> met </w:t>
            </w:r>
            <w:r>
              <w:rPr>
                <w:b/>
                <w:i/>
              </w:rPr>
              <w:t>betrekking tot de vastgestelde tekortkomingen, vooral wanneer de aanbevelingen niet volledig worden uitgevoerd</w:t>
            </w:r>
            <w:r>
              <w:t>;</w:t>
            </w:r>
            <w:r>
              <w:rPr>
                <w:b/>
                <w:i/>
              </w:rPr>
              <w:t xml:space="preserve"> herhaalt dat er</w:t>
            </w:r>
            <w:r>
              <w:t xml:space="preserve"> een </w:t>
            </w:r>
            <w:r>
              <w:rPr>
                <w:b/>
                <w:i/>
              </w:rPr>
              <w:t>tijdschema, doelstellingen en concrete acties moeten worden vastgesteld</w:t>
            </w:r>
            <w:r>
              <w:t xml:space="preserve"> voor </w:t>
            </w:r>
            <w:r>
              <w:rPr>
                <w:b/>
                <w:i/>
              </w:rPr>
              <w:t>de uitvoering van</w:t>
            </w:r>
            <w:r>
              <w:t xml:space="preserve"> de </w:t>
            </w:r>
            <w:r>
              <w:rPr>
                <w:b/>
                <w:i/>
              </w:rPr>
              <w:t>aanbevelingen en dat</w:t>
            </w:r>
            <w:r>
              <w:t xml:space="preserve"> de </w:t>
            </w:r>
            <w:r>
              <w:rPr>
                <w:b/>
                <w:i/>
              </w:rPr>
              <w:t>mogelijke gevolgen in geval</w:t>
            </w:r>
            <w:r>
              <w:t xml:space="preserve"> van </w:t>
            </w:r>
            <w:r>
              <w:rPr>
                <w:b/>
                <w:i/>
              </w:rPr>
              <w:t>niet-naleving nader moeten worden omschreven</w:t>
            </w:r>
            <w:r>
              <w:t xml:space="preserve">, </w:t>
            </w:r>
            <w:r>
              <w:rPr>
                <w:b/>
                <w:i/>
              </w:rPr>
              <w:t xml:space="preserve">met inbegrip van </w:t>
            </w:r>
            <w:r>
              <w:t xml:space="preserve">de </w:t>
            </w:r>
            <w:r>
              <w:rPr>
                <w:b/>
                <w:i/>
              </w:rPr>
              <w:t>verwijzing naar specifieke instrumenten uit het instrumentarium</w:t>
            </w:r>
            <w:r>
              <w:t xml:space="preserve">, </w:t>
            </w:r>
            <w:r>
              <w:rPr>
                <w:b/>
                <w:i/>
              </w:rPr>
              <w:t>waaronder begrotingsinstrumenten;</w:t>
            </w:r>
            <w:r>
              <w:t xml:space="preserve"> </w:t>
            </w:r>
            <w:r>
              <w:rPr>
                <w:b/>
                <w:i/>
              </w:rPr>
              <w:t>is van mening dat bepaalde schendingen van de waarden onmiddellijke handhavingsmaatregelen vereisen en dat voor andere schendingen de aanbevelingen dringend moeten worden uitgevoerd;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616</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r>
            <w:r>
              <w:rPr>
                <w:b/>
                <w:i/>
              </w:rPr>
              <w:t>spoort de Commissie aan duidelijker taal te gebruiken bij</w:t>
            </w:r>
            <w:r>
              <w:t xml:space="preserve"> de </w:t>
            </w:r>
            <w:r>
              <w:rPr>
                <w:b/>
                <w:i/>
              </w:rPr>
              <w:t>beoordeling van de naleving</w:t>
            </w:r>
            <w:r>
              <w:t xml:space="preserve"> van de </w:t>
            </w:r>
            <w:r>
              <w:rPr>
                <w:b/>
                <w:i/>
              </w:rPr>
              <w:t>waarden als bedoeld in artikel 2 VEU; verzoekt om meer aandacht voor</w:t>
            </w:r>
            <w:r>
              <w:t xml:space="preserve"> de </w:t>
            </w:r>
            <w:r>
              <w:rPr>
                <w:b/>
                <w:i/>
              </w:rPr>
              <w:lastRenderedPageBreak/>
              <w:t>implementatie van de landenspecifieke aanbevelingen, met</w:t>
            </w:r>
            <w:r>
              <w:t xml:space="preserve"> mechanismen </w:t>
            </w:r>
            <w:r>
              <w:rPr>
                <w:b/>
                <w:i/>
              </w:rPr>
              <w:t>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w:t>
            </w:r>
            <w:r>
              <w:t xml:space="preserve"> in</w:t>
            </w:r>
            <w:r>
              <w:rPr>
                <w:b/>
                <w:i/>
              </w:rPr>
              <w:t xml:space="preserve"> het leven te roepen voor het monitoren van rechtsstaatschendingen door</w:t>
            </w:r>
            <w:r>
              <w:t xml:space="preserve"> de lidstaten;</w:t>
            </w:r>
          </w:p>
        </w:tc>
        <w:tc>
          <w:tcPr>
            <w:tcW w:w="4876" w:type="dxa"/>
            <w:tcBorders>
              <w:top w:val="nil"/>
              <w:left w:val="nil"/>
              <w:bottom w:val="nil"/>
              <w:right w:val="nil"/>
            </w:tcBorders>
          </w:tcPr>
          <w:p w:rsidR="00F81D50" w:rsidRPr="00CF469D" w:rsidRDefault="00F81D50" w:rsidP="00F81D50">
            <w:pPr>
              <w:pStyle w:val="Normal6a"/>
            </w:pPr>
            <w:r>
              <w:lastRenderedPageBreak/>
              <w:t>26.</w:t>
            </w:r>
            <w:r>
              <w:tab/>
            </w:r>
            <w:r>
              <w:rPr>
                <w:b/>
                <w:i/>
              </w:rPr>
              <w:t>herinnert eraan dat</w:t>
            </w:r>
            <w:r>
              <w:t xml:space="preserve"> de </w:t>
            </w:r>
            <w:r>
              <w:rPr>
                <w:b/>
                <w:i/>
              </w:rPr>
              <w:t>Commissie uit hoofde</w:t>
            </w:r>
            <w:r>
              <w:t xml:space="preserve"> van de </w:t>
            </w:r>
            <w:r>
              <w:rPr>
                <w:b/>
                <w:i/>
              </w:rPr>
              <w:t>Verdragen niet over</w:t>
            </w:r>
            <w:r>
              <w:t xml:space="preserve"> de </w:t>
            </w:r>
            <w:r>
              <w:rPr>
                <w:b/>
                <w:i/>
              </w:rPr>
              <w:t>bevoegdheid beschikt om bijkomende</w:t>
            </w:r>
            <w:r>
              <w:t xml:space="preserve"> mechanismen </w:t>
            </w:r>
            <w:r>
              <w:rPr>
                <w:b/>
                <w:i/>
              </w:rPr>
              <w:t>in het leven te roepen om</w:t>
            </w:r>
            <w:r>
              <w:t xml:space="preserve"> toezicht te </w:t>
            </w:r>
            <w:r>
              <w:rPr>
                <w:b/>
                <w:i/>
              </w:rPr>
              <w:t>houden op</w:t>
            </w:r>
            <w:r>
              <w:t xml:space="preserve"> de </w:t>
            </w:r>
            <w:r>
              <w:rPr>
                <w:b/>
                <w:i/>
              </w:rPr>
              <w:t>rechtsstaat</w:t>
            </w:r>
            <w:r>
              <w:t xml:space="preserve"> in de </w:t>
            </w:r>
            <w:r>
              <w:lastRenderedPageBreak/>
              <w:t>lidstaten;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617</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w:t>
            </w:r>
            <w:r>
              <w:rPr>
                <w:b/>
                <w:i/>
              </w:rPr>
              <w:t>; verzoekt om meer aandacht voor de implementatie van de landenspecifieke aanbevelingen</w:t>
            </w:r>
            <w:r>
              <w:t xml:space="preserve">, </w:t>
            </w:r>
            <w:r>
              <w:rPr>
                <w:b/>
                <w:i/>
              </w:rPr>
              <w:t>met mechanismen voor follow-up en kwantificeerbare benchmarks</w:t>
            </w:r>
            <w:r>
              <w:t xml:space="preserve">; stelt voor </w:t>
            </w:r>
            <w:r>
              <w:rPr>
                <w:b/>
                <w:i/>
              </w:rPr>
              <w:t>een alomvattend mechanisme voor toezicht op</w:t>
            </w:r>
            <w:r>
              <w:t xml:space="preserve"> de </w:t>
            </w:r>
            <w:r>
              <w:rPr>
                <w:b/>
                <w:i/>
              </w:rPr>
              <w:t>rechtsstaat te ontwikkelen met de participatie van</w:t>
            </w:r>
            <w:r>
              <w:t xml:space="preserve"> alle EU-instellingen</w:t>
            </w:r>
            <w:r>
              <w:rPr>
                <w:b/>
                <w:i/>
              </w:rPr>
              <w:t>,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w:t>
            </w:r>
            <w:r>
              <w:rPr>
                <w:b/>
                <w:i/>
              </w:rPr>
              <w:t>steeds ondersteund door een adequate rechtsgrondslag</w:t>
            </w:r>
            <w:r>
              <w:t xml:space="preserve">; stelt voor </w:t>
            </w:r>
            <w:r>
              <w:rPr>
                <w:b/>
                <w:i/>
              </w:rPr>
              <w:t>dat net als</w:t>
            </w:r>
            <w:r>
              <w:t xml:space="preserve"> de </w:t>
            </w:r>
            <w:r>
              <w:rPr>
                <w:b/>
                <w:i/>
              </w:rPr>
              <w:t>lidstaten ook</w:t>
            </w:r>
            <w:r>
              <w:t xml:space="preserve"> alle EU-instellingen</w:t>
            </w:r>
            <w:r>
              <w:rPr>
                <w:b/>
                <w:i/>
              </w:rPr>
              <w:t xml:space="preserve"> aan</w:t>
            </w:r>
            <w:r>
              <w:t xml:space="preserve"> een </w:t>
            </w:r>
            <w:r>
              <w:rPr>
                <w:b/>
                <w:i/>
              </w:rPr>
              <w:t>beoordeling worden onderworpen</w:t>
            </w:r>
            <w:r>
              <w:t>;</w:t>
            </w:r>
            <w:r>
              <w:rPr>
                <w:b/>
                <w:i/>
              </w:rPr>
              <w:t>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618</w:t>
      </w:r>
      <w:r>
        <w:rPr>
          <w:rStyle w:val="HideTWBExt"/>
        </w:rPr>
        <w:t>&lt;/NumAm&gt;</w:t>
      </w:r>
    </w:p>
    <w:p w:rsidR="00F81D50" w:rsidRPr="00CF469D" w:rsidRDefault="00F81D50" w:rsidP="00F81D50">
      <w:pPr>
        <w:pStyle w:val="NormalBold"/>
      </w:pPr>
      <w:r>
        <w:rPr>
          <w:rStyle w:val="HideTWBExt"/>
          <w:b w:val="0"/>
        </w:rPr>
        <w:t>&lt;RepeatBlock-By&gt;&lt;Members&gt;</w:t>
      </w:r>
      <w:r>
        <w:t>Ewa Zajączkowska-Hernik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w:t>
            </w:r>
            <w:r>
              <w:rPr>
                <w:b/>
                <w:i/>
              </w:rPr>
              <w:t>; 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w:t>
            </w:r>
            <w:r>
              <w:t xml:space="preserve">, teneinde tot grotere uniformiteit te komen; </w:t>
            </w:r>
            <w:r>
              <w:rPr>
                <w:b/>
                <w:i/>
              </w:rPr>
              <w:t>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 teneinde tot grotere uniformiteit te komen;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619</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w:t>
            </w:r>
            <w:r>
              <w:lastRenderedPageBreak/>
              <w:t>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lastRenderedPageBreak/>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w:t>
            </w:r>
            <w:r>
              <w:rPr>
                <w:b/>
                <w:i/>
              </w:rPr>
              <w:t xml:space="preserve">is van mening dat de systematische niet-naleving van landenspecifieke aanbevelingen moet worden aangepakt </w:t>
            </w:r>
            <w:r>
              <w:rPr>
                <w:b/>
                <w:i/>
              </w:rPr>
              <w:lastRenderedPageBreak/>
              <w:t>met andere instrumenten waarover de Commissie beschikt, zoals het stellen van voorwaarden voor financiering;</w:t>
            </w:r>
            <w:r>
              <w:t xml:space="preserve">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620</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w:t>
            </w:r>
            <w:r>
              <w:rPr>
                <w:b/>
                <w:i/>
              </w:rPr>
              <w:t>verzoekt om meer aandacht voor de implementatie van de landenspecifieke aanbevelingen, met mechanismen voor follow-up en kwantificeerbare benchmarks; stelt voor een alomvattend mechanisme voor toezicht op</w:t>
            </w:r>
            <w:r>
              <w:t xml:space="preserve"> de rechtsstaat </w:t>
            </w:r>
            <w:r>
              <w:rPr>
                <w:b/>
                <w:i/>
              </w:rPr>
              <w:t>te ontwikkelen met</w:t>
            </w:r>
            <w:r>
              <w:t xml:space="preserve"> de </w:t>
            </w:r>
            <w:r>
              <w:rPr>
                <w:b/>
                <w:i/>
              </w:rPr>
              <w:t>participatie</w:t>
            </w:r>
            <w:r>
              <w:t xml:space="preserve"> van </w:t>
            </w:r>
            <w:r>
              <w:rPr>
                <w:b/>
                <w:i/>
              </w:rPr>
              <w:t>alle</w:t>
            </w:r>
            <w:r>
              <w:t xml:space="preserve"> EU-instellingen</w:t>
            </w:r>
            <w:r>
              <w:rPr>
                <w:b/>
                <w:i/>
              </w:rPr>
              <w:t>, de lidstaten en</w:t>
            </w:r>
            <w:r>
              <w:t xml:space="preserve"> de </w:t>
            </w:r>
            <w:r>
              <w:rPr>
                <w:b/>
                <w:i/>
              </w:rPr>
              <w:t>kandidaat-lidstaten, teneinde tot grotere uniformiteit te komen;</w:t>
            </w:r>
            <w:r>
              <w:t xml:space="preserve"> </w:t>
            </w:r>
            <w:r>
              <w:rPr>
                <w:b/>
                <w:i/>
              </w:rPr>
              <w:t>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w:t>
            </w:r>
            <w:r>
              <w:rPr>
                <w:b/>
                <w:i/>
              </w:rPr>
              <w:t>benadrukt dat discussies over en beoordelingen van</w:t>
            </w:r>
            <w:r>
              <w:t xml:space="preserve"> de </w:t>
            </w:r>
            <w:r>
              <w:rPr>
                <w:b/>
                <w:i/>
              </w:rPr>
              <w:t>toestand</w:t>
            </w:r>
            <w:r>
              <w:t xml:space="preserve"> van de </w:t>
            </w:r>
            <w:r>
              <w:rPr>
                <w:b/>
                <w:i/>
              </w:rPr>
              <w:t>rechtsstaat in de lidstaten in geen geval inbreuk mogen maken op de Verdragsmechanismen met betrekking tot</w:t>
            </w:r>
            <w:r>
              <w:t xml:space="preserve"> de rechtsstaat </w:t>
            </w:r>
            <w:r>
              <w:rPr>
                <w:b/>
                <w:i/>
              </w:rPr>
              <w:t>of</w:t>
            </w:r>
            <w:r>
              <w:t xml:space="preserve"> de </w:t>
            </w:r>
            <w:r>
              <w:rPr>
                <w:b/>
                <w:i/>
              </w:rPr>
              <w:t>bevoegdheden</w:t>
            </w:r>
            <w:r>
              <w:t xml:space="preserve"> van </w:t>
            </w:r>
            <w:r>
              <w:rPr>
                <w:b/>
                <w:i/>
              </w:rPr>
              <w:t>de</w:t>
            </w:r>
            <w:r>
              <w:t xml:space="preserve"> EU-instellingen</w:t>
            </w:r>
            <w:r>
              <w:rPr>
                <w:b/>
                <w:i/>
              </w:rPr>
              <w:t xml:space="preserve"> uit hoofde van</w:t>
            </w:r>
            <w:r>
              <w:t xml:space="preserve"> de </w:t>
            </w:r>
            <w:r>
              <w:rPr>
                <w:b/>
                <w:i/>
              </w:rPr>
              <w:t>bepalingen</w:t>
            </w:r>
            <w:r>
              <w:t xml:space="preserve"> van </w:t>
            </w:r>
            <w:r>
              <w:rPr>
                <w:b/>
                <w:i/>
              </w:rPr>
              <w:t>artikel 7 VEU</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621</w:t>
      </w:r>
      <w:r>
        <w:rPr>
          <w:rStyle w:val="HideTWBExt"/>
        </w:rPr>
        <w:t>&lt;/NumAm&gt;</w:t>
      </w:r>
    </w:p>
    <w:p w:rsidR="00F81D50" w:rsidRPr="00CF469D" w:rsidRDefault="00F81D50" w:rsidP="00F81D50">
      <w:pPr>
        <w:pStyle w:val="NormalBold"/>
      </w:pPr>
      <w:r>
        <w:rPr>
          <w:rStyle w:val="HideTWBExt"/>
          <w:b w:val="0"/>
        </w:rPr>
        <w:lastRenderedPageBreak/>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w:t>
            </w:r>
            <w:r>
              <w:rPr>
                <w:b/>
                <w:i/>
              </w:rPr>
              <w:t>duidelijker taal te gebruiken bij</w:t>
            </w:r>
            <w:r>
              <w:t xml:space="preserve"> de </w:t>
            </w:r>
            <w:r>
              <w:rPr>
                <w:b/>
                <w:i/>
              </w:rPr>
              <w:t>beoordeling van de naleving</w:t>
            </w:r>
            <w:r>
              <w:t xml:space="preserve"> van </w:t>
            </w:r>
            <w:r>
              <w:rPr>
                <w:b/>
                <w:i/>
              </w:rPr>
              <w:t>de waarden als bedoeld</w:t>
            </w:r>
            <w:r>
              <w:t xml:space="preserve"> in </w:t>
            </w:r>
            <w:r>
              <w:rPr>
                <w:b/>
                <w:i/>
              </w:rPr>
              <w:t>artikel 2 VEU; verzoekt om meer aandacht voor de implementatie van de landenspecifieke aanbevelingen, met mechanismen voor follow-up en kwantificeerbare benchmarks; stelt voor een alomvattend mechanisme voor toezicht op de rechtsstaat te ontwikkelen met</w:t>
            </w:r>
            <w:r>
              <w:t xml:space="preserve"> de </w:t>
            </w:r>
            <w:r>
              <w:rPr>
                <w:b/>
                <w:i/>
              </w:rPr>
              <w:t>participatie</w:t>
            </w:r>
            <w:r>
              <w:t xml:space="preserve"> van </w:t>
            </w:r>
            <w:r>
              <w:rPr>
                <w:b/>
                <w:i/>
              </w:rPr>
              <w:t>alle EU-instellingen, de lidstaten en de kandidaat-lidstaten, teneinde tot grotere uniformiteit te komen; stelt voor</w:t>
            </w:r>
            <w:r>
              <w:t xml:space="preserve"> een </w:t>
            </w:r>
            <w:r>
              <w:rPr>
                <w:b/>
                <w:i/>
              </w:rPr>
              <w:t>permanente groep in het leven te roepen voor het monitoren van rechtsstaatschendingen door de lidstaten</w:t>
            </w:r>
            <w:r>
              <w:t>;</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w:t>
            </w:r>
            <w:r>
              <w:rPr>
                <w:b/>
                <w:i/>
              </w:rPr>
              <w:t>een mechanisme voor toezicht op</w:t>
            </w:r>
            <w:r>
              <w:t xml:space="preserve"> de </w:t>
            </w:r>
            <w:r>
              <w:rPr>
                <w:b/>
                <w:i/>
              </w:rPr>
              <w:t>rechtsstaat en het monitoren</w:t>
            </w:r>
            <w:r>
              <w:t xml:space="preserve"> van </w:t>
            </w:r>
            <w:r>
              <w:rPr>
                <w:b/>
                <w:i/>
              </w:rPr>
              <w:t>corruptie</w:t>
            </w:r>
            <w:r>
              <w:t xml:space="preserve"> in </w:t>
            </w:r>
            <w:r>
              <w:rPr>
                <w:b/>
                <w:i/>
              </w:rPr>
              <w:t>het leven te roepen waarbij alle EU-instellingen betrokken zijn</w:t>
            </w:r>
            <w:r>
              <w:t xml:space="preserve">, </w:t>
            </w:r>
            <w:r>
              <w:rPr>
                <w:b/>
                <w:i/>
              </w:rPr>
              <w:t>om transparantie</w:t>
            </w:r>
            <w:r>
              <w:t xml:space="preserve"> en </w:t>
            </w:r>
            <w:r>
              <w:rPr>
                <w:b/>
                <w:i/>
              </w:rPr>
              <w:t>verantwoordingsplicht bij</w:t>
            </w:r>
            <w:r>
              <w:t xml:space="preserve"> de </w:t>
            </w:r>
            <w:r>
              <w:rPr>
                <w:b/>
                <w:i/>
              </w:rPr>
              <w:t>uitoefening</w:t>
            </w:r>
            <w:r>
              <w:t xml:space="preserve"> van </w:t>
            </w:r>
            <w:r>
              <w:rPr>
                <w:b/>
                <w:i/>
              </w:rPr>
              <w:t>hun bevoegdheden te waarborgen; dringt aan op de instelling van</w:t>
            </w:r>
            <w:r>
              <w:t xml:space="preserve"> een </w:t>
            </w:r>
            <w:r>
              <w:rPr>
                <w:b/>
                <w:i/>
              </w:rPr>
              <w:t>mechanisme om alle ten onrechte uitgegeven belastinggeld op efficiënte wijze terug te vorderen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622</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w:t>
            </w:r>
            <w:r>
              <w:lastRenderedPageBreak/>
              <w:t>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lastRenderedPageBreak/>
              <w:t>26.</w:t>
            </w:r>
            <w:r>
              <w:tab/>
            </w:r>
            <w:r>
              <w:rPr>
                <w:b/>
                <w:i/>
              </w:rPr>
              <w:t>verzoekt de Commissie een duidelijk onderscheid te maken tussen systemische en geïsoleerde schendingen van de rechtsstaat in de lidstaten;</w:t>
            </w:r>
            <w:r>
              <w:t xml:space="preserve"> spoort de Commissie aan duidelijker taal te gebruiken bij de beoordeling van de naleving van de waarden als bedoeld in artikel 2 VEU; verzoekt om meer aandacht </w:t>
            </w:r>
            <w:r>
              <w:lastRenderedPageBreak/>
              <w:t>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623</w:t>
      </w:r>
      <w:r>
        <w:rPr>
          <w:rStyle w:val="HideTWBExt"/>
        </w:rPr>
        <w:t>&lt;/NumAm&gt;</w:t>
      </w:r>
    </w:p>
    <w:p w:rsidR="00F81D50" w:rsidRPr="00CF469D" w:rsidRDefault="00F81D50" w:rsidP="00F81D50">
      <w:pPr>
        <w:pStyle w:val="NormalBold"/>
      </w:pPr>
      <w:r>
        <w:rPr>
          <w:rStyle w:val="HideTWBExt"/>
          <w:b w:val="0"/>
        </w:rPr>
        <w:t>&lt;RepeatBlock-By&gt;&lt;Members&gt;</w:t>
      </w:r>
      <w:r>
        <w:t>Marieke Ehlers, Tom Vandendriessche</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w:t>
            </w:r>
            <w:r>
              <w:rPr>
                <w:b/>
                <w:i/>
              </w:rPr>
              <w:t xml:space="preserve">zowel door de lidstaten als door de EU-instellingen </w:t>
            </w:r>
            <w:r>
              <w:t>van de waarden als bedoeld in artikel 2 VEU; verzoekt om meer aandacht voor de implementatie van de landenspecifieke</w:t>
            </w:r>
            <w:r>
              <w:rPr>
                <w:b/>
                <w:i/>
              </w:rPr>
              <w:t xml:space="preserve"> en EU-instellingenspecifieke</w:t>
            </w:r>
            <w:r>
              <w:t xml:space="preserv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624</w:t>
      </w:r>
      <w:r>
        <w:rPr>
          <w:rStyle w:val="HideTWBExt"/>
        </w:rPr>
        <w:t>&lt;/NumAm&gt;</w:t>
      </w:r>
    </w:p>
    <w:p w:rsidR="00F81D50" w:rsidRPr="00CF469D" w:rsidRDefault="00F81D50" w:rsidP="00F81D50">
      <w:pPr>
        <w:pStyle w:val="NormalBold"/>
      </w:pPr>
      <w:r>
        <w:rPr>
          <w:rStyle w:val="HideTWBExt"/>
          <w:b w:val="0"/>
        </w:rPr>
        <w:t>&lt;RepeatBlock-By&gt;&lt;Members&gt;</w:t>
      </w:r>
      <w:r>
        <w:t>Tomáš Zdechovský</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w:t>
            </w:r>
            <w:r>
              <w:rPr>
                <w:b/>
                <w:i/>
              </w:rPr>
              <w:t>stelt voor</w:t>
            </w:r>
            <w:r>
              <w:t xml:space="preserve"> een </w:t>
            </w:r>
            <w:r>
              <w:rPr>
                <w:b/>
                <w:i/>
              </w:rPr>
              <w:t>alomvattend mechanisme voor toezicht op</w:t>
            </w:r>
            <w:r>
              <w:t xml:space="preserve"> de rechtsstaat</w:t>
            </w:r>
            <w:r>
              <w:rPr>
                <w:b/>
                <w:i/>
              </w:rPr>
              <w:t xml:space="preserve"> te ontwikkelen</w:t>
            </w:r>
            <w:r>
              <w:t xml:space="preserve"> met de participatie van alle EU-instellingen, de lidstaten en de kandidaat-lidstaten, teneinde tot grotere uniformiteit te komen; </w:t>
            </w:r>
            <w:r>
              <w:rPr>
                <w:b/>
                <w:i/>
              </w:rPr>
              <w:t>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w:t>
            </w:r>
            <w:r>
              <w:rPr>
                <w:b/>
                <w:i/>
              </w:rPr>
              <w:t>verzoekt om</w:t>
            </w:r>
            <w:r>
              <w:t xml:space="preserve"> een </w:t>
            </w:r>
            <w:r>
              <w:rPr>
                <w:b/>
                <w:i/>
              </w:rPr>
              <w:t xml:space="preserve">versterking van het kader voor </w:t>
            </w:r>
            <w:r>
              <w:t xml:space="preserve"> de rechtsstaat met de participatie van alle EU-instellingen, de lidstaten en de kandidaat-lidstaten, teneinde tot grotere uniformiteit te komen;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625</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w:t>
            </w:r>
            <w:r>
              <w:lastRenderedPageBreak/>
              <w:t xml:space="preserve">EU-instellingen, de lidstaten en de kandidaat-lidstaten, teneinde tot grotere uniformiteit te komen; </w:t>
            </w:r>
            <w:r>
              <w:rPr>
                <w:b/>
                <w:i/>
              </w:rPr>
              <w:t>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lastRenderedPageBreak/>
              <w:t>26.</w:t>
            </w:r>
            <w:r>
              <w:tab/>
              <w:t xml:space="preserve">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w:t>
            </w:r>
            <w:r>
              <w:lastRenderedPageBreak/>
              <w:t>EU-instellingen, de lidstaten en de kandidaat-lidstaten, teneinde tot grotere uniformiteit te komen;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626</w:t>
      </w:r>
      <w:r>
        <w:rPr>
          <w:rStyle w:val="HideTWBExt"/>
        </w:rPr>
        <w:t>&lt;/NumAm&gt;</w:t>
      </w:r>
    </w:p>
    <w:p w:rsidR="00F81D50" w:rsidRPr="00CF469D" w:rsidRDefault="00F81D50" w:rsidP="00F81D50">
      <w:pPr>
        <w:pStyle w:val="NormalBold"/>
      </w:pPr>
      <w:r>
        <w:rPr>
          <w:rStyle w:val="HideTWBExt"/>
          <w:b w:val="0"/>
        </w:rPr>
        <w:t>&lt;RepeatBlock-By&gt;&lt;Members&gt;</w:t>
      </w:r>
      <w:r>
        <w:t>Michał Wawrykiewicz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26.</w:t>
            </w:r>
            <w:r>
              <w:tab/>
              <w:t>spoort de Commissie aan duidelijker taal 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c>
          <w:tcPr>
            <w:tcW w:w="4876" w:type="dxa"/>
            <w:tcBorders>
              <w:top w:val="nil"/>
              <w:left w:val="nil"/>
              <w:bottom w:val="nil"/>
              <w:right w:val="nil"/>
            </w:tcBorders>
          </w:tcPr>
          <w:p w:rsidR="00F81D50" w:rsidRPr="00CF469D" w:rsidRDefault="00F81D50" w:rsidP="00F81D50">
            <w:pPr>
              <w:pStyle w:val="Normal6a"/>
            </w:pPr>
            <w:r>
              <w:t>26.</w:t>
            </w:r>
            <w:r>
              <w:tab/>
              <w:t xml:space="preserve">spoort de Commissie aan duidelijker taal </w:t>
            </w:r>
            <w:r>
              <w:rPr>
                <w:b/>
                <w:i/>
              </w:rPr>
              <w:t>en transparante beoordelingsregels</w:t>
            </w:r>
            <w:r>
              <w:t>te gebruiken bij de beoordeling van de naleving van de waarden als bedoeld in artikel 2 VEU; verzoekt om meer aandacht voor de implementatie van de landenspecifieke aanbevelingen, met mechanismen voor follow-up en kwantificeerbare benchmarks; stelt voor een alomvattend mechanisme voor toezicht op de rechtsstaat te ontwikkelen met de participatie van alle EU-instellingen, de lidstaten en de kandidaat-lidstaten, teneinde tot grotere uniformiteit te komen; stelt voor een permanente groep in het leven te roepen voor het monitoren van rechtsstaatschendingen door de lidstaten;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627</w:t>
      </w:r>
      <w:r>
        <w:rPr>
          <w:rStyle w:val="HideTWBExt"/>
        </w:rPr>
        <w:t>&lt;/NumAm&gt;</w:t>
      </w:r>
    </w:p>
    <w:p w:rsidR="00F81D50" w:rsidRPr="00CF469D" w:rsidRDefault="00F81D50" w:rsidP="00F81D50">
      <w:pPr>
        <w:pStyle w:val="NormalBold"/>
      </w:pPr>
      <w:r>
        <w:rPr>
          <w:rStyle w:val="HideTWBExt"/>
          <w:b w:val="0"/>
        </w:rPr>
        <w:t>&lt;RepeatBlock-By&gt;&lt;Members&gt;</w:t>
      </w:r>
      <w:r>
        <w:t>Marieke Ehlers, Jorge Buxadé Villalba, Tom Vandendriessche,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spreekt zijn grote bezorgdheid uit over de beweringen van de covoorzitter van de Groene Fractie in het Europees Parlement, die in zijn podcast van 11 december 2024 verklaart dat hij in ruil voor een positieve stem voor het college van commissarissen “inhoudelijke toezeggingen” kreeg en “plekken in de kabinetten, zodat we ook nog wat politieke posities kregen”</w:t>
            </w:r>
            <w:r>
              <w:rPr>
                <w:b/>
                <w:i/>
                <w:vertAlign w:val="superscript"/>
              </w:rPr>
              <w:t>1 bis</w:t>
            </w:r>
            <w:r>
              <w:rPr>
                <w:b/>
                <w:i/>
              </w:rPr>
              <w:t>; onderstreept het feit dat, indien zijn beweringen kloppen, deze werkwijze niet lijkt te stroken met artikel 245 VWEU, waarin duidelijk staat dat de leden van de Commissie zich verbinden tot het eerbiedigen van hun onafhankelijkheid en het vermijden van beïnvloeding; herinnert eraan dat de commissarissen in hun eed bovendien plechtig verklaren volledig onafhankelijk hun verantwoordelijkheden uit te oefenen en geen instructies te vragen of te aanvaarden van enige regering of enige andere instelling, orgaan of entiteit; is van mening dat dit aanleiding geeft tot ernstige bezorgdheid over de rechtsstaat;</w:t>
            </w:r>
          </w:p>
        </w:tc>
      </w:tr>
      <w:tr w:rsidR="00F81D50" w:rsidTr="00F81D50">
        <w:trPr>
          <w:jc w:val="center"/>
        </w:trPr>
        <w:tc>
          <w:tcPr>
            <w:tcW w:w="4876" w:type="dxa"/>
            <w:tcBorders>
              <w:top w:val="nil"/>
              <w:left w:val="nil"/>
              <w:bottom w:val="nil"/>
              <w:right w:val="nil"/>
            </w:tcBorders>
          </w:tcPr>
          <w:p w:rsidR="00F81D50" w:rsidRPr="00CF469D" w:rsidRDefault="00F81D50" w:rsidP="00F81D50"/>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tc>
        <w:tc>
          <w:tcPr>
            <w:tcW w:w="4876" w:type="dxa"/>
            <w:tcBorders>
              <w:top w:val="nil"/>
              <w:left w:val="nil"/>
              <w:bottom w:val="nil"/>
              <w:right w:val="nil"/>
            </w:tcBorders>
          </w:tcPr>
          <w:p w:rsidR="00F81D50" w:rsidRPr="00CF469D" w:rsidRDefault="00F81D50" w:rsidP="00F81D50">
            <w:pPr>
              <w:pStyle w:val="Normal6a"/>
            </w:pPr>
            <w:r>
              <w:rPr>
                <w:b/>
                <w:i/>
                <w:vertAlign w:val="superscript"/>
              </w:rPr>
              <w:t>1 bis</w:t>
            </w:r>
            <w:r>
              <w:t xml:space="preserve"> </w:t>
            </w:r>
            <w:r>
              <w:rPr>
                <w:b/>
                <w:i/>
              </w:rPr>
              <w:t>https://podcasts.apple.com/be/podcast/frankrijk-en-duitsland-stuurloos-wie-neemt-de/id1449821985?i=1000680020503</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628</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 xml:space="preserve">verzoekt de Commissie alle mogelijkheden te onderzoeken om een panel van onafhankelijke deskundigen te </w:t>
            </w:r>
            <w:r>
              <w:rPr>
                <w:b/>
                <w:i/>
              </w:rPr>
              <w:lastRenderedPageBreak/>
              <w:t>betrekken bij de volgende edities van het verslag over de rechtsstaat, zoals aanbevolen door het Parlement; herhaalt, in het licht van het intrinsieke verband tussen de grondrechten en de rechtsstaat, zijn oproep aan de Commissie om het FRA te verzoeken methodologisch advies te verstrekken en vergelijkend onderzoek uit te voeren, zodat cruciale onderwerpen van het jaarverslag gedetailleerder kunnen worden beschreven; verzoekt zijn Bureau, in het licht van de terughoudendheid van de Commissie en de Raad, een openbare aanbestedingsprocedure te organiseren om een tijdelijk panel van onafhankelijke deskundigen onder auspiciën van het Parlement op te zetten, in overeenstemming met zijn toezegging in zijn eerdere resoluties, teneinde het Parlement te adviseren inzake de naleving van de waarden van artikel 2 VEU in verschillende lidstaten, en concreet te laten zien op welke wijze een dergelijk panel in de praktijk kan functioneren;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629</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Ana Catarina Mendes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 xml:space="preserve">dringt erop aan dat het verslag van de Commissie over de rechtsstaat 2025 het volledige toepassingsgebied van artikel 2 van het EU-Verdrag bestrijkt en ruimere indicatoren omvat, zoals de onafhankelijkheid van de media, de rol van het maatschappelijk middenveld, de grondrechten (met inbegrip van seksuele </w:t>
            </w:r>
            <w:r>
              <w:rPr>
                <w:b/>
                <w:i/>
              </w:rPr>
              <w:lastRenderedPageBreak/>
              <w:t>en reproductieve rechten), academische en artistieke vrijheid, gendergelijkheid, de bescherming van minderheden en kwetsbare groepen, eerbiediging van het internationaal recht en de werking van democratische instellingen, teneinde een vollediger beeld te krijgen van de normen voor de rechtsstaat in de hele EU;</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630</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Emma Rafowicz, Alessandro Zan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dringt erop aan dat de EU een specifiek financieringsmechanisme opzet ter ondersteuning van maatschappelijke organisaties die zich bezighouden met lhbtiq+-rechten; benadrukt dat met dit mechanisme middelen kunnen worden verstrekt voor belangenbehartiging, rechtsbijstand en bewustmakingscampagnes, waarbij ervoor wordt gezorgd dat de bedoelde organisaties kunnen opereren zonder onnodige beperkingen of intimidatie; benadrukt dat de EU haar snellereactiemechanismen moet versterken om mensenrechtenverdedigers uit de lhbtiq+-gemeenschap die risico’s lopen in vijandige omgevingen, te beschermen;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631</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lastRenderedPageBreak/>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herhaalt dat met het rechtsstaatmechanisme in de eerste plaats gefocust moet worden op de toepassing van het EU-recht, de bescherming van de grondrechten en de democratische beginselen, en dat moet worden voorkomen dat gebruikgemaakt wordt van de bijdragen van externe actoren en particuliere organisaties die een ideologische agenda hebben;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632</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betreurt dat de Commissie jaarlijks verslagen over de rechtsstaat opstelt over willekeurig geselecteerde thema’s en aanbevelingen doet aan de lidstaten, hoewel op dit gebied in de Verdragen geen door de lidstaten toegekende bevoegdheden worden vermeld;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633</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verzoekt de Commissie de criteria bekend te maken die zij tijdens het proces van de rapportage over de rechtsstaat hanteert om informatie van het maatschappelijk middenveld, internationale instanties, nationale autoriteiten en andere belanghebbenden te selecteren;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634</w:t>
      </w:r>
      <w:r>
        <w:rPr>
          <w:rStyle w:val="HideTWBExt"/>
        </w:rPr>
        <w:t>&lt;/NumAm&gt;</w:t>
      </w:r>
    </w:p>
    <w:p w:rsidR="00F81D50" w:rsidRPr="00CF469D" w:rsidRDefault="00F81D50" w:rsidP="00F81D50">
      <w:pPr>
        <w:pStyle w:val="NormalBold"/>
      </w:pPr>
      <w:r>
        <w:rPr>
          <w:rStyle w:val="HideTWBExt"/>
          <w:b w:val="0"/>
        </w:rPr>
        <w:t>&lt;RepeatBlock-By&gt;&lt;Members&gt;</w:t>
      </w:r>
      <w:r>
        <w:t>Juan Fernando López Aguilar, Nacho Sánchez Amor, Javier Moreno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bis.</w:t>
            </w:r>
            <w:r>
              <w:tab/>
            </w:r>
            <w:r>
              <w:rPr>
                <w:b/>
                <w:i/>
              </w:rPr>
              <w:t>dringt er bij de lidstaten op aan uitvoering te geven aan de aanbevelingen in eerdere verslagen en prijst de lidstaten die deze aanbevelingen niet alleen ten uitvoer hebben gelegd, maar ook verder zijn gegaan dan de vastgestelde normen;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635</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ter.</w:t>
            </w:r>
            <w:r>
              <w:tab/>
            </w:r>
            <w:r>
              <w:rPr>
                <w:b/>
                <w:i/>
              </w:rPr>
              <w:t xml:space="preserve">betreurt dat het eufemistische taalgebruik en het kunstmatig gelijke aantal conclusies en aanbevelingen per lidstaat de zeer reële verschillen tussen de lidstaten verhullen; geeft aan dat de aanbevelingen beter moeten aansluiten bij negatieve bevindingen in het verslag en dat zij gedetailleerder moeten zijn; </w:t>
            </w:r>
            <w:r>
              <w:rPr>
                <w:b/>
                <w:i/>
              </w:rPr>
              <w:lastRenderedPageBreak/>
              <w:t>herhaalt de aanbeveling om onderscheid te maken tussen systematische en op zichzelf staande inbreuken, om het risico van bagatellisering van de meest ernstige schendingen van de rechtsstaat te voorkomen; verzoekt de Commissie duidelijk te maken dat lidstaten mogelijk niet aan alle criteria voor een democratie voldoen als de waarden van artikel 2 VEU gedurende een bepaalde periode systematisch, bewust en ernstig worden geschonden; is van mening dat de beoordeling van de uitvoering van de aanbevelingen nauwkeuriger en kwalitatiever moet zijn, en niet alleen gebaseerd moet zijn op veranderingen in de wetgeving, maar ook op reëel en onafhankelijk bewijs van de praktische uitvoering ervan;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636</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ter.</w:t>
            </w:r>
            <w:r>
              <w:tab/>
            </w:r>
            <w:r>
              <w:rPr>
                <w:b/>
                <w:i/>
              </w:rPr>
              <w:t xml:space="preserve">verzoekt de Commissie een beoordeling van de situatie op het gebied van de rechtsstaat in de lidstaten voor te leggen die evenwichtiger is en empirisch onderbouwd, met volledige eerbiediging van de nationale soevereiniteit en de rechtstradities van elke lidstaat; merkt op dat het grote aantal verwijzingen naar de resultaten van sommige ngo’s impliceert dat de Commissie de werkzaamheden met betrekking tot het verslag daadwerkelijk aan deze organisaties heeft uitbesteed, zonder de feitelijke juistheid van hun verklaringen te verifiëren; verzoekt de Commissie voor toekomstige evaluaties een vollediger en neutralere methodologie </w:t>
            </w:r>
            <w:r>
              <w:rPr>
                <w:b/>
                <w:i/>
              </w:rPr>
              <w:lastRenderedPageBreak/>
              <w:t>vast te stellen;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637</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ter.</w:t>
            </w:r>
            <w:r>
              <w:tab/>
            </w:r>
            <w:r>
              <w:rPr>
                <w:b/>
                <w:i/>
              </w:rPr>
              <w:t>is het niet eens met de aanpak van de Commissie bij de opstelling van het verslag als gevolg waarvan het verslag van de Commissie gekenmerkt wordt door een ruime beoordelingsmarge, waarbij de beschrijvingen in het verslag worden vermengd met beoordelingen zonder dat er een duidelijk onderscheid wordt gemaakt; betreurt dat de Commissie dubbele maatstaven hanteert en dat dezelfde of zeer vergelijkbare oplossingen in afzonderlijke lidstaten verschillend worden beoordeeld, wat erop wijst dat er geen uniforme, duidelijke methode op basis van dezelfde uitgangspunten bestaat, maar dat hier sprake is van een ad hoc, politiek perspectief per verslag;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638</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ter.</w:t>
            </w:r>
            <w:r>
              <w:tab/>
            </w:r>
            <w:r>
              <w:rPr>
                <w:b/>
                <w:i/>
              </w:rPr>
              <w:t xml:space="preserve">is van mening dat de aanbevelingen in de jaarlijkse verslagen over de rechtsstaat specifieker moeten zijn, met vermelding van concrete </w:t>
            </w:r>
            <w:r>
              <w:rPr>
                <w:b/>
                <w:i/>
              </w:rPr>
              <w:lastRenderedPageBreak/>
              <w:t>activiteiten of actieplannen die de lidstaten moeten ondernemen en het tijdschema dat moet worden gevolgd om de situatie te remediëren, met inbegrip van, in voorkomend geval, bestaande adviezen van internationale instellingen (bv. de Commissie van Venetië van de Raad van Europa, speciale rapporteurs van de VN) of relevante rechterlijke uitspraken (onder meer van het Europees Hof voor de Rechten van de Mens);</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639</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ter.</w:t>
            </w:r>
            <w:r>
              <w:tab/>
            </w:r>
            <w:r>
              <w:rPr>
                <w:b/>
                <w:i/>
              </w:rPr>
              <w:t>verzoekt de Commissie continu zowel de reikwijdte als de gevolgen op het gebied van handhaving van haar verslag over de rechtsstaat te verbeteren; waarschuwt dat het niet koppelen van monitoring aan reële gevolgen de relevantie van het verslag in de lidstaten dreigt te verminderen;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640</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quater.</w:t>
            </w:r>
            <w:r>
              <w:tab/>
            </w:r>
            <w:r>
              <w:rPr>
                <w:b/>
                <w:i/>
              </w:rPr>
              <w:t>merkt op dat de Commissie zich in haar verslagen vaak baseert op mediapublicaties en dat zij de informatie niet controleert bij de bron of gewoonweg geen acht slaat op de verduidelijkingen van de lidstaat; verzoekt de Commissie de namen bekend te maken van de auteurs en organisaties, verenigingen, denktanks en andere entiteiten die verslagen over specifieke landen opstellen, zonder zich te verschuilen achter collegialiteit, met inbegrip van de entiteiten die doeltreffend lobbyen bij de Commissie ter verdediging van de Russische spion Pavel Rubtsov;</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641</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quater.</w:t>
            </w:r>
            <w:r>
              <w:tab/>
            </w:r>
            <w:r>
              <w:rPr>
                <w:b/>
                <w:i/>
              </w:rPr>
              <w:t>herinnert in dit verband aan de recente gebeurtenissen waarbij maatschappelijke organisaties zouden zijn betaald om te lobbyen bij EP-leden ter beïnvloeding van hun vrije meningsuiting, met het oog op het bevorderen van groen beleid;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642</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quinquies.</w:t>
            </w:r>
            <w:r>
              <w:tab/>
            </w:r>
            <w:r>
              <w:rPr>
                <w:b/>
                <w:i/>
              </w:rPr>
              <w:t>uit zijn verontwaardiging over het aangrijpen door de Commissie van de zaak Pablo González, alias Pavel Rubtsov, agent van de Russische militaire inlichtingendienst GROe en actief onder de dekmantel van journalist, om een lidstaat aan te vallen; roept de Commissie op om zich bij Polen — een land dat grenst aan een gebied waar zich een grootschalige oorlog afspeelt en dat het doelwit is van hybride aanvallen door Moskou en Minsk — te verontschuldigen voor deze weerzinwekkende aanval, en verzoekt om intrekking van het voor de Commissie en haar procedures ter beoordeling van de rechtsstaatsituatie in een lidstaat compromitterende document; verzoekt de Commissie te verduidelijken en bekend te maken welke specifieke organisaties en ambtenaren bij de Commissie hebben gelobbyd ter verdediging van de Russische spion en de aanval op Polen;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643</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26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26 quinquies.</w:t>
            </w:r>
            <w:r>
              <w:tab/>
            </w:r>
            <w:r>
              <w:rPr>
                <w:b/>
                <w:i/>
              </w:rPr>
              <w:t>verzoekt de Commissie op transparante wijze de namen te publiceren van alle belanghebbenden in de lidstaten die hebben deelgenomen aan de openbare raadpleging in verband met dit verslag en die er informatie voor hebben verstrekt, het liefst zonder anonieme bronnen;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644</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Emma Rafowicz, Alessandro Zan,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27.</w:t>
            </w:r>
            <w:r>
              <w:tab/>
              <w:t>benadrukt het belang van onafhankelijke rechtsstelsels en van de toegang tot gratis rechtsbijstand, om gelijke toegang tot de rechter te waarborgen; herhaalt dat toereikende hulpbronnen, met inbegrip van infrastructurele voorzieningen en personeel, van cruciaal belang zijn voor het verbeteren van de rechtsstelsels;</w:t>
            </w:r>
          </w:p>
        </w:tc>
        <w:tc>
          <w:tcPr>
            <w:tcW w:w="4876" w:type="dxa"/>
            <w:tcBorders>
              <w:top w:val="nil"/>
              <w:left w:val="nil"/>
              <w:bottom w:val="nil"/>
              <w:right w:val="nil"/>
            </w:tcBorders>
          </w:tcPr>
          <w:p w:rsidR="00F81D50" w:rsidRPr="00CF469D" w:rsidRDefault="00F81D50" w:rsidP="00F81D50">
            <w:pPr>
              <w:pStyle w:val="Normal6a"/>
            </w:pPr>
            <w:r>
              <w:t>27.</w:t>
            </w:r>
            <w:r>
              <w:tab/>
              <w:t xml:space="preserve">benadrukt het belang van onafhankelijke rechtsstelsels en van de toegang tot gratis rechtsbijstand, om gelijke toegang tot de rechter te waarborgen; herhaalt dat toereikende hulpbronnen, met inbegrip van infrastructurele voorzieningen en personeel, van cruciaal belang zijn voor het verbeteren van de rechtsstelsels; </w:t>
            </w:r>
            <w:r>
              <w:rPr>
                <w:b/>
                <w:i/>
              </w:rPr>
              <w:t>beveelt de lidstaten aan concrete stappen te ondernemen om de toegang tot de rechter voor gemarginaliseerde en kwetsbare groepen te verbeteren, onder meer door middel van verbeterde systemen voor rechtsbijstand en maatregelen om taalbarrières en digitale kloven aan te pakken;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645</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27.</w:t>
            </w:r>
            <w:r>
              <w:tab/>
              <w:t xml:space="preserve">benadrukt het belang van onafhankelijke rechtsstelsels en van de toegang tot gratis rechtsbijstand, om gelijke toegang tot de rechter te waarborgen; herhaalt dat toereikende hulpbronnen, met inbegrip van infrastructurele voorzieningen en </w:t>
            </w:r>
            <w:r>
              <w:lastRenderedPageBreak/>
              <w:t>personeel, van cruciaal belang zijn voor het verbeteren van de rechtsstelsels;</w:t>
            </w:r>
          </w:p>
        </w:tc>
        <w:tc>
          <w:tcPr>
            <w:tcW w:w="4876" w:type="dxa"/>
            <w:tcBorders>
              <w:top w:val="nil"/>
              <w:left w:val="nil"/>
              <w:bottom w:val="nil"/>
              <w:right w:val="nil"/>
            </w:tcBorders>
          </w:tcPr>
          <w:p w:rsidR="00F81D50" w:rsidRPr="00CF469D" w:rsidRDefault="00F81D50" w:rsidP="00F81D50">
            <w:pPr>
              <w:pStyle w:val="Normal6a"/>
            </w:pPr>
            <w:r>
              <w:lastRenderedPageBreak/>
              <w:t>27.</w:t>
            </w:r>
            <w:r>
              <w:tab/>
              <w:t xml:space="preserve">benadrukt het belang van onafhankelijke rechtsstelsels en van de toegang tot gratis </w:t>
            </w:r>
            <w:r>
              <w:rPr>
                <w:b/>
                <w:i/>
              </w:rPr>
              <w:t xml:space="preserve">of betaalbare </w:t>
            </w:r>
            <w:r>
              <w:t xml:space="preserve">rechtsbijstand, om gelijke toegang tot de rechter te waarborgen; herhaalt dat toereikende hulpbronnen, met inbegrip van infrastructurele voorzieningen en </w:t>
            </w:r>
            <w:r>
              <w:lastRenderedPageBreak/>
              <w:t xml:space="preserve">personeel, van cruciaal belang zijn voor het verbeteren van de rechtsstelsels; </w:t>
            </w:r>
            <w:r>
              <w:rPr>
                <w:b/>
                <w:i/>
              </w:rPr>
              <w:t>verzoekt de lidstaten ervoor te zorgen dat juridische middelen, met inbegrip van rechtsbijstand, adequaat worden gefinancierd en gemakkelijk toegankelijk zijn voor iedereen, met name voor kwetsbare groepen;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646</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27 bis.</w:t>
            </w:r>
            <w:r>
              <w:tab/>
            </w:r>
            <w:r>
              <w:rPr>
                <w:b/>
                <w:i/>
              </w:rPr>
              <w:t>herinnert eraan dat besluiten die al dan niet worden genomen door de EU-instellingen, vaak van invloed zijn op de situatie op het gebied van de rechtsstaat in de lidstaten; uit kritiek op het feit dat de status van de rechtsstaat op EU-niveau buiten het toepassingsgebied van het verslag van de Commissie over de rechtsstaat 2024 blijft; verzoekt om in het verslag over de rechtsstaat 2025 van de Commissie een hoofdstuk op te nemen over de naleving van normen op het gebied van de rechtsstaat door de EU, op basis van een onafhankelijk toetsingsmechanisme;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647</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27 bis.</w:t>
            </w:r>
            <w:r>
              <w:tab/>
            </w:r>
            <w:r>
              <w:rPr>
                <w:b/>
                <w:i/>
              </w:rPr>
              <w:t>herhaalt, in het licht van het intrinsieke verband tussen de grondrechten en de rechtsstaat, zijn oproep aan de Commissie om het FRA te verzoeken methodologisch advies te verstrekken en vergelijkend onderzoek uit te voeren, zodat cruciale onderwerpen van het jaarverslag gedetailleerder kunnen worden beschreven;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648</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27 bis.</w:t>
            </w:r>
            <w:r>
              <w:tab/>
            </w:r>
            <w:r>
              <w:rPr>
                <w:b/>
                <w:i/>
              </w:rPr>
              <w:t>betreurt dat de instellingen van de Unie, zoals in het geval van Polen, een verdediger van postcommunistische systemen zijn geworden door corrupte, inefficiënte en niet-transparante structuren te verdedigen, waarmee zij Polen schade toebrengen en de Verdragen schenden;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649</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27 ter.</w:t>
            </w:r>
            <w:r>
              <w:tab/>
            </w:r>
            <w:r>
              <w:rPr>
                <w:b/>
                <w:i/>
              </w:rPr>
              <w:t xml:space="preserve">merkt op dat de EU toezicht houdt </w:t>
            </w:r>
            <w:r>
              <w:rPr>
                <w:b/>
                <w:i/>
              </w:rPr>
              <w:lastRenderedPageBreak/>
              <w:t>op de rechtsstaat, maar niet systematisch de status van de democratische beginselen in de lidstaten beoordeelt; betreurt het feit dat in het verslag van de Commissie over de rechtsstaat 2024 geen aandacht wordt besteed aan relevante democratische beginselen, zoals vrije en eerlijke verkiezingen, politiek pluralisme, institutionele controlemechanismen, de democratische billijkheid van wetgevingsprocedures en waarborgen tegen bevoegdheidsoverschrijdingen door de overheid; verzoekt om in het verslag over de rechtsstaat 2025 van de Commissie een hoofdstuk op te nemen over democratische normen;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650</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Raquel García Hermida-Van Der Walle, Abir Al-Sahlani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27 quater.</w:t>
            </w:r>
            <w:r>
              <w:tab/>
            </w:r>
            <w:r>
              <w:rPr>
                <w:b/>
                <w:i/>
              </w:rPr>
              <w:t>herinnert de Commissie eraan dat zij als hoedster van de Verdragen concrete handhavingsmaatregelen moet nemen in plaats van louter verslagen uit te brengen of aanbevelingen te formuleren;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651</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27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27 quinquies.</w:t>
            </w:r>
            <w:r>
              <w:tab/>
            </w:r>
            <w:r>
              <w:rPr>
                <w:b/>
                <w:i/>
              </w:rPr>
              <w:t>herinnert de Commissie eraan dat zij consequent en snel inbreukprocedures moet inleiden en financiële sancties moet opleggen wanneer lidstaten het EU-recht niet naleven; betreurt het feit dat de Commissie in het verleden te terughoudend is geweest bij het aanpakken van schendingen, met name wat schendingen van de rechtsstaat betreft; herhaalt dat de Commissie snel en doortastend moet optreden wanneer zich schendingen voordoen, en ervoor moet zorgen dat er onverwijld inbreukprocedures worden ingeleid;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652</w:t>
      </w:r>
      <w:r>
        <w:rPr>
          <w:rStyle w:val="HideTWBExt"/>
        </w:rPr>
        <w:t>&lt;/NumAm&gt;</w:t>
      </w:r>
    </w:p>
    <w:p w:rsidR="00F81D50" w:rsidRPr="00CF469D" w:rsidRDefault="00F81D50" w:rsidP="00F81D50">
      <w:pPr>
        <w:pStyle w:val="NormalBold"/>
      </w:pPr>
      <w:r>
        <w:rPr>
          <w:rStyle w:val="HideTWBExt"/>
          <w:b w:val="0"/>
        </w:rPr>
        <w:t>&lt;RepeatBlock-By&gt;&lt;Members&gt;</w:t>
      </w:r>
      <w:r>
        <w:t>Tomáš Zdechovský</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28.</w:t>
            </w:r>
            <w:r>
              <w:tab/>
            </w:r>
            <w:r>
              <w:rPr>
                <w:b/>
                <w:i/>
              </w:rPr>
              <w:t>verzoekt de Commissie de onderhandelingen over het lidmaatschap van de EU van GRECO af te ronden, als zijnde een mijlpaal in de strijd tegen corruptie;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653</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28.</w:t>
            </w:r>
            <w:r>
              <w:tab/>
            </w:r>
            <w:r>
              <w:rPr>
                <w:b/>
                <w:i/>
              </w:rPr>
              <w:t xml:space="preserve">verzoekt de Commissie de </w:t>
            </w:r>
            <w:r>
              <w:rPr>
                <w:b/>
                <w:i/>
              </w:rPr>
              <w:lastRenderedPageBreak/>
              <w:t>onderhandelingen over het lidmaatschap van de EU van GRECO af te ronden, als zijnde een mijlpaal in de strijd tegen corruptie;</w:t>
            </w:r>
          </w:p>
        </w:tc>
        <w:tc>
          <w:tcPr>
            <w:tcW w:w="4876" w:type="dxa"/>
            <w:tcBorders>
              <w:top w:val="nil"/>
              <w:left w:val="nil"/>
              <w:bottom w:val="nil"/>
              <w:right w:val="nil"/>
            </w:tcBorders>
          </w:tcPr>
          <w:p w:rsidR="00F81D50" w:rsidRPr="00CF469D" w:rsidRDefault="00F81D50" w:rsidP="00F81D50">
            <w:pPr>
              <w:pStyle w:val="Normal6a"/>
            </w:pPr>
            <w:r>
              <w:rPr>
                <w:b/>
                <w:i/>
              </w:rPr>
              <w:lastRenderedPageBreak/>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654</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28.</w:t>
            </w:r>
            <w:r>
              <w:tab/>
              <w:t>verzoekt de Commissie de onderhandelingen over het lidmaatschap van de EU van GRECO af te ronden, als zijnde een mijlpaal in de strijd tegen corruptie;</w:t>
            </w:r>
          </w:p>
        </w:tc>
        <w:tc>
          <w:tcPr>
            <w:tcW w:w="4876" w:type="dxa"/>
            <w:tcBorders>
              <w:top w:val="nil"/>
              <w:left w:val="nil"/>
              <w:bottom w:val="nil"/>
              <w:right w:val="nil"/>
            </w:tcBorders>
          </w:tcPr>
          <w:p w:rsidR="00F81D50" w:rsidRPr="00CF469D" w:rsidRDefault="00F81D50" w:rsidP="00F81D50">
            <w:pPr>
              <w:pStyle w:val="Normal6a"/>
            </w:pPr>
            <w:r>
              <w:t>28.</w:t>
            </w:r>
            <w:r>
              <w:tab/>
              <w:t xml:space="preserve">verzoekt de Commissie de onderhandelingen over het lidmaatschap van de EU van GRECO af te ronden, als zijnde een mijlpaal in de strijd tegen corruptie; </w:t>
            </w:r>
            <w:r>
              <w:rPr>
                <w:b/>
                <w:i/>
              </w:rPr>
              <w:t>dringt er bij de lidstaten op aan de mechanismen ter bescherming van klokkenluiders te versterken en te zorgen voor alomvattende wettelijke waarborgen en ondersteunende systemen voor degenen die corruptie, fraude of schendingen van het EU-recht aan het licht brengen;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655</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28.</w:t>
            </w:r>
            <w:r>
              <w:tab/>
              <w:t>verzoekt de Commissie de onderhandelingen over het lidmaatschap van de EU van GRECO af te ronden</w:t>
            </w:r>
            <w:r>
              <w:rPr>
                <w:b/>
                <w:i/>
              </w:rPr>
              <w:t>, als zijnde een mijlpaal in de strijd tegen corruptie</w:t>
            </w:r>
            <w:r>
              <w:t>;</w:t>
            </w:r>
          </w:p>
        </w:tc>
        <w:tc>
          <w:tcPr>
            <w:tcW w:w="4876" w:type="dxa"/>
            <w:tcBorders>
              <w:top w:val="nil"/>
              <w:left w:val="nil"/>
              <w:bottom w:val="nil"/>
              <w:right w:val="nil"/>
            </w:tcBorders>
          </w:tcPr>
          <w:p w:rsidR="00F81D50" w:rsidRPr="00CF469D" w:rsidRDefault="00F81D50" w:rsidP="00F81D50">
            <w:pPr>
              <w:pStyle w:val="Normal6a"/>
            </w:pPr>
            <w:r>
              <w:t>28.</w:t>
            </w:r>
            <w:r>
              <w:tab/>
              <w:t>verzoekt de Commissie de onderhandelingen over het lidmaatschap van de EU van GRECO af te ronden;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656</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Alessandro Zan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 en de strijd aan te binden met desinformatie; dringt erop aan de EMFA snel uit te voeren;</w:t>
            </w:r>
          </w:p>
        </w:tc>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desinformatie; dringt erop aan de EMFA snel uit te voeren; </w:t>
            </w:r>
            <w:r>
              <w:rPr>
                <w:b/>
                <w:i/>
              </w:rPr>
              <w:t>beveelt de lidstaten aan alomvattende strategieën te ontwikkelen om desinformatie en buitenlandse inmenging in democratische processen te bestrijden en tegelijkertijd de vrijheid van meningsuiting en de pluriformiteit van de media te waarborgen;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657</w:t>
      </w:r>
      <w:r>
        <w:rPr>
          <w:rStyle w:val="HideTWBExt"/>
        </w:rPr>
        <w:t>&lt;/NumAm&gt;</w:t>
      </w:r>
    </w:p>
    <w:p w:rsidR="00F81D50" w:rsidRPr="00CF469D" w:rsidRDefault="00F81D50" w:rsidP="00F81D50">
      <w:pPr>
        <w:pStyle w:val="NormalBold"/>
      </w:pPr>
      <w:r>
        <w:rPr>
          <w:rStyle w:val="HideTWBExt"/>
          <w:b w:val="0"/>
        </w:rPr>
        <w:t>&lt;RepeatBlock-By&gt;&lt;Members&gt;</w:t>
      </w:r>
      <w:r>
        <w:t>Sandro Ruotolo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desinformatie; dringt </w:t>
            </w:r>
            <w:r>
              <w:rPr>
                <w:b/>
                <w:i/>
              </w:rPr>
              <w:t>erop aan</w:t>
            </w:r>
            <w:r>
              <w:t xml:space="preserve"> de EMFA</w:t>
            </w:r>
            <w:r>
              <w:rPr>
                <w:b/>
                <w:i/>
              </w:rPr>
              <w:t xml:space="preserve"> snel uit te voeren</w:t>
            </w:r>
            <w:r>
              <w:t>;</w:t>
            </w:r>
          </w:p>
        </w:tc>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desinformatie; dringt </w:t>
            </w:r>
            <w:r>
              <w:rPr>
                <w:b/>
                <w:i/>
              </w:rPr>
              <w:t>aan op een snelle en transparante uitvoering van</w:t>
            </w:r>
            <w:r>
              <w:t xml:space="preserve"> de EMFA</w:t>
            </w:r>
            <w:r>
              <w:rPr>
                <w:b/>
                <w:i/>
              </w:rPr>
              <w:t>, die een cruciale mijlpaal is voor het waarborgen van de onafhankelijkheid, pluriformiteit en integriteit van het medialandschap in de hele Unie, met name Hongarije, Malta, Griekenland, Roemenië, Slowakije en Italië</w:t>
            </w:r>
            <w:r>
              <w: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658</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 en de strijd aan te binden met desinformatie; dringt erop aan de EMFA snel uit te voeren;</w:t>
            </w:r>
          </w:p>
        </w:tc>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desinformatie; </w:t>
            </w:r>
            <w:r>
              <w:rPr>
                <w:b/>
                <w:i/>
              </w:rPr>
              <w:t>benadrukt dat maatregelen ter bestrijding van desinformatie in de praktijk niet mogen leiden tot censuur van afwijkende politieke opvattingen;</w:t>
            </w:r>
            <w:r>
              <w:t xml:space="preserve"> dringt erop aan de EMFA snel uit te voeren;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659</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 en de strijd aan te binden met desinformatie; dringt erop aan de EMFA snel uit te voeren;</w:t>
            </w:r>
          </w:p>
        </w:tc>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 en de strijd aan te binden met desinformatie; dringt erop aan de EMFA snel uit te voeren</w:t>
            </w:r>
            <w:r>
              <w:rPr>
                <w:b/>
                <w:i/>
              </w:rPr>
              <w:t>, met name in bepaalde lidstaten die slecht scoren in de indicatoren voor mediavrijheid</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lastRenderedPageBreak/>
        <w:t>&lt;Amend&gt;</w:t>
      </w:r>
      <w:r>
        <w:t>Amendement</w:t>
      </w:r>
      <w:r>
        <w:tab/>
      </w:r>
      <w:r>
        <w:tab/>
      </w:r>
      <w:r>
        <w:rPr>
          <w:rStyle w:val="HideTWBExt"/>
        </w:rPr>
        <w:t>&lt;NumAm&gt;</w:t>
      </w:r>
      <w:r>
        <w:t>660</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w:t>
            </w:r>
            <w:r>
              <w:rPr>
                <w:b/>
                <w:i/>
              </w:rPr>
              <w:t>, en de strijd aan te binden met desinformatie</w:t>
            </w:r>
            <w:r>
              <w:t xml:space="preserve">; </w:t>
            </w:r>
            <w:r>
              <w:rPr>
                <w:b/>
                <w:i/>
              </w:rPr>
              <w:t>dringt erop aan de EMFA snel uit te voeren;</w:t>
            </w:r>
          </w:p>
        </w:tc>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661</w:t>
      </w:r>
      <w:r>
        <w:rPr>
          <w:rStyle w:val="HideTWBExt"/>
        </w:rPr>
        <w:t>&lt;/NumAm&gt;</w:t>
      </w:r>
    </w:p>
    <w:p w:rsidR="00F81D50" w:rsidRPr="00CF469D" w:rsidRDefault="00F81D50" w:rsidP="00F81D50">
      <w:pPr>
        <w:pStyle w:val="NormalBold"/>
      </w:pPr>
      <w:r>
        <w:rPr>
          <w:rStyle w:val="HideTWBExt"/>
          <w:b w:val="0"/>
        </w:rPr>
        <w:t>&lt;RepeatBlock-By&gt;&lt;Members&gt;</w:t>
      </w:r>
      <w:r>
        <w:t>Daniel Freund, Diana Riba i Giner, Jaume Asens Llodrà, Vicent Marzà Ibáñez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 en de strijd aan te binden met desinformatie; dringt erop aan de EMFA snel uit te voeren;</w:t>
            </w:r>
          </w:p>
        </w:tc>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desinformatie; </w:t>
            </w:r>
            <w:r>
              <w:rPr>
                <w:b/>
                <w:i/>
              </w:rPr>
              <w:t>onderstreept de belangrijke rol van publieke media;</w:t>
            </w:r>
            <w:r>
              <w:t xml:space="preserve"> dringt erop aan de EMFA snel uit te voeren;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662</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w:t>
            </w:r>
            <w:r>
              <w:lastRenderedPageBreak/>
              <w:t>voor mediavrijheid, -onafhankelijkheid en -pluriformiteit, en de strijd aan te binden met desinformatie; dringt erop aan de EMFA snel uit te voeren;</w:t>
            </w:r>
          </w:p>
        </w:tc>
        <w:tc>
          <w:tcPr>
            <w:tcW w:w="4876" w:type="dxa"/>
            <w:tcBorders>
              <w:top w:val="nil"/>
              <w:left w:val="nil"/>
              <w:bottom w:val="nil"/>
              <w:right w:val="nil"/>
            </w:tcBorders>
          </w:tcPr>
          <w:p w:rsidR="00F81D50" w:rsidRPr="00CF469D" w:rsidRDefault="00F81D50" w:rsidP="00F81D50">
            <w:pPr>
              <w:pStyle w:val="Normal6a"/>
            </w:pPr>
            <w:r>
              <w:lastRenderedPageBreak/>
              <w:t>29.</w:t>
            </w:r>
            <w:r>
              <w:tab/>
              <w:t xml:space="preserve">verzoekt de lidstaten zorg te dragen </w:t>
            </w:r>
            <w:r>
              <w:lastRenderedPageBreak/>
              <w:t xml:space="preserve">voor mediavrijheid, -onafhankelijkheid en -pluriformiteit, </w:t>
            </w:r>
            <w:r>
              <w:rPr>
                <w:b/>
                <w:i/>
              </w:rPr>
              <w:t xml:space="preserve">te zorgen voor een transparante toewijzing van publieke middelen </w:t>
            </w:r>
            <w:r>
              <w:t>en de strijd aan te binden met desinformatie; dringt erop aan de EMFA snel uit te voeren;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663</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desinformatie; </w:t>
            </w:r>
            <w:r>
              <w:rPr>
                <w:b/>
                <w:i/>
              </w:rPr>
              <w:t>dringt erop aan de EMFA snel uit te voeren;</w:t>
            </w:r>
          </w:p>
        </w:tc>
        <w:tc>
          <w:tcPr>
            <w:tcW w:w="4876" w:type="dxa"/>
            <w:tcBorders>
              <w:top w:val="nil"/>
              <w:left w:val="nil"/>
              <w:bottom w:val="nil"/>
              <w:right w:val="nil"/>
            </w:tcBorders>
          </w:tcPr>
          <w:p w:rsidR="00F81D50" w:rsidRPr="00CF469D" w:rsidRDefault="00F81D50" w:rsidP="00F81D50">
            <w:pPr>
              <w:pStyle w:val="Normal6a"/>
            </w:pPr>
            <w:r>
              <w:t>29.</w:t>
            </w:r>
            <w:r>
              <w:tab/>
              <w:t>verzoekt de lidstaten zorg te dragen voor mediavrijheid, -onafhankelijkheid en -pluriformiteit, en de strijd aan te binden met desinformatie;</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664</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w:t>
            </w:r>
            <w:r>
              <w:rPr>
                <w:b/>
                <w:i/>
              </w:rPr>
              <w:t>desinformatie; dringt erop aan</w:t>
            </w:r>
            <w:r>
              <w:t xml:space="preserve"> de </w:t>
            </w:r>
            <w:r>
              <w:rPr>
                <w:b/>
                <w:i/>
              </w:rPr>
              <w:t>EMFA snel uit te voeren</w:t>
            </w:r>
            <w:r>
              <w:t>;</w:t>
            </w:r>
          </w:p>
        </w:tc>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strijd aan te binden met </w:t>
            </w:r>
            <w:r>
              <w:rPr>
                <w:b/>
                <w:i/>
              </w:rPr>
              <w:t>censuur en onterechte inmenging in</w:t>
            </w:r>
            <w:r>
              <w:t xml:space="preserve"> de </w:t>
            </w:r>
            <w:r>
              <w:rPr>
                <w:b/>
                <w:i/>
              </w:rPr>
              <w:t>vrijheid van meningsuiting</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665</w:t>
      </w:r>
      <w:r>
        <w:rPr>
          <w:rStyle w:val="HideTWBExt"/>
        </w:rPr>
        <w:t>&lt;/NumAm&gt;</w:t>
      </w:r>
    </w:p>
    <w:p w:rsidR="00F81D50" w:rsidRPr="00CF469D" w:rsidRDefault="00F81D50" w:rsidP="00F81D50">
      <w:pPr>
        <w:pStyle w:val="NormalBold"/>
      </w:pPr>
      <w:r>
        <w:rPr>
          <w:rStyle w:val="HideTWBExt"/>
          <w:b w:val="0"/>
        </w:rPr>
        <w:t>&lt;RepeatBlock-By&gt;&lt;Members&gt;</w:t>
      </w:r>
      <w:r>
        <w:t xml:space="preserve">Jorge Buxadé Villalba, Marieke Ehlers, Malika Sorel, </w:t>
      </w:r>
      <w:r>
        <w:lastRenderedPageBreak/>
        <w:t>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w:t>
            </w:r>
            <w:r>
              <w:rPr>
                <w:b/>
                <w:i/>
              </w:rPr>
              <w:t>strijd aan te binden met desinformatie; dringt erop aan de EMFA snel uit</w:t>
            </w:r>
            <w:r>
              <w:t xml:space="preserve"> te </w:t>
            </w:r>
            <w:r>
              <w:rPr>
                <w:b/>
                <w:i/>
              </w:rPr>
              <w:t>voeren</w:t>
            </w:r>
            <w:r>
              <w:t>;</w:t>
            </w:r>
          </w:p>
        </w:tc>
        <w:tc>
          <w:tcPr>
            <w:tcW w:w="4876" w:type="dxa"/>
            <w:tcBorders>
              <w:top w:val="nil"/>
              <w:left w:val="nil"/>
              <w:bottom w:val="nil"/>
              <w:right w:val="nil"/>
            </w:tcBorders>
          </w:tcPr>
          <w:p w:rsidR="00F81D50" w:rsidRPr="00CF469D" w:rsidRDefault="00F81D50" w:rsidP="00F81D50">
            <w:pPr>
              <w:pStyle w:val="Normal6a"/>
            </w:pPr>
            <w:r>
              <w:t>29.</w:t>
            </w:r>
            <w:r>
              <w:tab/>
              <w:t xml:space="preserve">verzoekt de lidstaten zorg te dragen voor mediavrijheid, -onafhankelijkheid en -pluriformiteit, en de </w:t>
            </w:r>
            <w:r>
              <w:rPr>
                <w:b/>
                <w:i/>
              </w:rPr>
              <w:t>vrijheid van meningsuiting en het recht op informatie</w:t>
            </w:r>
            <w:r>
              <w:t xml:space="preserve"> te </w:t>
            </w:r>
            <w:r>
              <w:rPr>
                <w:b/>
                <w:i/>
              </w:rPr>
              <w:t>beschermen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666</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30.</w:t>
            </w:r>
            <w:r>
              <w:tab/>
            </w:r>
            <w:r>
              <w:rPr>
                <w:b/>
                <w:i/>
              </w:rPr>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b/>
                <w:i/>
                <w:vertAlign w:val="superscript"/>
              </w:rPr>
              <w:t>46</w:t>
            </w:r>
            <w:r>
              <w:rPr>
                <w:b/>
                <w:i/>
              </w:rPr>
              <w:t xml:space="preserve"> en van maatschappelijke netwerken</w:t>
            </w:r>
            <w:r>
              <w:rPr>
                <w:b/>
                <w:i/>
                <w:vertAlign w:val="superscript"/>
              </w:rPr>
              <w:t>47</w:t>
            </w:r>
            <w:r>
              <w:rPr>
                <w:b/>
                <w:i/>
              </w:rPr>
              <w:t>; 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46</w:t>
            </w:r>
            <w:r>
              <w:rPr>
                <w:b/>
                <w:i/>
              </w:rPr>
              <w:t xml:space="preserve"> Advies van het EESC van 14 februari 2024 getiteld “Perspectieven voor de versterking van de burgerdialoog en de </w:t>
            </w:r>
            <w:r>
              <w:rPr>
                <w:b/>
                <w:i/>
              </w:rPr>
              <w:lastRenderedPageBreak/>
              <w:t>participatiedemocratie in de EU”.</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47</w:t>
            </w:r>
            <w:r>
              <w:rPr>
                <w:b/>
                <w:i/>
              </w:rPr>
              <w:t xml:space="preserve"> Civil Society Europe, “Joint Civil 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667</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t>30.</w:t>
            </w:r>
            <w:r>
              <w:tab/>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herhaalt het belang van brede raadpleging bij het opstellen van het verslag over de rechtsstaat;</w:t>
            </w:r>
            <w:r>
              <w:rPr>
                <w:b/>
                <w:i/>
              </w:rPr>
              <w:t> verzoekt de Commissie zo veel mogelijk bezoeken ter plaatse in de lidstaten af te leggen in plaats van virtuele bezoeken, aangezien deze een vollediger en meer contextueel beeld van de lokale situatie kunnen schetsen;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47</w:t>
            </w:r>
            <w:r>
              <w:t xml:space="preserve"> Civil Society Europe, “Joint Civil </w:t>
            </w:r>
            <w:r>
              <w:lastRenderedPageBreak/>
              <w:t>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pPr>
              <w:pStyle w:val="Normal6a"/>
            </w:pPr>
            <w:r>
              <w:rPr>
                <w:vertAlign w:val="superscript"/>
              </w:rPr>
              <w:lastRenderedPageBreak/>
              <w:t>47</w:t>
            </w:r>
            <w:r>
              <w:t xml:space="preserve"> Civil Society Europe, “Joint Civil </w:t>
            </w:r>
            <w:r>
              <w:lastRenderedPageBreak/>
              <w:t>Society Contribution on Civic Space to the 2024 Annual Rule of Law Report”, juni 2024.</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668</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t>30.</w:t>
            </w:r>
            <w:r>
              <w:tab/>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xml:space="preserve">; herhaalt het belang van brede raadpleging bij het opstellen van het verslag over de rechtsstaat; </w:t>
            </w:r>
            <w:r>
              <w:rPr>
                <w:b/>
                <w:i/>
              </w:rPr>
              <w:t>verzoekt de Commissie in dit verband een strategie op te stellen voor de ruimte voor en de bescherming van het maatschappelijk middenveld en mensenrechtenverdedigers;</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lastRenderedPageBreak/>
              <w:t>47</w:t>
            </w:r>
            <w:r>
              <w:t xml:space="preserve"> Civil Society Europe, “Joint Civil 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pPr>
              <w:pStyle w:val="Normal6a"/>
            </w:pPr>
            <w:r>
              <w:rPr>
                <w:vertAlign w:val="superscript"/>
              </w:rPr>
              <w:t>47</w:t>
            </w:r>
            <w:r>
              <w:t xml:space="preserve"> Civil Society Europe, “Joint Civil Society Contribution on Civic Space to the 2024 Annual Rule of Law Report”, juni 2024.</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669</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t>30.</w:t>
            </w:r>
            <w:r>
              <w:tab/>
              <w:t>wijst in het bijzonder op de rol van het maatschappelijk middenveld en onafhankelijke toezichtsorganen bij het 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xml:space="preserve">; herhaalt het belang van brede raadpleging bij het opstellen van het verslag over de rechtsstaat; </w:t>
            </w:r>
            <w:r>
              <w:rPr>
                <w:b/>
                <w:i/>
              </w:rPr>
              <w:t>is bezorgd over het feit dat de Commissie in sommige lidstaten geselecteerde maatschappelijke organisaties financiert die de reikwijdte van het verslag verstoren;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47</w:t>
            </w:r>
            <w:r>
              <w:t xml:space="preserve"> Civil Society Europe, “Joint Civil Society Contribution on Civic Space to the 2024 Annual Rule of Law Report”, </w:t>
            </w:r>
            <w:r>
              <w:lastRenderedPageBreak/>
              <w:t>juni 2024.</w:t>
            </w:r>
          </w:p>
        </w:tc>
        <w:tc>
          <w:tcPr>
            <w:tcW w:w="4876" w:type="dxa"/>
            <w:tcBorders>
              <w:top w:val="nil"/>
              <w:left w:val="nil"/>
              <w:bottom w:val="nil"/>
              <w:right w:val="nil"/>
            </w:tcBorders>
          </w:tcPr>
          <w:p w:rsidR="00F81D50" w:rsidRPr="00CF469D" w:rsidRDefault="00F81D50" w:rsidP="00F81D50">
            <w:pPr>
              <w:pStyle w:val="Normal6a"/>
            </w:pPr>
            <w:r>
              <w:rPr>
                <w:vertAlign w:val="superscript"/>
              </w:rPr>
              <w:lastRenderedPageBreak/>
              <w:t>47</w:t>
            </w:r>
            <w:r>
              <w:t xml:space="preserve"> Civil Society Europe, “Joint Civil Society Contribution on Civic Space to the 2024 Annual Rule of Law Report”, </w:t>
            </w:r>
            <w:r>
              <w:lastRenderedPageBreak/>
              <w:t>juni 2024.</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670</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t xml:space="preserve">wijst in het bijzonder op </w:t>
            </w:r>
            <w:r>
              <w:rPr>
                <w:b/>
                <w:i/>
              </w:rPr>
              <w:t>de rol van</w:t>
            </w:r>
            <w:r>
              <w:t xml:space="preserve"> het maatschappelijk middenveld en onafhankelijke toezichtsorganen bij het monitoren en ondersteunen van de uitvoering van de aanbevelingen in het verslag over de rechtsstaat; </w:t>
            </w:r>
            <w:r>
              <w:rPr>
                <w:b/>
                <w:i/>
              </w:rPr>
              <w:t>vindt dat een kader voor een gestructureerde burgerdialoog tot stand moet worden gebracht om in de jaarlijkse rechtsstaatcyclus rekening te houden met de bijdragen</w:t>
            </w:r>
            <w:r>
              <w:t xml:space="preserve"> van </w:t>
            </w:r>
            <w:r>
              <w:rPr>
                <w:b/>
                <w:i/>
              </w:rPr>
              <w:t>het maatschappelijk middenveld, overeenkomstig</w:t>
            </w:r>
            <w:r>
              <w:t xml:space="preserve"> de </w:t>
            </w:r>
            <w:r>
              <w:rPr>
                <w:b/>
                <w:i/>
              </w:rPr>
              <w:t>aanbeveling van het Europees Economisch en Sociaal Comité (EESC)</w:t>
            </w:r>
            <w:r>
              <w:rPr>
                <w:b/>
                <w:i/>
                <w:vertAlign w:val="superscript"/>
              </w:rPr>
              <w:t>46</w:t>
            </w:r>
            <w:r>
              <w:rPr>
                <w:b/>
                <w:i/>
              </w:rPr>
              <w:t xml:space="preserve"> en</w:t>
            </w:r>
            <w:r>
              <w:t xml:space="preserve"> van </w:t>
            </w:r>
            <w:r>
              <w:rPr>
                <w:b/>
                <w:i/>
              </w:rPr>
              <w:t>maatschappelijke netwerken</w:t>
            </w:r>
            <w:r>
              <w:rPr>
                <w:b/>
                <w:i/>
                <w:vertAlign w:val="superscript"/>
              </w:rPr>
              <w:t>47</w:t>
            </w:r>
            <w:r>
              <w:rPr>
                <w:b/>
                <w:i/>
              </w:rPr>
              <w:t>;</w:t>
            </w:r>
            <w:r>
              <w:t xml:space="preserve"> </w:t>
            </w:r>
            <w:r>
              <w:rPr>
                <w:b/>
                <w:i/>
              </w:rPr>
              <w:t>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t>30.</w:t>
            </w:r>
            <w:r>
              <w:tab/>
              <w:t xml:space="preserve">wijst in het bijzonder op </w:t>
            </w:r>
            <w:r>
              <w:rPr>
                <w:b/>
                <w:i/>
              </w:rPr>
              <w:t>het feit dat</w:t>
            </w:r>
            <w:r>
              <w:t xml:space="preserve"> het maatschappelijk middenveld en onafhankelijke toezichtsorganen </w:t>
            </w:r>
            <w:r>
              <w:rPr>
                <w:b/>
                <w:i/>
              </w:rPr>
              <w:t xml:space="preserve">in het verleden te veel in de pap te brokken hebben gekregen </w:t>
            </w:r>
            <w:r>
              <w:t>bij het monitoren en ondersteunen van de uitvoering van de aanbevelingen in het verslag over de rechtsstaat;</w:t>
            </w:r>
            <w:r>
              <w:rPr>
                <w:b/>
                <w:i/>
              </w:rPr>
              <w:t xml:space="preserve"> is</w:t>
            </w:r>
            <w:r>
              <w:t xml:space="preserve"> van </w:t>
            </w:r>
            <w:r>
              <w:rPr>
                <w:b/>
                <w:i/>
              </w:rPr>
              <w:t>mening dat</w:t>
            </w:r>
            <w:r>
              <w:t xml:space="preserve"> de </w:t>
            </w:r>
            <w:r>
              <w:rPr>
                <w:b/>
                <w:i/>
              </w:rPr>
              <w:t>inbreng</w:t>
            </w:r>
            <w:r>
              <w:t xml:space="preserve"> van </w:t>
            </w:r>
            <w:r>
              <w:rPr>
                <w:b/>
                <w:i/>
              </w:rPr>
              <w:t>niet-gouvernementele organisaties niet meer gewicht mag krijgen dan die</w:t>
            </w:r>
            <w:r>
              <w:t xml:space="preserve"> van </w:t>
            </w:r>
            <w:r>
              <w:rPr>
                <w:b/>
                <w:i/>
              </w:rPr>
              <w:t>overheidsinstanties of internationale gouvernementele organisaties</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46</w:t>
            </w:r>
            <w:r>
              <w:rPr>
                <w:b/>
                <w:i/>
              </w:rPr>
              <w:t xml:space="preserve"> 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47</w:t>
            </w:r>
            <w:r>
              <w:rPr>
                <w:b/>
                <w:i/>
              </w:rPr>
              <w:t xml:space="preserve"> Civil Society Europe, “Joint Civil 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671</w:t>
      </w:r>
      <w:r>
        <w:rPr>
          <w:rStyle w:val="HideTWBExt"/>
        </w:rPr>
        <w:t>&lt;/NumAm&gt;</w:t>
      </w:r>
    </w:p>
    <w:p w:rsidR="00F81D50" w:rsidRPr="00CF469D" w:rsidRDefault="00F81D50" w:rsidP="00F81D50">
      <w:pPr>
        <w:pStyle w:val="NormalBold"/>
      </w:pPr>
      <w:r>
        <w:rPr>
          <w:rStyle w:val="HideTWBExt"/>
          <w:b w:val="0"/>
        </w:rPr>
        <w:lastRenderedPageBreak/>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r>
            <w:r>
              <w:rPr>
                <w:b/>
                <w:i/>
              </w:rPr>
              <w:t>wijst in het bijzonder op de rol van het maatschappelijk middenveld en onafhankelijke toezichtsorganen bij het monitoren en ondersteunen van de uitvoering van de aanbevelingen in het verslag over de rechtsstaat</w:t>
            </w:r>
            <w:r>
              <w:t xml:space="preserve">; vindt dat een kader voor een </w:t>
            </w:r>
            <w:r>
              <w:rPr>
                <w:b/>
                <w:i/>
              </w:rPr>
              <w:t>gestructureerde</w:t>
            </w:r>
            <w:r>
              <w:t xml:space="preserve"> burgerdialoog tot stand moet worden gebracht om in </w:t>
            </w:r>
            <w:r>
              <w:rPr>
                <w:b/>
                <w:i/>
              </w:rPr>
              <w:t>de jaarlijkse rechtsstaatcyclus</w:t>
            </w:r>
            <w:r>
              <w:t xml:space="preserve"> rekening te houden met de bijdragen van het maatschappelijk middenveld</w:t>
            </w:r>
            <w:r>
              <w:rPr>
                <w:b/>
                <w:i/>
              </w:rPr>
              <w:t>, overeenkomstig de aanbeveling van het Europees Economisch en Sociaal Comité (EESC)</w:t>
            </w:r>
            <w:r>
              <w:rPr>
                <w:b/>
                <w:i/>
                <w:vertAlign w:val="superscript"/>
              </w:rPr>
              <w:t>46</w:t>
            </w:r>
            <w:r>
              <w:rPr>
                <w:b/>
                <w:i/>
              </w:rPr>
              <w:t xml:space="preserve"> en van maatschappelijke netwerken</w:t>
            </w:r>
            <w:r>
              <w:rPr>
                <w:b/>
                <w:i/>
                <w:vertAlign w:val="superscript"/>
              </w:rPr>
              <w:t>47</w:t>
            </w:r>
            <w:r>
              <w:t>;</w:t>
            </w:r>
            <w:r>
              <w:rPr>
                <w:b/>
                <w:i/>
              </w:rPr>
              <w:t xml:space="preserve"> 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t>30.</w:t>
            </w:r>
            <w:r>
              <w:tab/>
            </w:r>
            <w:r>
              <w:rPr>
                <w:b/>
                <w:i/>
              </w:rPr>
              <w:t>betreurt dat de Commissie prioriteit geeft aan de dialoog met organisaties die het beleid van Brussel steunen, vaak een links-liberaal profiel hebben, door haarzelf worden gefinancierd en zich in een openlijk conflict bevinden met conservatieve regeringen, waardoor zij een gesloten netwerk creëert dat hetzelfde discours verkondigt</w:t>
            </w:r>
            <w:r>
              <w:t xml:space="preserve">; vindt dat een kader voor een </w:t>
            </w:r>
            <w:r>
              <w:rPr>
                <w:b/>
                <w:i/>
              </w:rPr>
              <w:t>daadwerkelijke</w:t>
            </w:r>
            <w:r>
              <w:t xml:space="preserve"> burgerdialoog tot stand moet worden gebracht om in </w:t>
            </w:r>
            <w:r>
              <w:rPr>
                <w:b/>
                <w:i/>
              </w:rPr>
              <w:t>het debat over de rechtsstaat</w:t>
            </w:r>
            <w:r>
              <w:t xml:space="preserve"> rekening te houden met de bijdragen van het maatschappelijk middenveld;</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46</w:t>
            </w:r>
            <w:r>
              <w:t xml:space="preserve"> </w:t>
            </w:r>
            <w:r>
              <w:rPr>
                <w:b/>
                <w:i/>
              </w:rPr>
              <w:t>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47</w:t>
            </w:r>
            <w:r>
              <w:t xml:space="preserve"> </w:t>
            </w:r>
            <w:r>
              <w:rPr>
                <w:b/>
                <w:i/>
              </w:rPr>
              <w:t>Civil Society Europe, “Joint Civil 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672</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r>
            <w:r>
              <w:rPr>
                <w:b/>
                <w:i/>
              </w:rPr>
              <w:t>wijst in</w:t>
            </w:r>
            <w:r>
              <w:t xml:space="preserve"> het </w:t>
            </w:r>
            <w:r>
              <w:rPr>
                <w:b/>
                <w:i/>
              </w:rPr>
              <w:t>bijzonder op</w:t>
            </w:r>
            <w:r>
              <w:t xml:space="preserve"> de </w:t>
            </w:r>
            <w:r>
              <w:rPr>
                <w:b/>
                <w:i/>
              </w:rPr>
              <w:t>rol van het maatschappelijk middenveld en onafhankelijke toezichtsorganen bij</w:t>
            </w:r>
            <w:r>
              <w:t xml:space="preserve"> het </w:t>
            </w:r>
            <w:r>
              <w:rPr>
                <w:b/>
                <w:i/>
              </w:rPr>
              <w:t>monitoren en ondersteunen</w:t>
            </w:r>
            <w:r>
              <w:t xml:space="preserve"> van </w:t>
            </w:r>
            <w:r>
              <w:rPr>
                <w:b/>
                <w:i/>
              </w:rPr>
              <w:t>de uitvoering van de aanbevelingen in het verslag over</w:t>
            </w:r>
            <w:r>
              <w:t xml:space="preserve"> de </w:t>
            </w:r>
            <w:r>
              <w:rPr>
                <w:b/>
                <w:i/>
              </w:rPr>
              <w:t>rechtsstaat; vindt dat een kader voor een gestructureerde burgerdialoog tot stand moet</w:t>
            </w:r>
            <w:r>
              <w:t xml:space="preserve"> worden </w:t>
            </w:r>
            <w:r>
              <w:rPr>
                <w:b/>
                <w:i/>
              </w:rPr>
              <w:t>gebracht om in de jaarlijkse rechtsstaatcyclus rekening</w:t>
            </w:r>
            <w:r>
              <w:t xml:space="preserve"> te </w:t>
            </w:r>
            <w:r>
              <w:rPr>
                <w:b/>
                <w:i/>
              </w:rPr>
              <w:t>houden</w:t>
            </w:r>
            <w:r>
              <w:t xml:space="preserve"> met </w:t>
            </w:r>
            <w:r>
              <w:rPr>
                <w:b/>
                <w:i/>
              </w:rPr>
              <w:t>de bijdragen van het maatschappelijk middenveld, overeenkomstig</w:t>
            </w:r>
            <w:r>
              <w:t xml:space="preserve"> de </w:t>
            </w:r>
            <w:r>
              <w:rPr>
                <w:b/>
                <w:i/>
              </w:rPr>
              <w:t>aanbeveling van</w:t>
            </w:r>
            <w:r>
              <w:t xml:space="preserve"> het </w:t>
            </w:r>
            <w:r>
              <w:rPr>
                <w:b/>
                <w:i/>
              </w:rPr>
              <w:t>Europees Economisch en Sociaal Comité (EESC)</w:t>
            </w:r>
            <w:r>
              <w:rPr>
                <w:b/>
                <w:i/>
                <w:vertAlign w:val="superscript"/>
              </w:rPr>
              <w:t>46</w:t>
            </w:r>
            <w:r>
              <w:rPr>
                <w:b/>
                <w:i/>
              </w:rPr>
              <w:t xml:space="preserve"> en</w:t>
            </w:r>
            <w:r>
              <w:t xml:space="preserve"> van </w:t>
            </w:r>
            <w:r>
              <w:rPr>
                <w:b/>
                <w:i/>
              </w:rPr>
              <w:t>maatschappelijke netwerken</w:t>
            </w:r>
            <w:r>
              <w:rPr>
                <w:b/>
                <w:i/>
                <w:vertAlign w:val="superscript"/>
              </w:rPr>
              <w:t>47</w:t>
            </w:r>
            <w:r>
              <w:rPr>
                <w:b/>
                <w:i/>
              </w:rPr>
              <w:t>; herhaalt het belang van brede raadpleging bij het opstellen</w:t>
            </w:r>
            <w:r>
              <w:t xml:space="preserve"> van </w:t>
            </w:r>
            <w:r>
              <w:rPr>
                <w:b/>
                <w:i/>
              </w:rPr>
              <w:t>het verslag over de rechtsstaat</w:t>
            </w:r>
            <w:r>
              <w:t>;</w:t>
            </w:r>
          </w:p>
        </w:tc>
        <w:tc>
          <w:tcPr>
            <w:tcW w:w="4876" w:type="dxa"/>
            <w:tcBorders>
              <w:top w:val="nil"/>
              <w:left w:val="nil"/>
              <w:bottom w:val="nil"/>
              <w:right w:val="nil"/>
            </w:tcBorders>
          </w:tcPr>
          <w:p w:rsidR="00F81D50" w:rsidRPr="00CF469D" w:rsidRDefault="00F81D50" w:rsidP="00F81D50">
            <w:pPr>
              <w:pStyle w:val="Normal6a"/>
            </w:pPr>
            <w:r>
              <w:t>30.</w:t>
            </w:r>
            <w:r>
              <w:tab/>
            </w:r>
            <w:r>
              <w:rPr>
                <w:b/>
                <w:i/>
              </w:rPr>
              <w:t>betreurt</w:t>
            </w:r>
            <w:r>
              <w:t xml:space="preserve"> het </w:t>
            </w:r>
            <w:r>
              <w:rPr>
                <w:b/>
                <w:i/>
              </w:rPr>
              <w:t>feit dat</w:t>
            </w:r>
            <w:r>
              <w:t xml:space="preserve"> de </w:t>
            </w:r>
            <w:r>
              <w:rPr>
                <w:b/>
                <w:i/>
              </w:rPr>
              <w:t>Commissie slechts</w:t>
            </w:r>
            <w:r>
              <w:t xml:space="preserve"> het </w:t>
            </w:r>
            <w:r>
              <w:rPr>
                <w:b/>
                <w:i/>
              </w:rPr>
              <w:t>standpunt overneemt</w:t>
            </w:r>
            <w:r>
              <w:t xml:space="preserve"> van </w:t>
            </w:r>
            <w:r>
              <w:rPr>
                <w:b/>
                <w:i/>
              </w:rPr>
              <w:t>maatschappelijke organisaties die vanuit het buitenland of door</w:t>
            </w:r>
            <w:r>
              <w:t xml:space="preserve"> de </w:t>
            </w:r>
            <w:r>
              <w:rPr>
                <w:b/>
                <w:i/>
              </w:rPr>
              <w:t>Commissie zelf</w:t>
            </w:r>
            <w:r>
              <w:t xml:space="preserve"> worden </w:t>
            </w:r>
            <w:r>
              <w:rPr>
                <w:b/>
                <w:i/>
              </w:rPr>
              <w:t>gefinancierd, zonder de door hen geuite beschuldigingen</w:t>
            </w:r>
            <w:r>
              <w:t xml:space="preserve"> te </w:t>
            </w:r>
            <w:r>
              <w:rPr>
                <w:b/>
                <w:i/>
              </w:rPr>
              <w:t>verifiëren; merkt</w:t>
            </w:r>
            <w:r>
              <w:t xml:space="preserve"> met </w:t>
            </w:r>
            <w:r>
              <w:rPr>
                <w:b/>
                <w:i/>
              </w:rPr>
              <w:t>bezorgdheid op dat</w:t>
            </w:r>
            <w:r>
              <w:t xml:space="preserve"> de </w:t>
            </w:r>
            <w:r>
              <w:rPr>
                <w:b/>
                <w:i/>
              </w:rPr>
              <w:t>Commissie</w:t>
            </w:r>
            <w:r>
              <w:t xml:space="preserve"> het </w:t>
            </w:r>
            <w:r>
              <w:rPr>
                <w:b/>
                <w:i/>
              </w:rPr>
              <w:t>standpunt van de grondwettelijke instanties</w:t>
            </w:r>
            <w:r>
              <w:t xml:space="preserve"> van </w:t>
            </w:r>
            <w:r>
              <w:rPr>
                <w:b/>
                <w:i/>
              </w:rPr>
              <w:t>de lidstaten negeert en in plaats daarvan vertrouwt op de politiek vooringenomen adviezen</w:t>
            </w:r>
            <w:r>
              <w:t xml:space="preserve"> van </w:t>
            </w:r>
            <w:r>
              <w:rPr>
                <w:b/>
                <w:i/>
              </w:rPr>
              <w:t>lukraak geselecteerde maatschappelijke organisaties</w:t>
            </w:r>
            <w:r>
              <w: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_________________</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46</w:t>
            </w:r>
            <w:r>
              <w:rPr>
                <w:b/>
                <w:i/>
              </w:rPr>
              <w:t xml:space="preserve"> 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vertAlign w:val="superscript"/>
              </w:rPr>
              <w:t>47</w:t>
            </w:r>
            <w:r>
              <w:rPr>
                <w:b/>
                <w:i/>
              </w:rPr>
              <w:t xml:space="preserve"> Civil Society Europe, “Joint Civil 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673</w:t>
      </w:r>
      <w:r>
        <w:rPr>
          <w:rStyle w:val="HideTWBExt"/>
        </w:rPr>
        <w:t>&lt;/NumAm&gt;</w:t>
      </w:r>
    </w:p>
    <w:p w:rsidR="00F81D50" w:rsidRPr="00CF469D" w:rsidRDefault="00F81D50" w:rsidP="00F81D50">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30.</w:t>
            </w:r>
            <w:r>
              <w:tab/>
              <w:t xml:space="preserve">wijst in het bijzonder op de rol van het maatschappelijk middenveld en onafhankelijke toezichtsorganen bij het </w:t>
            </w:r>
            <w:r>
              <w:lastRenderedPageBreak/>
              <w:t>monitoren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herhaalt het belang van brede raadpleging bij het opstellen van het verslag over de rechtsstaat;</w:t>
            </w:r>
          </w:p>
        </w:tc>
        <w:tc>
          <w:tcPr>
            <w:tcW w:w="4876" w:type="dxa"/>
            <w:tcBorders>
              <w:top w:val="nil"/>
              <w:left w:val="nil"/>
              <w:bottom w:val="nil"/>
              <w:right w:val="nil"/>
            </w:tcBorders>
          </w:tcPr>
          <w:p w:rsidR="00F81D50" w:rsidRPr="00CF469D" w:rsidRDefault="00F81D50" w:rsidP="00F81D50">
            <w:pPr>
              <w:pStyle w:val="Normal6a"/>
            </w:pPr>
            <w:r>
              <w:lastRenderedPageBreak/>
              <w:t>30.</w:t>
            </w:r>
            <w:r>
              <w:tab/>
              <w:t xml:space="preserve">wijst in het bijzonder op de rol van het maatschappelijk middenveld en onafhankelijke toezichtsorganen bij het </w:t>
            </w:r>
            <w:r>
              <w:lastRenderedPageBreak/>
              <w:t>monitoren</w:t>
            </w:r>
            <w:r>
              <w:rPr>
                <w:b/>
                <w:i/>
              </w:rPr>
              <w:t>, controleren</w:t>
            </w:r>
            <w:r>
              <w:t xml:space="preserve"> en ondersteunen van de uitvoering van de aanbevelingen in het verslag over de rechtsstaat; vindt dat een kader voor een gestructureerde burgerdialoog tot stand moet worden gebracht om in de jaarlijkse rechtsstaatcyclus rekening te houden met de bijdragen van het maatschappelijk middenveld, overeenkomstig de aanbeveling van het Europees Economisch en Sociaal Comité (EESC)</w:t>
            </w:r>
            <w:r>
              <w:rPr>
                <w:vertAlign w:val="superscript"/>
              </w:rPr>
              <w:t>46</w:t>
            </w:r>
            <w:r>
              <w:t xml:space="preserve"> en van maatschappelijke netwerken</w:t>
            </w:r>
            <w:r>
              <w:rPr>
                <w:vertAlign w:val="superscript"/>
              </w:rPr>
              <w:t>47</w:t>
            </w:r>
            <w:r>
              <w:t>; herhaalt het belang van brede raadpleging bij het opstellen van het verslag over de rechtsstaat;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lastRenderedPageBreak/>
              <w:t>_________________</w:t>
            </w:r>
          </w:p>
        </w:tc>
        <w:tc>
          <w:tcPr>
            <w:tcW w:w="4876" w:type="dxa"/>
            <w:tcBorders>
              <w:top w:val="nil"/>
              <w:left w:val="nil"/>
              <w:bottom w:val="nil"/>
              <w:right w:val="nil"/>
            </w:tcBorders>
          </w:tcPr>
          <w:p w:rsidR="00F81D50" w:rsidRPr="00CF469D" w:rsidRDefault="00F81D50" w:rsidP="00F81D50">
            <w:pPr>
              <w:pStyle w:val="Normal6a"/>
            </w:pPr>
            <w:r>
              <w:rPr>
                <w:b/>
                <w:i/>
              </w:rPr>
              <w:t>_________________</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c>
          <w:tcPr>
            <w:tcW w:w="4876" w:type="dxa"/>
            <w:tcBorders>
              <w:top w:val="nil"/>
              <w:left w:val="nil"/>
              <w:bottom w:val="nil"/>
              <w:right w:val="nil"/>
            </w:tcBorders>
          </w:tcPr>
          <w:p w:rsidR="00F81D50" w:rsidRPr="00CF469D" w:rsidRDefault="00F81D50" w:rsidP="00F81D50">
            <w:pPr>
              <w:pStyle w:val="Normal6a"/>
            </w:pPr>
            <w:r>
              <w:rPr>
                <w:vertAlign w:val="superscript"/>
              </w:rPr>
              <w:t>46</w:t>
            </w:r>
            <w:r>
              <w:t xml:space="preserve"> Advies van het EESC van 14 februari 2024 getiteld “Perspectieven voor de versterking van de burgerdialoog en de participatiedemocratie in de EU”.</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vertAlign w:val="superscript"/>
              </w:rPr>
              <w:t>47</w:t>
            </w:r>
            <w:r>
              <w:t xml:space="preserve"> Civil Society Europe, “Joint Civil Society Contribution on Civic Space to the 2024 Annual Rule of Law Report”, juni 2024.</w:t>
            </w:r>
          </w:p>
        </w:tc>
        <w:tc>
          <w:tcPr>
            <w:tcW w:w="4876" w:type="dxa"/>
            <w:tcBorders>
              <w:top w:val="nil"/>
              <w:left w:val="nil"/>
              <w:bottom w:val="nil"/>
              <w:right w:val="nil"/>
            </w:tcBorders>
          </w:tcPr>
          <w:p w:rsidR="00F81D50" w:rsidRPr="00CF469D" w:rsidRDefault="00F81D50" w:rsidP="00F81D50">
            <w:pPr>
              <w:pStyle w:val="Normal6a"/>
            </w:pPr>
            <w:r>
              <w:rPr>
                <w:vertAlign w:val="superscript"/>
              </w:rPr>
              <w:t>47</w:t>
            </w:r>
            <w:r>
              <w:t xml:space="preserve"> Civil Society Europe, “Joint Civil Society Contribution on Civic Space to the 2024 Annual Rule of Law Report”, juni 2024.</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674</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30 bis.</w:t>
            </w:r>
            <w:r>
              <w:tab/>
            </w:r>
            <w:r>
              <w:rPr>
                <w:b/>
                <w:i/>
              </w:rPr>
              <w:t xml:space="preserve">spreekt zijn bezorgdheid uit over het feit dat het moment van publicatie van het verslag over de rechtsstaat niet bijdraagt aan het creëren van voldoende zichtbaarheid en haaks staat op het doel dat met het verslag wordt nagestreefd, namelijk het genereren van een breed debat over de bevindingen in het verslag; verzoekt de Commissie na te denken over een ander moment van publicatie en meer </w:t>
            </w:r>
            <w:r>
              <w:rPr>
                <w:b/>
                <w:i/>
              </w:rPr>
              <w:lastRenderedPageBreak/>
              <w:t>te doen om de bevindingen in het verslag in alle lidstaten grotere bekendheid te geven, teneinde tot een zinvolle discussie te komen;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675</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30 bis.</w:t>
            </w:r>
            <w:r>
              <w:tab/>
            </w:r>
            <w:r>
              <w:rPr>
                <w:b/>
                <w:i/>
              </w:rPr>
              <w:t>stelt met bezorgdheid vast dat veel maatschappelijke organisaties worden gefinancierd door buitenlandse organisaties zoals Open Society Foundations, en door Europese regeringen of instellingen, met het oog op het uitvoeren van specifieke ideologische agenda’s; benadrukt in dit verband dat veel van deze organisaties niet noodzakelijkerwijs de belangen van het maatschappelijk middenveld in de lidstaten vertegenwoordigen;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676</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30 bis.</w:t>
            </w:r>
            <w:r>
              <w:tab/>
            </w:r>
            <w:r>
              <w:rPr>
                <w:b/>
                <w:i/>
              </w:rPr>
              <w:t xml:space="preserve">stelt voor dat maatschappelijke organisaties inzage krijgen in de bijdragen van de lidstaten alvorens hun respons op de jaarlijkse raadpleging van belanghebbenden door de Commissie in te dienen, teneinde op de door de lidstaten </w:t>
            </w:r>
            <w:r>
              <w:rPr>
                <w:b/>
                <w:i/>
              </w:rPr>
              <w:lastRenderedPageBreak/>
              <w:t>verstrekte gegevens te reageren, deze gegevens te verifiëren en ze te contextualiseren;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677</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 </w:t>
            </w:r>
            <w:r>
              <w:rPr>
                <w:b/>
                <w:i/>
              </w:rPr>
              <w:t>uit in dit verband zijn bezorgdheid over het feit dat de Spaanse zogenaamde “knevelwet”, formeel bekend als organieke wet 4/2015 inzake de veiligheid van de burger, tien jaar oud is en journalisten nog steeds belemmert in hun vermogen om hun taken uit te voeren; betreurt dat deze wet niet volledig is ingetrokken en dat de voorgestelde wetswijzigingen ontoereikend zijn om de vrijheid van meningsuiting te beschermen; betreurt voorts dat het Spaanse wetboek van strafrecht nog steeds het misdrijf belediging van de Kroon bevat, een bepaling die onverenigbaar is met de beginselen van een democratische samenleving, aangezien het de vrijheid van meningsuiting onnodig beperkt;</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678</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w:t>
            </w:r>
            <w:r>
              <w:rPr>
                <w:b/>
                <w:i/>
              </w:rPr>
              <w:t xml:space="preserve"> stelt met bezorgdheid vast dat steeds meer gebruikgemaakt wordt van administratieve detentie om te voorkomen dat mensen deelnemen aan protesten;</w:t>
            </w:r>
            <w:r>
              <w:t xml:space="preserve"> </w:t>
            </w:r>
            <w:r>
              <w:rPr>
                <w:b/>
                <w:i/>
              </w:rPr>
              <w:t>betreurt het feit dat beperkingen van de vrijheid van vergadering, meningsuiting en vereniging en het gebruik van buitensporig geweld specifieke doelen of groepen onevenredig treffen;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679</w:t>
      </w:r>
      <w:r>
        <w:rPr>
          <w:rStyle w:val="HideTWBExt"/>
        </w:rPr>
        <w:t>&lt;/NumAm&gt;</w:t>
      </w:r>
    </w:p>
    <w:p w:rsidR="00F81D50" w:rsidRPr="00CF469D" w:rsidRDefault="00F81D50" w:rsidP="00F81D50">
      <w:pPr>
        <w:pStyle w:val="NormalBold"/>
      </w:pPr>
      <w:r>
        <w:rPr>
          <w:rStyle w:val="HideTWBExt"/>
          <w:b w:val="0"/>
        </w:rPr>
        <w:t>&lt;RepeatBlock-By&gt;&lt;Members&gt;</w:t>
      </w:r>
      <w:r>
        <w:t>Daniel Freund, Diana Riba i Giner, Jaume Asens Llodrà, Vicent Marzà Ibáñez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benadrukt dat vreedzame vergadering</w:t>
            </w:r>
            <w:r>
              <w:rPr>
                <w:b/>
                <w:i/>
              </w:rPr>
              <w:t xml:space="preserve"> en</w:t>
            </w:r>
            <w:r>
              <w:t xml:space="preserve">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t>31.</w:t>
            </w:r>
            <w:r>
              <w:tab/>
              <w:t>benadrukt dat vreedzame vergadering</w:t>
            </w:r>
            <w:r>
              <w:rPr>
                <w:b/>
                <w:i/>
              </w:rPr>
              <w:t>,</w:t>
            </w:r>
            <w:r>
              <w:t xml:space="preserve"> de vrijheid van vereniging en meningsuiting</w:t>
            </w:r>
            <w:r>
              <w:rPr>
                <w:b/>
                <w:i/>
              </w:rPr>
              <w:t xml:space="preserve"> en de vrijheid van kunst en wetenschap</w:t>
            </w:r>
            <w:r>
              <w:t xml:space="preserve"> door het internationaal recht beschermde grondrechten zijn, en van essentieel belang voor de democratie en de verantwoordingsplicht van regeringen; veroordeelt de toenemende druk op deze rechten en stelt vast dat er een trend bestaat om ze in te perken; verzoekt de </w:t>
            </w:r>
            <w:r>
              <w:rPr>
                <w:b/>
                <w:i/>
              </w:rPr>
              <w:t xml:space="preserve">Commissie deze vrijheden in het jaarlijks verslag te behandelen; verzoekt de </w:t>
            </w:r>
            <w:r>
              <w:t>lidstaten gedegen onderzoek te doen naar het gebruik van buitensporig geweld en discriminatie door wethandhavingsinstanties</w:t>
            </w:r>
            <w:r>
              <w:rPr>
                <w:b/>
                <w:i/>
              </w:rPr>
              <w:t>, alsook naar meldingen van illegale infiltraties van de politie in maatschappelijke organisaties en van censuur, politieke inmenging of intimidatie in verband met fundamentele vrijheden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680</w:t>
      </w:r>
      <w:r>
        <w:rPr>
          <w:rStyle w:val="HideTWBExt"/>
        </w:rPr>
        <w:t>&lt;/NumAm&gt;</w:t>
      </w:r>
    </w:p>
    <w:p w:rsidR="00F81D50" w:rsidRPr="00CF469D" w:rsidRDefault="00F81D50" w:rsidP="00F81D50">
      <w:pPr>
        <w:pStyle w:val="NormalBold"/>
      </w:pPr>
      <w:r>
        <w:rPr>
          <w:rStyle w:val="HideTWBExt"/>
          <w:b w:val="0"/>
        </w:rPr>
        <w:t>&lt;RepeatBlock-By&gt;&lt;Members&gt;</w:t>
      </w:r>
      <w:r>
        <w:t>Nicolas Bay</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w:t>
            </w:r>
            <w:r>
              <w:rPr>
                <w:b/>
                <w:i/>
              </w:rPr>
              <w:t xml:space="preserve">veroordeelt de toenemende druk op deze rechten en stelt vast dat er een trend bestaat om ze in te perken; verzoekt de lidstaten gedegen onderzoek te doen naar het gebruik van buitensporig geweld en discriminatie door </w:t>
            </w:r>
            <w:r>
              <w:rPr>
                <w:b/>
                <w:i/>
              </w:rPr>
              <w:lastRenderedPageBreak/>
              <w:t>wethandhavingsinstanties;</w:t>
            </w:r>
          </w:p>
        </w:tc>
        <w:tc>
          <w:tcPr>
            <w:tcW w:w="4876" w:type="dxa"/>
            <w:tcBorders>
              <w:top w:val="nil"/>
              <w:left w:val="nil"/>
              <w:bottom w:val="nil"/>
              <w:right w:val="nil"/>
            </w:tcBorders>
          </w:tcPr>
          <w:p w:rsidR="00F81D50" w:rsidRPr="00CF469D" w:rsidRDefault="00F81D50" w:rsidP="00F81D50">
            <w:pPr>
              <w:pStyle w:val="Normal6a"/>
            </w:pPr>
            <w:r>
              <w:lastRenderedPageBreak/>
              <w:t>31.</w:t>
            </w:r>
            <w:r>
              <w:tab/>
              <w:t>benadrukt dat vreedzame vergadering en de vrijheid van vereniging en meningsuiting door het internationaal recht beschermde grondrechten zijn, en van essentieel belang voor de democratie en de verantwoordingsplicht van regeringen;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{FR}</w:t>
      </w:r>
      <w:r w:rsidRPr="00CF469D">
        <w:t>fr</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681</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w:t>
            </w:r>
            <w:r>
              <w:rPr>
                <w:b/>
                <w:i/>
              </w:rPr>
              <w:t>veroordeelt de toenemende druk op deze rechten en stelt vast dat er een trend bestaat om ze in te perken; verzoekt de lidstaten 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682</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w:t>
            </w:r>
            <w:r>
              <w:lastRenderedPageBreak/>
              <w:t>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lastRenderedPageBreak/>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w:t>
            </w:r>
            <w:r>
              <w:rPr>
                <w:b/>
                <w:i/>
              </w:rPr>
              <w:t>, waar die bewezen is,</w:t>
            </w:r>
            <w:r>
              <w:t xml:space="preserve"> en stelt vast dat er een trend bestaat om ze in te perken; </w:t>
            </w:r>
            <w:r>
              <w:lastRenderedPageBreak/>
              <w:t xml:space="preserve">verzoekt de lidstaten gedegen onderzoek te doen naar het gebruik van buitensporig geweld en discriminatie door wethandhavingsinstanties; </w:t>
            </w:r>
            <w:r>
              <w:rPr>
                <w:b/>
                <w:i/>
              </w:rPr>
              <w:t>veroordeelt in dit verband ook de gevallen van geweld tegen rechtshandhavingsinstanties;</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683</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gedegen onderzoek te doen naar het gebruik van buitensporig geweld en discriminatie door wethandhavingsinstanties</w:t>
            </w:r>
            <w:r>
              <w:rPr>
                <w:b/>
                <w:i/>
              </w:rPr>
              <w:t>, waaronder het inzetten door het regime-Tusk van geweld en door zijn diensten geleide operaties tegen het ontevreden Poolse volk</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684</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lastRenderedPageBreak/>
              <w:t>31.</w:t>
            </w:r>
            <w:r>
              <w:tab/>
              <w:t xml:space="preserve">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w:t>
            </w:r>
            <w:r>
              <w:rPr>
                <w:b/>
                <w:i/>
              </w:rPr>
              <w:t>verzoekt de lidstaten gedegen onderzoek te doen naar het gebruik van buitensporig geweld en discriminatie door wethandhavingsinstanties;</w:t>
            </w:r>
          </w:p>
        </w:tc>
        <w:tc>
          <w:tcPr>
            <w:tcW w:w="4876" w:type="dxa"/>
            <w:tcBorders>
              <w:top w:val="nil"/>
              <w:left w:val="nil"/>
              <w:bottom w:val="nil"/>
              <w:right w:val="nil"/>
            </w:tcBorders>
          </w:tcPr>
          <w:p w:rsidR="00F81D50" w:rsidRPr="00CF469D" w:rsidRDefault="00F81D50" w:rsidP="00F81D50">
            <w:pPr>
              <w:pStyle w:val="Normal6a"/>
            </w:pPr>
            <w:r>
              <w:t>31.</w:t>
            </w:r>
            <w:r>
              <w:tab/>
              <w:t>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685</w:t>
      </w:r>
      <w:r>
        <w:rPr>
          <w:rStyle w:val="HideTWBExt"/>
        </w:rPr>
        <w:t>&lt;/NumAm&gt;</w:t>
      </w:r>
    </w:p>
    <w:p w:rsidR="00F81D50" w:rsidRPr="00CF469D" w:rsidRDefault="00F81D50" w:rsidP="00F81D50">
      <w:pPr>
        <w:pStyle w:val="NormalBold"/>
      </w:pPr>
      <w:r>
        <w:rPr>
          <w:rStyle w:val="HideTWBExt"/>
          <w:b w:val="0"/>
        </w:rPr>
        <w:t>&lt;RepeatBlock-By&gt;&lt;Members&gt;</w:t>
      </w:r>
      <w:r>
        <w:t>Jorge Buxadé Villalba,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w:t>
            </w:r>
            <w:r>
              <w:rPr>
                <w:b/>
                <w:i/>
              </w:rPr>
              <w:t>gedegen onderzoek</w:t>
            </w:r>
            <w:r>
              <w:t xml:space="preserve"> te </w:t>
            </w:r>
            <w:r>
              <w:rPr>
                <w:b/>
                <w:i/>
              </w:rPr>
              <w:t>doen naar het gebruik</w:t>
            </w:r>
            <w:r>
              <w:t xml:space="preserve"> van </w:t>
            </w:r>
            <w:r>
              <w:rPr>
                <w:b/>
                <w:i/>
              </w:rPr>
              <w:t>buitensporig geweld en discriminatie door wethandhavingsinstanties</w:t>
            </w:r>
            <w:r>
              <w:t>;</w:t>
            </w:r>
          </w:p>
        </w:tc>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veroordeelt de toenemende druk op deze rechten en stelt vast dat er een trend bestaat om ze in te perken; verzoekt de lidstaten </w:t>
            </w:r>
            <w:r>
              <w:rPr>
                <w:b/>
                <w:i/>
              </w:rPr>
              <w:t>geen gebruik</w:t>
            </w:r>
            <w:r>
              <w:t xml:space="preserve"> te </w:t>
            </w:r>
            <w:r>
              <w:rPr>
                <w:b/>
                <w:i/>
              </w:rPr>
              <w:t>maken</w:t>
            </w:r>
            <w:r>
              <w:t xml:space="preserve"> van </w:t>
            </w:r>
            <w:r>
              <w:rPr>
                <w:b/>
                <w:i/>
              </w:rPr>
              <w:t>wethandhavingsinstanties om de burgerlijke vrijheden te beperken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686</w:t>
      </w:r>
      <w:r>
        <w:rPr>
          <w:rStyle w:val="HideTWBExt"/>
        </w:rPr>
        <w:t>&lt;/NumAm&gt;</w:t>
      </w:r>
    </w:p>
    <w:p w:rsidR="00F81D50" w:rsidRPr="00CF469D" w:rsidRDefault="00F81D50" w:rsidP="00F81D50">
      <w:pPr>
        <w:pStyle w:val="NormalBold"/>
      </w:pPr>
      <w:r>
        <w:rPr>
          <w:rStyle w:val="HideTWBExt"/>
          <w:b w:val="0"/>
        </w:rPr>
        <w:t>&lt;RepeatBlock-By&gt;&lt;Members&gt;</w:t>
      </w:r>
      <w:r>
        <w:t>Javier Zarzalejos</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w:t>
            </w:r>
            <w:r>
              <w:rPr>
                <w:b/>
                <w:i/>
              </w:rPr>
              <w:t>veroordeelt de toenemende druk op deze rechten en stelt vast dat er een trend bestaat om ze in te perken;</w:t>
            </w:r>
            <w:r>
              <w:t xml:space="preserve"> </w:t>
            </w:r>
            <w:r>
              <w:rPr>
                <w:b/>
                <w:i/>
              </w:rPr>
              <w:t>verzoekt</w:t>
            </w:r>
            <w:r>
              <w:t xml:space="preserve"> de lidstaten </w:t>
            </w:r>
            <w:r>
              <w:rPr>
                <w:b/>
                <w:i/>
              </w:rPr>
              <w:t>gedegen onderzoek te doen naar het</w:t>
            </w:r>
            <w:r>
              <w:t xml:space="preserve"> gebruik van </w:t>
            </w:r>
            <w:r>
              <w:rPr>
                <w:b/>
                <w:i/>
              </w:rPr>
              <w:t>buitensporig geweld</w:t>
            </w:r>
            <w:r>
              <w:t xml:space="preserve"> en </w:t>
            </w:r>
            <w:r>
              <w:rPr>
                <w:b/>
                <w:i/>
              </w:rPr>
              <w:t>discriminatie door wethandhavingsinstanties</w:t>
            </w:r>
            <w:r>
              <w:t>;</w:t>
            </w:r>
          </w:p>
        </w:tc>
        <w:tc>
          <w:tcPr>
            <w:tcW w:w="4876" w:type="dxa"/>
            <w:tcBorders>
              <w:top w:val="nil"/>
              <w:left w:val="nil"/>
              <w:bottom w:val="nil"/>
              <w:right w:val="nil"/>
            </w:tcBorders>
          </w:tcPr>
          <w:p w:rsidR="00F81D50" w:rsidRPr="00CF469D" w:rsidRDefault="00F81D50" w:rsidP="00F81D50">
            <w:pPr>
              <w:pStyle w:val="Normal6a"/>
            </w:pPr>
            <w:r>
              <w:t>31.</w:t>
            </w:r>
            <w:r>
              <w:tab/>
              <w:t xml:space="preserve">benadrukt dat vreedzame vergadering en de vrijheid van vereniging en meningsuiting door het internationaal recht beschermde grondrechten zijn, en van essentieel belang voor de democratie en de verantwoordingsplicht van regeringen; </w:t>
            </w:r>
            <w:r>
              <w:rPr>
                <w:b/>
                <w:i/>
              </w:rPr>
              <w:t>verzoekt</w:t>
            </w:r>
            <w:r>
              <w:t xml:space="preserve"> de </w:t>
            </w:r>
            <w:r>
              <w:rPr>
                <w:b/>
                <w:i/>
              </w:rPr>
              <w:t>lidstaten een proportioneel gebruik van geweld te garanderen; uit zijn bezorgdheid over druk</w:t>
            </w:r>
            <w:r>
              <w:t xml:space="preserve"> om </w:t>
            </w:r>
            <w:r>
              <w:rPr>
                <w:b/>
                <w:i/>
              </w:rPr>
              <w:t>de mogelijkheid van</w:t>
            </w:r>
            <w:r>
              <w:t xml:space="preserve"> de lidstaten </w:t>
            </w:r>
            <w:r>
              <w:rPr>
                <w:b/>
                <w:i/>
              </w:rPr>
              <w:t>om een proportioneel</w:t>
            </w:r>
            <w:r>
              <w:t xml:space="preserve"> gebruik van </w:t>
            </w:r>
            <w:r>
              <w:rPr>
                <w:b/>
                <w:i/>
              </w:rPr>
              <w:t>geweld door wethandhavingsinstanties</w:t>
            </w:r>
            <w:r>
              <w:t xml:space="preserve"> en </w:t>
            </w:r>
            <w:r>
              <w:rPr>
                <w:b/>
                <w:i/>
              </w:rPr>
              <w:t>-agentschappen te garanderen, in te perken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687</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31 bis.</w:t>
            </w:r>
            <w:r>
              <w:tab/>
            </w:r>
            <w:r>
              <w:rPr>
                <w:b/>
                <w:i/>
              </w:rPr>
              <w:t>is uiterst bezorgd over de toestand van de vrijheid van meningsuiting op het internet; is van mening dat de digitaledienstenverordening</w:t>
            </w:r>
            <w:r>
              <w:rPr>
                <w:b/>
                <w:i/>
                <w:vertAlign w:val="superscript"/>
              </w:rPr>
              <w:t>47 bis</w:t>
            </w:r>
            <w:r>
              <w:rPr>
                <w:b/>
                <w:i/>
              </w:rPr>
              <w:t xml:space="preserve"> vaak wordt ingeroepen om afwijkende politieke meningen te censureren; verzoekt de Commissie een voorstel in te dienen om de bepalingen van de digitaledienstenverordening die de vrijheid van meningsuiting ondermijnen te wijzigen;</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vertAlign w:val="superscript"/>
              </w:rPr>
              <w:t>47 bis</w:t>
            </w:r>
            <w:r>
              <w:rPr>
                <w:b/>
                <w:i/>
              </w:rPr>
              <w:t xml:space="preserve"> Verordening (EU) 2022/2065 van het Europees Parlement en de Raad van 19 oktober 2022 betreffende een eengemaakte markt voor digitale diensten en tot wijziging van Richtlijn 2000/31/EG (digitaledienstenverordening) (PB L 277 </w:t>
            </w:r>
            <w:r>
              <w:rPr>
                <w:b/>
                <w:i/>
              </w:rPr>
              <w:lastRenderedPageBreak/>
              <w:t>van 27.10.2022, blz. 1, ELI: http://data.europa.eu/eli/reg/2022/2065/oj).</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688</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31 bis.</w:t>
            </w:r>
            <w:r>
              <w:tab/>
            </w:r>
            <w:r>
              <w:rPr>
                <w:b/>
                <w:i/>
              </w:rPr>
              <w:t>is verontrust over het feit dat de lidstaten verschillende drempels hanteren voor het gebruik van geweld en wapens door wethandhavingsautoriteiten bij het handhaven van de openbare orde; dringt erop aan bepaalde types van minder dodelijke wapens en hulpmiddelen voor het handhaven van de openbare orde, zoals traangasgranaten uit verdovingsgeweren en LBD 40-afvuurinrichtingen, te verbieden; verzoekt de lidstaten om geen wetten goed te keuren die de vrijheid van vereniging inperken;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689</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31 bis.</w:t>
            </w:r>
            <w:r>
              <w:tab/>
            </w:r>
            <w:r>
              <w:rPr>
                <w:b/>
                <w:i/>
              </w:rPr>
              <w:t xml:space="preserve">verzoekt de Commissie om met betrekking tot de recent aan het licht gekomen beschuldigingen over financiering door de Commissie van organisaties om bij het Europees </w:t>
            </w:r>
            <w:r>
              <w:rPr>
                <w:b/>
                <w:i/>
              </w:rPr>
              <w:lastRenderedPageBreak/>
              <w:t>Parlement en andere instellingen te lobbyen voor bepaalde ideologische projecten van de Commissie, waaronder de Green Deal en migratie, een onafhankelijke audit uit te voeren en de bevindingen ervan volledig openbaar te maken;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690</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31 ter.</w:t>
            </w:r>
            <w:r>
              <w:tab/>
            </w:r>
            <w:r>
              <w:rPr>
                <w:b/>
                <w:i/>
              </w:rPr>
              <w:t>uit zijn bezorgdheid over undercover-politieagenten die infiltreren in sociale en politieke bewegingen, waardoor de burgerrechten van mensenrechtenverdedigers en activisten worden beperkt, met inbegrip van schending van de vrije uitoefening van het recht op vrijheid van vreedzame vergadering en vereniging;</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691</w:t>
      </w:r>
      <w:r>
        <w:rPr>
          <w:rStyle w:val="HideTWBExt"/>
        </w:rPr>
        <w:t>&lt;/NumAm&gt;</w:t>
      </w:r>
    </w:p>
    <w:p w:rsidR="00F81D50" w:rsidRPr="00CF469D" w:rsidRDefault="00F81D50" w:rsidP="00F81D50">
      <w:pPr>
        <w:pStyle w:val="NormalBold"/>
      </w:pPr>
      <w:r>
        <w:rPr>
          <w:rStyle w:val="HideTWBExt"/>
          <w:b w:val="0"/>
        </w:rPr>
        <w:t>&lt;RepeatBlock-By&gt;&lt;Members&gt;</w:t>
      </w:r>
      <w:r>
        <w:t>Isabel Serra Sánchez</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31 quater.</w:t>
            </w:r>
            <w:r>
              <w:tab/>
            </w:r>
            <w:r>
              <w:rPr>
                <w:b/>
                <w:i/>
              </w:rPr>
              <w:t xml:space="preserve">uit zijn bezorgdheid over de toename van het aantal groepen die naar eigen zeggen optreden als veiligheidstroepen, die parapolitiële activiteiten verrichten en daar een economische activiteit van maken, waarbij zij opereren buiten het kader van de </w:t>
            </w:r>
            <w:r>
              <w:rPr>
                <w:b/>
                <w:i/>
              </w:rPr>
              <w:lastRenderedPageBreak/>
              <w:t>openbare veiligheidsinstanties, met name in de context van uitzettingen;</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692</w:t>
      </w:r>
      <w:r>
        <w:rPr>
          <w:rStyle w:val="HideTWBExt"/>
        </w:rPr>
        <w:t>&lt;/NumAm&gt;</w:t>
      </w:r>
    </w:p>
    <w:p w:rsidR="00F81D50" w:rsidRPr="00CF469D" w:rsidRDefault="00F81D50" w:rsidP="00F81D50">
      <w:pPr>
        <w:pStyle w:val="NormalBold"/>
      </w:pPr>
      <w:r>
        <w:rPr>
          <w:rStyle w:val="HideTWBExt"/>
          <w:b w:val="0"/>
        </w:rPr>
        <w:t>&lt;RepeatBlock-By&gt;&lt;Members&gt;</w:t>
      </w:r>
      <w:r>
        <w:t>Isabel Serra Sánchez, Ilaria Salis, Mimmo Lucano</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31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31 quinquies.</w:t>
            </w:r>
            <w:r>
              <w:tab/>
            </w:r>
            <w:r>
              <w:rPr>
                <w:b/>
                <w:i/>
              </w:rPr>
              <w:t>spreekt zijn diepe bezorgdheid uit over het recente voorstel van de Italiaanse regering voor een nieuwe wet inzake openbare veiligheid, waarmee maatregelen worden ingevoerd die de grondrechten schenden, met name het recht op protest, de vrijheid van meningsuiting, het recht op huisvesting en procedurele waarborgen; waarschuwt voor de risico’s van autoritaire inmenging die deze wet met zich meebrengt, door middel van maatregelen zoals de strafbaarstelling van protestacties, bijvoorbeeld wegblokkades, de invoering van het misdrijf van opstand in de gevangenissen en in detentiecentra voor repatriëring, de mogelijkheid om de straf uit te stellen voor zwangere vrouwen of vrouwen met kinderen en de verplichting voor universiteiten en alle overheidsdiensten om bijstand te verlenen aan de inlichtingendiensten; benadrukt het feit dat deze bepalingen zijn bekritiseerd door de commissaris voor de mensenrechten van de Raad van Europa;</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693</w:t>
      </w:r>
      <w:r>
        <w:rPr>
          <w:rStyle w:val="HideTWBExt"/>
        </w:rPr>
        <w:t>&lt;/NumAm&gt;</w:t>
      </w:r>
    </w:p>
    <w:p w:rsidR="00F81D50" w:rsidRPr="00CF469D" w:rsidRDefault="00F81D50" w:rsidP="00F81D50">
      <w:pPr>
        <w:pStyle w:val="NormalBold"/>
      </w:pPr>
      <w:r>
        <w:rPr>
          <w:rStyle w:val="HideTWBExt"/>
          <w:b w:val="0"/>
        </w:rPr>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32.</w:t>
            </w:r>
            <w:r>
              <w:tab/>
            </w:r>
            <w:r>
              <w:rPr>
                <w:b/>
                <w:i/>
              </w:rPr>
              <w:t>is van oordeel dat de Commissie en de lidstaten zich moeten beijveren voor het verbeteren van de mechanismen voor de financiering van organisaties van het maatschappelijk middenveld en van initiatieven ter versterking van de rechterlijke macht en ter waarborging van zijn onafhankelijkheid; beveelt de 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694</w:t>
      </w:r>
      <w:r>
        <w:rPr>
          <w:rStyle w:val="HideTWBExt"/>
        </w:rPr>
        <w:t>&lt;/NumAm&gt;</w:t>
      </w:r>
    </w:p>
    <w:p w:rsidR="00F81D50" w:rsidRPr="00CF469D" w:rsidRDefault="00F81D50" w:rsidP="00F81D50">
      <w:pPr>
        <w:pStyle w:val="NormalBold"/>
      </w:pPr>
      <w:r>
        <w:rPr>
          <w:rStyle w:val="HideTWBExt"/>
          <w:b w:val="0"/>
        </w:rPr>
        <w:t>&lt;RepeatBlock-By&gt;&lt;Members&gt;</w:t>
      </w:r>
      <w:r>
        <w:t>Jorge Buxadé Villalba, Marieke Ehlers, Malika Sorel, Fabrice Leggeri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32.</w:t>
            </w:r>
            <w:r>
              <w:tab/>
            </w:r>
            <w:r>
              <w:rPr>
                <w:b/>
                <w:i/>
              </w:rPr>
              <w:t>is van oordeel dat de Commissie en de lidstaten zich moeten beijveren voor het verbeteren van de mechanismen voor de financiering van organisaties van het maatschappelijk middenveld en van initiatieven ter versterking van de rechterlijke macht en ter waarborging van zijn onafhankelijkheid; beveelt de 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695</w:t>
      </w:r>
      <w:r>
        <w:rPr>
          <w:rStyle w:val="HideTWBExt"/>
        </w:rPr>
        <w:t>&lt;/NumAm&gt;</w:t>
      </w:r>
    </w:p>
    <w:p w:rsidR="00F81D50" w:rsidRPr="00CF469D" w:rsidRDefault="00F81D50" w:rsidP="00F81D50">
      <w:pPr>
        <w:pStyle w:val="NormalBold"/>
      </w:pPr>
      <w:r>
        <w:rPr>
          <w:rStyle w:val="HideTWBExt"/>
          <w:b w:val="0"/>
        </w:rPr>
        <w:t>&lt;RepeatBlock-By&gt;&lt;Members&gt;</w:t>
      </w:r>
      <w:r>
        <w:t xml:space="preserve">Raquel García Hermida-Van Der Walle, Fabienne Keller, </w:t>
      </w:r>
      <w:r>
        <w:lastRenderedPageBreak/>
        <w:t>Sophie Wilmès, Moritz Körner, Abir Al-Sahlani, Sigrid Friis, Lucia Yar</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32.</w:t>
            </w:r>
            <w:r>
              <w:tab/>
              <w:t>is van oordeel dat de Commissie en de lidstaten zich moeten beijveren voor het verbeteren van de mechanismen voor de financiering van organisaties van het maatschappelijk middenveld en van initiatieven ter versterking van de rechterlijke macht en ter waarborging van zijn onafhankelijkheid; beveelt de 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t>32.</w:t>
            </w:r>
            <w:r>
              <w:tab/>
              <w:t>is van oordeel dat de Commissie en de lidstaten zich moeten beijveren voor het verbeteren van de mechanismen voor de financiering van organisaties van het maatschappelijk middenveld en van initiatieven ter versterking van de rechterlijke macht en ter waarborging van zijn onafhankelijkheid; beveelt de Commissie aan een strategie uit te werken voor het beschermen van het maatschappelijk middenveld en mensenrechtenverdedigers</w:t>
            </w:r>
            <w:r>
              <w:rPr>
                <w:b/>
                <w:i/>
              </w:rPr>
              <w:t>, met inbegrip van een mechanisme voor snelle respons ter ondersteuning van bedreigde maatschappelijke organisaties en mensenrechtenverdedigers in de Unie, op basis van het model van het door de EU gefinancierde mechanisme ProtectDefenders.eu, dat momenteel alleen werkt voor personen buiten de EU</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696</w:t>
      </w:r>
      <w:r>
        <w:rPr>
          <w:rStyle w:val="HideTWBExt"/>
        </w:rPr>
        <w:t>&lt;/NumAm&gt;</w:t>
      </w:r>
    </w:p>
    <w:p w:rsidR="00F81D50" w:rsidRPr="00CF469D" w:rsidRDefault="00F81D50" w:rsidP="00F81D50">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32.</w:t>
            </w:r>
            <w:r>
              <w:tab/>
              <w:t xml:space="preserve">is van oordeel dat de Commissie en de lidstaten zich moeten beijveren voor het verbeteren van de mechanismen voor de financiering van organisaties van het maatschappelijk middenveld en van initiatieven ter versterking van de rechterlijke macht en ter waarborging van zijn onafhankelijkheid; beveelt de </w:t>
            </w:r>
            <w:r>
              <w:lastRenderedPageBreak/>
              <w:t>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lastRenderedPageBreak/>
              <w:t>32.</w:t>
            </w:r>
            <w:r>
              <w:tab/>
              <w:t>is van oordeel dat de Commissie en de lidstaten zich moeten beijveren voor het verbeteren van de mechanismen voor de financiering van organisaties van het maatschappelijk middenveld</w:t>
            </w:r>
            <w:r>
              <w:rPr>
                <w:b/>
                <w:i/>
              </w:rPr>
              <w:t>, inclusief transparantie</w:t>
            </w:r>
            <w:r>
              <w:t xml:space="preserve"> en</w:t>
            </w:r>
            <w:r>
              <w:rPr>
                <w:b/>
                <w:i/>
              </w:rPr>
              <w:t xml:space="preserve"> het verstrekken</w:t>
            </w:r>
            <w:r>
              <w:t xml:space="preserve"> van </w:t>
            </w:r>
            <w:r>
              <w:rPr>
                <w:b/>
                <w:i/>
              </w:rPr>
              <w:t xml:space="preserve">gerichte steun op basis van verdienste; benadrukt dat veel van de </w:t>
            </w:r>
            <w:r>
              <w:t>initiatieven</w:t>
            </w:r>
            <w:r>
              <w:rPr>
                <w:b/>
                <w:i/>
              </w:rPr>
              <w:t xml:space="preserve"> die </w:t>
            </w:r>
            <w:r>
              <w:rPr>
                <w:b/>
                <w:i/>
              </w:rPr>
              <w:lastRenderedPageBreak/>
              <w:t>in theorie bedoeld zijn</w:t>
            </w:r>
            <w:r>
              <w:t xml:space="preserve"> ter versterking van de rechterlijke macht en ter waarborging van zijn onafhankelijkheid</w:t>
            </w:r>
            <w:r>
              <w:rPr>
                <w:b/>
                <w:i/>
              </w:rPr>
              <w:t>, in werkelijkheid de structurele problemen nog verergeren en de rechterlijke macht verder politiseren</w:t>
            </w:r>
            <w:r>
              <w:t>; beveelt de Commissie aan een strategie uit te werken voor het beschermen van het maatschappelijk middenveld en mensenrechtenverdedigers;</w:t>
            </w:r>
          </w:p>
        </w:tc>
      </w:tr>
    </w:tbl>
    <w:p w:rsidR="00F81D50" w:rsidRPr="00CF469D" w:rsidRDefault="00F81D50" w:rsidP="00F81D50">
      <w:pPr>
        <w:pStyle w:val="AmOrLang"/>
      </w:pPr>
      <w:r w:rsidRPr="00CF469D">
        <w:lastRenderedPageBreak/>
        <w:t xml:space="preserve">Or. </w:t>
      </w:r>
      <w:r w:rsidRPr="00CF469D">
        <w:rPr>
          <w:rStyle w:val="HideTWBExt"/>
        </w:rPr>
        <w:t>&lt;Original&gt;</w:t>
      </w:r>
      <w:r w:rsidRPr="00CF469D">
        <w:rPr>
          <w:rStyle w:val="HideTWBInt"/>
        </w:rPr>
        <w:t>{PL}</w:t>
      </w:r>
      <w:r w:rsidRPr="00CF469D">
        <w:t>pl</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697</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32.</w:t>
            </w:r>
            <w:r>
              <w:tab/>
            </w:r>
            <w:r>
              <w:rPr>
                <w:b/>
                <w:i/>
              </w:rPr>
              <w:t>is van oordeel dat de Commissie en</w:t>
            </w:r>
            <w:r>
              <w:t xml:space="preserve"> de </w:t>
            </w:r>
            <w:r>
              <w:rPr>
                <w:b/>
                <w:i/>
              </w:rPr>
              <w:t>lidstaten zich moeten beijveren</w:t>
            </w:r>
            <w:r>
              <w:t xml:space="preserve"> voor </w:t>
            </w:r>
            <w:r>
              <w:rPr>
                <w:b/>
                <w:i/>
              </w:rPr>
              <w:t>het verbeteren</w:t>
            </w:r>
            <w:r>
              <w:t xml:space="preserve"> van de </w:t>
            </w:r>
            <w:r>
              <w:rPr>
                <w:b/>
                <w:i/>
              </w:rPr>
              <w:t>mechanismen voor de financiering van organisaties van het maatschappelijk middenveld en van initiatieven ter versterking van de rechterlijke macht</w:t>
            </w:r>
            <w:r>
              <w:t xml:space="preserve"> en </w:t>
            </w:r>
            <w:r>
              <w:rPr>
                <w:b/>
                <w:i/>
              </w:rPr>
              <w:t>ter waarborging</w:t>
            </w:r>
            <w:r>
              <w:t xml:space="preserve"> van </w:t>
            </w:r>
            <w:r>
              <w:rPr>
                <w:b/>
                <w:i/>
              </w:rPr>
              <w:t>zijn onafhankelijkheid; beveelt de Commissie aan een strategie uit te werken voor</w:t>
            </w:r>
            <w:r>
              <w:t xml:space="preserve"> het </w:t>
            </w:r>
            <w:r>
              <w:rPr>
                <w:b/>
                <w:i/>
              </w:rPr>
              <w:t>beschermen</w:t>
            </w:r>
            <w:r>
              <w:t xml:space="preserve"> van </w:t>
            </w:r>
            <w:r>
              <w:rPr>
                <w:b/>
                <w:i/>
              </w:rPr>
              <w:t>het maatschappelijk middenveld en mensenrechtenverdedigers</w:t>
            </w:r>
            <w:r>
              <w:t>;</w:t>
            </w:r>
          </w:p>
        </w:tc>
        <w:tc>
          <w:tcPr>
            <w:tcW w:w="4876" w:type="dxa"/>
            <w:tcBorders>
              <w:top w:val="nil"/>
              <w:left w:val="nil"/>
              <w:bottom w:val="nil"/>
              <w:right w:val="nil"/>
            </w:tcBorders>
          </w:tcPr>
          <w:p w:rsidR="00F81D50" w:rsidRPr="00CF469D" w:rsidRDefault="00F81D50" w:rsidP="00F81D50">
            <w:pPr>
              <w:pStyle w:val="Normal6a"/>
            </w:pPr>
            <w:r>
              <w:t>32.</w:t>
            </w:r>
            <w:r>
              <w:tab/>
            </w:r>
            <w:r>
              <w:rPr>
                <w:b/>
                <w:i/>
              </w:rPr>
              <w:t>verzoekt de Commissie grondig onderzoek te doen naar</w:t>
            </w:r>
            <w:r>
              <w:t xml:space="preserve"> de </w:t>
            </w:r>
            <w:r>
              <w:rPr>
                <w:b/>
                <w:i/>
              </w:rPr>
              <w:t>inmenging van het Amerikaanse Agentschap</w:t>
            </w:r>
            <w:r>
              <w:t xml:space="preserve"> voor </w:t>
            </w:r>
            <w:r>
              <w:rPr>
                <w:b/>
                <w:i/>
              </w:rPr>
              <w:t>internationale ontwikkeling (USAID) in de interne aangelegenheden</w:t>
            </w:r>
            <w:r>
              <w:t xml:space="preserve"> van de </w:t>
            </w:r>
            <w:r>
              <w:rPr>
                <w:b/>
                <w:i/>
              </w:rPr>
              <w:t>lidstaten, bijvoorbeeld door steun te verlenen aan ngo’s of geselecteerde media; verzoekt de Commissie maatregelen te nemen om te voorkomen dat instanties</w:t>
            </w:r>
            <w:r>
              <w:t xml:space="preserve"> en </w:t>
            </w:r>
            <w:r>
              <w:rPr>
                <w:b/>
                <w:i/>
              </w:rPr>
              <w:t>agentschappen</w:t>
            </w:r>
            <w:r>
              <w:t xml:space="preserve"> van </w:t>
            </w:r>
            <w:r>
              <w:rPr>
                <w:b/>
                <w:i/>
              </w:rPr>
              <w:t>vreemde landen op enigerlei wijze invloed uitoefenen op acties in de lidstaten met als doel</w:t>
            </w:r>
            <w:r>
              <w:t xml:space="preserve"> het </w:t>
            </w:r>
            <w:r>
              <w:rPr>
                <w:b/>
                <w:i/>
              </w:rPr>
              <w:t>manipuleren</w:t>
            </w:r>
            <w:r>
              <w:t xml:space="preserve"> van </w:t>
            </w:r>
            <w:r>
              <w:rPr>
                <w:b/>
                <w:i/>
              </w:rPr>
              <w:t>de publieke opinie onder de burgers</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698</w:t>
      </w:r>
      <w:r>
        <w:rPr>
          <w:rStyle w:val="HideTWBExt"/>
        </w:rPr>
        <w:t>&lt;/NumAm&gt;</w:t>
      </w:r>
    </w:p>
    <w:p w:rsidR="00F81D50" w:rsidRPr="00CF469D" w:rsidRDefault="00F81D50" w:rsidP="00F81D50">
      <w:pPr>
        <w:pStyle w:val="NormalBold"/>
      </w:pPr>
      <w:r>
        <w:rPr>
          <w:rStyle w:val="HideTWBExt"/>
          <w:b w:val="0"/>
        </w:rPr>
        <w:t>&lt;RepeatBlock-By&gt;&lt;Members&gt;</w:t>
      </w:r>
      <w:r>
        <w:t>Sebastian Tynkkynen</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lastRenderedPageBreak/>
              <w:t>32.</w:t>
            </w:r>
            <w:r>
              <w:tab/>
            </w:r>
            <w:r>
              <w:rPr>
                <w:b/>
                <w:i/>
              </w:rPr>
              <w:t>is van oordeel dat de Commissie en</w:t>
            </w:r>
            <w:r>
              <w:t xml:space="preserve"> de lidstaten </w:t>
            </w:r>
            <w:r>
              <w:rPr>
                <w:b/>
                <w:i/>
              </w:rPr>
              <w:t>zich moeten beijveren voor het verbeteren</w:t>
            </w:r>
            <w:r>
              <w:t xml:space="preserve"> van de mechanismen voor de financiering van organisaties van het maatschappelijk middenveld en van initiatieven ter versterking van de rechterlijke macht en ter waarborging van zijn onafhankelijkheid; </w:t>
            </w:r>
            <w:r>
              <w:rPr>
                <w:b/>
                <w:i/>
              </w:rPr>
              <w:t>beveelt de 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t>32.</w:t>
            </w:r>
            <w:r>
              <w:tab/>
            </w:r>
            <w:r>
              <w:rPr>
                <w:b/>
                <w:i/>
              </w:rPr>
              <w:t>roept</w:t>
            </w:r>
            <w:r>
              <w:t xml:space="preserve"> de lidstaten </w:t>
            </w:r>
            <w:r>
              <w:rPr>
                <w:b/>
                <w:i/>
              </w:rPr>
              <w:t>op tot verbetering</w:t>
            </w:r>
            <w:r>
              <w:t xml:space="preserve"> van de mechanismen voor de financiering van organisaties van het maatschappelijk middenveld en van initiatieven ter versterking van de rechterlijke macht en ter waarborging van zijn onafhankelijkheid;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{FI}</w:t>
      </w:r>
      <w:r w:rsidRPr="00CF469D">
        <w:t>fi</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699</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32.</w:t>
            </w:r>
            <w:r>
              <w:tab/>
              <w:t xml:space="preserve">is van oordeel dat de Commissie en de lidstaten zich moeten beijveren voor het verbeteren van </w:t>
            </w:r>
            <w:r>
              <w:rPr>
                <w:b/>
                <w:i/>
              </w:rPr>
              <w:t xml:space="preserve">de mechanismen voor de financiering van organisaties van het maatschappelijk middenveld en van </w:t>
            </w:r>
            <w:r>
              <w:t>initiatieven ter versterking van de rechterlijke macht en ter waarborging van zijn onafhankelijkheid; beveelt de 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t>32.</w:t>
            </w:r>
            <w:r>
              <w:tab/>
              <w:t>is van oordeel dat de Commissie en de lidstaten zich moeten beijveren voor het verbeteren van initiatieven ter versterking van de rechterlijke macht en ter waarborging van zijn onafhankelijkheid; beveelt de Commissie aan een strategie uit te werken voor het beschermen van het maatschappelijk middenveld en mensenrechtenverdedigers;</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700</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32.</w:t>
            </w:r>
            <w:r>
              <w:tab/>
              <w:t xml:space="preserve">is van oordeel dat de Commissie en de lidstaten zich moeten beijveren voor het verbeteren van de mechanismen voor de financiering van organisaties van het maatschappelijk middenveld en van initiatieven ter versterking van de rechterlijke macht en ter waarborging van zijn onafhankelijkheid; </w:t>
            </w:r>
            <w:r>
              <w:rPr>
                <w:b/>
                <w:i/>
              </w:rPr>
              <w:t>beveelt de Commissie aan een strategie uit te werken voor het beschermen van het maatschappelijk middenveld en mensenrechtenverdedigers;</w:t>
            </w:r>
          </w:p>
        </w:tc>
        <w:tc>
          <w:tcPr>
            <w:tcW w:w="4876" w:type="dxa"/>
            <w:tcBorders>
              <w:top w:val="nil"/>
              <w:left w:val="nil"/>
              <w:bottom w:val="nil"/>
              <w:right w:val="nil"/>
            </w:tcBorders>
          </w:tcPr>
          <w:p w:rsidR="00F81D50" w:rsidRPr="00CF469D" w:rsidRDefault="00F81D50" w:rsidP="00F81D50">
            <w:pPr>
              <w:pStyle w:val="Normal6a"/>
            </w:pPr>
            <w:r>
              <w:t>32.</w:t>
            </w:r>
            <w:r>
              <w:tab/>
              <w:t xml:space="preserve">is van oordeel dat de Commissie en de lidstaten zich moeten beijveren voor het verbeteren van de </w:t>
            </w:r>
            <w:r>
              <w:rPr>
                <w:b/>
                <w:i/>
              </w:rPr>
              <w:t xml:space="preserve">transparantie van de </w:t>
            </w:r>
            <w:r>
              <w:t>mechanismen voor de financiering van organisaties van het maatschappelijk middenveld en van initiatieven ter versterking van de rechterlijke macht en ter waarborging van zijn onafhankelijkheid;</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701</w:t>
      </w:r>
      <w:r>
        <w:rPr>
          <w:rStyle w:val="HideTWBExt"/>
        </w:rPr>
        <w:t>&lt;/NumAm&gt;</w:t>
      </w:r>
    </w:p>
    <w:p w:rsidR="00F81D50" w:rsidRPr="00CF469D" w:rsidRDefault="00F81D50" w:rsidP="00F81D50">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Isabel Serra Sánchez, Michał Wawrykiewicz, Cecilia Strada</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p>
        </w:tc>
        <w:tc>
          <w:tcPr>
            <w:tcW w:w="4876" w:type="dxa"/>
            <w:tcBorders>
              <w:top w:val="nil"/>
              <w:left w:val="nil"/>
              <w:bottom w:val="nil"/>
              <w:right w:val="nil"/>
            </w:tcBorders>
          </w:tcPr>
          <w:p w:rsidR="00F81D50" w:rsidRPr="00CF469D" w:rsidRDefault="00F81D50" w:rsidP="00F81D50">
            <w:pPr>
              <w:pStyle w:val="Normal6a"/>
            </w:pPr>
            <w:r>
              <w:rPr>
                <w:b/>
                <w:i/>
              </w:rPr>
              <w:t>32 bis.</w:t>
            </w:r>
            <w:r>
              <w:tab/>
            </w:r>
            <w:r>
              <w:rPr>
                <w:b/>
                <w:i/>
              </w:rPr>
              <w:t>moedigt de lidstaten aan alomvattende programma’s voor burgerschapsvorming te ontwikkelen en uit te voeren die het begrip van democratische instellingen, de rechtsstaat en de grondrechten onder burgers van alle leeftijden bevorderen;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702</w:t>
      </w:r>
      <w:r>
        <w:rPr>
          <w:rStyle w:val="HideTWBExt"/>
        </w:rPr>
        <w:t>&lt;/NumAm&gt;</w:t>
      </w:r>
    </w:p>
    <w:p w:rsidR="00F81D50" w:rsidRPr="00CF469D" w:rsidRDefault="00F81D50" w:rsidP="00F81D50">
      <w:pPr>
        <w:pStyle w:val="NormalBold"/>
      </w:pPr>
      <w:r>
        <w:rPr>
          <w:rStyle w:val="HideTWBExt"/>
          <w:b w:val="0"/>
        </w:rPr>
        <w:t>&lt;RepeatBlock-By&gt;&lt;Members&gt;</w:t>
      </w:r>
      <w:r>
        <w:t>Alessandro Ciriani, Paolo Inselvini</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lastRenderedPageBreak/>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33.</w:t>
            </w:r>
            <w:r>
              <w:tab/>
            </w:r>
            <w:r>
              <w:rPr>
                <w:b/>
                <w:i/>
              </w:rPr>
              <w:t>verzoekt de Commissie met klem aan het jaarlijkse verslag over de rechtsstaat een nieuwe pijler toe te voegen over de bestrijding van alle vormen van discriminatie;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{IT}</w:t>
      </w:r>
      <w:r w:rsidRPr="00CF469D">
        <w:t>it</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703</w:t>
      </w:r>
      <w:r>
        <w:rPr>
          <w:rStyle w:val="HideTWBExt"/>
        </w:rPr>
        <w:t>&lt;/NumAm&gt;</w:t>
      </w:r>
    </w:p>
    <w:p w:rsidR="00F81D50" w:rsidRPr="00CF469D" w:rsidRDefault="00F81D50" w:rsidP="00F81D50">
      <w:pPr>
        <w:pStyle w:val="NormalBold"/>
      </w:pPr>
      <w:r>
        <w:rPr>
          <w:rStyle w:val="HideTWBExt"/>
          <w:b w:val="0"/>
        </w:rPr>
        <w:t>&lt;RepeatBlock-By&gt;&lt;Members&gt;</w:t>
      </w:r>
      <w:r>
        <w:t>Erik Kaliňák</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33.</w:t>
            </w:r>
            <w:r>
              <w:tab/>
            </w:r>
            <w:r>
              <w:rPr>
                <w:b/>
                <w:i/>
              </w:rPr>
              <w:t>verzoekt de Commissie met klem aan het jaarlijkse verslag over de rechtsstaat een nieuwe pijler toe te voegen over de bestrijding van alle vormen van discriminatie;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{SK}</w:t>
      </w:r>
      <w:r w:rsidRPr="00CF469D">
        <w:t>sk</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704</w:t>
      </w:r>
      <w:r>
        <w:rPr>
          <w:rStyle w:val="HideTWBExt"/>
        </w:rPr>
        <w:t>&lt;/NumAm&gt;</w:t>
      </w:r>
    </w:p>
    <w:p w:rsidR="00F81D50" w:rsidRPr="00CF469D" w:rsidRDefault="00F81D50" w:rsidP="00F81D50">
      <w:pPr>
        <w:pStyle w:val="NormalBold"/>
      </w:pPr>
      <w:r>
        <w:rPr>
          <w:rStyle w:val="HideTWBExt"/>
          <w:b w:val="0"/>
        </w:rPr>
        <w:t>&lt;RepeatBlock-By&gt;&lt;Members&gt;</w:t>
      </w:r>
      <w:r>
        <w:t>Romana Tomc</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33.</w:t>
            </w:r>
            <w:r>
              <w:tab/>
            </w:r>
            <w:r>
              <w:rPr>
                <w:b/>
                <w:i/>
              </w:rPr>
              <w:t>verzoekt de Commissie met klem aan het jaarlijkse verslag over de rechtsstaat een nieuwe pijler toe te voegen over de bestrijding van alle vormen van discriminatie;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705</w:t>
      </w:r>
      <w:r>
        <w:rPr>
          <w:rStyle w:val="HideTWBExt"/>
        </w:rPr>
        <w:t>&lt;/NumAm&gt;</w:t>
      </w:r>
    </w:p>
    <w:p w:rsidR="00F81D50" w:rsidRPr="00CF469D" w:rsidRDefault="00F81D50" w:rsidP="00F81D50">
      <w:pPr>
        <w:pStyle w:val="NormalBold"/>
      </w:pPr>
      <w:r>
        <w:rPr>
          <w:rStyle w:val="HideTWBExt"/>
          <w:b w:val="0"/>
        </w:rPr>
        <w:lastRenderedPageBreak/>
        <w:t>&lt;RepeatBlock-By&gt;&lt;Members&gt;</w:t>
      </w:r>
      <w:r>
        <w:t>András László</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rPr>
                <w:b/>
                <w:i/>
              </w:rPr>
              <w:t>33.</w:t>
            </w:r>
            <w:r>
              <w:tab/>
            </w:r>
            <w:r>
              <w:rPr>
                <w:b/>
                <w:i/>
              </w:rPr>
              <w:t>verzoekt de Commissie met klem aan het jaarlijkse verslag over de rechtsstaat een nieuwe pijler toe te voegen over de bestrijding van alle vormen van discriminatie;</w:t>
            </w:r>
          </w:p>
        </w:tc>
        <w:tc>
          <w:tcPr>
            <w:tcW w:w="4876" w:type="dxa"/>
            <w:tcBorders>
              <w:top w:val="nil"/>
              <w:left w:val="nil"/>
              <w:bottom w:val="nil"/>
              <w:right w:val="nil"/>
            </w:tcBorders>
          </w:tcPr>
          <w:p w:rsidR="00F81D50" w:rsidRPr="00CF469D" w:rsidRDefault="00F81D50" w:rsidP="00F81D50">
            <w:pPr>
              <w:pStyle w:val="Normal6a"/>
            </w:pPr>
            <w:r>
              <w:rPr>
                <w:b/>
                <w:i/>
              </w:rPr>
              <w:t>Schrappen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706</w:t>
      </w:r>
      <w:r>
        <w:rPr>
          <w:rStyle w:val="HideTWBExt"/>
        </w:rPr>
        <w:t>&lt;/NumAm&gt;</w:t>
      </w:r>
    </w:p>
    <w:p w:rsidR="00F81D50" w:rsidRPr="00CF469D" w:rsidRDefault="00F81D50" w:rsidP="00F81D50">
      <w:pPr>
        <w:pStyle w:val="NormalBold"/>
      </w:pPr>
      <w:r>
        <w:rPr>
          <w:rStyle w:val="HideTWBExt"/>
          <w:b w:val="0"/>
        </w:rPr>
        <w:t>&lt;RepeatBlock-By&gt;&lt;Members&gt;</w:t>
      </w:r>
      <w:r>
        <w:t>Krzysztof Śmiszek, Matjaž Nemec, Robert Biedroń, Katarina Barley, Cecilia Strada, Klára Dobrev, Csaba Molnár, Emma Rafowicz, Alessandro Zan, Birgit Sippel</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t>&lt;Article&gt;</w:t>
      </w:r>
      <w:r>
        <w:t>Paragraaf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33.</w:t>
            </w:r>
            <w:r>
              <w:tab/>
              <w:t>verzoekt de Commissie met klem aan het jaarlijkse verslag over de rechtsstaat een nieuwe pijler toe te voegen over de bestrijding van alle vormen van discriminatie;</w:t>
            </w:r>
          </w:p>
        </w:tc>
        <w:tc>
          <w:tcPr>
            <w:tcW w:w="4876" w:type="dxa"/>
            <w:tcBorders>
              <w:top w:val="nil"/>
              <w:left w:val="nil"/>
              <w:bottom w:val="nil"/>
              <w:right w:val="nil"/>
            </w:tcBorders>
          </w:tcPr>
          <w:p w:rsidR="00F81D50" w:rsidRPr="00CF469D" w:rsidRDefault="00F81D50" w:rsidP="00F81D50">
            <w:pPr>
              <w:pStyle w:val="Normal6a"/>
            </w:pPr>
            <w:r>
              <w:t>33.</w:t>
            </w:r>
            <w:r>
              <w:tab/>
              <w:t xml:space="preserve">verzoekt de Commissie met klem aan het jaarlijkse verslag over de rechtsstaat een nieuwe pijler toe te voegen over de bestrijding van alle vormen van discriminatie; </w:t>
            </w:r>
            <w:r>
              <w:rPr>
                <w:b/>
                <w:i/>
              </w:rPr>
              <w:t>dringt er bij de lidstaten op aan de onafhankelijkheid en middelen van de nationale mensenrechteninstellingen en organen voor gelijke kansen te versterken en ervoor te zorgen dat deze in staat zijn schendingen van de mensenrechten en discriminatie doeltreffend te monitoren en aan te pakken;</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Pr="00CF469D" w:rsidRDefault="00F81D50" w:rsidP="00F81D50">
      <w:r>
        <w:rPr>
          <w:rStyle w:val="HideTWBExt"/>
        </w:rPr>
        <w:t>&lt;/Amend&gt;</w:t>
      </w:r>
    </w:p>
    <w:p w:rsidR="00F81D50" w:rsidRPr="00CF469D" w:rsidRDefault="00F81D50" w:rsidP="00F81D50">
      <w:pPr>
        <w:pStyle w:val="AmNumberTabs"/>
      </w:pPr>
      <w:r>
        <w:rPr>
          <w:rStyle w:val="HideTWBExt"/>
        </w:rPr>
        <w:t>&lt;Amend&gt;</w:t>
      </w:r>
      <w:r>
        <w:t>Amendement</w:t>
      </w:r>
      <w:r>
        <w:tab/>
      </w:r>
      <w:r>
        <w:tab/>
      </w:r>
      <w:r>
        <w:rPr>
          <w:rStyle w:val="HideTWBExt"/>
        </w:rPr>
        <w:t>&lt;NumAm&gt;</w:t>
      </w:r>
      <w:r>
        <w:t>707</w:t>
      </w:r>
      <w:r>
        <w:rPr>
          <w:rStyle w:val="HideTWBExt"/>
        </w:rPr>
        <w:t>&lt;/NumAm&gt;</w:t>
      </w:r>
    </w:p>
    <w:p w:rsidR="00F81D50" w:rsidRPr="00CF469D" w:rsidRDefault="00F81D50" w:rsidP="00F81D50">
      <w:pPr>
        <w:pStyle w:val="NormalBold"/>
      </w:pPr>
      <w:r>
        <w:rPr>
          <w:rStyle w:val="HideTWBExt"/>
          <w:b w:val="0"/>
        </w:rPr>
        <w:t>&lt;RepeatBlock-By&gt;&lt;Members&gt;</w:t>
      </w:r>
      <w:r>
        <w:t>Daniel Freund</w:t>
      </w:r>
      <w:r>
        <w:rPr>
          <w:rStyle w:val="HideTWBExt"/>
          <w:b w:val="0"/>
        </w:rPr>
        <w:t>&lt;/Members&gt;</w:t>
      </w:r>
    </w:p>
    <w:p w:rsidR="00F81D50" w:rsidRPr="00CF469D" w:rsidRDefault="00F81D50" w:rsidP="00F81D50">
      <w:pPr>
        <w:pStyle w:val="NormalBold"/>
      </w:pPr>
      <w:r>
        <w:rPr>
          <w:rStyle w:val="HideTWBExt"/>
          <w:b w:val="0"/>
        </w:rPr>
        <w:t>&lt;/RepeatBlock-By&gt;</w:t>
      </w:r>
    </w:p>
    <w:p w:rsidR="00F81D50" w:rsidRPr="00CF469D" w:rsidRDefault="00F81D50" w:rsidP="00F81D50">
      <w:pPr>
        <w:pStyle w:val="NormalBold"/>
      </w:pPr>
      <w:r>
        <w:rPr>
          <w:rStyle w:val="HideTWBExt"/>
        </w:rPr>
        <w:t>&lt;DocAmend&gt;</w:t>
      </w:r>
      <w:r>
        <w:t>Ontwerpresolutie</w:t>
      </w:r>
      <w:r>
        <w:rPr>
          <w:rStyle w:val="HideTWBExt"/>
        </w:rPr>
        <w:t>&lt;/DocAmend&gt;</w:t>
      </w:r>
    </w:p>
    <w:p w:rsidR="00F81D50" w:rsidRPr="00CF469D" w:rsidRDefault="00F81D50" w:rsidP="00F81D50">
      <w:pPr>
        <w:pStyle w:val="NormalBold"/>
      </w:pPr>
      <w:r>
        <w:rPr>
          <w:rStyle w:val="HideTWBExt"/>
        </w:rPr>
        <w:lastRenderedPageBreak/>
        <w:t>&lt;Article&gt;</w:t>
      </w:r>
      <w:r>
        <w:t>Paragraaf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1D50" w:rsidTr="00F81D50">
        <w:trPr>
          <w:trHeight w:hRule="exact" w:val="240"/>
          <w:jc w:val="center"/>
        </w:trPr>
        <w:tc>
          <w:tcPr>
            <w:tcW w:w="9752" w:type="dxa"/>
            <w:gridSpan w:val="2"/>
            <w:tcBorders>
              <w:top w:val="nil"/>
              <w:left w:val="nil"/>
              <w:bottom w:val="nil"/>
              <w:right w:val="nil"/>
            </w:tcBorders>
          </w:tcPr>
          <w:p w:rsidR="00F81D50" w:rsidRPr="00CF469D" w:rsidRDefault="00F81D50" w:rsidP="00F81D50"/>
        </w:tc>
      </w:tr>
      <w:tr w:rsidR="00F81D50" w:rsidTr="00F81D50">
        <w:trPr>
          <w:trHeight w:val="240"/>
          <w:jc w:val="center"/>
        </w:trPr>
        <w:tc>
          <w:tcPr>
            <w:tcW w:w="4876" w:type="dxa"/>
            <w:tcBorders>
              <w:top w:val="nil"/>
              <w:left w:val="nil"/>
              <w:bottom w:val="nil"/>
              <w:right w:val="nil"/>
            </w:tcBorders>
          </w:tcPr>
          <w:p w:rsidR="00F81D50" w:rsidRPr="00CF469D" w:rsidRDefault="00F81D50" w:rsidP="00F81D50">
            <w:pPr>
              <w:pStyle w:val="AmColumnHeading"/>
            </w:pPr>
            <w:r>
              <w:t>Ontwerpresolutie</w:t>
            </w:r>
          </w:p>
        </w:tc>
        <w:tc>
          <w:tcPr>
            <w:tcW w:w="4876" w:type="dxa"/>
            <w:tcBorders>
              <w:top w:val="nil"/>
              <w:left w:val="nil"/>
              <w:bottom w:val="nil"/>
              <w:right w:val="nil"/>
            </w:tcBorders>
          </w:tcPr>
          <w:p w:rsidR="00F81D50" w:rsidRPr="00CF469D" w:rsidRDefault="00F81D50" w:rsidP="00F81D50">
            <w:pPr>
              <w:pStyle w:val="AmColumnHeading"/>
            </w:pPr>
            <w:r>
              <w:t>Amendement</w:t>
            </w:r>
          </w:p>
        </w:tc>
      </w:tr>
      <w:tr w:rsidR="00F81D50" w:rsidTr="00F81D50">
        <w:trPr>
          <w:jc w:val="center"/>
        </w:trPr>
        <w:tc>
          <w:tcPr>
            <w:tcW w:w="4876" w:type="dxa"/>
            <w:tcBorders>
              <w:top w:val="nil"/>
              <w:left w:val="nil"/>
              <w:bottom w:val="nil"/>
              <w:right w:val="nil"/>
            </w:tcBorders>
          </w:tcPr>
          <w:p w:rsidR="00F81D50" w:rsidRPr="00CF469D" w:rsidRDefault="00F81D50" w:rsidP="00F81D50">
            <w:pPr>
              <w:pStyle w:val="Normal6a"/>
            </w:pPr>
            <w:r>
              <w:t>33.</w:t>
            </w:r>
            <w:r>
              <w:tab/>
              <w:t xml:space="preserve">verzoekt de Commissie met klem aan het jaarlijkse verslag over de rechtsstaat </w:t>
            </w:r>
            <w:r>
              <w:rPr>
                <w:b/>
                <w:i/>
              </w:rPr>
              <w:t xml:space="preserve">een </w:t>
            </w:r>
            <w:r>
              <w:t xml:space="preserve">nieuwe </w:t>
            </w:r>
            <w:r>
              <w:rPr>
                <w:b/>
                <w:i/>
              </w:rPr>
              <w:t>pijler</w:t>
            </w:r>
            <w:r>
              <w:t xml:space="preserve"> toe te voegen over de bestrijding van alle vormen van discriminatie;</w:t>
            </w:r>
          </w:p>
        </w:tc>
        <w:tc>
          <w:tcPr>
            <w:tcW w:w="4876" w:type="dxa"/>
            <w:tcBorders>
              <w:top w:val="nil"/>
              <w:left w:val="nil"/>
              <w:bottom w:val="nil"/>
              <w:right w:val="nil"/>
            </w:tcBorders>
          </w:tcPr>
          <w:p w:rsidR="00F81D50" w:rsidRPr="00CF469D" w:rsidRDefault="00F81D50" w:rsidP="00F81D50">
            <w:pPr>
              <w:pStyle w:val="Normal6a"/>
            </w:pPr>
            <w:r>
              <w:t>33.</w:t>
            </w:r>
            <w:r>
              <w:tab/>
              <w:t xml:space="preserve">verzoekt de Commissie met klem aan het jaarlijkse verslag over de rechtsstaat nieuwe </w:t>
            </w:r>
            <w:r>
              <w:rPr>
                <w:b/>
                <w:i/>
              </w:rPr>
              <w:t>pijlers</w:t>
            </w:r>
            <w:r>
              <w:t xml:space="preserve"> toe te voegen over de bestrijding van alle vormen van discriminatie</w:t>
            </w:r>
            <w:r>
              <w:rPr>
                <w:b/>
                <w:i/>
              </w:rPr>
              <w:t>, haatzaaiende uitlatingen en misdrijven die specifiek gericht zijn tegen minderheidsgroepen en leden van nationale, etnische, taal- en religieuze minderheden, alsook over de omstandigheden voor het maatschappelijk middenveld in de lidstaten</w:t>
            </w:r>
            <w:r>
              <w:t>;</w:t>
            </w:r>
          </w:p>
        </w:tc>
      </w:tr>
    </w:tbl>
    <w:p w:rsidR="00F81D50" w:rsidRPr="00CF469D" w:rsidRDefault="00F81D50" w:rsidP="00F81D50">
      <w:pPr>
        <w:pStyle w:val="AmOrLang"/>
      </w:pPr>
      <w:r w:rsidRPr="00CF469D">
        <w:t xml:space="preserve">Or. </w:t>
      </w:r>
      <w:r w:rsidRPr="00CF469D">
        <w:rPr>
          <w:rStyle w:val="HideTWBExt"/>
        </w:rPr>
        <w:t>&lt;Original&gt;</w:t>
      </w:r>
      <w:r w:rsidRPr="00CF469D">
        <w:rPr>
          <w:rStyle w:val="HideTWBInt"/>
        </w:rPr>
        <w:t>{EN}</w:t>
      </w:r>
      <w:r w:rsidRPr="00CF469D">
        <w:t>en</w:t>
      </w:r>
      <w:r w:rsidRPr="00CF469D">
        <w:rPr>
          <w:rStyle w:val="HideTWBExt"/>
        </w:rPr>
        <w:t>&lt;/Original&gt;</w:t>
      </w:r>
    </w:p>
    <w:p w:rsidR="00F81D50" w:rsidRDefault="00F81D50" w:rsidP="00F81D50">
      <w:r>
        <w:rPr>
          <w:rStyle w:val="HideTWBExt"/>
        </w:rPr>
        <w:t>&lt;/Amend&gt;</w:t>
      </w:r>
      <w:r w:rsidRPr="00F81D50">
        <w:rPr>
          <w:rStyle w:val="HideTWBExt"/>
        </w:rPr>
        <w:t>&lt;/RepeatBlock-Amend&gt;</w:t>
      </w:r>
    </w:p>
    <w:p w:rsidR="00CE165D" w:rsidRPr="00A65DDF" w:rsidRDefault="00CE165D" w:rsidP="00F81D50"/>
    <w:sectPr w:rsidR="00CE165D" w:rsidRPr="00A65DDF" w:rsidSect="00CF469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D50" w:rsidRPr="00CF469D" w:rsidRDefault="00F81D50">
      <w:r w:rsidRPr="00CF469D">
        <w:separator/>
      </w:r>
    </w:p>
  </w:endnote>
  <w:endnote w:type="continuationSeparator" w:id="0">
    <w:p w:rsidR="00F81D50" w:rsidRPr="00CF469D" w:rsidRDefault="00F81D50">
      <w:r w:rsidRPr="00CF46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D50" w:rsidRPr="00CF469D" w:rsidRDefault="00F81D50" w:rsidP="00CF469D">
    <w:pPr>
      <w:pStyle w:val="EPFooter"/>
    </w:pPr>
    <w:r w:rsidRPr="00CF469D">
      <w:t>PE</w:t>
    </w:r>
    <w:r w:rsidRPr="00CF469D">
      <w:rPr>
        <w:rStyle w:val="HideTWBExt"/>
      </w:rPr>
      <w:t>&lt;NoPE&gt;</w:t>
    </w:r>
    <w:r w:rsidRPr="00CF469D">
      <w:t>769.958</w:t>
    </w:r>
    <w:r w:rsidRPr="00CF469D">
      <w:rPr>
        <w:rStyle w:val="HideTWBExt"/>
      </w:rPr>
      <w:t>&lt;/NoPE&gt;&lt;Version&gt;</w:t>
    </w:r>
    <w:r w:rsidRPr="00CF469D">
      <w:t>v01-00</w:t>
    </w:r>
    <w:r w:rsidRPr="00CF469D">
      <w:rPr>
        <w:rStyle w:val="HideTWBExt"/>
      </w:rPr>
      <w:t>&lt;/Version&gt;</w:t>
    </w:r>
    <w:r w:rsidRPr="00CF469D">
      <w:tab/>
    </w:r>
    <w:r w:rsidRPr="00CF469D">
      <w:fldChar w:fldCharType="begin"/>
    </w:r>
    <w:r w:rsidRPr="00CF469D">
      <w:instrText xml:space="preserve"> PAGE  \* MERGEFORMAT </w:instrText>
    </w:r>
    <w:r w:rsidRPr="00CF469D">
      <w:fldChar w:fldCharType="separate"/>
    </w:r>
    <w:r w:rsidR="00D74041">
      <w:rPr>
        <w:noProof/>
      </w:rPr>
      <w:t>34</w:t>
    </w:r>
    <w:r w:rsidRPr="00CF469D">
      <w:fldChar w:fldCharType="end"/>
    </w:r>
    <w:r w:rsidRPr="00CF469D">
      <w:t>/</w:t>
    </w:r>
    <w:fldSimple w:instr=" NUMPAGES  \* MERGEFORMAT ">
      <w:r w:rsidR="00D74041">
        <w:rPr>
          <w:noProof/>
        </w:rPr>
        <w:t>206</w:t>
      </w:r>
    </w:fldSimple>
    <w:r w:rsidRPr="00CF469D">
      <w:tab/>
    </w:r>
    <w:r w:rsidRPr="00CF469D">
      <w:rPr>
        <w:rStyle w:val="HideTWBExt"/>
      </w:rPr>
      <w:t>&lt;PathFdR&gt;</w:t>
    </w:r>
    <w:r w:rsidRPr="00CF469D">
      <w:t>AM\1315575NL.docx</w:t>
    </w:r>
    <w:r w:rsidRPr="00CF469D">
      <w:rPr>
        <w:rStyle w:val="HideTWBExt"/>
      </w:rPr>
      <w:t>&lt;/PathFdR&gt;</w:t>
    </w:r>
  </w:p>
  <w:p w:rsidR="00F81D50" w:rsidRPr="00CF469D" w:rsidRDefault="00F81D50" w:rsidP="00CF469D">
    <w:pPr>
      <w:pStyle w:val="EPFooter2"/>
    </w:pPr>
    <w:r w:rsidRPr="00CF469D">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D50" w:rsidRPr="00CF469D" w:rsidRDefault="00F81D50" w:rsidP="00CF469D">
    <w:pPr>
      <w:pStyle w:val="EPFooter"/>
    </w:pPr>
    <w:r w:rsidRPr="00CF469D">
      <w:rPr>
        <w:rStyle w:val="HideTWBExt"/>
      </w:rPr>
      <w:t>&lt;PathFdR&gt;</w:t>
    </w:r>
    <w:r w:rsidRPr="00CF469D">
      <w:t>AM\1315575NL.docx</w:t>
    </w:r>
    <w:r w:rsidRPr="00CF469D">
      <w:rPr>
        <w:rStyle w:val="HideTWBExt"/>
      </w:rPr>
      <w:t>&lt;/PathFdR&gt;</w:t>
    </w:r>
    <w:r w:rsidRPr="00CF469D">
      <w:tab/>
    </w:r>
    <w:r w:rsidRPr="00CF469D">
      <w:fldChar w:fldCharType="begin"/>
    </w:r>
    <w:r w:rsidRPr="00CF469D">
      <w:instrText xml:space="preserve"> PAGE  \* MERGEFORMAT </w:instrText>
    </w:r>
    <w:r w:rsidRPr="00CF469D">
      <w:fldChar w:fldCharType="separate"/>
    </w:r>
    <w:r w:rsidR="00D74041">
      <w:rPr>
        <w:noProof/>
      </w:rPr>
      <w:t>35</w:t>
    </w:r>
    <w:r w:rsidRPr="00CF469D">
      <w:fldChar w:fldCharType="end"/>
    </w:r>
    <w:r w:rsidRPr="00CF469D">
      <w:t>/</w:t>
    </w:r>
    <w:fldSimple w:instr=" NUMPAGES  \* MERGEFORMAT ">
      <w:r w:rsidR="00D74041">
        <w:rPr>
          <w:noProof/>
        </w:rPr>
        <w:t>206</w:t>
      </w:r>
    </w:fldSimple>
    <w:r w:rsidRPr="00CF469D">
      <w:tab/>
      <w:t>PE</w:t>
    </w:r>
    <w:r w:rsidRPr="00CF469D">
      <w:rPr>
        <w:rStyle w:val="HideTWBExt"/>
      </w:rPr>
      <w:t>&lt;NoPE&gt;</w:t>
    </w:r>
    <w:r w:rsidRPr="00CF469D">
      <w:t>769.958</w:t>
    </w:r>
    <w:r w:rsidRPr="00CF469D">
      <w:rPr>
        <w:rStyle w:val="HideTWBExt"/>
      </w:rPr>
      <w:t>&lt;/NoPE&gt;&lt;Version&gt;</w:t>
    </w:r>
    <w:r w:rsidRPr="00CF469D">
      <w:t>v01-00</w:t>
    </w:r>
    <w:r w:rsidRPr="00CF469D">
      <w:rPr>
        <w:rStyle w:val="HideTWBExt"/>
      </w:rPr>
      <w:t>&lt;/Version&gt;</w:t>
    </w:r>
  </w:p>
  <w:p w:rsidR="00F81D50" w:rsidRPr="00CF469D" w:rsidRDefault="00F81D50" w:rsidP="00CF469D">
    <w:pPr>
      <w:pStyle w:val="EPFooter2"/>
    </w:pPr>
    <w:r w:rsidRPr="00CF469D">
      <w:tab/>
    </w:r>
    <w:r w:rsidRPr="00CF469D">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D50" w:rsidRPr="00CF469D" w:rsidRDefault="00F81D50" w:rsidP="00CF469D">
    <w:pPr>
      <w:pStyle w:val="EPFooter"/>
    </w:pPr>
    <w:r w:rsidRPr="00CF469D">
      <w:rPr>
        <w:rStyle w:val="HideTWBExt"/>
      </w:rPr>
      <w:t>&lt;PathFdR&gt;</w:t>
    </w:r>
    <w:r w:rsidRPr="00CF469D">
      <w:t>AM\1315575NL.docx</w:t>
    </w:r>
    <w:r w:rsidRPr="00CF469D">
      <w:rPr>
        <w:rStyle w:val="HideTWBExt"/>
      </w:rPr>
      <w:t>&lt;/PathFdR&gt;</w:t>
    </w:r>
    <w:r w:rsidRPr="00CF469D">
      <w:tab/>
    </w:r>
    <w:r w:rsidRPr="00CF469D">
      <w:tab/>
      <w:t>PE</w:t>
    </w:r>
    <w:r w:rsidRPr="00CF469D">
      <w:rPr>
        <w:rStyle w:val="HideTWBExt"/>
      </w:rPr>
      <w:t>&lt;NoPE&gt;</w:t>
    </w:r>
    <w:r w:rsidRPr="00CF469D">
      <w:t>769.958</w:t>
    </w:r>
    <w:r w:rsidRPr="00CF469D">
      <w:rPr>
        <w:rStyle w:val="HideTWBExt"/>
      </w:rPr>
      <w:t>&lt;/NoPE&gt;&lt;Version&gt;</w:t>
    </w:r>
    <w:r w:rsidRPr="00CF469D">
      <w:t>v01-00</w:t>
    </w:r>
    <w:r w:rsidRPr="00CF469D">
      <w:rPr>
        <w:rStyle w:val="HideTWBExt"/>
      </w:rPr>
      <w:t>&lt;/Version&gt;</w:t>
    </w:r>
  </w:p>
  <w:p w:rsidR="00F81D50" w:rsidRPr="00CF469D" w:rsidRDefault="00F81D50" w:rsidP="00CF469D">
    <w:pPr>
      <w:pStyle w:val="EPFooter2"/>
    </w:pPr>
    <w:r w:rsidRPr="00CF469D">
      <w:t>NL</w:t>
    </w:r>
    <w:r w:rsidRPr="00CF469D">
      <w:tab/>
    </w:r>
    <w:r w:rsidRPr="00CF469D">
      <w:rPr>
        <w:b w:val="0"/>
        <w:i/>
        <w:color w:val="C0C0C0"/>
        <w:sz w:val="22"/>
      </w:rPr>
      <w:t>In verscheidenheid verenigd</w:t>
    </w:r>
    <w:r w:rsidRPr="00CF469D">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D50" w:rsidRPr="00CF469D" w:rsidRDefault="00F81D50">
      <w:r w:rsidRPr="00CF469D">
        <w:separator/>
      </w:r>
    </w:p>
  </w:footnote>
  <w:footnote w:type="continuationSeparator" w:id="0">
    <w:p w:rsidR="00F81D50" w:rsidRPr="00CF469D" w:rsidRDefault="00F81D50">
      <w:r w:rsidRPr="00CF46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041" w:rsidRDefault="00D74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041" w:rsidRDefault="00D740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041" w:rsidRDefault="00D740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69.958"/>
    <w:docVar w:name="TXTPEorAP" w:val="PE"/>
    <w:docVar w:name="TXTVERSION" w:val="01-00"/>
  </w:docVars>
  <w:rsids>
    <w:rsidRoot w:val="00A77B3E"/>
    <w:rsid w:val="00055FDB"/>
    <w:rsid w:val="00721C8C"/>
    <w:rsid w:val="00A65DDF"/>
    <w:rsid w:val="00A77B3E"/>
    <w:rsid w:val="00AB2C32"/>
    <w:rsid w:val="00CA2A55"/>
    <w:rsid w:val="00CE165D"/>
    <w:rsid w:val="00CF469D"/>
    <w:rsid w:val="00D74041"/>
    <w:rsid w:val="00F7352F"/>
    <w:rsid w:val="00F81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975B2CE"/>
  <w15:docId w15:val="{EE562E32-0249-42E8-9366-1C756D759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CF469D"/>
    <w:pPr>
      <w:tabs>
        <w:tab w:val="center" w:pos="4513"/>
        <w:tab w:val="right" w:pos="9026"/>
      </w:tabs>
    </w:pPr>
  </w:style>
  <w:style w:type="character" w:customStyle="1" w:styleId="HeaderChar">
    <w:name w:val="Header Char"/>
    <w:basedOn w:val="DefaultParagraphFont"/>
    <w:link w:val="Header"/>
    <w:rsid w:val="00CF469D"/>
    <w:rPr>
      <w:sz w:val="24"/>
      <w:szCs w:val="24"/>
    </w:rPr>
  </w:style>
  <w:style w:type="paragraph" w:styleId="Footer">
    <w:name w:val="footer"/>
    <w:basedOn w:val="Normal"/>
    <w:link w:val="FooterChar"/>
    <w:semiHidden/>
    <w:unhideWhenUsed/>
    <w:rsid w:val="00D74041"/>
    <w:pPr>
      <w:tabs>
        <w:tab w:val="center" w:pos="4513"/>
        <w:tab w:val="right" w:pos="9026"/>
      </w:tabs>
    </w:pPr>
  </w:style>
  <w:style w:type="character" w:customStyle="1" w:styleId="FooterChar">
    <w:name w:val="Footer Char"/>
    <w:basedOn w:val="DefaultParagraphFont"/>
    <w:link w:val="Footer"/>
    <w:semiHidden/>
    <w:rsid w:val="00D740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206</Pages>
  <Words>42481</Words>
  <Characters>265962</Characters>
  <Application>Microsoft Office Word</Application>
  <DocSecurity>0</DocSecurity>
  <Lines>10852</Lines>
  <Paragraphs>3148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305651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2025-03-20T16:14:00Z</dcterms:created>
  <dcterms:modified xsi:type="dcterms:W3CDTF">2025-03-20T16:14:00Z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1315575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130212</vt:lpwstr>
  </property>
  <property fmtid="{D5CDD505-2E9C-101B-9397-08002B2CF9AE}" pid="7" name="dmxml.render.traceId">
    <vt:lpwstr>67b59b6975409a393da8bdc1bd5554ff</vt:lpwstr>
  </property>
  <property fmtid="{D5CDD505-2E9C-101B-9397-08002B2CF9AE}" pid="8" name="FooterPath">
    <vt:lpwstr>AM\1315575NL.docx</vt:lpwstr>
  </property>
  <property fmtid="{D5CDD505-2E9C-101B-9397-08002B2CF9AE}" pid="9" name="PE Number">
    <vt:lpwstr>769.958</vt:lpwstr>
  </property>
  <property fmtid="{D5CDD505-2E9C-101B-9397-08002B2CF9AE}" pid="10" name="UID">
    <vt:lpwstr>eu.europa.europarl-DIN1-2025-0000027563_02.00-xm-01.00_text-xml</vt:lpwstr>
  </property>
  <property fmtid="{D5CDD505-2E9C-101B-9397-08002B2CF9AE}" pid="11" name="SDLStudio">
    <vt:lpwstr/>
  </property>
  <property fmtid="{D5CDD505-2E9C-101B-9397-08002B2CF9AE}" pid="12" name="Bookout">
    <vt:lpwstr>OK - 2025/03/20 17:14</vt:lpwstr>
  </property>
</Properties>
</file>