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B212D" w:rsidRPr="00EA7539">
        <w:trPr>
          <w:trHeight w:hRule="exact" w:val="1417"/>
          <w:jc w:val="center"/>
        </w:trPr>
        <w:tc>
          <w:tcPr>
            <w:tcW w:w="6804" w:type="dxa"/>
            <w:tcBorders>
              <w:top w:val="nil"/>
              <w:left w:val="nil"/>
              <w:bottom w:val="nil"/>
              <w:right w:val="nil"/>
            </w:tcBorders>
            <w:vAlign w:val="center"/>
          </w:tcPr>
          <w:p w:rsidR="000B212D" w:rsidRPr="00EA7539" w:rsidRDefault="00F27B4D">
            <w:pPr>
              <w:pStyle w:val="EPName"/>
            </w:pPr>
            <w:r w:rsidRPr="00EA7539">
              <w:t>Parlament Europejski</w:t>
            </w:r>
          </w:p>
          <w:p w:rsidR="000B212D" w:rsidRPr="00EA7539" w:rsidRDefault="00F27B4D">
            <w:pPr>
              <w:pStyle w:val="EPTerm"/>
            </w:pPr>
            <w:r w:rsidRPr="00EA7539">
              <w:t>2024-2029</w:t>
            </w:r>
          </w:p>
        </w:tc>
        <w:tc>
          <w:tcPr>
            <w:tcW w:w="2268" w:type="dxa"/>
            <w:tcBorders>
              <w:top w:val="nil"/>
              <w:left w:val="nil"/>
              <w:bottom w:val="nil"/>
              <w:right w:val="nil"/>
            </w:tcBorders>
          </w:tcPr>
          <w:p w:rsidR="000B212D" w:rsidRPr="00EA7539" w:rsidRDefault="00525DAD">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pt;height:50.25pt">
                  <v:imagedata r:id="rId6" o:title=""/>
                </v:shape>
              </w:pict>
            </w:r>
          </w:p>
        </w:tc>
      </w:tr>
    </w:tbl>
    <w:p w:rsidR="000B212D" w:rsidRPr="00EA7539" w:rsidRDefault="00F27B4D">
      <w:pPr>
        <w:pStyle w:val="LineTop"/>
      </w:pPr>
      <w:r w:rsidRPr="00EA7539">
        <w:t xml:space="preserve"> </w:t>
      </w:r>
    </w:p>
    <w:p w:rsidR="000B212D" w:rsidRPr="00EA7539" w:rsidRDefault="00F27B4D">
      <w:pPr>
        <w:pStyle w:val="EPBody"/>
      </w:pPr>
      <w:r w:rsidRPr="00EA7539">
        <w:rPr>
          <w:rStyle w:val="HideTWBExt"/>
        </w:rPr>
        <w:t>&lt;Commission&gt;</w:t>
      </w:r>
      <w:r w:rsidRPr="00EA7539">
        <w:rPr>
          <w:rStyle w:val="HideTWBInt"/>
          <w:color w:val="auto"/>
        </w:rPr>
        <w:t>{LIBE}</w:t>
      </w:r>
      <w:r w:rsidRPr="00EA7539">
        <w:t>Komisja Wolności Obywatelskich, Sprawiedliwości i Spraw Wewnętrznych</w:t>
      </w:r>
      <w:r w:rsidRPr="00EA7539">
        <w:rPr>
          <w:rStyle w:val="HideTWBExt"/>
        </w:rPr>
        <w:t>&lt;/Commission&gt;</w:t>
      </w:r>
    </w:p>
    <w:p w:rsidR="000B212D" w:rsidRPr="00EA7539" w:rsidRDefault="00F27B4D">
      <w:pPr>
        <w:pStyle w:val="LineBottom"/>
      </w:pPr>
      <w:r w:rsidRPr="00EA7539">
        <w:t xml:space="preserve"> </w:t>
      </w:r>
    </w:p>
    <w:p w:rsidR="000B212D" w:rsidRPr="00EA7539" w:rsidRDefault="00F27B4D">
      <w:pPr>
        <w:pStyle w:val="CoverReference"/>
      </w:pPr>
      <w:r w:rsidRPr="00EA7539">
        <w:rPr>
          <w:rStyle w:val="HideTWBExt"/>
        </w:rPr>
        <w:t>&lt;RefProc&gt;</w:t>
      </w:r>
      <w:r w:rsidRPr="00EA7539">
        <w:t>2024/2078</w:t>
      </w:r>
      <w:r w:rsidRPr="00EA7539">
        <w:rPr>
          <w:rStyle w:val="HideTWBExt"/>
        </w:rPr>
        <w:t>&lt;/RefProc&gt;&lt;RefTypeProc&gt;</w:t>
      </w:r>
      <w:r w:rsidRPr="00EA7539">
        <w:t>(INI)</w:t>
      </w:r>
      <w:r w:rsidRPr="00EA7539">
        <w:rPr>
          <w:rStyle w:val="HideTWBExt"/>
        </w:rPr>
        <w:t>&lt;/RefTypeProc&gt;</w:t>
      </w:r>
    </w:p>
    <w:p w:rsidR="000B212D" w:rsidRPr="00EA7539" w:rsidRDefault="00F27B4D">
      <w:pPr>
        <w:pStyle w:val="CoverDate"/>
      </w:pPr>
      <w:r w:rsidRPr="00EA7539">
        <w:rPr>
          <w:rStyle w:val="HideTWBExt"/>
        </w:rPr>
        <w:t>&lt;Date&gt;</w:t>
      </w:r>
      <w:r w:rsidRPr="00EA7539">
        <w:rPr>
          <w:rStyle w:val="HideTWBInt"/>
          <w:color w:val="auto"/>
        </w:rPr>
        <w:t>{19/02/2025}</w:t>
      </w:r>
      <w:r w:rsidRPr="00EA7539">
        <w:t>19.2.2025</w:t>
      </w:r>
      <w:r w:rsidRPr="00EA7539">
        <w:rPr>
          <w:rStyle w:val="HideTWBExt"/>
        </w:rPr>
        <w:t>&lt;/Date&gt;</w:t>
      </w:r>
    </w:p>
    <w:p w:rsidR="000B212D" w:rsidRPr="00EA7539" w:rsidRDefault="00F27B4D">
      <w:pPr>
        <w:pStyle w:val="CoverDocType"/>
      </w:pPr>
      <w:r w:rsidRPr="00EA7539">
        <w:rPr>
          <w:rStyle w:val="HideTWBExt"/>
        </w:rPr>
        <w:t>&lt;TypeAM&gt;</w:t>
      </w:r>
      <w:r w:rsidRPr="00EA7539">
        <w:t>P</w:t>
      </w:r>
      <w:bookmarkStart w:id="0" w:name="_GoBack"/>
      <w:bookmarkEnd w:id="0"/>
      <w:r w:rsidRPr="00EA7539">
        <w:t>OPRAWKI</w:t>
      </w:r>
      <w:r w:rsidRPr="00EA7539">
        <w:rPr>
          <w:rStyle w:val="HideTWBExt"/>
        </w:rPr>
        <w:t>&lt;/TypeAM&gt;</w:t>
      </w:r>
    </w:p>
    <w:p w:rsidR="000B212D" w:rsidRPr="00EA7539" w:rsidRDefault="00F27B4D">
      <w:pPr>
        <w:pStyle w:val="CoverDocType24a"/>
      </w:pPr>
      <w:r w:rsidRPr="00EA7539">
        <w:rPr>
          <w:rStyle w:val="HideTWBExt"/>
        </w:rPr>
        <w:t>&lt;RangeAM&gt;</w:t>
      </w:r>
      <w:r w:rsidRPr="00EA7539">
        <w:t>367 - 707</w:t>
      </w:r>
      <w:r w:rsidRPr="00EA7539">
        <w:rPr>
          <w:rStyle w:val="HideTWBExt"/>
        </w:rPr>
        <w:t>&lt;/RangeAM&gt;</w:t>
      </w:r>
    </w:p>
    <w:p w:rsidR="000B212D" w:rsidRPr="00EA7539" w:rsidRDefault="00F27B4D">
      <w:pPr>
        <w:pStyle w:val="CoverBold"/>
      </w:pPr>
      <w:r w:rsidRPr="00EA7539">
        <w:rPr>
          <w:rStyle w:val="HideTWBExt"/>
        </w:rPr>
        <w:t>&lt;TitreType&gt;</w:t>
      </w:r>
      <w:r w:rsidRPr="00EA7539">
        <w:t>Projekt sprawozdania</w:t>
      </w:r>
      <w:r w:rsidRPr="00EA7539">
        <w:rPr>
          <w:rStyle w:val="HideTWBExt"/>
        </w:rPr>
        <w:t>&lt;/TitreType&gt;</w:t>
      </w:r>
    </w:p>
    <w:p w:rsidR="000B212D" w:rsidRPr="00EA7539" w:rsidRDefault="00F27B4D">
      <w:pPr>
        <w:pStyle w:val="CoverBold"/>
      </w:pPr>
      <w:r w:rsidRPr="00EA7539">
        <w:rPr>
          <w:rStyle w:val="HideTWBExt"/>
        </w:rPr>
        <w:t>&lt;Rapporteur&gt;</w:t>
      </w:r>
      <w:r w:rsidRPr="00EA7539">
        <w:t>Ana Catarina Mendes</w:t>
      </w:r>
      <w:r w:rsidRPr="00EA7539">
        <w:rPr>
          <w:rStyle w:val="HideTWBExt"/>
        </w:rPr>
        <w:t>&lt;/Rapporteur&gt;</w:t>
      </w:r>
    </w:p>
    <w:p w:rsidR="000B212D" w:rsidRPr="00EA7539" w:rsidRDefault="00F27B4D">
      <w:pPr>
        <w:pStyle w:val="CoverNormal24a"/>
      </w:pPr>
      <w:r w:rsidRPr="00EA7539">
        <w:rPr>
          <w:rStyle w:val="HideTWBExt"/>
        </w:rPr>
        <w:t>&lt;DocRefPE&gt;</w:t>
      </w:r>
      <w:r w:rsidRPr="00EA7539">
        <w:t>(PE767.867v01-00)</w:t>
      </w:r>
      <w:r w:rsidRPr="00EA7539">
        <w:rPr>
          <w:rStyle w:val="HideTWBExt"/>
        </w:rPr>
        <w:t>&lt;/DocRefPE&gt;</w:t>
      </w:r>
    </w:p>
    <w:p w:rsidR="000B212D" w:rsidRPr="00EA7539" w:rsidRDefault="00F27B4D">
      <w:pPr>
        <w:pStyle w:val="CoverNormal"/>
      </w:pPr>
      <w:r w:rsidRPr="00EA7539">
        <w:rPr>
          <w:rStyle w:val="HideTWBExt"/>
        </w:rPr>
        <w:t>&lt;Titre&gt;</w:t>
      </w:r>
      <w:r w:rsidRPr="00EA7539">
        <w:t>Sprawozdanie Komisji na temat praworządności z 2024 r.</w:t>
      </w:r>
      <w:r w:rsidRPr="00EA7539">
        <w:rPr>
          <w:rStyle w:val="HideTWBExt"/>
        </w:rPr>
        <w:t>&lt;/Titre&gt;</w:t>
      </w:r>
    </w:p>
    <w:p w:rsidR="000B212D" w:rsidRPr="00EA7539" w:rsidRDefault="00F27B4D">
      <w:pPr>
        <w:pStyle w:val="CoverNormal24a"/>
      </w:pPr>
      <w:r w:rsidRPr="00EA7539">
        <w:rPr>
          <w:rStyle w:val="HideTWBExt"/>
        </w:rPr>
        <w:t>&lt;DocRef&gt;</w:t>
      </w:r>
      <w:r w:rsidRPr="00EA7539">
        <w:t>(2024/2078(INI))</w:t>
      </w:r>
      <w:r w:rsidRPr="00EA7539">
        <w:rPr>
          <w:rStyle w:val="HideTWBExt"/>
        </w:rPr>
        <w:t>&lt;/DocRef&gt;</w:t>
      </w:r>
    </w:p>
    <w:p w:rsidR="000B212D" w:rsidRPr="00EA7539" w:rsidRDefault="00F27B4D">
      <w:r w:rsidRPr="00EA7539">
        <w:br w:type="page"/>
      </w:r>
      <w:r w:rsidRPr="00EA7539">
        <w:lastRenderedPageBreak/>
        <w:t>AM_Com_NonLegReport</w:t>
      </w:r>
    </w:p>
    <w:p w:rsidR="007A0039" w:rsidRPr="00EA7539" w:rsidRDefault="00F27B4D" w:rsidP="007A0039">
      <w:pPr>
        <w:pStyle w:val="AmNumberTabs"/>
      </w:pPr>
      <w:r w:rsidRPr="00EA7539">
        <w:br w:type="page"/>
      </w:r>
      <w:r w:rsidR="007A0039" w:rsidRPr="007A0039">
        <w:rPr>
          <w:rStyle w:val="HideTWBExt"/>
          <w:b w:val="0"/>
        </w:rPr>
        <w:lastRenderedPageBreak/>
        <w:t>&lt;RepeatBlock-Amend&gt;</w:t>
      </w:r>
      <w:r w:rsidR="007A0039">
        <w:rPr>
          <w:rStyle w:val="HideTWBExt"/>
        </w:rPr>
        <w:t>&lt;Amend&gt;</w:t>
      </w:r>
      <w:r w:rsidR="007A0039">
        <w:t>Poprawka</w:t>
      </w:r>
      <w:r w:rsidR="007A0039">
        <w:tab/>
      </w:r>
      <w:r w:rsidR="007A0039">
        <w:tab/>
      </w:r>
      <w:r w:rsidR="007A0039">
        <w:rPr>
          <w:rStyle w:val="HideTWBExt"/>
        </w:rPr>
        <w:t>&lt;NumAm&gt;</w:t>
      </w:r>
      <w:r w:rsidR="007A0039">
        <w:t>367</w:t>
      </w:r>
      <w:r w:rsidR="007A0039">
        <w:rPr>
          <w:rStyle w:val="HideTWBExt"/>
        </w:rPr>
        <w:t>&lt;/NumAm&gt;</w:t>
      </w:r>
    </w:p>
    <w:p w:rsidR="007A0039" w:rsidRPr="00EA7539" w:rsidRDefault="007A0039" w:rsidP="007A0039">
      <w:pPr>
        <w:pStyle w:val="NormalBold"/>
      </w:pPr>
      <w:r>
        <w:rPr>
          <w:rStyle w:val="HideTWBExt"/>
          <w:b w:val="0"/>
        </w:rPr>
        <w:t>&lt;RepeatBlock-By&gt;&lt;Members&gt;</w:t>
      </w:r>
      <w:r>
        <w:t>Alessandro Ciriani, Paolo Inselvini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13.</w:t>
            </w:r>
            <w:r>
              <w:tab/>
              <w:t xml:space="preserve">jest zaniepokojony coraz większą liczbą ograniczeń prawnych, problemów z finansowaniem i ataków, którym muszą stawiać czoło organizacje społeczeństwa obywatelskiego i obrońcy praw człowieka; apeluje o sprzyjające i wspierające ramy dla społeczeństwa obywatelskiego oraz ponownie podkreśla, jak ważne jest przyjęcie dyrektywy w sprawie przeciwdziałania SLAPP i realizacja zalecenia Komisji (UE) 2022/758 dla ochrony organizacji społeczeństwa obywatelskiego; </w:t>
            </w:r>
            <w:r>
              <w:rPr>
                <w:b/>
                <w:i/>
              </w:rPr>
              <w:t>uważa, że Komisja i państwa członkowskie powinny zwiększyć finansowanie organizacji społeczeństwa obywatelskiego;</w:t>
            </w:r>
          </w:p>
        </w:tc>
        <w:tc>
          <w:tcPr>
            <w:tcW w:w="4876" w:type="dxa"/>
            <w:tcBorders>
              <w:top w:val="nil"/>
              <w:left w:val="nil"/>
              <w:bottom w:val="nil"/>
              <w:right w:val="nil"/>
            </w:tcBorders>
          </w:tcPr>
          <w:p w:rsidR="007A0039" w:rsidRPr="00EA7539" w:rsidRDefault="007A0039" w:rsidP="008F6778">
            <w:pPr>
              <w:pStyle w:val="Normal6a"/>
            </w:pPr>
            <w:r>
              <w:t>13.</w:t>
            </w:r>
            <w:r>
              <w:tab/>
              <w:t>jest zaniepokojony coraz większą liczbą ograniczeń prawnych, problemów z finansowaniem i ataków, którym muszą stawiać czoło organizacje społeczeństwa obywatelskiego i obrońcy praw człowieka; apeluje o sprzyjające i wspierające ramy dla społeczeństwa obywatelskiego oraz ponownie podkreśla, jak ważne jest przyjęcie dyrektywy w sprawie przeciwdziałania SLAPP i realizacja zalecenia Komisji (UE) 2022/758 dla ochrony organizacji społeczeństwa obywatelskiego;</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{IT}</w:t>
      </w:r>
      <w:r w:rsidRPr="00EA7539">
        <w:t>it</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368</w:t>
      </w:r>
      <w:r>
        <w:rPr>
          <w:rStyle w:val="HideTWBExt"/>
        </w:rPr>
        <w:t>&lt;/NumAm&gt;</w:t>
      </w:r>
    </w:p>
    <w:p w:rsidR="007A0039" w:rsidRPr="00EA7539" w:rsidRDefault="007A0039" w:rsidP="007A0039">
      <w:pPr>
        <w:pStyle w:val="NormalBold"/>
      </w:pPr>
      <w:r>
        <w:rPr>
          <w:rStyle w:val="HideTWBExt"/>
          <w:b w:val="0"/>
        </w:rPr>
        <w:t>&lt;RepeatBlock-By&gt;&lt;Members&gt;</w:t>
      </w:r>
      <w:r>
        <w:t>András László</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13.</w:t>
            </w:r>
            <w:r>
              <w:tab/>
              <w:t>jest zaniepokojony</w:t>
            </w:r>
            <w:r>
              <w:rPr>
                <w:b/>
                <w:i/>
              </w:rPr>
              <w:t xml:space="preserve"> coraz większą liczbą ograniczeń prawnych, problemów z finansowaniem i ataków</w:t>
            </w:r>
            <w:r>
              <w:t xml:space="preserve">, </w:t>
            </w:r>
            <w:r>
              <w:rPr>
                <w:b/>
                <w:i/>
              </w:rPr>
              <w:t>którym muszą stawiać czoło organizacje społeczeństwa obywatelskiego i obrońcy praw człowieka; apeluje o sprzyjające i wspierające ramy dla społeczeństwa obywatelskiego oraz ponownie podkreśla, jak ważne jest przyjęcie dyrektywy</w:t>
            </w:r>
            <w:r>
              <w:t xml:space="preserve"> w sprawie </w:t>
            </w:r>
            <w:r>
              <w:rPr>
                <w:b/>
                <w:i/>
              </w:rPr>
              <w:t>przeciwdziałania SLAPP</w:t>
            </w:r>
            <w:r>
              <w:t xml:space="preserve"> i </w:t>
            </w:r>
            <w:r>
              <w:rPr>
                <w:b/>
                <w:i/>
              </w:rPr>
              <w:t>realizacja zalecenia Komisji (UE) 2022/758 dla ochrony organizacji społeczeństwa obywatelskiego</w:t>
            </w:r>
            <w:r>
              <w:t>;</w:t>
            </w:r>
            <w:r>
              <w:rPr>
                <w:b/>
                <w:i/>
              </w:rPr>
              <w:t xml:space="preserve"> uważa, że Komisja i państwa członkowskie powinny zwiększyć finansowanie organizacji społeczeństwa obywatelskiego</w:t>
            </w:r>
            <w:r>
              <w:t>;</w:t>
            </w:r>
          </w:p>
        </w:tc>
        <w:tc>
          <w:tcPr>
            <w:tcW w:w="4876" w:type="dxa"/>
            <w:tcBorders>
              <w:top w:val="nil"/>
              <w:left w:val="nil"/>
              <w:bottom w:val="nil"/>
              <w:right w:val="nil"/>
            </w:tcBorders>
          </w:tcPr>
          <w:p w:rsidR="007A0039" w:rsidRPr="00EA7539" w:rsidRDefault="007A0039" w:rsidP="008F6778">
            <w:pPr>
              <w:pStyle w:val="Normal6a"/>
            </w:pPr>
            <w:r>
              <w:t>13.</w:t>
            </w:r>
            <w:r>
              <w:tab/>
              <w:t>jest zaniepokojony</w:t>
            </w:r>
            <w:r>
              <w:rPr>
                <w:b/>
                <w:i/>
              </w:rPr>
              <w:t>, że – według doniesień z prawy niderlandzkiej – Komisja</w:t>
            </w:r>
            <w:r>
              <w:t xml:space="preserve">, </w:t>
            </w:r>
            <w:r>
              <w:rPr>
                <w:b/>
                <w:i/>
              </w:rPr>
              <w:t>pod wpływem Fransa Timmermansa, wydała co najmniej 700 000 EUR na rzecz tzw. organizacji pozarządowych w drodze tajnych umów, w zamian za popieranie przez nie stanowiska Komisji</w:t>
            </w:r>
            <w:r>
              <w:t xml:space="preserve"> w sprawie </w:t>
            </w:r>
            <w:r>
              <w:rPr>
                <w:b/>
                <w:i/>
              </w:rPr>
              <w:t>Zielonego Ładu</w:t>
            </w:r>
            <w:r>
              <w:t xml:space="preserve"> i </w:t>
            </w:r>
            <w:r>
              <w:rPr>
                <w:b/>
                <w:i/>
              </w:rPr>
              <w:t>wywieranie wpływu na posłów do Parlamentu Europejskiego</w:t>
            </w:r>
            <w:r>
              <w:t>;</w:t>
            </w:r>
            <w:r>
              <w:rPr>
                <w:b/>
                <w:i/>
              </w:rPr>
              <w:t xml:space="preserve"> wzywa Komisję do ujawnienia wszystkich istotnych informacji dotyczących tego skandalu</w:t>
            </w:r>
            <w:r>
              <w:t>;</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369</w:t>
      </w:r>
      <w:r>
        <w:rPr>
          <w:rStyle w:val="HideTWBExt"/>
        </w:rPr>
        <w:t>&lt;/NumAm&gt;</w:t>
      </w:r>
    </w:p>
    <w:p w:rsidR="007A0039" w:rsidRPr="00EA7539" w:rsidRDefault="007A0039" w:rsidP="007A0039">
      <w:pPr>
        <w:pStyle w:val="NormalBold"/>
      </w:pPr>
      <w:r>
        <w:rPr>
          <w:rStyle w:val="HideTWBExt"/>
          <w:b w:val="0"/>
        </w:rPr>
        <w:t>&lt;RepeatBlock-By&gt;&lt;Members&gt;</w:t>
      </w:r>
      <w:r>
        <w:t>Raquel García Hermida-Van Der Walle, Fabienne Keller, Sophie Wilmès, Moritz Körner, Abir Al-Sahlani, Sigrid Friis, Lucia Yar</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13.</w:t>
            </w:r>
            <w:r>
              <w:tab/>
              <w:t>jest zaniepokojony coraz większą liczbą ograniczeń prawnych, problemów z finansowaniem i ataków, którym muszą stawiać czoło organizacje społeczeństwa obywatelskiego i obrońcy praw człowieka; apeluje o sprzyjające i wspierające ramy dla społeczeństwa obywatelskiego oraz ponownie podkreśla, jak ważne jest przyjęcie dyrektywy w sprawie przeciwdziałania SLAPP i realizacja zalecenia Komisji (UE) 2022/758 dla ochrony organizacji społeczeństwa obywatelskiego; uważa, że Komisja i państwa członkowskie powinny zwiększyć finansowanie organizacji społeczeństwa obywatelskiego;</w:t>
            </w:r>
          </w:p>
        </w:tc>
        <w:tc>
          <w:tcPr>
            <w:tcW w:w="4876" w:type="dxa"/>
            <w:tcBorders>
              <w:top w:val="nil"/>
              <w:left w:val="nil"/>
              <w:bottom w:val="nil"/>
              <w:right w:val="nil"/>
            </w:tcBorders>
          </w:tcPr>
          <w:p w:rsidR="007A0039" w:rsidRPr="00EA7539" w:rsidRDefault="007A0039" w:rsidP="008F6778">
            <w:pPr>
              <w:pStyle w:val="Normal6a"/>
            </w:pPr>
            <w:r>
              <w:t>13.</w:t>
            </w:r>
            <w:r>
              <w:tab/>
              <w:t>jest zaniepokojony coraz większą liczbą ograniczeń prawnych, problemów z finansowaniem i ataków, którym muszą stawiać czoło organizacje społeczeństwa obywatelskiego i obrońcy praw człowieka</w:t>
            </w:r>
            <w:r>
              <w:rPr>
                <w:b/>
                <w:i/>
              </w:rPr>
              <w:t>, co wpływa na wolność stowarzyszania się i wolność zgromadzeń</w:t>
            </w:r>
            <w:r>
              <w:t>; apeluje o sprzyjające i wspierające ramy dla społeczeństwa obywatelskiego oraz ponownie podkreśla, jak ważne jest przyjęcie dyrektywy w sprawie przeciwdziałania SLAPP i realizacja zalecenia Komisji (UE) 2022/758 dla ochrony organizacji społeczeństwa obywatelskiego; uważa, że Komisja i państwa członkowskie powinny zwiększyć finansowanie organizacji społeczeństwa obywatelskiego;</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370</w:t>
      </w:r>
      <w:r>
        <w:rPr>
          <w:rStyle w:val="HideTWBExt"/>
        </w:rPr>
        <w:t>&lt;/NumAm&gt;</w:t>
      </w:r>
    </w:p>
    <w:p w:rsidR="007A0039" w:rsidRPr="00EA7539" w:rsidRDefault="007A0039" w:rsidP="007A0039">
      <w:pPr>
        <w:pStyle w:val="NormalBold"/>
      </w:pPr>
      <w:r>
        <w:rPr>
          <w:rStyle w:val="HideTWBExt"/>
          <w:b w:val="0"/>
        </w:rPr>
        <w:t>&lt;RepeatBlock-By&gt;&lt;Members&gt;</w:t>
      </w:r>
      <w:r>
        <w:t>Daniel Freund</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13.</w:t>
            </w:r>
            <w:r>
              <w:tab/>
              <w:t>jest zaniepokojony coraz większą liczbą ograniczeń prawnych, problemów z finansowaniem i ataków, którym muszą stawiać czoło organizacje społeczeństwa obywatelskiego i obrońcy praw człowieka; apeluje o sprzyjające i wspierające ramy dla społeczeństwa obywatelskiego oraz ponownie podkreśla, jak ważne jest przyjęcie dyrektywy w sprawie przeciwdziałania SLAPP i realizacja zalecenia Komisji (UE) 2022/758 dla ochrony organizacji społeczeństwa obywatelskiego; uważa, że Komisja i państwa członkowskie powinny zwiększyć finansowanie organizacji społeczeństwa obywatelskiego;</w:t>
            </w:r>
          </w:p>
        </w:tc>
        <w:tc>
          <w:tcPr>
            <w:tcW w:w="4876" w:type="dxa"/>
            <w:tcBorders>
              <w:top w:val="nil"/>
              <w:left w:val="nil"/>
              <w:bottom w:val="nil"/>
              <w:right w:val="nil"/>
            </w:tcBorders>
          </w:tcPr>
          <w:p w:rsidR="007A0039" w:rsidRPr="00EA7539" w:rsidRDefault="007A0039" w:rsidP="008F6778">
            <w:pPr>
              <w:pStyle w:val="Normal6a"/>
            </w:pPr>
            <w:r>
              <w:t>13.</w:t>
            </w:r>
            <w:r>
              <w:tab/>
              <w:t>jest zaniepokojony coraz większą liczbą ograniczeń prawnych, problemów z finansowaniem i ataków, którym muszą stawiać czoło organizacje społeczeństwa obywatelskiego i obrońcy praw człowieka; apeluje o sprzyjające i wspierające ramy dla społeczeństwa obywatelskiego oraz ponownie podkreśla, jak ważne jest przyjęcie dyrektywy w sprawie przeciwdziałania SLAPP i realizacja zalecenia Komisji (UE) 2022/758 dla ochrony organizacji społeczeństwa obywatelskiego; uważa, że Komisja i państwa członkowskie powinny zwiększyć finansowanie organizacji społeczeństwa obywatelskiego</w:t>
            </w:r>
            <w:r>
              <w:rPr>
                <w:b/>
                <w:i/>
              </w:rPr>
              <w:t xml:space="preserve"> oraz zapewnić odpowiednią ochronę organizacji społeczeństwa obywatelskiego i obrońców praw człowieka, w tym wczesne ostrzeganie</w:t>
            </w:r>
            <w:r>
              <w:t>;</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371</w:t>
      </w:r>
      <w:r>
        <w:rPr>
          <w:rStyle w:val="HideTWBExt"/>
        </w:rPr>
        <w:t>&lt;/NumAm&gt;</w:t>
      </w:r>
    </w:p>
    <w:p w:rsidR="007A0039" w:rsidRPr="00EA7539" w:rsidRDefault="007A0039" w:rsidP="007A0039">
      <w:pPr>
        <w:pStyle w:val="NormalBold"/>
      </w:pPr>
      <w:r>
        <w:rPr>
          <w:rStyle w:val="HideTWBExt"/>
          <w:b w:val="0"/>
        </w:rPr>
        <w:t>&lt;RepeatBlock-By&gt;&lt;Members&gt;</w:t>
      </w:r>
      <w:r>
        <w:t>Moritz Körner, Malik Azmani, Dainius Žalimas, Lucia Yar, Fabienne Keller, Abir Al-Sahlani, Veronika Cifrová Ostrihoňová</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13.</w:t>
            </w:r>
            <w:r>
              <w:tab/>
              <w:t xml:space="preserve">jest zaniepokojony coraz większą liczbą ograniczeń prawnych, problemów z finansowaniem i ataków, którym muszą stawiać czoło organizacje społeczeństwa obywatelskiego i obrońcy praw człowieka; apeluje o sprzyjające i wspierające ramy dla społeczeństwa obywatelskiego oraz ponownie podkreśla, jak ważne jest przyjęcie dyrektywy w sprawie przeciwdziałania SLAPP i realizacja zalecenia Komisji (UE) 2022/758 dla ochrony organizacji społeczeństwa obywatelskiego; </w:t>
            </w:r>
            <w:r>
              <w:rPr>
                <w:b/>
                <w:i/>
              </w:rPr>
              <w:t>uważa, że Komisja i państwa członkowskie powinny zwiększyć finansowanie organizacji społeczeństwa obywatelskiego;</w:t>
            </w:r>
          </w:p>
        </w:tc>
        <w:tc>
          <w:tcPr>
            <w:tcW w:w="4876" w:type="dxa"/>
            <w:tcBorders>
              <w:top w:val="nil"/>
              <w:left w:val="nil"/>
              <w:bottom w:val="nil"/>
              <w:right w:val="nil"/>
            </w:tcBorders>
          </w:tcPr>
          <w:p w:rsidR="007A0039" w:rsidRPr="00EA7539" w:rsidRDefault="007A0039" w:rsidP="008F6778">
            <w:pPr>
              <w:pStyle w:val="Normal6a"/>
            </w:pPr>
            <w:r>
              <w:t>13.</w:t>
            </w:r>
            <w:r>
              <w:tab/>
              <w:t>jest zaniepokojony coraz większą liczbą ograniczeń prawnych, problemów z finansowaniem i ataków, którym muszą stawiać czoło organizacje społeczeństwa obywatelskiego i obrońcy praw człowieka; apeluje o sprzyjające i wspierające ramy dla społeczeństwa obywatelskiego oraz ponownie podkreśla, jak ważne jest przyjęcie dyrektywy w sprawie przeciwdziałania SLAPP i realizacja zalecenia Komisji (UE) 2022/758 dla ochrony organizacji społeczeństwa obywatelskiego;</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372</w:t>
      </w:r>
      <w:r>
        <w:rPr>
          <w:rStyle w:val="HideTWBExt"/>
        </w:rPr>
        <w:t>&lt;/NumAm&gt;</w:t>
      </w:r>
    </w:p>
    <w:p w:rsidR="007A0039" w:rsidRPr="00EA7539" w:rsidRDefault="007A0039" w:rsidP="007A0039">
      <w:pPr>
        <w:pStyle w:val="NormalBold"/>
      </w:pPr>
      <w:r>
        <w:rPr>
          <w:rStyle w:val="HideTWBExt"/>
          <w:b w:val="0"/>
        </w:rPr>
        <w:t>&lt;RepeatBlock-By&gt;&lt;Members&gt;</w:t>
      </w:r>
      <w:r>
        <w:t>Romana Tomc</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13.</w:t>
            </w:r>
            <w:r>
              <w:tab/>
              <w:t xml:space="preserve">jest zaniepokojony coraz większą liczbą ograniczeń prawnych, problemów z finansowaniem i ataków, którym muszą stawiać czoło organizacje społeczeństwa obywatelskiego i obrońcy praw człowieka; apeluje o sprzyjające i wspierające ramy dla społeczeństwa obywatelskiego oraz ponownie podkreśla, jak ważne jest przyjęcie dyrektywy w sprawie przeciwdziałania SLAPP i realizacja zalecenia Komisji (UE) 2022/758 dla ochrony organizacji społeczeństwa obywatelskiego; </w:t>
            </w:r>
            <w:r>
              <w:rPr>
                <w:b/>
                <w:i/>
              </w:rPr>
              <w:t>uważa, że Komisja i państwa członkowskie powinny zwiększyć finansowanie organizacji społeczeństwa obywatelskiego;</w:t>
            </w:r>
          </w:p>
        </w:tc>
        <w:tc>
          <w:tcPr>
            <w:tcW w:w="4876" w:type="dxa"/>
            <w:tcBorders>
              <w:top w:val="nil"/>
              <w:left w:val="nil"/>
              <w:bottom w:val="nil"/>
              <w:right w:val="nil"/>
            </w:tcBorders>
          </w:tcPr>
          <w:p w:rsidR="007A0039" w:rsidRPr="00EA7539" w:rsidRDefault="007A0039" w:rsidP="008F6778">
            <w:pPr>
              <w:pStyle w:val="Normal6a"/>
            </w:pPr>
            <w:r>
              <w:t>13.</w:t>
            </w:r>
            <w:r>
              <w:tab/>
              <w:t>jest zaniepokojony coraz większą liczbą ograniczeń prawnych, problemów z finansowaniem i ataków, którym muszą stawiać czoło organizacje społeczeństwa obywatelskiego i obrońcy praw człowieka</w:t>
            </w:r>
            <w:r>
              <w:rPr>
                <w:b/>
                <w:i/>
              </w:rPr>
              <w:t xml:space="preserve"> w niektórych państwach członkowskich</w:t>
            </w:r>
            <w:r>
              <w:t>; apeluje o sprzyjające i wspierające ramy dla społeczeństwa obywatelskiego oraz ponownie podkreśla, jak ważne jest przyjęcie dyrektywy w sprawie przeciwdziałania SLAPP i realizacja zalecenia Komisji (UE) 2022/758 dla ochrony organizacji społeczeństwa obywatelskiego;</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sidRPr="00EA7539">
        <w:rPr>
          <w:rStyle w:val="HideTWBExt"/>
        </w:rPr>
        <w:t>&lt;Amend&gt;</w:t>
      </w:r>
      <w:r w:rsidRPr="00EA7539">
        <w:t>Poprawka</w:t>
      </w:r>
      <w:r w:rsidRPr="00EA7539">
        <w:tab/>
      </w:r>
      <w:r w:rsidRPr="00EA7539">
        <w:tab/>
      </w:r>
      <w:r w:rsidRPr="00EA7539">
        <w:rPr>
          <w:rStyle w:val="HideTWBExt"/>
        </w:rPr>
        <w:t>&lt;NumAm&gt;</w:t>
      </w:r>
      <w:r w:rsidRPr="00EA7539">
        <w:t>373</w:t>
      </w:r>
      <w:r w:rsidRPr="00EA7539">
        <w:rPr>
          <w:rStyle w:val="HideTWBExt"/>
        </w:rPr>
        <w:t>&lt;/NumAm&gt;</w:t>
      </w:r>
    </w:p>
    <w:p w:rsidR="007A0039" w:rsidRPr="00EA7539" w:rsidRDefault="007A0039" w:rsidP="007A0039">
      <w:pPr>
        <w:pStyle w:val="NormalBold"/>
      </w:pPr>
      <w:r w:rsidRPr="00EA7539">
        <w:rPr>
          <w:rStyle w:val="HideTWBExt"/>
          <w:b w:val="0"/>
        </w:rPr>
        <w:t>&lt;RepeatBlock-By&gt;&lt;Members&gt;</w:t>
      </w:r>
      <w:r w:rsidRPr="00EA7539">
        <w:t>Mariusz Kamiński, Joachim Stanisław Brudziński, Jadwiga Wiśniewska, Maciej Wąsik, Jacek Ozdoba</w:t>
      </w:r>
      <w:r w:rsidRPr="00EA7539">
        <w:rPr>
          <w:rStyle w:val="HideTWBExt"/>
          <w:b w:val="0"/>
        </w:rPr>
        <w:t>&lt;/Members&gt;</w:t>
      </w:r>
    </w:p>
    <w:p w:rsidR="007A0039" w:rsidRPr="00EA7539" w:rsidRDefault="007A0039" w:rsidP="007A0039">
      <w:pPr>
        <w:pStyle w:val="NormalBold"/>
      </w:pPr>
      <w:r w:rsidRPr="00EA7539">
        <w:rPr>
          <w:rStyle w:val="HideTWBExt"/>
          <w:b w:val="0"/>
        </w:rPr>
        <w:t>&lt;/RepeatBlock-By&gt;</w:t>
      </w:r>
    </w:p>
    <w:p w:rsidR="007A0039" w:rsidRPr="00EA7539" w:rsidRDefault="007A0039" w:rsidP="007A0039">
      <w:pPr>
        <w:pStyle w:val="NormalBold"/>
      </w:pPr>
      <w:r w:rsidRPr="00EA7539">
        <w:rPr>
          <w:rStyle w:val="HideTWBExt"/>
        </w:rPr>
        <w:t>&lt;DocAmend&gt;</w:t>
      </w:r>
      <w:r w:rsidRPr="00EA7539">
        <w:t>Projekt rezolucji</w:t>
      </w:r>
      <w:r w:rsidRPr="00EA7539">
        <w:rPr>
          <w:rStyle w:val="HideTWBExt"/>
        </w:rPr>
        <w:t>&lt;/DocAmend&gt;</w:t>
      </w:r>
    </w:p>
    <w:p w:rsidR="007A0039" w:rsidRPr="00EA7539" w:rsidRDefault="007A0039" w:rsidP="007A0039">
      <w:pPr>
        <w:pStyle w:val="NormalBold"/>
      </w:pPr>
      <w:r w:rsidRPr="00EA7539">
        <w:rPr>
          <w:rStyle w:val="HideTWBExt"/>
        </w:rPr>
        <w:t>&lt;Article&gt;</w:t>
      </w:r>
      <w:r w:rsidRPr="00EA7539">
        <w:t>Ustęp 13</w:t>
      </w:r>
      <w:r w:rsidRPr="00EA7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RPr="00EA75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RPr="00EA75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rsidRPr="00EA7539">
              <w:t>Projekt rezolucji</w:t>
            </w:r>
          </w:p>
        </w:tc>
        <w:tc>
          <w:tcPr>
            <w:tcW w:w="4876" w:type="dxa"/>
            <w:tcBorders>
              <w:top w:val="nil"/>
              <w:left w:val="nil"/>
              <w:bottom w:val="nil"/>
              <w:right w:val="nil"/>
            </w:tcBorders>
          </w:tcPr>
          <w:p w:rsidR="007A0039" w:rsidRPr="00EA7539" w:rsidRDefault="007A0039" w:rsidP="008F6778">
            <w:pPr>
              <w:pStyle w:val="AmColumnHeading"/>
            </w:pPr>
            <w:r w:rsidRPr="00EA7539">
              <w:t>Poprawka</w:t>
            </w:r>
          </w:p>
        </w:tc>
      </w:tr>
      <w:tr w:rsidR="007A0039" w:rsidRPr="00EA7539" w:rsidTr="008F6778">
        <w:trPr>
          <w:jc w:val="center"/>
        </w:trPr>
        <w:tc>
          <w:tcPr>
            <w:tcW w:w="4876" w:type="dxa"/>
            <w:tcBorders>
              <w:top w:val="nil"/>
              <w:left w:val="nil"/>
              <w:bottom w:val="nil"/>
              <w:right w:val="nil"/>
            </w:tcBorders>
          </w:tcPr>
          <w:p w:rsidR="007A0039" w:rsidRPr="00EA7539" w:rsidRDefault="007A0039" w:rsidP="008F6778">
            <w:pPr>
              <w:pStyle w:val="Normal6a"/>
            </w:pPr>
            <w:r w:rsidRPr="00EA7539">
              <w:t>13.</w:t>
            </w:r>
            <w:r w:rsidRPr="00EA7539">
              <w:tab/>
              <w:t xml:space="preserve">jest zaniepokojony coraz większą liczbą ograniczeń prawnych, problemów z finansowaniem i ataków, którym muszą stawiać czoło organizacje społeczeństwa obywatelskiego i obrońcy praw człowieka; apeluje o sprzyjające i wspierające ramy dla społeczeństwa obywatelskiego oraz ponownie podkreśla, jak ważne jest przyjęcie dyrektywy w sprawie przeciwdziałania SLAPP i realizacja zalecenia Komisji (UE) 2022/758 dla ochrony organizacji społeczeństwa obywatelskiego; uważa, że Komisja i państwa członkowskie powinny zwiększyć </w:t>
            </w:r>
            <w:r w:rsidRPr="00EA7539">
              <w:rPr>
                <w:b/>
                <w:i/>
              </w:rPr>
              <w:t>finansowanie</w:t>
            </w:r>
            <w:r w:rsidRPr="00EA7539">
              <w:t xml:space="preserve"> organizacji społeczeństwa obywatelskiego;</w:t>
            </w:r>
          </w:p>
        </w:tc>
        <w:tc>
          <w:tcPr>
            <w:tcW w:w="4876" w:type="dxa"/>
            <w:tcBorders>
              <w:top w:val="nil"/>
              <w:left w:val="nil"/>
              <w:bottom w:val="nil"/>
              <w:right w:val="nil"/>
            </w:tcBorders>
          </w:tcPr>
          <w:p w:rsidR="007A0039" w:rsidRPr="00EA7539" w:rsidRDefault="007A0039" w:rsidP="008F6778">
            <w:pPr>
              <w:pStyle w:val="Normal6a"/>
            </w:pPr>
            <w:r w:rsidRPr="00EA7539">
              <w:t>13.</w:t>
            </w:r>
            <w:r w:rsidRPr="00EA7539">
              <w:tab/>
              <w:t xml:space="preserve">jest zaniepokojony coraz większą liczbą ograniczeń prawnych, problemów z finansowaniem i ataków, którym muszą stawiać czoło organizacje społeczeństwa obywatelskiego i obrońcy praw człowieka; apeluje o sprzyjające i wspierające ramy dla społeczeństwa obywatelskiego oraz ponownie podkreśla, jak ważne jest przyjęcie dyrektywy w sprawie przeciwdziałania SLAPP i realizacja zalecenia Komisji (UE) 2022/758 dla ochrony organizacji społeczeństwa obywatelskiego; uważa, że Komisja i państwa członkowskie powinny zwiększyć </w:t>
            </w:r>
            <w:r w:rsidRPr="00EA7539">
              <w:rPr>
                <w:b/>
                <w:i/>
              </w:rPr>
              <w:t>transparentność i jawność finansowania</w:t>
            </w:r>
            <w:r w:rsidRPr="00EA7539">
              <w:t xml:space="preserve"> organizacji społeczeństwa obywatelskiego;</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{PL}</w:t>
      </w:r>
      <w:r w:rsidRPr="00EA7539">
        <w:t>pl</w:t>
      </w:r>
      <w:r w:rsidRPr="00EA7539">
        <w:rPr>
          <w:rStyle w:val="HideTWBExt"/>
        </w:rPr>
        <w:t>&lt;/Original&gt;</w:t>
      </w:r>
    </w:p>
    <w:p w:rsidR="007A0039" w:rsidRPr="00EA7539" w:rsidRDefault="007A0039" w:rsidP="007A0039">
      <w:r w:rsidRPr="00EA7539">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374</w:t>
      </w:r>
      <w:r>
        <w:rPr>
          <w:rStyle w:val="HideTWBExt"/>
        </w:rPr>
        <w:t>&lt;/NumAm&gt;</w:t>
      </w:r>
    </w:p>
    <w:p w:rsidR="007A0039" w:rsidRPr="00EA7539" w:rsidRDefault="007A0039" w:rsidP="007A0039">
      <w:pPr>
        <w:pStyle w:val="NormalBold"/>
      </w:pPr>
      <w:r>
        <w:rPr>
          <w:rStyle w:val="HideTWBExt"/>
          <w:b w:val="0"/>
        </w:rPr>
        <w:t>&lt;RepeatBlock-By&gt;&lt;Members&gt;</w:t>
      </w:r>
      <w:r>
        <w:t>Sebastian Tynkkynen</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13.</w:t>
            </w:r>
            <w:r>
              <w:tab/>
              <w:t xml:space="preserve">jest zaniepokojony coraz większą liczbą ograniczeń prawnych, problemów z finansowaniem i ataków, którym muszą stawiać czoło organizacje społeczeństwa obywatelskiego i obrońcy praw człowieka; apeluje o sprzyjające i wspierające ramy dla społeczeństwa obywatelskiego oraz ponownie podkreśla, jak ważne jest przyjęcie dyrektywy w sprawie przeciwdziałania SLAPP i realizacja zalecenia Komisji (UE) 2022/758 dla ochrony organizacji społeczeństwa obywatelskiego; </w:t>
            </w:r>
            <w:r>
              <w:rPr>
                <w:b/>
                <w:i/>
              </w:rPr>
              <w:t>uważa</w:t>
            </w:r>
            <w:r>
              <w:t xml:space="preserve">, </w:t>
            </w:r>
            <w:r>
              <w:rPr>
                <w:b/>
                <w:i/>
              </w:rPr>
              <w:t>że Komisja i</w:t>
            </w:r>
            <w:r>
              <w:t xml:space="preserve"> państwa członkowskie </w:t>
            </w:r>
            <w:r>
              <w:rPr>
                <w:b/>
                <w:i/>
              </w:rPr>
              <w:t>powinny zwiększyć finansowanie</w:t>
            </w:r>
            <w:r>
              <w:t xml:space="preserve"> organizacji społeczeństwa obywatelskiego;</w:t>
            </w:r>
          </w:p>
        </w:tc>
        <w:tc>
          <w:tcPr>
            <w:tcW w:w="4876" w:type="dxa"/>
            <w:tcBorders>
              <w:top w:val="nil"/>
              <w:left w:val="nil"/>
              <w:bottom w:val="nil"/>
              <w:right w:val="nil"/>
            </w:tcBorders>
          </w:tcPr>
          <w:p w:rsidR="007A0039" w:rsidRPr="00EA7539" w:rsidRDefault="007A0039" w:rsidP="008F6778">
            <w:pPr>
              <w:pStyle w:val="Normal6a"/>
            </w:pPr>
            <w:r>
              <w:t>13.</w:t>
            </w:r>
            <w:r>
              <w:tab/>
              <w:t xml:space="preserve">jest zaniepokojony coraz większą liczbą ograniczeń prawnych, problemów z finansowaniem i ataków, którym muszą stawiać czoło organizacje społeczeństwa obywatelskiego i obrońcy praw człowieka; apeluje o sprzyjające i wspierające ramy dla społeczeństwa obywatelskiego oraz ponownie podkreśla, jak ważne jest przyjęcie dyrektywy w sprawie przeciwdziałania SLAPP i realizacja zalecenia Komisji (UE) 2022/758 dla ochrony organizacji społeczeństwa obywatelskiego; </w:t>
            </w:r>
            <w:r>
              <w:rPr>
                <w:b/>
                <w:i/>
              </w:rPr>
              <w:t>zaleca</w:t>
            </w:r>
            <w:r>
              <w:t xml:space="preserve">, </w:t>
            </w:r>
            <w:r>
              <w:rPr>
                <w:b/>
                <w:i/>
              </w:rPr>
              <w:t>aby</w:t>
            </w:r>
            <w:r>
              <w:t xml:space="preserve"> państwa członkowskie </w:t>
            </w:r>
            <w:r>
              <w:rPr>
                <w:b/>
                <w:i/>
              </w:rPr>
              <w:t>zbadały możliwości zwiększenia finansowania</w:t>
            </w:r>
            <w:r>
              <w:t xml:space="preserve"> organizacji społeczeństwa obywatelskiego;</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{FI}</w:t>
      </w:r>
      <w:r w:rsidRPr="00EA7539">
        <w:t>fi</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375</w:t>
      </w:r>
      <w:r>
        <w:rPr>
          <w:rStyle w:val="HideTWBExt"/>
        </w:rPr>
        <w:t>&lt;/NumAm&gt;</w:t>
      </w:r>
    </w:p>
    <w:p w:rsidR="007A0039" w:rsidRPr="00EA7539" w:rsidRDefault="007A0039" w:rsidP="007A0039">
      <w:pPr>
        <w:pStyle w:val="NormalBold"/>
      </w:pPr>
      <w:r>
        <w:rPr>
          <w:rStyle w:val="HideTWBExt"/>
          <w:b w:val="0"/>
        </w:rPr>
        <w:t>&lt;RepeatBlock-By&gt;&lt;Members&gt;</w:t>
      </w:r>
      <w:r>
        <w:t>Isabel Serra Sánchez</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13a.</w:t>
            </w:r>
            <w:r>
              <w:tab/>
            </w:r>
            <w:r>
              <w:rPr>
                <w:b/>
                <w:i/>
              </w:rPr>
              <w:t>potępia fakt, że w niektórych państwach członkowskich władze stosowały nieproporcjonalne środki, takie jak prewencyjny zakaz zgromadzeń publicznych w solidarności z Palestyną ze względu na ryzyko dla „porządku publicznego” i „bezpieczeństwa” oraz używanie nadmiernej siły i zatrzymywanie demonstrantów, a także zrównywanie uzasadnionej krytyki władz izraelskich z antysemityzmem, co wywołało efekt mrożący; zaznacza, że w niektórych przypadkach odwołano się od zakazów, a sądy orzekły przeciwko zakazowi protestów w solidarności z Palestyną; potępia, na najwyższym szczeblu politycznym, bezprawne ograniczenia prawa do wolności pokojowych zgromadzeń i wolności słowa; wzywa Komisję, aby odniosła się do tych ograniczeń w rocznym cyklu sprawozdawczym dotyczącym praworządności i zaleciła państwom członkowskich stałe respektowanie prawa do pokojowych zgromadzeń zgodnie z prawem międzynarodowym;</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376</w:t>
      </w:r>
      <w:r>
        <w:rPr>
          <w:rStyle w:val="HideTWBExt"/>
        </w:rPr>
        <w:t>&lt;/NumAm&gt;</w:t>
      </w:r>
    </w:p>
    <w:p w:rsidR="007A0039" w:rsidRPr="00EA7539" w:rsidRDefault="007A0039" w:rsidP="007A0039">
      <w:pPr>
        <w:pStyle w:val="NormalBold"/>
      </w:pPr>
      <w:r>
        <w:rPr>
          <w:rStyle w:val="HideTWBExt"/>
          <w:b w:val="0"/>
        </w:rPr>
        <w:t>&lt;RepeatBlock-By&gt;&lt;Members&gt;</w:t>
      </w:r>
      <w:r>
        <w:t>Michał Wawrykiewicz, Ana Catarina Mendes, Moritz Körner, Sophie Wilmès</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Śródtytuł 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zaznacza, że wysiłki społeczeństwa obywatelskiego na rzecz promowania wartości demokratycznych i praworządności powinny być uzupełniane publicznymi kampaniami edukacyjnymi podkreślającymi znaczenie wolnych i niezależnych sądów dla sprawiedliwości, uczciwości i rozliczalności; podkreśla, że uświadamianie obywatelom podstawowej roli sądownictwa w przestrzeganiu zasad demokratycznych, zapobieganiu nadużyciom władzy i ochronie praw obywateli ma zasadnicze znaczenie dla promowania kultury poszanowania praworządności; wzywa państwa członkowskie, aby udzielały organizacjom społeczeństwa obywatelskiego wsparcia opracowywaniu i rozpowszechnianiu inicjatyw edukacyjnych w celu zapewnienia szerokiego zasięgu i dostępności;</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377</w:t>
      </w:r>
      <w:r>
        <w:rPr>
          <w:rStyle w:val="HideTWBExt"/>
        </w:rPr>
        <w:t>&lt;/NumAm&gt;</w:t>
      </w:r>
    </w:p>
    <w:p w:rsidR="007A0039" w:rsidRPr="00EA7539" w:rsidRDefault="007A0039" w:rsidP="007A0039">
      <w:pPr>
        <w:pStyle w:val="NormalBold"/>
      </w:pPr>
      <w:r>
        <w:rPr>
          <w:rStyle w:val="HideTWBExt"/>
          <w:b w:val="0"/>
        </w:rPr>
        <w:t>&lt;RepeatBlock-By&gt;&lt;Members&gt;</w:t>
      </w:r>
      <w:r>
        <w:t>Marco Tarquinio, Alessandro Zan, Damien Carême, Mélissa Camara</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13a.</w:t>
            </w:r>
            <w:r>
              <w:tab/>
            </w:r>
            <w:r>
              <w:rPr>
                <w:b/>
                <w:i/>
              </w:rPr>
              <w:t>ostrzega, że kurczy się przestrzeń społeczeństwa obywatelskiego dla organizacji antyrasistowskich i obrońców praw człowieka w niektórych państwach członkowskich, gdzie dotykają ich ograniczenia prawne i finansowe, zawieszanie finansowania, kampanie oszczerstw i zastraszanie; wzywa Komisję, aby w sprawozdaniach na temat praworządności uwzględniała monitorowanie organizacji społeczeństwa obywatelskiego zajmujących się przeciwdziałaniem rasizmowi oraz wspierała ich pracę poprzez zwiększenie i zapewnienie finansowania unijnego na rzecz takich organizacji;</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378</w:t>
      </w:r>
      <w:r>
        <w:rPr>
          <w:rStyle w:val="HideTWBExt"/>
        </w:rPr>
        <w:t>&lt;/NumAm&gt;</w:t>
      </w:r>
    </w:p>
    <w:p w:rsidR="007A0039" w:rsidRPr="00EA7539" w:rsidRDefault="007A0039" w:rsidP="007A0039">
      <w:pPr>
        <w:pStyle w:val="NormalBold"/>
      </w:pPr>
      <w:r>
        <w:rPr>
          <w:rStyle w:val="HideTWBExt"/>
          <w:b w:val="0"/>
        </w:rPr>
        <w:t>&lt;RepeatBlock-By&gt;&lt;Members&gt;</w:t>
      </w:r>
      <w:r>
        <w:t>Evin Incir</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13a.</w:t>
            </w:r>
            <w:r>
              <w:tab/>
            </w:r>
            <w:r>
              <w:rPr>
                <w:b/>
                <w:i/>
              </w:rPr>
              <w:t>z zaniepokojeniem zauważa, że przeprowadzone w Szwecji reformy ram prawnych finansowania organizacji społeczeństwa obywatelskiego i funkcjonowania tych organizacji niekorzystnie odbijają się na poziomie zaangażowania społeczeństwa obywatelskiego. podkreśla, że dobrze funkcjonujące społeczeństwo obywatelskie stanowi integralną część społeczeństwa demokratycznego; wzywa rząd Szwecji, aby stworzył otwartą przestrzeń umożliwiającą pracę społeczeństwa obywatelskiego i obrońców praw człowieka oraz usunął nieuzasadnione ograniczenia finansowania i działalności;</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379</w:t>
      </w:r>
      <w:r>
        <w:rPr>
          <w:rStyle w:val="HideTWBExt"/>
        </w:rPr>
        <w:t>&lt;/NumAm&gt;</w:t>
      </w:r>
    </w:p>
    <w:p w:rsidR="007A0039" w:rsidRPr="00EA7539" w:rsidRDefault="007A0039" w:rsidP="007A0039">
      <w:pPr>
        <w:pStyle w:val="NormalBold"/>
      </w:pPr>
      <w:r>
        <w:rPr>
          <w:rStyle w:val="HideTWBExt"/>
          <w:b w:val="0"/>
        </w:rPr>
        <w:t>&lt;RepeatBlock-By&gt;&lt;Members&gt;</w:t>
      </w:r>
      <w:r>
        <w:t>Marieke Ehlers, Jorge Buxadé Villalba, Tom Vandendriessche, Fabrice Leggeri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13a.</w:t>
            </w:r>
            <w:r>
              <w:tab/>
            </w:r>
            <w:r>
              <w:rPr>
                <w:b/>
                <w:i/>
              </w:rPr>
              <w:t>wyraża głębokie zaniepokojenie brakiem przejrzystości organizacji społeczeństwa obywatelskiego, zwłaszcza w odniesieniu do ich finansowania; przypomina, że w sprawozdaniu specjalnym nr 35/2018 Europejskiego Trybunału Obrachunkowego podkreślono brak przejrzystości unijnych środków finansowych wykorzystywanych przez organizacje społeczeństwa obywatelskiego oraz wynikające z tego ryzyko prania pieniędzy i finansowania terroryzmu za pośrednictwem organizacji typu non profit;</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380</w:t>
      </w:r>
      <w:r>
        <w:rPr>
          <w:rStyle w:val="HideTWBExt"/>
        </w:rPr>
        <w:t>&lt;/NumAm&gt;</w:t>
      </w:r>
    </w:p>
    <w:p w:rsidR="007A0039" w:rsidRPr="00EA7539" w:rsidRDefault="007A0039" w:rsidP="007A0039">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Michał Wawrykiewicz, Cecilia Strada</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13a.</w:t>
            </w:r>
            <w:r>
              <w:tab/>
            </w:r>
            <w:r>
              <w:rPr>
                <w:b/>
                <w:i/>
              </w:rPr>
              <w:t>zdecydowanie potępia stosowanie „ustaw o agentach zagranicznych” i zauważa, że tłumią one sprzeciw publiczny, nękają organizacje społeczeństwa obywatelskiego i ograniczają ich zdolność do swobodnego działania; wpływa to mrożąco na społeczeństwo obywatelskie i obrońców praw człowieka;</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381</w:t>
      </w:r>
      <w:r>
        <w:rPr>
          <w:rStyle w:val="HideTWBExt"/>
        </w:rPr>
        <w:t>&lt;/NumAm&gt;</w:t>
      </w:r>
    </w:p>
    <w:p w:rsidR="007A0039" w:rsidRPr="00EA7539" w:rsidRDefault="007A0039" w:rsidP="007A0039">
      <w:pPr>
        <w:pStyle w:val="NormalBold"/>
      </w:pPr>
      <w:r>
        <w:rPr>
          <w:rStyle w:val="HideTWBExt"/>
          <w:b w:val="0"/>
        </w:rPr>
        <w:t>&lt;RepeatBlock-By&gt;&lt;Members&gt;</w:t>
      </w:r>
      <w:r>
        <w:t>Erik Kaliňák</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13a.</w:t>
            </w:r>
            <w:r>
              <w:tab/>
            </w:r>
            <w:r>
              <w:rPr>
                <w:b/>
                <w:i/>
              </w:rPr>
              <w:t>wzywa Komisję, by unikała wszelkich działań mających zobowiązywać organizacje pozarządowe do działalności lobbingowej skierowanej do konkretnych posłów do Parlamentu Europejskiego lub konkretnych służb Komisji;</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{SK}</w:t>
      </w:r>
      <w:r w:rsidRPr="00EA7539">
        <w:t>sk</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382</w:t>
      </w:r>
      <w:r>
        <w:rPr>
          <w:rStyle w:val="HideTWBExt"/>
        </w:rPr>
        <w:t>&lt;/NumAm&gt;</w:t>
      </w:r>
    </w:p>
    <w:p w:rsidR="007A0039" w:rsidRPr="00EA7539" w:rsidRDefault="007A0039" w:rsidP="007A0039">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Michał Wawrykiewicz, Cecilia Strada</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13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13b.</w:t>
            </w:r>
            <w:r>
              <w:tab/>
            </w:r>
            <w:r>
              <w:rPr>
                <w:b/>
                <w:i/>
              </w:rPr>
              <w:t>zaznacza, że organizacje społeczeństwa obywatelskiego, w tym organizacje dbające o praworządność i demokrację, ochronę grup zmarginalizowanych, ochronę środowiska i sprawiedliwość społeczną, odgrywają kluczową rolę w poszanowaniu praworządności i powinny być chronione przed nieuzasadnionymi restrykcjami czy zastraszaniem; podkreśla ponadto, że istotne jest, aby Unia Europejska wspierała działalność tych organizacji odpowiednimi środkami finansowymi, szczególnie zważywszy na rosnące wyzwania, takie jak kurczenie się przestrzeni społeczeństwa obywatelskiego i rosnące obciążenia administracyjne; uznaje, że wystarczające finansowanie jest niezbędne, aby organizacje te skutecznie przyczyniały się do propagowania demokracji, praw człowieka i sprawiedliwości społecznej – wartości zagwarantowanych w traktatach – w państwach członkowskich;</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383</w:t>
      </w:r>
      <w:r>
        <w:rPr>
          <w:rStyle w:val="HideTWBExt"/>
        </w:rPr>
        <w:t>&lt;/NumAm&gt;</w:t>
      </w:r>
    </w:p>
    <w:p w:rsidR="007A0039" w:rsidRPr="00EA7539" w:rsidRDefault="007A0039" w:rsidP="007A0039">
      <w:pPr>
        <w:pStyle w:val="NormalBold"/>
      </w:pPr>
      <w:r>
        <w:rPr>
          <w:rStyle w:val="HideTWBExt"/>
          <w:b w:val="0"/>
        </w:rPr>
        <w:t>&lt;RepeatBlock-By&gt;&lt;Members&gt;</w:t>
      </w:r>
      <w:r>
        <w:t>Isabel Serra Sánchez</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13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13b.</w:t>
            </w:r>
            <w:r>
              <w:tab/>
            </w:r>
            <w:r>
              <w:rPr>
                <w:b/>
                <w:i/>
              </w:rPr>
              <w:t>potępia fakt, że Francja i Hiszpania wykorzystują przepisy antyterrorystyczne do kryminalizacji działaczy na rzecz praw człowieka okazujących solidarność z Palestyną; zaznacza, że ograniczenia wolności słowa muszą być ściśle niezbędne do ochrony bezpieczeństwa narodowego i proporcjonalne do zamierzonego uzasadnionego celu oraz że przepisy antyterrorystyczne powinny mieć zastosowanie wyłącznie do treści lub działań, które koniecznie i bezpośrednio implikują użycie lub groźbę użycia przemocy, których celem jest szerzenie strachu w celu wywołanie lęku i zastraszenie;</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384</w:t>
      </w:r>
      <w:r>
        <w:rPr>
          <w:rStyle w:val="HideTWBExt"/>
        </w:rPr>
        <w:t>&lt;/NumAm&gt;</w:t>
      </w:r>
    </w:p>
    <w:p w:rsidR="007A0039" w:rsidRPr="00EA7539" w:rsidRDefault="007A0039" w:rsidP="007A0039">
      <w:pPr>
        <w:pStyle w:val="NormalBold"/>
      </w:pPr>
      <w:r>
        <w:rPr>
          <w:rStyle w:val="HideTWBExt"/>
          <w:b w:val="0"/>
        </w:rPr>
        <w:t>&lt;RepeatBlock-By&gt;&lt;Members&gt;</w:t>
      </w:r>
      <w:r>
        <w:t>Moritz Körner, Hilde Vautmans, Nikola Minchev, Veronika Cifrová Ostrihoňová, Chloé Ridel, Abir Al-Sahlani, Alessandro Zan, Fabienne Keller, Lucia Yar, Irena Joveva, Daniel Freund</w:t>
      </w:r>
      <w:r>
        <w:rPr>
          <w:rStyle w:val="HideTWBExt"/>
          <w:b w:val="0"/>
        </w:rPr>
        <w:t>&lt;/Members&gt;</w:t>
      </w:r>
    </w:p>
    <w:p w:rsidR="007A0039" w:rsidRPr="00EA7539" w:rsidRDefault="007A0039" w:rsidP="007A0039">
      <w:r>
        <w:rPr>
          <w:rStyle w:val="HideTWBExt"/>
        </w:rPr>
        <w:t>&lt;AuNomDe&gt;</w:t>
      </w:r>
      <w:r>
        <w:rPr>
          <w:rStyle w:val="HideTWBInt"/>
        </w:rPr>
        <w:t>{LIBE}</w:t>
      </w:r>
      <w:r>
        <w:t>w imieniu Komisji Wolności Obywatelskich, Sprawiedliwości i Spraw Wewnętrznych</w:t>
      </w:r>
      <w:r>
        <w:rPr>
          <w:rStyle w:val="HideTWBExt"/>
        </w:rPr>
        <w:t>&lt;/AuNomDe&gt;</w:t>
      </w:r>
    </w:p>
    <w:p w:rsidR="007A0039" w:rsidRPr="00EA7539" w:rsidRDefault="007A0039" w:rsidP="007A0039">
      <w:pPr>
        <w:pStyle w:val="NormalBold"/>
      </w:pPr>
      <w:r>
        <w:rPr>
          <w:rStyle w:val="HideTWBExt"/>
          <w:b w:val="0"/>
        </w:rPr>
        <w:t>&lt;Members&gt;</w:t>
      </w:r>
      <w:r>
        <w:t>Sophie Wilmès</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13a.</w:t>
            </w:r>
            <w:r>
              <w:tab/>
            </w:r>
            <w:r>
              <w:rPr>
                <w:b/>
                <w:i/>
              </w:rPr>
              <w:t>wzywa państwa członkowskie do wzmocnienia niezależności krajowych organów nadzoru, aby zapewnić im zasoby i zagwarantować wolność od ingerencji politycznych; podkreśla znaczenie społeczeństwa obywatelskiego i obrońców praw człowieka, jeśli chodzi o propagowanie rozliczalności i ochronę praw podstawowych; ubolewa nad ograniczeniami działalności społeczeństwa obywatelskiego w niektórych państwach członkowskich;</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385</w:t>
      </w:r>
      <w:r>
        <w:rPr>
          <w:rStyle w:val="HideTWBExt"/>
        </w:rPr>
        <w:t>&lt;/NumAm&gt;</w:t>
      </w:r>
    </w:p>
    <w:p w:rsidR="007A0039" w:rsidRPr="00EA7539" w:rsidRDefault="007A0039" w:rsidP="007A0039">
      <w:pPr>
        <w:pStyle w:val="NormalBold"/>
      </w:pPr>
      <w:r>
        <w:rPr>
          <w:rStyle w:val="HideTWBExt"/>
          <w:b w:val="0"/>
        </w:rPr>
        <w:t>&lt;RepeatBlock-By&gt;&lt;Members&gt;</w:t>
      </w:r>
      <w:r>
        <w:t>Alessandro Zan, Cecilia Strada, Sandro Ruotolo, Pina Picierno, Marco Tarquinio</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Śródtytuł 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zdecydowanie podkreśla, że praworządność jest warunkiem wstępnym prawidłowego funkcjonowania naszych demokracji i ochrony praw podstawowych; ubolewa nad brakiem postępów w polityce równości i niedyskryminacji w niektórych państwach członkowskich; potępia rosnącą dyskryminację, nienawiść i przemoc wobec określonych grup osób w różnych państwach członkowskich, szczególnie we Włoszech, na Węgrzech, w Słowacji, w Bułgarii i w Rumunii;</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386</w:t>
      </w:r>
      <w:r>
        <w:rPr>
          <w:rStyle w:val="HideTWBExt"/>
        </w:rPr>
        <w:t>&lt;/NumAm&gt;</w:t>
      </w:r>
    </w:p>
    <w:p w:rsidR="007A0039" w:rsidRPr="00EA7539" w:rsidRDefault="007A0039" w:rsidP="007A0039">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14.</w:t>
            </w:r>
            <w:r>
              <w:tab/>
              <w:t>przypomina, że ramy prawne państw członkowskich muszą zapewniać równe traktowanie wobec prawa oraz propagować równość i prawo osób fizycznych do niedyskryminacji w postępowaniach sądowych; wzywa Komisję do podjęcia działań w przypadku nieprzestrzegania tych zasad; uważa, że praktyki dyskryminacyjne nie powinny utrudniać swobodnego przepływu osób w UE;</w:t>
            </w:r>
          </w:p>
        </w:tc>
        <w:tc>
          <w:tcPr>
            <w:tcW w:w="4876" w:type="dxa"/>
            <w:tcBorders>
              <w:top w:val="nil"/>
              <w:left w:val="nil"/>
              <w:bottom w:val="nil"/>
              <w:right w:val="nil"/>
            </w:tcBorders>
          </w:tcPr>
          <w:p w:rsidR="007A0039" w:rsidRPr="00EA7539" w:rsidRDefault="007A0039" w:rsidP="008F6778">
            <w:pPr>
              <w:pStyle w:val="Normal6a"/>
            </w:pPr>
            <w:r>
              <w:t>14.</w:t>
            </w:r>
            <w:r>
              <w:tab/>
            </w:r>
            <w:r>
              <w:rPr>
                <w:b/>
                <w:i/>
              </w:rPr>
              <w:t>zdecydowanie podkreśla, że praworządność jest warunkiem wstępnym prawidłowego funkcjonowania naszych demokracji i ochrony praw jednostki na podstawie art. 2 TUE;</w:t>
            </w:r>
            <w:r>
              <w:t xml:space="preserve"> przypomina, że ramy prawne państw członkowskich muszą zapewniać równe traktowanie wobec prawa oraz propagować równość i prawo osób fizycznych do niedyskryminacji w postępowaniach sądowych; wzywa Komisję do podjęcia działań w przypadku nieprzestrzegania tych zasad; uważa, że praktyki dyskryminacyjne nie powinny utrudniać swobodnego przepływu osób w UE</w:t>
            </w:r>
            <w:r>
              <w:rPr>
                <w:b/>
                <w:i/>
              </w:rPr>
              <w:t>, prawa do swobodnego pobytu na terytorium UE i do łączenia rodzin, a wszyscy obywatele powinni mieć równe prawa i w pełni z nich korzystać, a także wzywa wszystkie państwa członkowskie do prawnego uznania związków partnerskich osób tej samej płci</w:t>
            </w:r>
            <w:r>
              <w:t>;</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387</w:t>
      </w:r>
      <w:r>
        <w:rPr>
          <w:rStyle w:val="HideTWBExt"/>
        </w:rPr>
        <w:t>&lt;/NumAm&gt;</w:t>
      </w:r>
    </w:p>
    <w:p w:rsidR="007A0039" w:rsidRPr="00EA7539" w:rsidRDefault="007A0039" w:rsidP="007A0039">
      <w:pPr>
        <w:pStyle w:val="NormalBold"/>
      </w:pPr>
      <w:r>
        <w:rPr>
          <w:rStyle w:val="HideTWBExt"/>
          <w:b w:val="0"/>
        </w:rPr>
        <w:t>&lt;RepeatBlock-By&gt;&lt;Members&gt;</w:t>
      </w:r>
      <w:r>
        <w:t>Sebastian Tynkkynen</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14.</w:t>
            </w:r>
            <w:r>
              <w:tab/>
              <w:t>przypomina, że ramy prawne państw członkowskich muszą zapewniać równe traktowanie wobec prawa oraz propagować równość i prawo osób fizycznych do niedyskryminacji w postępowaniach sądowych; wzywa Komisję do podjęcia działań w przypadku nieprzestrzegania tych zasad; uważa, że praktyki dyskryminacyjne nie powinny utrudniać swobodnego przepływu osób w UE;</w:t>
            </w:r>
          </w:p>
        </w:tc>
        <w:tc>
          <w:tcPr>
            <w:tcW w:w="4876" w:type="dxa"/>
            <w:tcBorders>
              <w:top w:val="nil"/>
              <w:left w:val="nil"/>
              <w:bottom w:val="nil"/>
              <w:right w:val="nil"/>
            </w:tcBorders>
          </w:tcPr>
          <w:p w:rsidR="007A0039" w:rsidRPr="00EA7539" w:rsidRDefault="007A0039" w:rsidP="008F6778">
            <w:pPr>
              <w:pStyle w:val="Normal6a"/>
            </w:pPr>
            <w:r>
              <w:t>14.</w:t>
            </w:r>
            <w:r>
              <w:tab/>
              <w:t xml:space="preserve">przypomina, że ramy prawne państw członkowskich muszą zapewniać równe traktowanie wobec prawa oraz propagować równość i prawo osób fizycznych do niedyskryminacji w postępowaniach sądowych; wzywa Komisję do podjęcia działań w przypadku nieprzestrzegania tych zasad; uważa, że praktyki dyskryminacyjne nie powinny utrudniać swobodnego przepływu osób w UE; </w:t>
            </w:r>
            <w:r>
              <w:rPr>
                <w:b/>
                <w:i/>
              </w:rPr>
              <w:t>podkreśla, że w przypadku zagrożenia bezpieczeństwa narodowego, np. instrumentalizacji migracji, państwa członkowskie muszą mieć możliwość wprowadzania procedur nadzwyczajnych, w tym ograniczeń mobilności transgranicznej;</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{FI}</w:t>
      </w:r>
      <w:r w:rsidRPr="00EA7539">
        <w:t>fi</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sidRPr="00EA7539">
        <w:rPr>
          <w:rStyle w:val="HideTWBExt"/>
        </w:rPr>
        <w:t>&lt;Amend&gt;</w:t>
      </w:r>
      <w:r w:rsidRPr="00EA7539">
        <w:t>Poprawka</w:t>
      </w:r>
      <w:r w:rsidRPr="00EA7539">
        <w:tab/>
      </w:r>
      <w:r w:rsidRPr="00EA7539">
        <w:tab/>
      </w:r>
      <w:r w:rsidRPr="00EA7539">
        <w:rPr>
          <w:rStyle w:val="HideTWBExt"/>
        </w:rPr>
        <w:t>&lt;NumAm&gt;</w:t>
      </w:r>
      <w:r w:rsidRPr="00EA7539">
        <w:t>388</w:t>
      </w:r>
      <w:r w:rsidRPr="00EA7539">
        <w:rPr>
          <w:rStyle w:val="HideTWBExt"/>
        </w:rPr>
        <w:t>&lt;/NumAm&gt;</w:t>
      </w:r>
    </w:p>
    <w:p w:rsidR="007A0039" w:rsidRPr="00EA7539" w:rsidRDefault="007A0039" w:rsidP="007A0039">
      <w:pPr>
        <w:pStyle w:val="NormalBold"/>
      </w:pPr>
      <w:r w:rsidRPr="00EA7539">
        <w:rPr>
          <w:rStyle w:val="HideTWBExt"/>
          <w:b w:val="0"/>
        </w:rPr>
        <w:t>&lt;RepeatBlock-By&gt;&lt;Members&gt;</w:t>
      </w:r>
      <w:r w:rsidRPr="00EA7539">
        <w:t>Mariusz Kamiński, Joachim Stanisław Brudziński, Jadwiga Wiśniewska, Maciej Wąsik, Jacek Ozdoba</w:t>
      </w:r>
      <w:r w:rsidRPr="00EA7539">
        <w:rPr>
          <w:rStyle w:val="HideTWBExt"/>
          <w:b w:val="0"/>
        </w:rPr>
        <w:t>&lt;/Members&gt;</w:t>
      </w:r>
    </w:p>
    <w:p w:rsidR="007A0039" w:rsidRPr="00EA7539" w:rsidRDefault="007A0039" w:rsidP="007A0039">
      <w:pPr>
        <w:pStyle w:val="NormalBold"/>
      </w:pPr>
      <w:r w:rsidRPr="00EA7539">
        <w:rPr>
          <w:rStyle w:val="HideTWBExt"/>
          <w:b w:val="0"/>
        </w:rPr>
        <w:t>&lt;/RepeatBlock-By&gt;</w:t>
      </w:r>
    </w:p>
    <w:p w:rsidR="007A0039" w:rsidRPr="00EA7539" w:rsidRDefault="007A0039" w:rsidP="007A0039">
      <w:pPr>
        <w:pStyle w:val="NormalBold"/>
      </w:pPr>
      <w:r w:rsidRPr="00EA7539">
        <w:rPr>
          <w:rStyle w:val="HideTWBExt"/>
        </w:rPr>
        <w:t>&lt;DocAmend&gt;</w:t>
      </w:r>
      <w:r w:rsidRPr="00EA7539">
        <w:t>Projekt rezolucji</w:t>
      </w:r>
      <w:r w:rsidRPr="00EA7539">
        <w:rPr>
          <w:rStyle w:val="HideTWBExt"/>
        </w:rPr>
        <w:t>&lt;/DocAmend&gt;</w:t>
      </w:r>
    </w:p>
    <w:p w:rsidR="007A0039" w:rsidRPr="00EA7539" w:rsidRDefault="007A0039" w:rsidP="007A0039">
      <w:pPr>
        <w:pStyle w:val="NormalBold"/>
      </w:pPr>
      <w:r w:rsidRPr="00EA7539">
        <w:rPr>
          <w:rStyle w:val="HideTWBExt"/>
        </w:rPr>
        <w:t>&lt;Article&gt;</w:t>
      </w:r>
      <w:r w:rsidRPr="00EA7539">
        <w:t>Ustęp 14</w:t>
      </w:r>
      <w:r w:rsidRPr="00EA7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RPr="00EA75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RPr="00EA75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rsidRPr="00EA7539">
              <w:t>Projekt rezolucji</w:t>
            </w:r>
          </w:p>
        </w:tc>
        <w:tc>
          <w:tcPr>
            <w:tcW w:w="4876" w:type="dxa"/>
            <w:tcBorders>
              <w:top w:val="nil"/>
              <w:left w:val="nil"/>
              <w:bottom w:val="nil"/>
              <w:right w:val="nil"/>
            </w:tcBorders>
          </w:tcPr>
          <w:p w:rsidR="007A0039" w:rsidRPr="00EA7539" w:rsidRDefault="007A0039" w:rsidP="008F6778">
            <w:pPr>
              <w:pStyle w:val="AmColumnHeading"/>
            </w:pPr>
            <w:r w:rsidRPr="00EA7539">
              <w:t>Poprawka</w:t>
            </w:r>
          </w:p>
        </w:tc>
      </w:tr>
      <w:tr w:rsidR="007A0039" w:rsidRPr="00EA7539" w:rsidTr="008F6778">
        <w:trPr>
          <w:jc w:val="center"/>
        </w:trPr>
        <w:tc>
          <w:tcPr>
            <w:tcW w:w="4876" w:type="dxa"/>
            <w:tcBorders>
              <w:top w:val="nil"/>
              <w:left w:val="nil"/>
              <w:bottom w:val="nil"/>
              <w:right w:val="nil"/>
            </w:tcBorders>
          </w:tcPr>
          <w:p w:rsidR="007A0039" w:rsidRPr="00EA7539" w:rsidRDefault="007A0039" w:rsidP="008F6778">
            <w:pPr>
              <w:pStyle w:val="Normal6a"/>
            </w:pPr>
            <w:r w:rsidRPr="00EA7539">
              <w:t>14.</w:t>
            </w:r>
            <w:r w:rsidRPr="00EA7539">
              <w:tab/>
              <w:t>przypomina, że ramy prawne państw członkowskich muszą zapewniać równe traktowanie wobec prawa oraz propagować równość i prawo osób fizycznych do niedyskryminacji w postępowaniach sądowych; wzywa Komisję do podjęcia działań w przypadku nieprzestrzegania tych zasad; uważa, że praktyki dyskryminacyjne nie powinny utrudniać swobodnego przepływu osób w UE;</w:t>
            </w:r>
          </w:p>
        </w:tc>
        <w:tc>
          <w:tcPr>
            <w:tcW w:w="4876" w:type="dxa"/>
            <w:tcBorders>
              <w:top w:val="nil"/>
              <w:left w:val="nil"/>
              <w:bottom w:val="nil"/>
              <w:right w:val="nil"/>
            </w:tcBorders>
          </w:tcPr>
          <w:p w:rsidR="007A0039" w:rsidRPr="00EA7539" w:rsidRDefault="007A0039" w:rsidP="008F6778">
            <w:pPr>
              <w:pStyle w:val="Normal6a"/>
            </w:pPr>
            <w:r w:rsidRPr="00EA7539">
              <w:t>14.</w:t>
            </w:r>
            <w:r w:rsidRPr="00EA7539">
              <w:tab/>
              <w:t xml:space="preserve">przypomina, że ramy prawne państw członkowskich muszą zapewniać równe traktowanie wobec prawa oraz propagować równość i prawo osób fizycznych do niedyskryminacji w postępowaniach sądowych; wzywa Komisję do podjęcia działań w przypadku nieprzestrzegania tych zasad; uważa, że praktyki dyskryminacyjne nie powinny utrudniać swobodnego przepływu osób w UE; </w:t>
            </w:r>
            <w:r w:rsidRPr="00EA7539">
              <w:rPr>
                <w:b/>
                <w:i/>
              </w:rPr>
              <w:t>wzywa Komisję do zbadania, czy ograniczenia wewnątrz strefy Schengen, w tym mające faktycznie stały charakter kontrole na granicach Niemiec, nie mają charakteru profilowania narodowościowego;</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{PL}</w:t>
      </w:r>
      <w:r w:rsidRPr="00EA7539">
        <w:t>pl</w:t>
      </w:r>
      <w:r w:rsidRPr="00EA7539">
        <w:rPr>
          <w:rStyle w:val="HideTWBExt"/>
        </w:rPr>
        <w:t>&lt;/Original&gt;</w:t>
      </w:r>
    </w:p>
    <w:p w:rsidR="007A0039" w:rsidRPr="00EA7539" w:rsidRDefault="007A0039" w:rsidP="007A0039">
      <w:r w:rsidRPr="00EA7539">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389</w:t>
      </w:r>
      <w:r>
        <w:rPr>
          <w:rStyle w:val="HideTWBExt"/>
        </w:rPr>
        <w:t>&lt;/NumAm&gt;</w:t>
      </w:r>
    </w:p>
    <w:p w:rsidR="007A0039" w:rsidRPr="00EA7539" w:rsidRDefault="007A0039" w:rsidP="007A0039">
      <w:pPr>
        <w:pStyle w:val="NormalBold"/>
      </w:pPr>
      <w:r>
        <w:rPr>
          <w:rStyle w:val="HideTWBExt"/>
          <w:b w:val="0"/>
        </w:rPr>
        <w:t>&lt;RepeatBlock-By&gt;&lt;Members&gt;</w:t>
      </w:r>
      <w:r>
        <w:t>Nicolas Bay</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14.</w:t>
            </w:r>
            <w:r>
              <w:tab/>
              <w:t xml:space="preserve">przypomina, że ramy prawne państw członkowskich muszą zapewniać równe traktowanie wobec prawa oraz propagować równość i prawo osób fizycznych do niedyskryminacji w postępowaniach sądowych; </w:t>
            </w:r>
            <w:r>
              <w:rPr>
                <w:b/>
                <w:i/>
              </w:rPr>
              <w:t>wzywa Komisję do podjęcia działań w przypadku nieprzestrzegania tych zasad; uważa, że praktyki dyskryminacyjne nie powinny utrudniać swobodnego przepływu osób w UE;</w:t>
            </w:r>
          </w:p>
        </w:tc>
        <w:tc>
          <w:tcPr>
            <w:tcW w:w="4876" w:type="dxa"/>
            <w:tcBorders>
              <w:top w:val="nil"/>
              <w:left w:val="nil"/>
              <w:bottom w:val="nil"/>
              <w:right w:val="nil"/>
            </w:tcBorders>
          </w:tcPr>
          <w:p w:rsidR="007A0039" w:rsidRPr="00EA7539" w:rsidRDefault="007A0039" w:rsidP="008F6778">
            <w:pPr>
              <w:pStyle w:val="Normal6a"/>
            </w:pPr>
            <w:r>
              <w:t>14.</w:t>
            </w:r>
            <w:r>
              <w:tab/>
              <w:t>przypomina, że ramy prawne państw członkowskich muszą zapewniać równe traktowanie wobec prawa oraz propagować równość i prawo osób fizycznych do niedyskryminacji w postępowaniach sądowych; </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{FR}</w:t>
      </w:r>
      <w:r w:rsidRPr="00EA7539">
        <w:t>fr</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390</w:t>
      </w:r>
      <w:r>
        <w:rPr>
          <w:rStyle w:val="HideTWBExt"/>
        </w:rPr>
        <w:t>&lt;/NumAm&gt;</w:t>
      </w:r>
    </w:p>
    <w:p w:rsidR="007A0039" w:rsidRPr="00EA7539" w:rsidRDefault="007A0039" w:rsidP="007A0039">
      <w:pPr>
        <w:pStyle w:val="NormalBold"/>
      </w:pPr>
      <w:r>
        <w:rPr>
          <w:rStyle w:val="HideTWBExt"/>
          <w:b w:val="0"/>
        </w:rPr>
        <w:t>&lt;RepeatBlock-By&gt;&lt;Members&gt;</w:t>
      </w:r>
      <w:r>
        <w:t>Paolo Inselvini, Alessandro Ciriani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14.</w:t>
            </w:r>
            <w:r>
              <w:tab/>
              <w:t>przypomina, że ramy prawne państw członkowskich muszą zapewniać równe traktowanie wobec prawa oraz propagować równość i prawo osób fizycznych do niedyskryminacji w postępowaniach sądowych; wzywa Komisję do podjęcia działań w przypadku nieprzestrzegania tych zasad; uważa, że praktyki dyskryminacyjne nie powinny utrudniać swobodnego przepływu osób w UE;</w:t>
            </w:r>
          </w:p>
        </w:tc>
        <w:tc>
          <w:tcPr>
            <w:tcW w:w="4876" w:type="dxa"/>
            <w:tcBorders>
              <w:top w:val="nil"/>
              <w:left w:val="nil"/>
              <w:bottom w:val="nil"/>
              <w:right w:val="nil"/>
            </w:tcBorders>
          </w:tcPr>
          <w:p w:rsidR="007A0039" w:rsidRPr="00EA7539" w:rsidRDefault="007A0039" w:rsidP="008F6778">
            <w:pPr>
              <w:pStyle w:val="Normal6a"/>
            </w:pPr>
            <w:r>
              <w:t>14.</w:t>
            </w:r>
            <w:r>
              <w:tab/>
              <w:t>przypomina, że ramy prawne państw członkowskich muszą zapewniać równe traktowanie wobec prawa oraz propagować równość i prawo osób fizycznych do niedyskryminacji w postępowaniach sądowych; wzywa Komisję do podjęcia działań w przypadku nieprzestrzegania tych zasad; uważa, że praktyki dyskryminacyjne nie powinny utrudniać swobodnego przepływu osób w UE</w:t>
            </w:r>
            <w:r>
              <w:rPr>
                <w:b/>
                <w:i/>
              </w:rPr>
              <w:t>, jednak z zastrzeżeniem kwestii i przypadków, które zgodnie z zasadą pomocniczości leżą w gestii państw członkowskich</w:t>
            </w:r>
            <w:r>
              <w:t>;</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{IT}</w:t>
      </w:r>
      <w:r w:rsidRPr="00EA7539">
        <w:t>it</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391</w:t>
      </w:r>
      <w:r>
        <w:rPr>
          <w:rStyle w:val="HideTWBExt"/>
        </w:rPr>
        <w:t>&lt;/NumAm&gt;</w:t>
      </w:r>
    </w:p>
    <w:p w:rsidR="007A0039" w:rsidRPr="00EA7539" w:rsidRDefault="007A0039" w:rsidP="007A0039">
      <w:pPr>
        <w:pStyle w:val="NormalBold"/>
      </w:pPr>
      <w:r>
        <w:rPr>
          <w:rStyle w:val="HideTWBExt"/>
          <w:b w:val="0"/>
        </w:rPr>
        <w:t>&lt;RepeatBlock-By&gt;&lt;Members&gt;</w:t>
      </w:r>
      <w:r>
        <w:t>Raquel García Hermida-Van Der Walle, Fabienne Keller, Sophie Wilmès, Moritz Körner, Abir Al-Sahlani, Sigrid Friis, Lucia Yar</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14.</w:t>
            </w:r>
            <w:r>
              <w:tab/>
              <w:t>przypomina, że ramy prawne państw członkowskich muszą zapewniać równe traktowanie wobec prawa oraz propagować równość i prawo osób fizycznych do niedyskryminacji w postępowaniach sądowych; wzywa Komisję do podjęcia działań w przypadku nieprzestrzegania tych zasad; uważa, że praktyki dyskryminacyjne nie powinny utrudniać swobodnego przepływu osób w UE;</w:t>
            </w:r>
          </w:p>
        </w:tc>
        <w:tc>
          <w:tcPr>
            <w:tcW w:w="4876" w:type="dxa"/>
            <w:tcBorders>
              <w:top w:val="nil"/>
              <w:left w:val="nil"/>
              <w:bottom w:val="nil"/>
              <w:right w:val="nil"/>
            </w:tcBorders>
          </w:tcPr>
          <w:p w:rsidR="007A0039" w:rsidRPr="00EA7539" w:rsidRDefault="007A0039" w:rsidP="008F6778">
            <w:pPr>
              <w:pStyle w:val="Normal6a"/>
            </w:pPr>
            <w:r>
              <w:t>14.</w:t>
            </w:r>
            <w:r>
              <w:tab/>
              <w:t>przypomina, że ramy prawne państw członkowskich muszą zapewniać równe traktowanie wobec prawa oraz propagować równość i prawo osób fizycznych do niedyskryminacji w postępowaniach sądowych;</w:t>
            </w:r>
            <w:r>
              <w:rPr>
                <w:b/>
                <w:i/>
              </w:rPr>
              <w:t xml:space="preserve"> wyraża zaniepokojenie brakiem wdrożenia przepisów antydyskryminacyjnych;</w:t>
            </w:r>
            <w:r>
              <w:t xml:space="preserve"> wzywa Komisję do podjęcia działań w przypadku nieprzestrzegania tych zasad; uważa, że praktyki dyskryminacyjne nie powinny utrudniać swobodnego przepływu osób w UE;</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392</w:t>
      </w:r>
      <w:r>
        <w:rPr>
          <w:rStyle w:val="HideTWBExt"/>
        </w:rPr>
        <w:t>&lt;/NumAm&gt;</w:t>
      </w:r>
    </w:p>
    <w:p w:rsidR="007A0039" w:rsidRPr="00EA7539" w:rsidRDefault="007A0039" w:rsidP="007A0039">
      <w:pPr>
        <w:pStyle w:val="NormalBold"/>
      </w:pPr>
      <w:r>
        <w:rPr>
          <w:rStyle w:val="HideTWBExt"/>
          <w:b w:val="0"/>
        </w:rPr>
        <w:t>&lt;RepeatBlock-By&gt;&lt;Members&gt;</w:t>
      </w:r>
      <w:r>
        <w:t>Moritz Körner, Hilde Vautmans, Nikola Minchev, Veronika Cifrová Ostrihoňová, Chloé Ridel, Abir Al-Sahlani, Alessandro Zan, Fabienne Keller, Lucia Yar, Irena Joveva, Isabel Wiseler-Lima</w:t>
      </w:r>
      <w:r>
        <w:rPr>
          <w:rStyle w:val="HideTWBExt"/>
          <w:b w:val="0"/>
        </w:rPr>
        <w:t>&lt;/Members&gt;</w:t>
      </w:r>
    </w:p>
    <w:p w:rsidR="007A0039" w:rsidRPr="00EA7539" w:rsidRDefault="007A0039" w:rsidP="007A0039">
      <w:r>
        <w:rPr>
          <w:rStyle w:val="HideTWBExt"/>
        </w:rPr>
        <w:t>&lt;AuNomDe&gt;</w:t>
      </w:r>
      <w:r>
        <w:rPr>
          <w:rStyle w:val="HideTWBInt"/>
        </w:rPr>
        <w:t>{LIBE}</w:t>
      </w:r>
      <w:r>
        <w:t>w imieniu Komisji Wolności Obywatelskich, Sprawiedliwości i Spraw Wewnętrznych</w:t>
      </w:r>
      <w:r>
        <w:rPr>
          <w:rStyle w:val="HideTWBExt"/>
        </w:rPr>
        <w:t>&lt;/AuNomDe&gt;</w:t>
      </w:r>
    </w:p>
    <w:p w:rsidR="007A0039" w:rsidRPr="00EA7539" w:rsidRDefault="007A0039" w:rsidP="007A0039">
      <w:pPr>
        <w:pStyle w:val="NormalBold"/>
      </w:pPr>
      <w:r>
        <w:rPr>
          <w:rStyle w:val="HideTWBExt"/>
          <w:b w:val="0"/>
        </w:rPr>
        <w:t>&lt;Members&gt;</w:t>
      </w:r>
      <w:r>
        <w:t>Sophie Wilmès</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14.</w:t>
            </w:r>
            <w:r>
              <w:tab/>
              <w:t>przypomina, że ramy prawne państw członkowskich muszą zapewniać równe traktowanie wobec prawa oraz propagować równość i prawo osób fizycznych do niedyskryminacji w postępowaniach sądowych; wzywa Komisję do podjęcia działań w przypadku nieprzestrzegania tych zasad; uważa, że praktyki dyskryminacyjne nie powinny utrudniać swobodnego przepływu osób w UE;</w:t>
            </w:r>
          </w:p>
        </w:tc>
        <w:tc>
          <w:tcPr>
            <w:tcW w:w="4876" w:type="dxa"/>
            <w:tcBorders>
              <w:top w:val="nil"/>
              <w:left w:val="nil"/>
              <w:bottom w:val="nil"/>
              <w:right w:val="nil"/>
            </w:tcBorders>
          </w:tcPr>
          <w:p w:rsidR="007A0039" w:rsidRPr="00EA7539" w:rsidRDefault="007A0039" w:rsidP="008F6778">
            <w:pPr>
              <w:pStyle w:val="Normal6a"/>
            </w:pPr>
            <w:r>
              <w:t>14.</w:t>
            </w:r>
            <w:r>
              <w:tab/>
              <w:t xml:space="preserve">przypomina, że ramy prawne państw członkowskich muszą zapewniać równe traktowanie wobec prawa oraz propagować równość i prawo osób fizycznych do niedyskryminacji w postępowaniach sądowych; wzywa Komisję do podjęcia działań w przypadku nieprzestrzegania tych zasad; uważa, że praktyki dyskryminacyjne nie powinny utrudniać swobodnego przepływu osób w UE; </w:t>
            </w:r>
            <w:r>
              <w:rPr>
                <w:b/>
                <w:i/>
              </w:rPr>
              <w:t>potępia mowę nienawiści wobec grup mniejszościowych;</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393</w:t>
      </w:r>
      <w:r>
        <w:rPr>
          <w:rStyle w:val="HideTWBExt"/>
        </w:rPr>
        <w:t>&lt;/NumAm&gt;</w:t>
      </w:r>
    </w:p>
    <w:p w:rsidR="007A0039" w:rsidRPr="00EA7539" w:rsidRDefault="007A0039" w:rsidP="007A0039">
      <w:pPr>
        <w:pStyle w:val="NormalBold"/>
      </w:pPr>
      <w:r>
        <w:rPr>
          <w:rStyle w:val="HideTWBExt"/>
          <w:b w:val="0"/>
        </w:rPr>
        <w:t>&lt;RepeatBlock-By&gt;&lt;Members&gt;</w:t>
      </w:r>
      <w:r>
        <w:t>Erik Kaliňák</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14.</w:t>
            </w:r>
            <w:r>
              <w:tab/>
            </w:r>
            <w:r>
              <w:rPr>
                <w:b/>
                <w:i/>
              </w:rPr>
              <w:t>przypomina</w:t>
            </w:r>
            <w:r>
              <w:t xml:space="preserve">, że </w:t>
            </w:r>
            <w:r>
              <w:rPr>
                <w:b/>
                <w:i/>
              </w:rPr>
              <w:t>ramy prawne</w:t>
            </w:r>
            <w:r>
              <w:t xml:space="preserve"> państw członkowskich </w:t>
            </w:r>
            <w:r>
              <w:rPr>
                <w:b/>
                <w:i/>
              </w:rPr>
              <w:t>muszą zapewniać</w:t>
            </w:r>
            <w:r>
              <w:t xml:space="preserve"> równe traktowanie </w:t>
            </w:r>
            <w:r>
              <w:rPr>
                <w:b/>
                <w:i/>
              </w:rPr>
              <w:t xml:space="preserve">wobec prawa oraz propagować równość </w:t>
            </w:r>
            <w:r>
              <w:t>i prawo osób fizycznych do niedyskryminacji</w:t>
            </w:r>
            <w:r>
              <w:rPr>
                <w:b/>
                <w:i/>
              </w:rPr>
              <w:t xml:space="preserve"> w postępowaniach sądowych; wzywa Komisję do podjęcia działań</w:t>
            </w:r>
            <w:r>
              <w:t xml:space="preserve"> w </w:t>
            </w:r>
            <w:r>
              <w:rPr>
                <w:b/>
                <w:i/>
              </w:rPr>
              <w:t>przypadku nieprzestrzegania tych zasad</w:t>
            </w:r>
            <w:r>
              <w:t xml:space="preserve">; uważa, że praktyki dyskryminacyjne nie powinny utrudniać swobodnego przepływu </w:t>
            </w:r>
            <w:r>
              <w:rPr>
                <w:b/>
                <w:i/>
              </w:rPr>
              <w:t>osób w</w:t>
            </w:r>
            <w:r>
              <w:t xml:space="preserve"> UE;</w:t>
            </w:r>
          </w:p>
        </w:tc>
        <w:tc>
          <w:tcPr>
            <w:tcW w:w="4876" w:type="dxa"/>
            <w:tcBorders>
              <w:top w:val="nil"/>
              <w:left w:val="nil"/>
              <w:bottom w:val="nil"/>
              <w:right w:val="nil"/>
            </w:tcBorders>
          </w:tcPr>
          <w:p w:rsidR="007A0039" w:rsidRPr="00EA7539" w:rsidRDefault="007A0039" w:rsidP="008F6778">
            <w:pPr>
              <w:pStyle w:val="Normal6a"/>
            </w:pPr>
            <w:r>
              <w:t>14.</w:t>
            </w:r>
            <w:r>
              <w:tab/>
            </w:r>
            <w:r>
              <w:rPr>
                <w:b/>
                <w:i/>
              </w:rPr>
              <w:t>odnotowuje</w:t>
            </w:r>
            <w:r>
              <w:t xml:space="preserve">, że </w:t>
            </w:r>
            <w:r>
              <w:rPr>
                <w:b/>
                <w:i/>
              </w:rPr>
              <w:t>w porządku prawnym</w:t>
            </w:r>
            <w:r>
              <w:t xml:space="preserve"> państw członkowskich </w:t>
            </w:r>
            <w:r>
              <w:rPr>
                <w:b/>
                <w:i/>
              </w:rPr>
              <w:t>szeroko zapisane jest</w:t>
            </w:r>
            <w:r>
              <w:t xml:space="preserve"> równe traktowanie i prawo osób fizycznych do niedyskryminacji</w:t>
            </w:r>
            <w:r>
              <w:rPr>
                <w:b/>
                <w:i/>
              </w:rPr>
              <w:t>, nie tylko</w:t>
            </w:r>
            <w:r>
              <w:t xml:space="preserve"> w </w:t>
            </w:r>
            <w:r>
              <w:rPr>
                <w:b/>
                <w:i/>
              </w:rPr>
              <w:t>postępowaniach sądowych</w:t>
            </w:r>
            <w:r>
              <w:t xml:space="preserve">; uważa, że praktyki dyskryminacyjne nie powinny utrudniać swobodnego przepływu </w:t>
            </w:r>
            <w:r>
              <w:rPr>
                <w:b/>
                <w:i/>
              </w:rPr>
              <w:t>obywateli</w:t>
            </w:r>
            <w:r>
              <w:t xml:space="preserve"> UE;</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{SK}</w:t>
      </w:r>
      <w:r w:rsidRPr="00EA7539">
        <w:t>sk</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394</w:t>
      </w:r>
      <w:r>
        <w:rPr>
          <w:rStyle w:val="HideTWBExt"/>
        </w:rPr>
        <w:t>&lt;/NumAm&gt;</w:t>
      </w:r>
    </w:p>
    <w:p w:rsidR="007A0039" w:rsidRPr="00EA7539" w:rsidRDefault="007A0039" w:rsidP="007A0039">
      <w:pPr>
        <w:pStyle w:val="NormalBold"/>
      </w:pPr>
      <w:r>
        <w:rPr>
          <w:rStyle w:val="HideTWBExt"/>
          <w:b w:val="0"/>
        </w:rPr>
        <w:t>&lt;RepeatBlock-By&gt;&lt;Members&gt;</w:t>
      </w:r>
      <w:r>
        <w:t>Emma Rafowicz, Chloé Ridel, Birgit Sippel, Krzysztof Śmiszek, Hannes Heide</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14a.</w:t>
            </w:r>
            <w:r>
              <w:tab/>
            </w:r>
            <w:r>
              <w:rPr>
                <w:b/>
                <w:i/>
              </w:rPr>
              <w:t>z zaniepokojeniem odnotowuje coraz częstsze i powszechne wykorzystywanie sztucznej inteligencji do celów bezpieczeństwa narodowego i ochrony porządku publicznego w całej Unii Europejskiej; w tym kontekście przypomina opinię francuskiej Krajowej Komisji Konsultacyjnej ds. Praw Człowieka</w:t>
            </w:r>
            <w:r>
              <w:rPr>
                <w:b/>
                <w:i/>
                <w:vertAlign w:val="superscript"/>
              </w:rPr>
              <w:t>2a</w:t>
            </w:r>
            <w:r>
              <w:rPr>
                <w:b/>
                <w:i/>
              </w:rPr>
              <w:t xml:space="preserve"> w sprawie korzystania przez władze francuskie z algorytmicznego systemu monitoringu wizyjnego i związanych z tym zagrożeń dla podstawowych praw i wolności; zaznacza, że problemem są brak kontroli i przejrzystości oraz bezprecedensowy udział podmiotów prywatnych, np. twórców oprogramowania, w wykonywaniu suwerennego zadania zarządzania porządkiem publicznym, a także wzywa Komisję Europejską, aby udoskonaliła dorobek prawny UE w tym obszarze w celu zapobieżenia masowej inwigilacji i dyskryminacji w związku z takimi zastosowaniami; ponadto przypomina i podkreśla całe orzecznictwo Europejskiego Trybunału Sprawiedliwości dotyczące inwigilacji i ochrony praw podstawowych, a także ścisłego badania konieczności i proporcjonalności wszystkich aktów prawnych ograniczających prawa podstawowe;</w:t>
            </w:r>
          </w:p>
        </w:tc>
      </w:tr>
      <w:tr w:rsidR="007A0039" w:rsidTr="008F6778">
        <w:trPr>
          <w:jc w:val="center"/>
        </w:trPr>
        <w:tc>
          <w:tcPr>
            <w:tcW w:w="4876" w:type="dxa"/>
            <w:tcBorders>
              <w:top w:val="nil"/>
              <w:left w:val="nil"/>
              <w:bottom w:val="nil"/>
              <w:right w:val="nil"/>
            </w:tcBorders>
          </w:tcPr>
          <w:p w:rsidR="007A0039" w:rsidRPr="00EA7539" w:rsidRDefault="007A0039" w:rsidP="008F6778"/>
        </w:tc>
        <w:tc>
          <w:tcPr>
            <w:tcW w:w="4876" w:type="dxa"/>
            <w:tcBorders>
              <w:top w:val="nil"/>
              <w:left w:val="nil"/>
              <w:bottom w:val="nil"/>
              <w:right w:val="nil"/>
            </w:tcBorders>
          </w:tcPr>
          <w:p w:rsidR="007A0039" w:rsidRPr="00EA7539" w:rsidRDefault="007A0039" w:rsidP="008F6778">
            <w:pPr>
              <w:pStyle w:val="Normal6a"/>
            </w:pPr>
            <w:r>
              <w:rPr>
                <w:b/>
                <w:i/>
              </w:rPr>
              <w:t>_________________</w:t>
            </w:r>
          </w:p>
        </w:tc>
      </w:tr>
      <w:tr w:rsidR="007A0039" w:rsidTr="008F6778">
        <w:trPr>
          <w:jc w:val="center"/>
        </w:trPr>
        <w:tc>
          <w:tcPr>
            <w:tcW w:w="4876" w:type="dxa"/>
            <w:tcBorders>
              <w:top w:val="nil"/>
              <w:left w:val="nil"/>
              <w:bottom w:val="nil"/>
              <w:right w:val="nil"/>
            </w:tcBorders>
          </w:tcPr>
          <w:p w:rsidR="007A0039" w:rsidRPr="00EA7539" w:rsidRDefault="007A0039" w:rsidP="008F6778"/>
        </w:tc>
        <w:tc>
          <w:tcPr>
            <w:tcW w:w="4876" w:type="dxa"/>
            <w:tcBorders>
              <w:top w:val="nil"/>
              <w:left w:val="nil"/>
              <w:bottom w:val="nil"/>
              <w:right w:val="nil"/>
            </w:tcBorders>
          </w:tcPr>
          <w:p w:rsidR="007A0039" w:rsidRPr="00EA7539" w:rsidRDefault="007A0039" w:rsidP="008F6778">
            <w:pPr>
              <w:pStyle w:val="Normal6a"/>
            </w:pPr>
            <w:r>
              <w:rPr>
                <w:b/>
                <w:bCs/>
                <w:i/>
                <w:iCs/>
                <w:vertAlign w:val="superscript"/>
              </w:rPr>
              <w:t>2a</w:t>
            </w:r>
            <w:r>
              <w:rPr>
                <w:b/>
                <w:bCs/>
                <w:i/>
                <w:iCs/>
              </w:rPr>
              <w:t xml:space="preserve"> Krajowa Komisja Konsultacyjna ds. Praw Człowieka (CNCDH) to francuska instytucją zajmująca się ochroną i propagowaniem praw człowieka, akredytowaną przy ONZ.</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395</w:t>
      </w:r>
      <w:r>
        <w:rPr>
          <w:rStyle w:val="HideTWBExt"/>
        </w:rPr>
        <w:t>&lt;/NumAm&gt;</w:t>
      </w:r>
    </w:p>
    <w:p w:rsidR="007A0039" w:rsidRPr="00EA7539" w:rsidRDefault="007A0039" w:rsidP="007A0039">
      <w:pPr>
        <w:pStyle w:val="NormalBold"/>
      </w:pPr>
      <w:r>
        <w:rPr>
          <w:rStyle w:val="HideTWBExt"/>
          <w:b w:val="0"/>
        </w:rPr>
        <w:t>&lt;RepeatBlock-By&gt;&lt;Members&gt;</w:t>
      </w:r>
      <w:r>
        <w:t>Krzysztof Śmiszek, Matjaž Nemec, Robert Biedroń, Katarina Barley, Cecilia Strada, Klára Dobrev, Csaba Molnár, Emma Rafowicz, Alessandro Zan, Birgit Sippel</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14a.</w:t>
            </w:r>
            <w:r>
              <w:tab/>
            </w:r>
            <w:r>
              <w:rPr>
                <w:b/>
                <w:i/>
              </w:rPr>
              <w:t>zauważa, że w 2024 r. odnotowano alarmujący wzrost liczby przestępstw z nienawiści i mowy nienawiści wobec osób LGBTIQ+ w niektórych państwach członkowskich, spotęgowany retoryką polityczną i niedostatecznym egzekwowaniem przepisów antydyskryminacyjnych; ubolewa, że pomimo istniejących ram unijnych, takich jak dyrektywa 2000/78/WE w sprawie równego traktowania, utrzymują się luki w ich wdrażaniu, przez co ofiary nie dysponują odpowiednimi środkami prawnymi; z zaniepokojeniem odnotowuje, że w sprawozdaniu Komisji na temat praworządności zauważono, że niektóre państwa członkowskie nie ścigały przestępstw z nienawiści lub nie zapewniły wystarczającego wsparcia ich ofiarom, co podważa zaufanie do systemów sądowych i utrwala nierówność wobec prawa;</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396</w:t>
      </w:r>
      <w:r>
        <w:rPr>
          <w:rStyle w:val="HideTWBExt"/>
        </w:rPr>
        <w:t>&lt;/NumAm&gt;</w:t>
      </w:r>
    </w:p>
    <w:p w:rsidR="007A0039" w:rsidRPr="00EA7539" w:rsidRDefault="007A0039" w:rsidP="007A0039">
      <w:pPr>
        <w:pStyle w:val="NormalBold"/>
      </w:pPr>
      <w:r>
        <w:rPr>
          <w:rStyle w:val="HideTWBExt"/>
          <w:b w:val="0"/>
        </w:rPr>
        <w:t>&lt;RepeatBlock-By&gt;&lt;Members&gt;</w:t>
      </w:r>
      <w:r>
        <w:t>Alessandro Zan, Cecilia Strada, Sandro Ruotolo, Pina Picierno</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14a.</w:t>
            </w:r>
            <w:r>
              <w:tab/>
            </w:r>
            <w:r>
              <w:rPr>
                <w:b/>
                <w:i/>
              </w:rPr>
              <w:t>potępia środki i instrukcje wydane przez rząd włoski, które wprowadzają ograniczenia praw rodzicielskich i zakazują rejestrowania aktów urodzenia dzieci par osób tej samej płci; przyznaje, że decyzje te bezpośrednio szkodzą nie tylko rodzicom tej samej płci, ale także dobru dziecka; uważa, że naruszają one prawa dziecka określone w Konwencji ONZ o prawach dziecka z 1989 r.; podkreśla, że decyzje te są częścią szerszej kampanii przeciwko osobom LGBTQIA+ prowadzonej przez rząd włoski; apeluje do rządu włoskiego o natychmiastowe unieważnienie tych decyzji;</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397</w:t>
      </w:r>
      <w:r>
        <w:rPr>
          <w:rStyle w:val="HideTWBExt"/>
        </w:rPr>
        <w:t>&lt;/NumAm&gt;</w:t>
      </w:r>
    </w:p>
    <w:p w:rsidR="007A0039" w:rsidRPr="00EA7539" w:rsidRDefault="007A0039" w:rsidP="007A0039">
      <w:pPr>
        <w:pStyle w:val="NormalBold"/>
      </w:pPr>
      <w:r>
        <w:rPr>
          <w:rStyle w:val="HideTWBExt"/>
          <w:b w:val="0"/>
        </w:rPr>
        <w:t>&lt;RepeatBlock-By&gt;&lt;Members&gt;</w:t>
      </w:r>
      <w:r>
        <w:t>Chloé Ridel, Emma Rafowicz</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14a.</w:t>
            </w:r>
            <w:r>
              <w:tab/>
            </w:r>
            <w:r>
              <w:rPr>
                <w:b/>
                <w:i/>
              </w:rPr>
              <w:t>wzywa państwa członkowskie, aby starannie zbadały sprawy związane z nadmiernym użyciem siły lub dyskryminacyjnym traktowaniem przez organy ścigania, szczególnie we Francji, oraz zapewniły gwarancje systemowe przeciwko takim nadużyciom; z zaniepokojeniem odnotowuje coraz częstsze zatrzymania administracyjne w celu uniemożliwienia udziału w protestach; ubolewa, że ograniczenia wolności zgromadzeń, wypowiedzi i zrzeszania się oraz stosowanie nadmiernej siły nieproporcjonalnie wpływają na mniejszości, dzieci i kobiety;</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398</w:t>
      </w:r>
      <w:r>
        <w:rPr>
          <w:rStyle w:val="HideTWBExt"/>
        </w:rPr>
        <w:t>&lt;/NumAm&gt;</w:t>
      </w:r>
    </w:p>
    <w:p w:rsidR="007A0039" w:rsidRPr="00EA7539" w:rsidRDefault="007A0039" w:rsidP="007A0039">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Cecilia Strada</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14a.</w:t>
            </w:r>
            <w:r>
              <w:tab/>
            </w:r>
            <w:r>
              <w:rPr>
                <w:b/>
                <w:i/>
              </w:rPr>
              <w:t>z zadowoleniem przyjmuje wniosek Komisji dotyczący rozporządzenia Rady w sprawie uznawania rodzicielstwa między państwami członkowskimi; wzywa Radę do odblokowania negocjacji w celu szybkiego osiągnięcia porozumienia; przypomina, że w swojej opinii Parlament Europejski poparł uznawanie rodzicielstwa w całej UE, niezależnie od tego, w jaki sposób dziecko zostało poczęte lub urodzone lub do jakiej należy rodziny;</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399</w:t>
      </w:r>
      <w:r>
        <w:rPr>
          <w:rStyle w:val="HideTWBExt"/>
        </w:rPr>
        <w:t>&lt;/NumAm&gt;</w:t>
      </w:r>
    </w:p>
    <w:p w:rsidR="007A0039" w:rsidRPr="00EA7539" w:rsidRDefault="007A0039" w:rsidP="007A0039">
      <w:pPr>
        <w:pStyle w:val="NormalBold"/>
      </w:pPr>
      <w:r>
        <w:rPr>
          <w:rStyle w:val="HideTWBExt"/>
          <w:b w:val="0"/>
        </w:rPr>
        <w:t>&lt;RepeatBlock-By&gt;&lt;Members&gt;</w:t>
      </w:r>
      <w:r>
        <w:t>Romana Tomc</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14a.</w:t>
            </w:r>
            <w:r>
              <w:tab/>
            </w:r>
            <w:r>
              <w:rPr>
                <w:b/>
                <w:i/>
              </w:rPr>
              <w:t>organizacje społeczeństwa obywatelskiego i obrońcy praw człowieka otrzymują znaczne europejskie środki finansowe za pośrednictwem budżetów krajowych państw członkowskich; z zaniepokojeniem zauważa, że te środki finansowe mogą być przydzielane w sposób sprzeczny z celami funduszy europejskich lub je podważający; apeluje o pełną przejrzystość w wydatkowaniu pieniędzy podatników;</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400</w:t>
      </w:r>
      <w:r>
        <w:rPr>
          <w:rStyle w:val="HideTWBExt"/>
        </w:rPr>
        <w:t>&lt;/NumAm&gt;</w:t>
      </w:r>
    </w:p>
    <w:p w:rsidR="007A0039" w:rsidRPr="00EA7539" w:rsidRDefault="007A0039" w:rsidP="007A0039">
      <w:pPr>
        <w:pStyle w:val="NormalBold"/>
      </w:pPr>
      <w:r>
        <w:rPr>
          <w:rStyle w:val="HideTWBExt"/>
          <w:b w:val="0"/>
        </w:rPr>
        <w:t>&lt;RepeatBlock-By&gt;&lt;Members&gt;</w:t>
      </w:r>
      <w:r>
        <w:t>Krzysztof Śmiszek, Matjaž Nemec, Robert Biedroń, Katarina Barley, Cecilia Strada, Klára Dobrev, Csaba Molnár, Alessandro Zan, Birgit Sippel</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14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14b.</w:t>
            </w:r>
            <w:r>
              <w:tab/>
            </w:r>
            <w:r>
              <w:rPr>
                <w:b/>
                <w:i/>
              </w:rPr>
              <w:t>przypomina, że w 2024 r. niektóre państwa członkowskie nadal wdrażały lub utrzymywały przepisy i polityki podważające prawa osób LGBTIQ+, wbrew unijnym zasadom równości i niedyskryminacji; przypomina, że obejmuje to ograniczenia wolności słowa i zgromadzeń w przypadku grup osób LGBTIQ+, a także przeszkody prawne w transgranicznym uznawanie związków partnerskich lub rodzicielstwa osób tej samej płci; ostrzega, że takie praktyki nie tylko utrudniają swobodny przepływ rodzin LGBTIQ+ w UE, ale również naruszają prawa podstawowe zapisane w Karcie praw podstawowych; wzywa Komisję do uznania tych kwestii za poważne naruszenia zasad praworządności i zwraca uwagę na brak jednolitej ochrony osób LGBTIQ+ w państwach członkowskich;</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401</w:t>
      </w:r>
      <w:r>
        <w:rPr>
          <w:rStyle w:val="HideTWBExt"/>
        </w:rPr>
        <w:t>&lt;/NumAm&gt;</w:t>
      </w:r>
    </w:p>
    <w:p w:rsidR="007A0039" w:rsidRPr="00EA7539" w:rsidRDefault="007A0039" w:rsidP="007A0039">
      <w:pPr>
        <w:pStyle w:val="NormalBold"/>
      </w:pPr>
      <w:r>
        <w:rPr>
          <w:rStyle w:val="HideTWBExt"/>
          <w:b w:val="0"/>
        </w:rPr>
        <w:t>&lt;RepeatBlock-By&gt;&lt;Members&gt;</w:t>
      </w:r>
      <w:r>
        <w:t>Alessandro Zan</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14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14b.</w:t>
            </w:r>
            <w:r>
              <w:tab/>
            </w:r>
            <w:r>
              <w:rPr>
                <w:b/>
                <w:i/>
              </w:rPr>
              <w:t>z zadowoleniem przyjmuje wniosek Komisji dotyczący rozporządzenia Rady w sprawie uznawania rodzicielstwa między państwami członkowskimi; przypomina, że w swojej opinii Parlament poparł uznawanie rodzicielstwa w całej UE, niezależnie od tego, w jaki sposób dziecko zostało poczęte lub urodzone lub do jakiej należy rodziny; wzywa Radę, aby w pełni uwzględniła te zalecenia i chroniła prawa podstawowe dzieci, działała w najlepszym interesie dziecka, zwiększyła pewność prawa i ograniczyła dyskryminację dzieci rodziców tej samej płci;</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402</w:t>
      </w:r>
      <w:r>
        <w:rPr>
          <w:rStyle w:val="HideTWBExt"/>
        </w:rPr>
        <w:t>&lt;/NumAm&gt;</w:t>
      </w:r>
    </w:p>
    <w:p w:rsidR="007A0039" w:rsidRPr="00EA7539" w:rsidRDefault="007A0039" w:rsidP="007A0039">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Alessandro Zan, Daniel Freund, Isabel Serra Sánchez, Cecilia Strada</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14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14b.</w:t>
            </w:r>
            <w:r>
              <w:tab/>
            </w:r>
            <w:r>
              <w:rPr>
                <w:b/>
                <w:i/>
              </w:rPr>
              <w:t>apeluje o unijny zakaz praktyk konwersyjnych wiążący w państwach członkowskich; zwraca uwagę na znaczenie samostanowienia osób LGBTQIA+ oraz apeluje o ochronę i wspieranie ich zdrowia fizycznego i psychicznego;</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403</w:t>
      </w:r>
      <w:r>
        <w:rPr>
          <w:rStyle w:val="HideTWBExt"/>
        </w:rPr>
        <w:t>&lt;/NumAm&gt;</w:t>
      </w:r>
    </w:p>
    <w:p w:rsidR="007A0039" w:rsidRPr="00EA7539" w:rsidRDefault="007A0039" w:rsidP="007A0039">
      <w:pPr>
        <w:pStyle w:val="NormalBold"/>
      </w:pPr>
      <w:r>
        <w:rPr>
          <w:rStyle w:val="HideTWBExt"/>
          <w:b w:val="0"/>
        </w:rPr>
        <w:t>&lt;RepeatBlock-By&gt;&lt;Members&gt;</w:t>
      </w:r>
      <w:r>
        <w:t>Alessandro Zan, Cecilia Strada, Sandro Ruotolo, Pina Picierno, Marco Tarquinio</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14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14c.</w:t>
            </w:r>
            <w:r>
              <w:tab/>
            </w:r>
            <w:r>
              <w:rPr>
                <w:b/>
                <w:i/>
              </w:rPr>
              <w:t>z głębokim zaniepokojeniem odnotowuje środki dyskryminacyjne wprowadzone w Bułgarii i na Węgrzech oraz zaproponowanymi w Słowacji przeciwko tzw. propagandzie LGBTQIA+, a także rezolucję przyjętą przez włoską Izbę Deputowanych przeciwko tzw. ideologii gender; podkreśla ich negatywny wpływ na dzieci, rodziny i pracowników; podkreśla, że działania te zachęcają do dyskryminacji osób LGBTQIA+ i są sprzeczne z przepisami i zasadami UE;</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404</w:t>
      </w:r>
      <w:r>
        <w:rPr>
          <w:rStyle w:val="HideTWBExt"/>
        </w:rPr>
        <w:t>&lt;/NumAm&gt;</w:t>
      </w:r>
    </w:p>
    <w:p w:rsidR="007A0039" w:rsidRPr="00EA7539" w:rsidRDefault="007A0039" w:rsidP="007A0039">
      <w:pPr>
        <w:pStyle w:val="NormalBold"/>
      </w:pPr>
      <w:r>
        <w:rPr>
          <w:rStyle w:val="HideTWBExt"/>
          <w:b w:val="0"/>
        </w:rPr>
        <w:t>&lt;RepeatBlock-By&gt;&lt;Members&gt;</w:t>
      </w:r>
      <w:r>
        <w:t>Nicolas Bay</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15.</w:t>
            </w:r>
            <w:r>
              <w:tab/>
            </w:r>
            <w:r>
              <w:rPr>
                <w:b/>
                <w:i/>
              </w:rPr>
              <w:t>wzywa Komisję i państwa członkowskie do rozszerzenia podstawy prawnej UE w tej dziedzinie oraz do przedstawienia wniosku w sprawie przestępstw z nienawiści i mowy nienawiści; wzywa Radę do przyjęcia dyrektywy 2008/140</w:t>
            </w:r>
            <w:r>
              <w:rPr>
                <w:b/>
                <w:i/>
                <w:vertAlign w:val="superscript"/>
              </w:rPr>
              <w:t>42</w:t>
            </w:r>
            <w:r>
              <w:rPr>
                <w:b/>
                <w:i/>
              </w:rPr>
              <w:t>;</w:t>
            </w:r>
          </w:p>
        </w:tc>
        <w:tc>
          <w:tcPr>
            <w:tcW w:w="4876" w:type="dxa"/>
            <w:tcBorders>
              <w:top w:val="nil"/>
              <w:left w:val="nil"/>
              <w:bottom w:val="nil"/>
              <w:right w:val="nil"/>
            </w:tcBorders>
          </w:tcPr>
          <w:p w:rsidR="007A0039" w:rsidRPr="00EA7539" w:rsidRDefault="007A0039" w:rsidP="008F6778">
            <w:pPr>
              <w:pStyle w:val="Normal6a"/>
            </w:pPr>
            <w:r>
              <w:rPr>
                <w:b/>
                <w:i/>
              </w:rPr>
              <w:t>skreśla się</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_________________</w:t>
            </w:r>
          </w:p>
        </w:tc>
        <w:tc>
          <w:tcPr>
            <w:tcW w:w="4876" w:type="dxa"/>
            <w:tcBorders>
              <w:top w:val="nil"/>
              <w:left w:val="nil"/>
              <w:bottom w:val="nil"/>
              <w:right w:val="nil"/>
            </w:tcBorders>
          </w:tcPr>
          <w:p w:rsidR="007A0039" w:rsidRPr="00EA7539" w:rsidRDefault="007A0039" w:rsidP="008F6778"/>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vertAlign w:val="superscript"/>
              </w:rPr>
              <w:t>42</w:t>
            </w:r>
            <w:r>
              <w:t xml:space="preserve"> </w:t>
            </w:r>
            <w:r>
              <w:rPr>
                <w:b/>
                <w:i/>
              </w:rPr>
              <w:t>Wniosek Komisji dotyczący dyrektywy Rady w sprawie wprowadzenia w życie zasady równego traktowania osób bez względu na religię lub światopogląd, niepełnosprawność, wiek lub orientację seksualną (COM(2008)0426).</w:t>
            </w:r>
          </w:p>
        </w:tc>
        <w:tc>
          <w:tcPr>
            <w:tcW w:w="4876" w:type="dxa"/>
            <w:tcBorders>
              <w:top w:val="nil"/>
              <w:left w:val="nil"/>
              <w:bottom w:val="nil"/>
              <w:right w:val="nil"/>
            </w:tcBorders>
          </w:tcPr>
          <w:p w:rsidR="007A0039" w:rsidRPr="00EA7539" w:rsidRDefault="007A0039" w:rsidP="008F6778"/>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{FR}</w:t>
      </w:r>
      <w:r w:rsidRPr="00EA7539">
        <w:t>fr</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405</w:t>
      </w:r>
      <w:r>
        <w:rPr>
          <w:rStyle w:val="HideTWBExt"/>
        </w:rPr>
        <w:t>&lt;/NumAm&gt;</w:t>
      </w:r>
    </w:p>
    <w:p w:rsidR="007A0039" w:rsidRPr="00EA7539" w:rsidRDefault="007A0039" w:rsidP="007A0039">
      <w:pPr>
        <w:pStyle w:val="NormalBold"/>
      </w:pPr>
      <w:r>
        <w:rPr>
          <w:rStyle w:val="HideTWBExt"/>
          <w:b w:val="0"/>
        </w:rPr>
        <w:t>&lt;RepeatBlock-By&gt;&lt;Members&gt;</w:t>
      </w:r>
      <w:r>
        <w:t>Sebastian Tynkkynen</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15.</w:t>
            </w:r>
            <w:r>
              <w:tab/>
            </w:r>
            <w:r>
              <w:rPr>
                <w:b/>
                <w:i/>
              </w:rPr>
              <w:t>wzywa Komisję i państwa członkowskie do rozszerzenia podstawy prawnej UE w tej dziedzinie oraz do przedstawienia wniosku w sprawie przestępstw z nienawiści i mowy nienawiści; wzywa Radę do przyjęcia dyrektywy 2008/140</w:t>
            </w:r>
            <w:r>
              <w:rPr>
                <w:b/>
                <w:i/>
                <w:vertAlign w:val="superscript"/>
              </w:rPr>
              <w:t>42</w:t>
            </w:r>
            <w:r>
              <w:rPr>
                <w:b/>
                <w:i/>
              </w:rPr>
              <w:t>;</w:t>
            </w:r>
          </w:p>
        </w:tc>
        <w:tc>
          <w:tcPr>
            <w:tcW w:w="4876" w:type="dxa"/>
            <w:tcBorders>
              <w:top w:val="nil"/>
              <w:left w:val="nil"/>
              <w:bottom w:val="nil"/>
              <w:right w:val="nil"/>
            </w:tcBorders>
          </w:tcPr>
          <w:p w:rsidR="007A0039" w:rsidRPr="00EA7539" w:rsidRDefault="007A0039" w:rsidP="008F6778">
            <w:pPr>
              <w:pStyle w:val="Normal6a"/>
            </w:pPr>
            <w:r>
              <w:rPr>
                <w:b/>
                <w:i/>
              </w:rPr>
              <w:t>skreśla się</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_________________</w:t>
            </w:r>
          </w:p>
        </w:tc>
        <w:tc>
          <w:tcPr>
            <w:tcW w:w="4876" w:type="dxa"/>
            <w:tcBorders>
              <w:top w:val="nil"/>
              <w:left w:val="nil"/>
              <w:bottom w:val="nil"/>
              <w:right w:val="nil"/>
            </w:tcBorders>
          </w:tcPr>
          <w:p w:rsidR="007A0039" w:rsidRPr="00EA7539" w:rsidRDefault="007A0039" w:rsidP="008F6778"/>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vertAlign w:val="superscript"/>
              </w:rPr>
              <w:t>42</w:t>
            </w:r>
            <w:r>
              <w:t xml:space="preserve"> </w:t>
            </w:r>
            <w:r>
              <w:rPr>
                <w:b/>
                <w:i/>
              </w:rPr>
              <w:t>Wniosek Komisji dotyczący dyrektywy Rady w sprawie wprowadzenia w życie zasady równego traktowania osób bez względu na religię lub światopogląd, niepełnosprawność, wiek lub orientację seksualną (COM(2008)0426).</w:t>
            </w:r>
          </w:p>
        </w:tc>
        <w:tc>
          <w:tcPr>
            <w:tcW w:w="4876" w:type="dxa"/>
            <w:tcBorders>
              <w:top w:val="nil"/>
              <w:left w:val="nil"/>
              <w:bottom w:val="nil"/>
              <w:right w:val="nil"/>
            </w:tcBorders>
          </w:tcPr>
          <w:p w:rsidR="007A0039" w:rsidRPr="00EA7539" w:rsidRDefault="007A0039" w:rsidP="008F6778"/>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{FI}</w:t>
      </w:r>
      <w:r w:rsidRPr="00EA7539">
        <w:t>fi</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406</w:t>
      </w:r>
      <w:r>
        <w:rPr>
          <w:rStyle w:val="HideTWBExt"/>
        </w:rPr>
        <w:t>&lt;/NumAm&gt;</w:t>
      </w:r>
    </w:p>
    <w:p w:rsidR="007A0039" w:rsidRPr="00EA7539" w:rsidRDefault="007A0039" w:rsidP="007A0039">
      <w:pPr>
        <w:pStyle w:val="NormalBold"/>
      </w:pPr>
      <w:r>
        <w:rPr>
          <w:rStyle w:val="HideTWBExt"/>
          <w:b w:val="0"/>
        </w:rPr>
        <w:t>&lt;RepeatBlock-By&gt;&lt;Members&gt;</w:t>
      </w:r>
      <w:r>
        <w:t>Jorge Buxadé Villalba, Marieke Ehlers, Malika Sorel, Fabrice Leggeri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15.</w:t>
            </w:r>
            <w:r>
              <w:tab/>
            </w:r>
            <w:r>
              <w:rPr>
                <w:b/>
                <w:i/>
              </w:rPr>
              <w:t>wzywa Komisję i państwa członkowskie do rozszerzenia podstawy prawnej UE w tej dziedzinie oraz do przedstawienia wniosku w sprawie przestępstw z nienawiści i mowy nienawiści; wzywa Radę do przyjęcia dyrektywy 2008/140</w:t>
            </w:r>
            <w:r>
              <w:rPr>
                <w:b/>
                <w:i/>
                <w:vertAlign w:val="superscript"/>
              </w:rPr>
              <w:t>42</w:t>
            </w:r>
            <w:r>
              <w:rPr>
                <w:b/>
                <w:i/>
              </w:rPr>
              <w:t>;</w:t>
            </w:r>
          </w:p>
        </w:tc>
        <w:tc>
          <w:tcPr>
            <w:tcW w:w="4876" w:type="dxa"/>
            <w:tcBorders>
              <w:top w:val="nil"/>
              <w:left w:val="nil"/>
              <w:bottom w:val="nil"/>
              <w:right w:val="nil"/>
            </w:tcBorders>
          </w:tcPr>
          <w:p w:rsidR="007A0039" w:rsidRPr="00EA7539" w:rsidRDefault="007A0039" w:rsidP="008F6778">
            <w:pPr>
              <w:pStyle w:val="Normal6a"/>
            </w:pPr>
            <w:r>
              <w:rPr>
                <w:b/>
                <w:i/>
              </w:rPr>
              <w:t>skreśla się</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_________________</w:t>
            </w:r>
          </w:p>
        </w:tc>
        <w:tc>
          <w:tcPr>
            <w:tcW w:w="4876" w:type="dxa"/>
            <w:tcBorders>
              <w:top w:val="nil"/>
              <w:left w:val="nil"/>
              <w:bottom w:val="nil"/>
              <w:right w:val="nil"/>
            </w:tcBorders>
          </w:tcPr>
          <w:p w:rsidR="007A0039" w:rsidRPr="00EA7539" w:rsidRDefault="007A0039" w:rsidP="008F6778"/>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vertAlign w:val="superscript"/>
              </w:rPr>
              <w:t>42</w:t>
            </w:r>
            <w:r>
              <w:t xml:space="preserve"> Wniosek Komisji dotyczący dyrektywy Rady w sprawie wprowadzenia w życie zasady równego traktowania osób bez względu na religię lub światopogląd, niepełnosprawność, wiek lub orientację seksualną (COM(2008)0426).</w:t>
            </w:r>
          </w:p>
        </w:tc>
        <w:tc>
          <w:tcPr>
            <w:tcW w:w="4876" w:type="dxa"/>
            <w:tcBorders>
              <w:top w:val="nil"/>
              <w:left w:val="nil"/>
              <w:bottom w:val="nil"/>
              <w:right w:val="nil"/>
            </w:tcBorders>
          </w:tcPr>
          <w:p w:rsidR="007A0039" w:rsidRPr="00EA7539" w:rsidRDefault="007A0039" w:rsidP="008F6778"/>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407</w:t>
      </w:r>
      <w:r>
        <w:rPr>
          <w:rStyle w:val="HideTWBExt"/>
        </w:rPr>
        <w:t>&lt;/NumAm&gt;</w:t>
      </w:r>
    </w:p>
    <w:p w:rsidR="007A0039" w:rsidRPr="00EA7539" w:rsidRDefault="007A0039" w:rsidP="007A0039">
      <w:pPr>
        <w:pStyle w:val="NormalBold"/>
      </w:pPr>
      <w:r>
        <w:rPr>
          <w:rStyle w:val="HideTWBExt"/>
          <w:b w:val="0"/>
        </w:rPr>
        <w:t>&lt;RepeatBlock-By&gt;&lt;Members&gt;</w:t>
      </w:r>
      <w:r>
        <w:t>Ewa Zajączkowska-Hernik</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15.</w:t>
            </w:r>
            <w:r>
              <w:tab/>
            </w:r>
            <w:r>
              <w:rPr>
                <w:b/>
                <w:i/>
              </w:rPr>
              <w:t>wzywa Komisję i państwa członkowskie do rozszerzenia podstawy prawnej UE w tej dziedzinie oraz do przedstawienia wniosku w sprawie przestępstw z nienawiści i mowy nienawiści; wzywa Radę do przyjęcia dyrektywy 2008/140</w:t>
            </w:r>
            <w:r>
              <w:rPr>
                <w:b/>
                <w:i/>
                <w:vertAlign w:val="superscript"/>
              </w:rPr>
              <w:t>42</w:t>
            </w:r>
            <w:r>
              <w:rPr>
                <w:b/>
                <w:i/>
              </w:rPr>
              <w:t>;</w:t>
            </w:r>
          </w:p>
        </w:tc>
        <w:tc>
          <w:tcPr>
            <w:tcW w:w="4876" w:type="dxa"/>
            <w:tcBorders>
              <w:top w:val="nil"/>
              <w:left w:val="nil"/>
              <w:bottom w:val="nil"/>
              <w:right w:val="nil"/>
            </w:tcBorders>
          </w:tcPr>
          <w:p w:rsidR="007A0039" w:rsidRPr="00EA7539" w:rsidRDefault="007A0039" w:rsidP="008F6778">
            <w:pPr>
              <w:pStyle w:val="Normal6a"/>
            </w:pPr>
            <w:r>
              <w:rPr>
                <w:b/>
                <w:i/>
              </w:rPr>
              <w:t>skreśla się</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_________________</w:t>
            </w:r>
          </w:p>
        </w:tc>
        <w:tc>
          <w:tcPr>
            <w:tcW w:w="4876" w:type="dxa"/>
            <w:tcBorders>
              <w:top w:val="nil"/>
              <w:left w:val="nil"/>
              <w:bottom w:val="nil"/>
              <w:right w:val="nil"/>
            </w:tcBorders>
          </w:tcPr>
          <w:p w:rsidR="007A0039" w:rsidRPr="00EA7539" w:rsidRDefault="007A0039" w:rsidP="008F6778"/>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vertAlign w:val="superscript"/>
              </w:rPr>
              <w:t>42</w:t>
            </w:r>
            <w:r>
              <w:t xml:space="preserve"> Wniosek Komisji dotyczący dyrektywy Rady w sprawie wprowadzenia w życie zasady równego traktowania osób bez względu na religię lub światopogląd, niepełnosprawność, wiek lub orientację seksualną (COM(2008)0426).</w:t>
            </w:r>
          </w:p>
        </w:tc>
        <w:tc>
          <w:tcPr>
            <w:tcW w:w="4876" w:type="dxa"/>
            <w:tcBorders>
              <w:top w:val="nil"/>
              <w:left w:val="nil"/>
              <w:bottom w:val="nil"/>
              <w:right w:val="nil"/>
            </w:tcBorders>
          </w:tcPr>
          <w:p w:rsidR="007A0039" w:rsidRPr="00EA7539" w:rsidRDefault="007A0039" w:rsidP="008F6778"/>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408</w:t>
      </w:r>
      <w:r>
        <w:rPr>
          <w:rStyle w:val="HideTWBExt"/>
        </w:rPr>
        <w:t>&lt;/NumAm&gt;</w:t>
      </w:r>
    </w:p>
    <w:p w:rsidR="007A0039" w:rsidRPr="00EA7539" w:rsidRDefault="007A0039" w:rsidP="007A0039">
      <w:pPr>
        <w:pStyle w:val="NormalBold"/>
      </w:pPr>
      <w:r>
        <w:rPr>
          <w:rStyle w:val="HideTWBExt"/>
          <w:b w:val="0"/>
        </w:rPr>
        <w:t>&lt;RepeatBlock-By&gt;&lt;Members&gt;</w:t>
      </w:r>
      <w:r>
        <w:t>Daniel Freund, Alice Kuhnke</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15.</w:t>
            </w:r>
            <w:r>
              <w:tab/>
              <w:t xml:space="preserve">wzywa Komisję i państwa członkowskie do rozszerzenia podstawy prawnej UE w tej dziedzinie oraz do przedstawienia wniosku w sprawie przestępstw z nienawiści i mowy nienawiści; </w:t>
            </w:r>
            <w:r>
              <w:rPr>
                <w:b/>
                <w:i/>
              </w:rPr>
              <w:t>wzywa Radę do przyjęcia</w:t>
            </w:r>
            <w:r>
              <w:t xml:space="preserve"> dyrektywy </w:t>
            </w:r>
            <w:r>
              <w:rPr>
                <w:b/>
                <w:i/>
              </w:rPr>
              <w:t>2008/140</w:t>
            </w:r>
            <w:r>
              <w:rPr>
                <w:b/>
                <w:i/>
                <w:vertAlign w:val="superscript"/>
              </w:rPr>
              <w:t>42</w:t>
            </w:r>
            <w:r>
              <w:t>;</w:t>
            </w:r>
          </w:p>
        </w:tc>
        <w:tc>
          <w:tcPr>
            <w:tcW w:w="4876" w:type="dxa"/>
            <w:tcBorders>
              <w:top w:val="nil"/>
              <w:left w:val="nil"/>
              <w:bottom w:val="nil"/>
              <w:right w:val="nil"/>
            </w:tcBorders>
          </w:tcPr>
          <w:p w:rsidR="007A0039" w:rsidRPr="00EA7539" w:rsidRDefault="007A0039" w:rsidP="008F6778">
            <w:pPr>
              <w:pStyle w:val="Normal6a"/>
            </w:pPr>
            <w:r>
              <w:t>15.</w:t>
            </w:r>
            <w:r>
              <w:tab/>
              <w:t xml:space="preserve">wzywa Komisję i państwa członkowskie do rozszerzenia podstawy prawnej UE w tej dziedzinie oraz do przedstawienia wniosku w sprawie przestępstw z nienawiści i mowy nienawiści; </w:t>
            </w:r>
            <w:r>
              <w:rPr>
                <w:b/>
                <w:i/>
              </w:rPr>
              <w:t>z ubolewaniem odnotowuje, że Komisja zamierza wycofać wniosek dotyczący horyzontalnej</w:t>
            </w:r>
            <w:r>
              <w:t xml:space="preserve"> dyrektywy </w:t>
            </w:r>
            <w:r>
              <w:rPr>
                <w:b/>
                <w:i/>
              </w:rPr>
              <w:t>antydyskryminacyjnej</w:t>
            </w:r>
            <w:r>
              <w:rPr>
                <w:b/>
                <w:i/>
                <w:vertAlign w:val="superscript"/>
              </w:rPr>
              <w:t>42</w:t>
            </w:r>
            <w:r>
              <w:rPr>
                <w:b/>
                <w:i/>
              </w:rPr>
              <w:t xml:space="preserve"> i apeluje do Rady o bezzwłoczne przyjęcie tej dyrektywy</w:t>
            </w:r>
            <w:r>
              <w:t>;</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_________________</w:t>
            </w:r>
          </w:p>
        </w:tc>
        <w:tc>
          <w:tcPr>
            <w:tcW w:w="4876" w:type="dxa"/>
            <w:tcBorders>
              <w:top w:val="nil"/>
              <w:left w:val="nil"/>
              <w:bottom w:val="nil"/>
              <w:right w:val="nil"/>
            </w:tcBorders>
          </w:tcPr>
          <w:p w:rsidR="007A0039" w:rsidRPr="00EA7539" w:rsidRDefault="007A0039" w:rsidP="008F6778">
            <w:pPr>
              <w:pStyle w:val="Normal6a"/>
            </w:pPr>
            <w:r>
              <w:rPr>
                <w:b/>
                <w:i/>
              </w:rPr>
              <w:t>_________________</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sidRPr="000C292F">
              <w:rPr>
                <w:vertAlign w:val="superscript"/>
              </w:rPr>
              <w:t>42</w:t>
            </w:r>
            <w:r>
              <w:t xml:space="preserve"> Wniosek Komisji dotyczący dyrektywy Rady w sprawie wprowadzenia w życie zasady równego traktowania osób bez względu na religię lub światopogląd, niepełnosprawność, wiek lub orientację seksualną (COM(2008)0426).</w:t>
            </w:r>
          </w:p>
        </w:tc>
        <w:tc>
          <w:tcPr>
            <w:tcW w:w="4876" w:type="dxa"/>
            <w:tcBorders>
              <w:top w:val="nil"/>
              <w:left w:val="nil"/>
              <w:bottom w:val="nil"/>
              <w:right w:val="nil"/>
            </w:tcBorders>
          </w:tcPr>
          <w:p w:rsidR="007A0039" w:rsidRPr="00EA7539" w:rsidRDefault="007A0039" w:rsidP="008F6778">
            <w:pPr>
              <w:pStyle w:val="Normal6a"/>
            </w:pPr>
            <w:r w:rsidRPr="000C292F">
              <w:rPr>
                <w:vertAlign w:val="superscript"/>
              </w:rPr>
              <w:t>42</w:t>
            </w:r>
            <w:r>
              <w:t xml:space="preserve"> Wniosek Komisji dotyczący dyrektywy Rady w sprawie wprowadzenia w życie zasady równego traktowania osób bez względu na religię lub światopogląd, niepełnosprawność, wiek lub orientację seksualną (COM(2008)0426).</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409</w:t>
      </w:r>
      <w:r>
        <w:rPr>
          <w:rStyle w:val="HideTWBExt"/>
        </w:rPr>
        <w:t>&lt;/NumAm&gt;</w:t>
      </w:r>
    </w:p>
    <w:p w:rsidR="007A0039" w:rsidRPr="00EA7539" w:rsidRDefault="007A0039" w:rsidP="007A0039">
      <w:pPr>
        <w:pStyle w:val="NormalBold"/>
      </w:pPr>
      <w:r>
        <w:rPr>
          <w:rStyle w:val="HideTWBExt"/>
          <w:b w:val="0"/>
        </w:rPr>
        <w:t>&lt;RepeatBlock-By&gt;&lt;Members&gt;</w:t>
      </w:r>
      <w:r>
        <w:t>Mary Khan, Christine Anderson, Milan Uhrík</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15.</w:t>
            </w:r>
            <w:r>
              <w:tab/>
            </w:r>
            <w:r>
              <w:rPr>
                <w:b/>
                <w:i/>
              </w:rPr>
              <w:t>wzywa Komisję i państwa członkowskie do rozszerzenia podstawy prawnej UE w tej dziedzinie oraz do przedstawienia wniosku</w:t>
            </w:r>
            <w:r>
              <w:t xml:space="preserve"> w sprawie przestępstw z nienawiści i mowy nienawiści; </w:t>
            </w:r>
            <w:r>
              <w:rPr>
                <w:b/>
                <w:i/>
              </w:rPr>
              <w:t>wzywa Radę do przyjęcia dyrektywy 2008/140</w:t>
            </w:r>
            <w:r>
              <w:rPr>
                <w:b/>
                <w:i/>
                <w:vertAlign w:val="superscript"/>
              </w:rPr>
              <w:t>42</w:t>
            </w:r>
            <w:r>
              <w:rPr>
                <w:b/>
                <w:i/>
              </w:rPr>
              <w:t>;</w:t>
            </w:r>
          </w:p>
        </w:tc>
        <w:tc>
          <w:tcPr>
            <w:tcW w:w="4876" w:type="dxa"/>
            <w:tcBorders>
              <w:top w:val="nil"/>
              <w:left w:val="nil"/>
              <w:bottom w:val="nil"/>
              <w:right w:val="nil"/>
            </w:tcBorders>
          </w:tcPr>
          <w:p w:rsidR="007A0039" w:rsidRPr="00EA7539" w:rsidRDefault="007A0039" w:rsidP="008F6778">
            <w:pPr>
              <w:pStyle w:val="Normal6a"/>
            </w:pPr>
            <w:r>
              <w:t>15.</w:t>
            </w:r>
            <w:r>
              <w:tab/>
            </w:r>
            <w:r>
              <w:rPr>
                <w:b/>
                <w:i/>
              </w:rPr>
              <w:t>odrzuca wnioski Komisji</w:t>
            </w:r>
            <w:r>
              <w:t xml:space="preserve"> w sprawie przestępstw z nienawiści i mowy nienawiści;</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_________________</w:t>
            </w:r>
          </w:p>
        </w:tc>
        <w:tc>
          <w:tcPr>
            <w:tcW w:w="4876" w:type="dxa"/>
            <w:tcBorders>
              <w:top w:val="nil"/>
              <w:left w:val="nil"/>
              <w:bottom w:val="nil"/>
              <w:right w:val="nil"/>
            </w:tcBorders>
          </w:tcPr>
          <w:p w:rsidR="007A0039" w:rsidRPr="00EA7539" w:rsidRDefault="007A0039" w:rsidP="008F6778"/>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sidRPr="000C292F">
              <w:rPr>
                <w:b/>
                <w:i/>
                <w:vertAlign w:val="superscript"/>
              </w:rPr>
              <w:t>42</w:t>
            </w:r>
            <w:r>
              <w:rPr>
                <w:b/>
                <w:i/>
              </w:rPr>
              <w:t xml:space="preserve"> Wniosek Komisji dotyczący dyrektywy Rady w sprawie wprowadzenia w życie zasady równego traktowania osób bez względu na religię lub światopogląd, niepełnosprawność, wiek lub orientację seksualną (COM(2008)0426).</w:t>
            </w:r>
          </w:p>
        </w:tc>
        <w:tc>
          <w:tcPr>
            <w:tcW w:w="4876" w:type="dxa"/>
            <w:tcBorders>
              <w:top w:val="nil"/>
              <w:left w:val="nil"/>
              <w:bottom w:val="nil"/>
              <w:right w:val="nil"/>
            </w:tcBorders>
          </w:tcPr>
          <w:p w:rsidR="007A0039" w:rsidRPr="00EA7539" w:rsidRDefault="007A0039" w:rsidP="008F6778"/>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sidRPr="00EA7539">
        <w:rPr>
          <w:rStyle w:val="HideTWBExt"/>
        </w:rPr>
        <w:t>&lt;Amend&gt;</w:t>
      </w:r>
      <w:r w:rsidRPr="00EA7539">
        <w:t>Poprawka</w:t>
      </w:r>
      <w:r w:rsidRPr="00EA7539">
        <w:tab/>
      </w:r>
      <w:r w:rsidRPr="00EA7539">
        <w:tab/>
      </w:r>
      <w:r w:rsidRPr="00EA7539">
        <w:rPr>
          <w:rStyle w:val="HideTWBExt"/>
        </w:rPr>
        <w:t>&lt;NumAm&gt;</w:t>
      </w:r>
      <w:r w:rsidRPr="00EA7539">
        <w:t>410</w:t>
      </w:r>
      <w:r w:rsidRPr="00EA7539">
        <w:rPr>
          <w:rStyle w:val="HideTWBExt"/>
        </w:rPr>
        <w:t>&lt;/NumAm&gt;</w:t>
      </w:r>
    </w:p>
    <w:p w:rsidR="007A0039" w:rsidRPr="00EA7539" w:rsidRDefault="007A0039" w:rsidP="007A0039">
      <w:pPr>
        <w:pStyle w:val="NormalBold"/>
      </w:pPr>
      <w:r w:rsidRPr="00EA7539">
        <w:rPr>
          <w:rStyle w:val="HideTWBExt"/>
          <w:b w:val="0"/>
        </w:rPr>
        <w:t>&lt;RepeatBlock-By&gt;&lt;Members&gt;</w:t>
      </w:r>
      <w:r w:rsidRPr="00EA7539">
        <w:t>Mariusz Kamiński, Joachim Stanisław Brudziński, Jadwiga Wiśniewska, Maciej Wąsik, Jacek Ozdoba</w:t>
      </w:r>
      <w:r w:rsidRPr="00EA7539">
        <w:rPr>
          <w:rStyle w:val="HideTWBExt"/>
          <w:b w:val="0"/>
        </w:rPr>
        <w:t>&lt;/Members&gt;</w:t>
      </w:r>
    </w:p>
    <w:p w:rsidR="007A0039" w:rsidRPr="00EA7539" w:rsidRDefault="007A0039" w:rsidP="007A0039">
      <w:pPr>
        <w:pStyle w:val="NormalBold"/>
      </w:pPr>
      <w:r w:rsidRPr="00EA7539">
        <w:rPr>
          <w:rStyle w:val="HideTWBExt"/>
          <w:b w:val="0"/>
        </w:rPr>
        <w:t>&lt;/RepeatBlock-By&gt;</w:t>
      </w:r>
    </w:p>
    <w:p w:rsidR="007A0039" w:rsidRPr="00EA7539" w:rsidRDefault="007A0039" w:rsidP="007A0039">
      <w:pPr>
        <w:pStyle w:val="NormalBold"/>
      </w:pPr>
      <w:r w:rsidRPr="00EA7539">
        <w:rPr>
          <w:rStyle w:val="HideTWBExt"/>
        </w:rPr>
        <w:t>&lt;DocAmend&gt;</w:t>
      </w:r>
      <w:r w:rsidRPr="00EA7539">
        <w:t>Projekt rezolucji</w:t>
      </w:r>
      <w:r w:rsidRPr="00EA7539">
        <w:rPr>
          <w:rStyle w:val="HideTWBExt"/>
        </w:rPr>
        <w:t>&lt;/DocAmend&gt;</w:t>
      </w:r>
    </w:p>
    <w:p w:rsidR="007A0039" w:rsidRPr="00EA7539" w:rsidRDefault="007A0039" w:rsidP="007A0039">
      <w:pPr>
        <w:pStyle w:val="NormalBold"/>
      </w:pPr>
      <w:r w:rsidRPr="00EA7539">
        <w:rPr>
          <w:rStyle w:val="HideTWBExt"/>
        </w:rPr>
        <w:t>&lt;Article&gt;</w:t>
      </w:r>
      <w:r w:rsidRPr="00EA7539">
        <w:t>Ustęp 15</w:t>
      </w:r>
      <w:r w:rsidRPr="00EA7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RPr="00EA75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RPr="00EA75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rsidRPr="00EA7539">
              <w:t>Projekt rezolucji</w:t>
            </w:r>
          </w:p>
        </w:tc>
        <w:tc>
          <w:tcPr>
            <w:tcW w:w="4876" w:type="dxa"/>
            <w:tcBorders>
              <w:top w:val="nil"/>
              <w:left w:val="nil"/>
              <w:bottom w:val="nil"/>
              <w:right w:val="nil"/>
            </w:tcBorders>
          </w:tcPr>
          <w:p w:rsidR="007A0039" w:rsidRPr="00EA7539" w:rsidRDefault="007A0039" w:rsidP="008F6778">
            <w:pPr>
              <w:pStyle w:val="AmColumnHeading"/>
            </w:pPr>
            <w:r w:rsidRPr="00EA7539">
              <w:t>Poprawka</w:t>
            </w:r>
          </w:p>
        </w:tc>
      </w:tr>
      <w:tr w:rsidR="007A0039" w:rsidRPr="00EA7539" w:rsidTr="008F6778">
        <w:trPr>
          <w:jc w:val="center"/>
        </w:trPr>
        <w:tc>
          <w:tcPr>
            <w:tcW w:w="4876" w:type="dxa"/>
            <w:tcBorders>
              <w:top w:val="nil"/>
              <w:left w:val="nil"/>
              <w:bottom w:val="nil"/>
              <w:right w:val="nil"/>
            </w:tcBorders>
          </w:tcPr>
          <w:p w:rsidR="007A0039" w:rsidRPr="00EA7539" w:rsidRDefault="007A0039" w:rsidP="008F6778">
            <w:pPr>
              <w:pStyle w:val="Normal6a"/>
            </w:pPr>
            <w:r w:rsidRPr="00EA7539">
              <w:t>15.</w:t>
            </w:r>
            <w:r w:rsidRPr="00EA7539">
              <w:tab/>
              <w:t xml:space="preserve">wzywa Komisję i państwa członkowskie do </w:t>
            </w:r>
            <w:r w:rsidRPr="00EA7539">
              <w:rPr>
                <w:b/>
                <w:i/>
              </w:rPr>
              <w:t>rozszerzenia podstawy prawnej UE</w:t>
            </w:r>
            <w:r w:rsidRPr="00EA7539">
              <w:t xml:space="preserve"> w tej dziedzinie </w:t>
            </w:r>
            <w:r w:rsidRPr="00EA7539">
              <w:rPr>
                <w:b/>
                <w:i/>
              </w:rPr>
              <w:t>oraz do przedstawienia wniosku w sprawie przestępstw z</w:t>
            </w:r>
            <w:r w:rsidRPr="00EA7539">
              <w:t xml:space="preserve"> nienawiści </w:t>
            </w:r>
            <w:r w:rsidRPr="00EA7539">
              <w:rPr>
                <w:b/>
                <w:i/>
              </w:rPr>
              <w:t>i mowy nienawiści; wzywa Radę do przyjęcia</w:t>
            </w:r>
            <w:r w:rsidRPr="00EA7539">
              <w:t xml:space="preserve"> dyrektywy 2008/140</w:t>
            </w:r>
            <w:r w:rsidRPr="00EA7539">
              <w:rPr>
                <w:vertAlign w:val="superscript"/>
              </w:rPr>
              <w:t>42</w:t>
            </w:r>
            <w:r w:rsidRPr="00EA7539">
              <w:t xml:space="preserve"> ;</w:t>
            </w:r>
          </w:p>
        </w:tc>
        <w:tc>
          <w:tcPr>
            <w:tcW w:w="4876" w:type="dxa"/>
            <w:tcBorders>
              <w:top w:val="nil"/>
              <w:left w:val="nil"/>
              <w:bottom w:val="nil"/>
              <w:right w:val="nil"/>
            </w:tcBorders>
          </w:tcPr>
          <w:p w:rsidR="007A0039" w:rsidRPr="00EA7539" w:rsidRDefault="007A0039" w:rsidP="008F6778">
            <w:pPr>
              <w:pStyle w:val="Normal6a"/>
            </w:pPr>
            <w:r w:rsidRPr="00EA7539">
              <w:t>15.</w:t>
            </w:r>
            <w:r w:rsidRPr="00EA7539">
              <w:tab/>
              <w:t xml:space="preserve">wzywa Komisję i państwa członkowskie do </w:t>
            </w:r>
            <w:r w:rsidRPr="00EA7539">
              <w:rPr>
                <w:b/>
                <w:i/>
              </w:rPr>
              <w:t>przeglądu uregulowań prawnych</w:t>
            </w:r>
            <w:r w:rsidRPr="00EA7539">
              <w:t xml:space="preserve"> w tej dziedzinie</w:t>
            </w:r>
            <w:r w:rsidRPr="00EA7539">
              <w:rPr>
                <w:b/>
                <w:i/>
              </w:rPr>
              <w:t>, oraz przestrzegania wolności słowa i swobody wypowiedzi; sprzeciwia się wprowadzaniu cenzury pod postacią karalności za tzw. "mowę</w:t>
            </w:r>
            <w:r w:rsidRPr="00EA7539">
              <w:t xml:space="preserve"> nienawiści </w:t>
            </w:r>
            <w:r w:rsidRPr="00EA7539">
              <w:rPr>
                <w:b/>
                <w:i/>
              </w:rPr>
              <w:t>oraz analizy w tym kontekście</w:t>
            </w:r>
            <w:r w:rsidRPr="00EA7539">
              <w:t xml:space="preserve"> dyrektywy 2008/140</w:t>
            </w:r>
            <w:r w:rsidRPr="00EA7539">
              <w:rPr>
                <w:vertAlign w:val="superscript"/>
              </w:rPr>
              <w:t>42</w:t>
            </w:r>
            <w:r w:rsidRPr="00EA7539">
              <w:t xml:space="preserve"> ;</w:t>
            </w:r>
          </w:p>
        </w:tc>
      </w:tr>
      <w:tr w:rsidR="007A0039" w:rsidRPr="00EA7539" w:rsidTr="008F6778">
        <w:trPr>
          <w:jc w:val="center"/>
        </w:trPr>
        <w:tc>
          <w:tcPr>
            <w:tcW w:w="4876" w:type="dxa"/>
            <w:tcBorders>
              <w:top w:val="nil"/>
              <w:left w:val="nil"/>
              <w:bottom w:val="nil"/>
              <w:right w:val="nil"/>
            </w:tcBorders>
          </w:tcPr>
          <w:p w:rsidR="007A0039" w:rsidRPr="00EA7539" w:rsidRDefault="007A0039" w:rsidP="008F6778">
            <w:pPr>
              <w:pStyle w:val="Normal6a"/>
            </w:pPr>
            <w:r w:rsidRPr="00EA7539">
              <w:rPr>
                <w:b/>
                <w:i/>
              </w:rPr>
              <w:t>_________________</w:t>
            </w:r>
          </w:p>
        </w:tc>
        <w:tc>
          <w:tcPr>
            <w:tcW w:w="4876" w:type="dxa"/>
            <w:tcBorders>
              <w:top w:val="nil"/>
              <w:left w:val="nil"/>
              <w:bottom w:val="nil"/>
              <w:right w:val="nil"/>
            </w:tcBorders>
          </w:tcPr>
          <w:p w:rsidR="007A0039" w:rsidRPr="00EA7539" w:rsidRDefault="007A0039" w:rsidP="008F6778">
            <w:pPr>
              <w:pStyle w:val="Normal6a"/>
            </w:pPr>
            <w:r w:rsidRPr="00EA7539">
              <w:rPr>
                <w:b/>
                <w:i/>
              </w:rPr>
              <w:t>_________________</w:t>
            </w:r>
          </w:p>
        </w:tc>
      </w:tr>
      <w:tr w:rsidR="007A0039" w:rsidRPr="00EA7539" w:rsidTr="008F6778">
        <w:trPr>
          <w:jc w:val="center"/>
        </w:trPr>
        <w:tc>
          <w:tcPr>
            <w:tcW w:w="4876" w:type="dxa"/>
            <w:tcBorders>
              <w:top w:val="nil"/>
              <w:left w:val="nil"/>
              <w:bottom w:val="nil"/>
              <w:right w:val="nil"/>
            </w:tcBorders>
          </w:tcPr>
          <w:p w:rsidR="007A0039" w:rsidRPr="00EA7539" w:rsidRDefault="007A0039" w:rsidP="008F6778">
            <w:pPr>
              <w:pStyle w:val="Normal6a"/>
            </w:pPr>
            <w:r w:rsidRPr="00EA7539">
              <w:rPr>
                <w:vertAlign w:val="superscript"/>
              </w:rPr>
              <w:t>42</w:t>
            </w:r>
            <w:r w:rsidRPr="00EA7539">
              <w:t xml:space="preserve"> Wniosek Komisji dotyczący dyrektywy Rady w sprawie wprowadzenia w życie zasady równego traktowania osób bez względu na religię lub światopogląd, niepełnosprawność, wiek lub orientację seksualną (COM(2008)0426).</w:t>
            </w:r>
          </w:p>
        </w:tc>
        <w:tc>
          <w:tcPr>
            <w:tcW w:w="4876" w:type="dxa"/>
            <w:tcBorders>
              <w:top w:val="nil"/>
              <w:left w:val="nil"/>
              <w:bottom w:val="nil"/>
              <w:right w:val="nil"/>
            </w:tcBorders>
          </w:tcPr>
          <w:p w:rsidR="007A0039" w:rsidRPr="00EA7539" w:rsidRDefault="007A0039" w:rsidP="008F6778">
            <w:pPr>
              <w:pStyle w:val="Normal6a"/>
            </w:pPr>
            <w:r w:rsidRPr="00EA7539">
              <w:rPr>
                <w:vertAlign w:val="superscript"/>
              </w:rPr>
              <w:t>42</w:t>
            </w:r>
            <w:r w:rsidRPr="00EA7539">
              <w:t xml:space="preserve"> Wniosek Komisji dotyczący dyrektywy Rady w sprawie wprowadzenia w życie zasady równego traktowania osób bez względu na religię lub światopogląd, niepełnosprawność, wiek lub orientację seksualną (COM(2008)0426).</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{PL}</w:t>
      </w:r>
      <w:r w:rsidRPr="00EA7539">
        <w:t>pl</w:t>
      </w:r>
      <w:r w:rsidRPr="00EA7539">
        <w:rPr>
          <w:rStyle w:val="HideTWBExt"/>
        </w:rPr>
        <w:t>&lt;/Original&gt;</w:t>
      </w:r>
    </w:p>
    <w:p w:rsidR="007A0039" w:rsidRPr="00EA7539" w:rsidRDefault="007A0039" w:rsidP="007A0039">
      <w:r w:rsidRPr="00EA7539">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411</w:t>
      </w:r>
      <w:r>
        <w:rPr>
          <w:rStyle w:val="HideTWBExt"/>
        </w:rPr>
        <w:t>&lt;/NumAm&gt;</w:t>
      </w:r>
    </w:p>
    <w:p w:rsidR="007A0039" w:rsidRPr="00EA7539" w:rsidRDefault="007A0039" w:rsidP="007A0039">
      <w:pPr>
        <w:pStyle w:val="NormalBold"/>
      </w:pPr>
      <w:r>
        <w:rPr>
          <w:rStyle w:val="HideTWBExt"/>
          <w:b w:val="0"/>
        </w:rPr>
        <w:t>&lt;RepeatBlock-By&gt;&lt;Members&gt;</w:t>
      </w:r>
      <w:r>
        <w:t>Alessandro Zan</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15.</w:t>
            </w:r>
            <w:r>
              <w:tab/>
              <w:t>wzywa Komisję i państwa członkowskie do rozszerzenia podstawy prawnej UE w tej dziedzinie oraz do przedstawienia wniosku w sprawie przestępstw z nienawiści i mowy nienawiści; wzywa Radę do przyjęcia dyrektywy 2008/140</w:t>
            </w:r>
            <w:r>
              <w:rPr>
                <w:vertAlign w:val="superscript"/>
              </w:rPr>
              <w:t>42</w:t>
            </w:r>
            <w:r>
              <w:t>;</w:t>
            </w:r>
          </w:p>
        </w:tc>
        <w:tc>
          <w:tcPr>
            <w:tcW w:w="4876" w:type="dxa"/>
            <w:tcBorders>
              <w:top w:val="nil"/>
              <w:left w:val="nil"/>
              <w:bottom w:val="nil"/>
              <w:right w:val="nil"/>
            </w:tcBorders>
          </w:tcPr>
          <w:p w:rsidR="007A0039" w:rsidRPr="00EA7539" w:rsidRDefault="007A0039" w:rsidP="008F6778">
            <w:pPr>
              <w:pStyle w:val="Normal6a"/>
            </w:pPr>
            <w:r>
              <w:t>15.</w:t>
            </w:r>
            <w:r>
              <w:tab/>
            </w:r>
            <w:r>
              <w:rPr>
                <w:b/>
                <w:i/>
              </w:rPr>
              <w:t>zwraca uwagę na konieczność zwalczania z wszelkiego rodzaju dyskryminacji i</w:t>
            </w:r>
            <w:r>
              <w:t xml:space="preserve"> wzywa Komisję i państwa członkowskie do rozszerzenia podstawy prawnej UE w tej dziedzinie oraz do przedstawienia wniosku w sprawie przestępstw z nienawiści i mowy nienawiści; wzywa Radę do przyjęcia dyrektywy 2008/140</w:t>
            </w:r>
            <w:r>
              <w:rPr>
                <w:vertAlign w:val="superscript"/>
              </w:rPr>
              <w:t>42</w:t>
            </w:r>
            <w:r>
              <w:t>;</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_________________</w:t>
            </w:r>
          </w:p>
        </w:tc>
        <w:tc>
          <w:tcPr>
            <w:tcW w:w="4876" w:type="dxa"/>
            <w:tcBorders>
              <w:top w:val="nil"/>
              <w:left w:val="nil"/>
              <w:bottom w:val="nil"/>
              <w:right w:val="nil"/>
            </w:tcBorders>
          </w:tcPr>
          <w:p w:rsidR="007A0039" w:rsidRPr="00EA7539" w:rsidRDefault="007A0039" w:rsidP="008F6778">
            <w:pPr>
              <w:pStyle w:val="Normal6a"/>
            </w:pPr>
            <w:r>
              <w:rPr>
                <w:b/>
                <w:i/>
              </w:rPr>
              <w:t>_________________</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vertAlign w:val="superscript"/>
              </w:rPr>
              <w:t>42</w:t>
            </w:r>
            <w:r>
              <w:t xml:space="preserve"> Wniosek Komisji dotyczący dyrektywy Rady w sprawie wprowadzenia w życie zasady równego traktowania osób bez względu na religię lub światopogląd, niepełnosprawność, wiek lub orientację seksualną (COM(2008)0426).</w:t>
            </w:r>
          </w:p>
        </w:tc>
        <w:tc>
          <w:tcPr>
            <w:tcW w:w="4876" w:type="dxa"/>
            <w:tcBorders>
              <w:top w:val="nil"/>
              <w:left w:val="nil"/>
              <w:bottom w:val="nil"/>
              <w:right w:val="nil"/>
            </w:tcBorders>
          </w:tcPr>
          <w:p w:rsidR="007A0039" w:rsidRPr="00EA7539" w:rsidRDefault="007A0039" w:rsidP="008F6778">
            <w:pPr>
              <w:pStyle w:val="Normal6a"/>
            </w:pPr>
            <w:r>
              <w:rPr>
                <w:vertAlign w:val="superscript"/>
              </w:rPr>
              <w:t>42</w:t>
            </w:r>
            <w:r>
              <w:t xml:space="preserve"> Wniosek Komisji dotyczący dyrektywy Rady w sprawie wprowadzenia w życie zasady równego traktowania osób bez względu na religię lub światopogląd, niepełnosprawność, wiek lub orientację seksualną (COM(2008)0426).</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412</w:t>
      </w:r>
      <w:r>
        <w:rPr>
          <w:rStyle w:val="HideTWBExt"/>
        </w:rPr>
        <w:t>&lt;/NumAm&gt;</w:t>
      </w:r>
    </w:p>
    <w:p w:rsidR="007A0039" w:rsidRPr="00EA7539" w:rsidRDefault="007A0039" w:rsidP="007A0039">
      <w:pPr>
        <w:pStyle w:val="NormalBold"/>
      </w:pPr>
      <w:r>
        <w:rPr>
          <w:rStyle w:val="HideTWBExt"/>
          <w:b w:val="0"/>
        </w:rPr>
        <w:t>&lt;RepeatBlock-By&gt;&lt;Members&gt;</w:t>
      </w:r>
      <w:r>
        <w:t>Erik Kaliňák</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15.</w:t>
            </w:r>
            <w:r>
              <w:tab/>
              <w:t xml:space="preserve">wzywa Komisję </w:t>
            </w:r>
            <w:r>
              <w:rPr>
                <w:b/>
                <w:i/>
              </w:rPr>
              <w:t>i państwa członkowskie do rozszerzenia podstawy prawnej</w:t>
            </w:r>
            <w:r>
              <w:t xml:space="preserve"> UE </w:t>
            </w:r>
            <w:r>
              <w:rPr>
                <w:b/>
                <w:i/>
              </w:rPr>
              <w:t>w tej dziedzinie oraz do przedstawienia wniosku</w:t>
            </w:r>
            <w:r>
              <w:t xml:space="preserve"> w </w:t>
            </w:r>
            <w:r>
              <w:rPr>
                <w:b/>
                <w:i/>
              </w:rPr>
              <w:t>sprawie przestępstw z nienawiści i mowy nienawiści;</w:t>
            </w:r>
            <w:r>
              <w:t xml:space="preserve"> </w:t>
            </w:r>
            <w:r>
              <w:rPr>
                <w:b/>
                <w:i/>
              </w:rPr>
              <w:t>wzywa Radę do przyjęcia dyrektywy 2008/140</w:t>
            </w:r>
            <w:r>
              <w:rPr>
                <w:b/>
                <w:i/>
                <w:vertAlign w:val="superscript"/>
              </w:rPr>
              <w:t>42</w:t>
            </w:r>
            <w:r>
              <w:t>;</w:t>
            </w:r>
          </w:p>
        </w:tc>
        <w:tc>
          <w:tcPr>
            <w:tcW w:w="4876" w:type="dxa"/>
            <w:tcBorders>
              <w:top w:val="nil"/>
              <w:left w:val="nil"/>
              <w:bottom w:val="nil"/>
              <w:right w:val="nil"/>
            </w:tcBorders>
          </w:tcPr>
          <w:p w:rsidR="007A0039" w:rsidRPr="00EA7539" w:rsidRDefault="007A0039" w:rsidP="008F6778">
            <w:pPr>
              <w:pStyle w:val="Normal6a"/>
            </w:pPr>
            <w:r>
              <w:t>15.</w:t>
            </w:r>
            <w:r>
              <w:tab/>
              <w:t xml:space="preserve">wzywa Komisję </w:t>
            </w:r>
            <w:r>
              <w:rPr>
                <w:b/>
                <w:i/>
              </w:rPr>
              <w:t>do ścisłego przestrzegania dotychczasowego podziału kompetencji między</w:t>
            </w:r>
            <w:r>
              <w:t xml:space="preserve"> UE </w:t>
            </w:r>
            <w:r>
              <w:rPr>
                <w:b/>
                <w:i/>
              </w:rPr>
              <w:t>a jej państwami członkowskimi</w:t>
            </w:r>
            <w:r>
              <w:t xml:space="preserve"> w </w:t>
            </w:r>
            <w:r>
              <w:rPr>
                <w:b/>
                <w:i/>
              </w:rPr>
              <w:t>tej dziedzinie</w:t>
            </w:r>
            <w:r>
              <w:t>;</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_________________</w:t>
            </w:r>
          </w:p>
        </w:tc>
        <w:tc>
          <w:tcPr>
            <w:tcW w:w="4876" w:type="dxa"/>
            <w:tcBorders>
              <w:top w:val="nil"/>
              <w:left w:val="nil"/>
              <w:bottom w:val="nil"/>
              <w:right w:val="nil"/>
            </w:tcBorders>
          </w:tcPr>
          <w:p w:rsidR="007A0039" w:rsidRPr="00EA7539" w:rsidRDefault="007A0039" w:rsidP="008F6778"/>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vertAlign w:val="superscript"/>
              </w:rPr>
              <w:t>42</w:t>
            </w:r>
            <w:r>
              <w:t xml:space="preserve"> </w:t>
            </w:r>
            <w:r>
              <w:rPr>
                <w:b/>
                <w:i/>
              </w:rPr>
              <w:t>Wniosek Komisji dotyczący dyrektywy Rady w sprawie wprowadzenia w życie zasady równego traktowania osób bez względu na religię lub światopogląd, niepełnosprawność, wiek lub orientację seksualną (COM(2008)0426).</w:t>
            </w:r>
          </w:p>
        </w:tc>
        <w:tc>
          <w:tcPr>
            <w:tcW w:w="4876" w:type="dxa"/>
            <w:tcBorders>
              <w:top w:val="nil"/>
              <w:left w:val="nil"/>
              <w:bottom w:val="nil"/>
              <w:right w:val="nil"/>
            </w:tcBorders>
          </w:tcPr>
          <w:p w:rsidR="007A0039" w:rsidRPr="00EA7539" w:rsidRDefault="007A0039" w:rsidP="008F6778"/>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{SK}</w:t>
      </w:r>
      <w:r w:rsidRPr="00EA7539">
        <w:t>sk</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413</w:t>
      </w:r>
      <w:r>
        <w:rPr>
          <w:rStyle w:val="HideTWBExt"/>
        </w:rPr>
        <w:t>&lt;/NumAm&gt;</w:t>
      </w:r>
    </w:p>
    <w:p w:rsidR="007A0039" w:rsidRPr="00EA7539" w:rsidRDefault="007A0039" w:rsidP="007A0039">
      <w:pPr>
        <w:pStyle w:val="NormalBold"/>
      </w:pPr>
      <w:r>
        <w:rPr>
          <w:rStyle w:val="HideTWBExt"/>
          <w:b w:val="0"/>
        </w:rPr>
        <w:t>&lt;RepeatBlock-By&gt;&lt;Members&gt;</w:t>
      </w:r>
      <w:r>
        <w:t>Emmanuel Fragkos, Geadis Geadi, Galato Alexandraki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15.</w:t>
            </w:r>
            <w:r>
              <w:tab/>
              <w:t xml:space="preserve">wzywa Komisję i państwa członkowskie do rozszerzenia podstawy prawnej UE w tej dziedzinie oraz do przedstawienia wniosku w sprawie przestępstw z nienawiści i mowy nienawiści; </w:t>
            </w:r>
            <w:r>
              <w:rPr>
                <w:b/>
                <w:bCs/>
                <w:i/>
                <w:iCs/>
              </w:rPr>
              <w:t>wzywa Radę do przyjęcia dyrektywy 2008/140</w:t>
            </w:r>
            <w:r>
              <w:rPr>
                <w:b/>
                <w:bCs/>
                <w:i/>
                <w:iCs/>
                <w:vertAlign w:val="superscript"/>
              </w:rPr>
              <w:t>42</w:t>
            </w:r>
            <w:r>
              <w:rPr>
                <w:b/>
                <w:bCs/>
                <w:i/>
                <w:iCs/>
              </w:rPr>
              <w:t>;</w:t>
            </w:r>
          </w:p>
        </w:tc>
        <w:tc>
          <w:tcPr>
            <w:tcW w:w="4876" w:type="dxa"/>
            <w:tcBorders>
              <w:top w:val="nil"/>
              <w:left w:val="nil"/>
              <w:bottom w:val="nil"/>
              <w:right w:val="nil"/>
            </w:tcBorders>
          </w:tcPr>
          <w:p w:rsidR="007A0039" w:rsidRPr="00EA7539" w:rsidRDefault="007A0039" w:rsidP="008F6778">
            <w:pPr>
              <w:pStyle w:val="Normal6a"/>
            </w:pPr>
            <w:r>
              <w:t>15.</w:t>
            </w:r>
            <w:r>
              <w:tab/>
              <w:t>wzywa Komisję i państwa członkowskie do rozszerzenia podstawy prawnej UE w tej dziedzinie oraz do przedstawienia wniosku w sprawie przestępstw z nienawiści i mowy nienawiści;</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_________________</w:t>
            </w:r>
          </w:p>
        </w:tc>
        <w:tc>
          <w:tcPr>
            <w:tcW w:w="4876" w:type="dxa"/>
            <w:tcBorders>
              <w:top w:val="nil"/>
              <w:left w:val="nil"/>
              <w:bottom w:val="nil"/>
              <w:right w:val="nil"/>
            </w:tcBorders>
          </w:tcPr>
          <w:p w:rsidR="007A0039" w:rsidRPr="00EA7539" w:rsidRDefault="007A0039" w:rsidP="008F6778"/>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vertAlign w:val="superscript"/>
              </w:rPr>
              <w:t>42</w:t>
            </w:r>
            <w:r>
              <w:t xml:space="preserve"> </w:t>
            </w:r>
            <w:r>
              <w:rPr>
                <w:b/>
                <w:i/>
              </w:rPr>
              <w:t>Wniosek Komisji dotyczący dyrektywy Rady w sprawie wprowadzenia w życie zasady równego traktowania osób bez względu na religię lub światopogląd, niepełnosprawność, wiek lub orientację seksualną (COM(2008)0426).</w:t>
            </w:r>
          </w:p>
        </w:tc>
        <w:tc>
          <w:tcPr>
            <w:tcW w:w="4876" w:type="dxa"/>
            <w:tcBorders>
              <w:top w:val="nil"/>
              <w:left w:val="nil"/>
              <w:bottom w:val="nil"/>
              <w:right w:val="nil"/>
            </w:tcBorders>
          </w:tcPr>
          <w:p w:rsidR="007A0039" w:rsidRPr="00EA7539" w:rsidRDefault="007A0039" w:rsidP="008F6778"/>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{EL}</w:t>
      </w:r>
      <w:r w:rsidRPr="00EA7539">
        <w:t>el</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414</w:t>
      </w:r>
      <w:r>
        <w:rPr>
          <w:rStyle w:val="HideTWBExt"/>
        </w:rPr>
        <w:t>&lt;/NumAm&gt;</w:t>
      </w:r>
    </w:p>
    <w:p w:rsidR="007A0039" w:rsidRPr="00EA7539" w:rsidRDefault="007A0039" w:rsidP="007A0039">
      <w:pPr>
        <w:pStyle w:val="NormalBold"/>
      </w:pPr>
      <w:r>
        <w:rPr>
          <w:rStyle w:val="HideTWBExt"/>
          <w:b w:val="0"/>
        </w:rPr>
        <w:t>&lt;RepeatBlock-By&gt;&lt;Members&gt;</w:t>
      </w:r>
      <w:r>
        <w:t>Moritz Körner, Hilde Vautmans, Nikola Minchev, Veronika Cifrová Ostrihoňová, Chloé Ridel, Abir Al-Sahlani, Alessandro Zan, Fabienne Keller, Lucia Yar, Irena Joveva, Isabel Wiseler-Lima, Daniel Freund</w:t>
      </w:r>
      <w:r>
        <w:rPr>
          <w:rStyle w:val="HideTWBExt"/>
          <w:b w:val="0"/>
        </w:rPr>
        <w:t>&lt;/Members&gt;</w:t>
      </w:r>
    </w:p>
    <w:p w:rsidR="007A0039" w:rsidRPr="00EA7539" w:rsidRDefault="007A0039" w:rsidP="007A0039">
      <w:r>
        <w:rPr>
          <w:rStyle w:val="HideTWBExt"/>
        </w:rPr>
        <w:t>&lt;AuNomDe&gt;</w:t>
      </w:r>
      <w:r>
        <w:rPr>
          <w:rStyle w:val="HideTWBInt"/>
        </w:rPr>
        <w:t>{LIBE}</w:t>
      </w:r>
      <w:r>
        <w:t>w imieniu Komisji Wolności Obywatelskich, Sprawiedliwości i Spraw Wewnętrznych</w:t>
      </w:r>
      <w:r>
        <w:rPr>
          <w:rStyle w:val="HideTWBExt"/>
        </w:rPr>
        <w:t>&lt;/AuNomDe&gt;</w:t>
      </w:r>
    </w:p>
    <w:p w:rsidR="007A0039" w:rsidRPr="00EA7539" w:rsidRDefault="007A0039" w:rsidP="007A0039">
      <w:pPr>
        <w:pStyle w:val="NormalBold"/>
      </w:pPr>
      <w:r>
        <w:rPr>
          <w:rStyle w:val="HideTWBExt"/>
          <w:b w:val="0"/>
        </w:rPr>
        <w:t>&lt;Members&gt;</w:t>
      </w:r>
      <w:r>
        <w:t>Sophie Wilmès</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15a.</w:t>
            </w:r>
            <w:r>
              <w:tab/>
            </w:r>
            <w:r>
              <w:rPr>
                <w:b/>
                <w:i/>
              </w:rPr>
              <w:t>zwraca się do Komisji, aby włączyła do swojego sprawozdania – w ramach 1. filaru dotyczącego systemów sądowych – podfilar dotyczący rejestrowania i monitorowania przestępstw z nienawiści;</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415</w:t>
      </w:r>
      <w:r>
        <w:rPr>
          <w:rStyle w:val="HideTWBExt"/>
        </w:rPr>
        <w:t>&lt;/NumAm&gt;</w:t>
      </w:r>
    </w:p>
    <w:p w:rsidR="007A0039" w:rsidRPr="00EA7539" w:rsidRDefault="007A0039" w:rsidP="007A0039">
      <w:pPr>
        <w:pStyle w:val="NormalBold"/>
      </w:pPr>
      <w:r>
        <w:rPr>
          <w:rStyle w:val="HideTWBExt"/>
          <w:b w:val="0"/>
        </w:rPr>
        <w:t>&lt;RepeatBlock-By&gt;&lt;Members&gt;</w:t>
      </w:r>
      <w:r>
        <w:t>Emmanuel Fragkos, Geadis Geadi, Galato Alexandraki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15a.</w:t>
            </w:r>
            <w:r>
              <w:tab/>
            </w:r>
            <w:r>
              <w:rPr>
                <w:b/>
                <w:i/>
              </w:rPr>
              <w:t>wzywa Komisję do przeciwdziałania dyskryminacji mieszkańców regionów górskich i wyspiarskich, zgodnie z art. 174 TFUE;</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{EL}</w:t>
      </w:r>
      <w:r w:rsidRPr="00EA7539">
        <w:t>el</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416</w:t>
      </w:r>
      <w:r>
        <w:rPr>
          <w:rStyle w:val="HideTWBExt"/>
        </w:rPr>
        <w:t>&lt;/NumAm&gt;</w:t>
      </w:r>
    </w:p>
    <w:p w:rsidR="007A0039" w:rsidRPr="00EA7539" w:rsidRDefault="007A0039" w:rsidP="007A0039">
      <w:pPr>
        <w:pStyle w:val="NormalBold"/>
      </w:pPr>
      <w:r>
        <w:rPr>
          <w:rStyle w:val="HideTWBExt"/>
          <w:b w:val="0"/>
        </w:rPr>
        <w:t>&lt;RepeatBlock-By&gt;&lt;Members&gt;</w:t>
      </w:r>
      <w:r>
        <w:t>Javier Zarzalejos</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15a.</w:t>
            </w:r>
            <w:r>
              <w:tab/>
            </w:r>
            <w:r>
              <w:rPr>
                <w:b/>
                <w:i/>
              </w:rPr>
              <w:t>wzywa Komisję do opracowania wspólnych norm ochrony w celu zapewnienia bezpieczeństwa funkcjonariuszy policji i organów ścigania;</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417</w:t>
      </w:r>
      <w:r>
        <w:rPr>
          <w:rStyle w:val="HideTWBExt"/>
        </w:rPr>
        <w:t>&lt;/NumAm&gt;</w:t>
      </w:r>
    </w:p>
    <w:p w:rsidR="007A0039" w:rsidRPr="00EA7539" w:rsidRDefault="007A0039" w:rsidP="007A0039">
      <w:pPr>
        <w:pStyle w:val="NormalBold"/>
      </w:pPr>
      <w:r>
        <w:rPr>
          <w:rStyle w:val="HideTWBExt"/>
          <w:b w:val="0"/>
        </w:rPr>
        <w:t>&lt;RepeatBlock-By&gt;&lt;Members&gt;</w:t>
      </w:r>
      <w:r>
        <w:t>András László</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16.</w:t>
            </w:r>
            <w:r>
              <w:tab/>
            </w:r>
            <w:r>
              <w:rPr>
                <w:b/>
                <w:i/>
              </w:rPr>
              <w:t>apeluje o objęcie kobiet ochroną prawną, dodanie przemocy ze względu na płeć do katalogu przestępstw na mocy prawa UE, przedstawienia wniosku UE w sprawie przepisów dotyczących definicji gwałtu opartej na braku zgody oraz do zapisania w Karcie prawa dostępu do bezpiecznej i legalnej aborcji;</w:t>
            </w:r>
          </w:p>
        </w:tc>
        <w:tc>
          <w:tcPr>
            <w:tcW w:w="4876" w:type="dxa"/>
            <w:tcBorders>
              <w:top w:val="nil"/>
              <w:left w:val="nil"/>
              <w:bottom w:val="nil"/>
              <w:right w:val="nil"/>
            </w:tcBorders>
          </w:tcPr>
          <w:p w:rsidR="007A0039" w:rsidRPr="00EA7539" w:rsidRDefault="007A0039" w:rsidP="008F6778">
            <w:pPr>
              <w:pStyle w:val="Normal6a"/>
            </w:pPr>
            <w:r>
              <w:rPr>
                <w:b/>
                <w:i/>
              </w:rPr>
              <w:t>skreśla się</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418</w:t>
      </w:r>
      <w:r>
        <w:rPr>
          <w:rStyle w:val="HideTWBExt"/>
        </w:rPr>
        <w:t>&lt;/NumAm&gt;</w:t>
      </w:r>
    </w:p>
    <w:p w:rsidR="007A0039" w:rsidRPr="00EA7539" w:rsidRDefault="007A0039" w:rsidP="007A0039">
      <w:pPr>
        <w:pStyle w:val="NormalBold"/>
      </w:pPr>
      <w:r>
        <w:rPr>
          <w:rStyle w:val="HideTWBExt"/>
          <w:b w:val="0"/>
        </w:rPr>
        <w:t>&lt;RepeatBlock-By&gt;&lt;Members&gt;</w:t>
      </w:r>
      <w:r>
        <w:t>Jorge Buxadé Villalba, Malika Sorel, Fabrice Leggeri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16.</w:t>
            </w:r>
            <w:r>
              <w:tab/>
            </w:r>
            <w:r>
              <w:rPr>
                <w:b/>
                <w:i/>
              </w:rPr>
              <w:t>apeluje o objęcie kobiet ochroną prawną, dodanie przemocy ze względu na płeć do katalogu przestępstw na mocy prawa UE, przedstawienia wniosku UE w sprawie przepisów dotyczących definicji gwałtu opartej na braku zgody oraz do zapisania w Karcie prawa dostępu do bezpiecznej i legalnej aborcji;</w:t>
            </w:r>
          </w:p>
        </w:tc>
        <w:tc>
          <w:tcPr>
            <w:tcW w:w="4876" w:type="dxa"/>
            <w:tcBorders>
              <w:top w:val="nil"/>
              <w:left w:val="nil"/>
              <w:bottom w:val="nil"/>
              <w:right w:val="nil"/>
            </w:tcBorders>
          </w:tcPr>
          <w:p w:rsidR="007A0039" w:rsidRPr="00EA7539" w:rsidRDefault="007A0039" w:rsidP="008F6778">
            <w:pPr>
              <w:pStyle w:val="Normal6a"/>
            </w:pPr>
            <w:r>
              <w:rPr>
                <w:b/>
                <w:i/>
              </w:rPr>
              <w:t>skreśla się</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419</w:t>
      </w:r>
      <w:r>
        <w:rPr>
          <w:rStyle w:val="HideTWBExt"/>
        </w:rPr>
        <w:t>&lt;/NumAm&gt;</w:t>
      </w:r>
    </w:p>
    <w:p w:rsidR="007A0039" w:rsidRPr="00EA7539" w:rsidRDefault="007A0039" w:rsidP="007A0039">
      <w:pPr>
        <w:pStyle w:val="NormalBold"/>
      </w:pPr>
      <w:r>
        <w:rPr>
          <w:rStyle w:val="HideTWBExt"/>
          <w:b w:val="0"/>
        </w:rPr>
        <w:t>&lt;RepeatBlock-By&gt;&lt;Members&gt;</w:t>
      </w:r>
      <w:r>
        <w:t>Erik Kaliňák</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16.</w:t>
            </w:r>
            <w:r>
              <w:tab/>
              <w:t>apeluje o objęcie kobiet ochroną prawną</w:t>
            </w:r>
            <w:r>
              <w:rPr>
                <w:b/>
                <w:i/>
              </w:rPr>
              <w:t>, dodanie przemocy ze względu na płeć do katalogu przestępstw na mocy prawa UE, przedstawienia wniosku UE w sprawie przepisów dotyczących definicji gwałtu opartej na braku zgody oraz do zapisania w Karcie prawa dostępu do bezpiecznej i legalnej aborcji</w:t>
            </w:r>
            <w:r>
              <w:t>;</w:t>
            </w:r>
          </w:p>
        </w:tc>
        <w:tc>
          <w:tcPr>
            <w:tcW w:w="4876" w:type="dxa"/>
            <w:tcBorders>
              <w:top w:val="nil"/>
              <w:left w:val="nil"/>
              <w:bottom w:val="nil"/>
              <w:right w:val="nil"/>
            </w:tcBorders>
          </w:tcPr>
          <w:p w:rsidR="007A0039" w:rsidRPr="00EA7539" w:rsidRDefault="007A0039" w:rsidP="008F6778">
            <w:pPr>
              <w:pStyle w:val="Normal6a"/>
            </w:pPr>
            <w:r>
              <w:t>16.</w:t>
            </w:r>
            <w:r>
              <w:tab/>
              <w:t>apeluje o objęcie kobiet ochroną prawną;</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{SK}</w:t>
      </w:r>
      <w:r w:rsidRPr="00EA7539">
        <w:t>sk</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420</w:t>
      </w:r>
      <w:r>
        <w:rPr>
          <w:rStyle w:val="HideTWBExt"/>
        </w:rPr>
        <w:t>&lt;/NumAm&gt;</w:t>
      </w:r>
    </w:p>
    <w:p w:rsidR="007A0039" w:rsidRPr="00EA7539" w:rsidRDefault="007A0039" w:rsidP="007A0039">
      <w:pPr>
        <w:pStyle w:val="NormalBold"/>
      </w:pPr>
      <w:r>
        <w:rPr>
          <w:rStyle w:val="HideTWBExt"/>
          <w:b w:val="0"/>
        </w:rPr>
        <w:t>&lt;RepeatBlock-By&gt;&lt;Members&gt;</w:t>
      </w:r>
      <w:r>
        <w:t>Nicolas Bay</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16.</w:t>
            </w:r>
            <w:r>
              <w:tab/>
            </w:r>
            <w:r>
              <w:rPr>
                <w:b/>
                <w:i/>
              </w:rPr>
              <w:t>apeluje o objęcie kobiet ochroną prawną, dodanie przemocy ze względu na płeć</w:t>
            </w:r>
            <w:r>
              <w:t xml:space="preserve"> do </w:t>
            </w:r>
            <w:r>
              <w:rPr>
                <w:b/>
                <w:i/>
              </w:rPr>
              <w:t>katalogu przestępstw na mocy prawa UE, przedstawienia wniosku UE w sprawie przepisów dotyczących definicji gwałtu opartej na braku zgody oraz do zapisania</w:t>
            </w:r>
            <w:r>
              <w:t xml:space="preserve"> w </w:t>
            </w:r>
            <w:r>
              <w:rPr>
                <w:b/>
                <w:i/>
              </w:rPr>
              <w:t>Karcie prawa dostępu do bezpiecznej i legalnej aborcji</w:t>
            </w:r>
            <w:r>
              <w:t>;</w:t>
            </w:r>
          </w:p>
        </w:tc>
        <w:tc>
          <w:tcPr>
            <w:tcW w:w="4876" w:type="dxa"/>
            <w:tcBorders>
              <w:top w:val="nil"/>
              <w:left w:val="nil"/>
              <w:bottom w:val="nil"/>
              <w:right w:val="nil"/>
            </w:tcBorders>
          </w:tcPr>
          <w:p w:rsidR="007A0039" w:rsidRPr="00EA7539" w:rsidRDefault="007A0039" w:rsidP="008F6778">
            <w:pPr>
              <w:pStyle w:val="Normal6a"/>
            </w:pPr>
            <w:r>
              <w:t>16.</w:t>
            </w:r>
            <w:r>
              <w:tab/>
            </w:r>
            <w:r>
              <w:rPr>
                <w:b/>
                <w:i/>
              </w:rPr>
              <w:t>wzywa</w:t>
            </w:r>
            <w:r>
              <w:t xml:space="preserve"> do </w:t>
            </w:r>
            <w:r>
              <w:rPr>
                <w:b/>
                <w:i/>
              </w:rPr>
              <w:t>zapewnienia jednakowej ochrony prawnej wszystkim obywatelom; przypomina, że państwa są suwerenne</w:t>
            </w:r>
            <w:r>
              <w:t xml:space="preserve"> w </w:t>
            </w:r>
            <w:r>
              <w:rPr>
                <w:b/>
                <w:i/>
              </w:rPr>
              <w:t>sprawach karnych</w:t>
            </w:r>
            <w:r>
              <w:t>;</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{FR}</w:t>
      </w:r>
      <w:r w:rsidRPr="00EA7539">
        <w:t>fr</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421</w:t>
      </w:r>
      <w:r>
        <w:rPr>
          <w:rStyle w:val="HideTWBExt"/>
        </w:rPr>
        <w:t>&lt;/NumAm&gt;</w:t>
      </w:r>
    </w:p>
    <w:p w:rsidR="007A0039" w:rsidRPr="00EA7539" w:rsidRDefault="007A0039" w:rsidP="007A0039">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Cecilia Strada</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16.</w:t>
            </w:r>
            <w:r>
              <w:tab/>
              <w:t xml:space="preserve">apeluje o objęcie kobiet ochroną prawną, dodanie przemocy ze względu na płeć do katalogu przestępstw </w:t>
            </w:r>
            <w:r>
              <w:rPr>
                <w:b/>
                <w:i/>
              </w:rPr>
              <w:t>na mocy prawa</w:t>
            </w:r>
            <w:r>
              <w:t xml:space="preserve"> UE, </w:t>
            </w:r>
            <w:r>
              <w:rPr>
                <w:b/>
                <w:i/>
              </w:rPr>
              <w:t>przedstawienia</w:t>
            </w:r>
            <w:r>
              <w:t xml:space="preserve"> wniosku UE w sprawie przepisów dotyczących definicji gwałtu opartej na braku zgody oraz </w:t>
            </w:r>
            <w:r>
              <w:rPr>
                <w:b/>
                <w:i/>
              </w:rPr>
              <w:t>do zapisania</w:t>
            </w:r>
            <w:r>
              <w:t xml:space="preserve"> w Karcie prawa dostępu do bezpiecznej i legalnej aborcji;</w:t>
            </w:r>
          </w:p>
        </w:tc>
        <w:tc>
          <w:tcPr>
            <w:tcW w:w="4876" w:type="dxa"/>
            <w:tcBorders>
              <w:top w:val="nil"/>
              <w:left w:val="nil"/>
              <w:bottom w:val="nil"/>
              <w:right w:val="nil"/>
            </w:tcBorders>
          </w:tcPr>
          <w:p w:rsidR="007A0039" w:rsidRPr="00EA7539" w:rsidRDefault="007A0039" w:rsidP="008F6778">
            <w:pPr>
              <w:pStyle w:val="Normal6a"/>
            </w:pPr>
            <w:r>
              <w:t>16.</w:t>
            </w:r>
            <w:r>
              <w:tab/>
            </w:r>
            <w:r>
              <w:rPr>
                <w:b/>
                <w:i/>
              </w:rPr>
              <w:t>podkreśla, że przemoc ze względu na płeć – zarówno w internecie, jak i poza nim – jest poważnym i powszechnym przestępstwem, systematycznie naruszającym podstawowe prawa i wolności;</w:t>
            </w:r>
            <w:r>
              <w:t xml:space="preserve"> apeluje o objęcie kobiet ochroną prawną, dodanie przemocy ze względu na płeć do katalogu przestępstw </w:t>
            </w:r>
            <w:r>
              <w:rPr>
                <w:b/>
                <w:i/>
              </w:rPr>
              <w:t>ściganych prawem</w:t>
            </w:r>
            <w:r>
              <w:t xml:space="preserve"> UE, </w:t>
            </w:r>
            <w:r>
              <w:rPr>
                <w:b/>
                <w:i/>
              </w:rPr>
              <w:t>przedstawienie</w:t>
            </w:r>
            <w:r>
              <w:t xml:space="preserve"> wniosku UE w sprawie przepisów dotyczących definicji gwałtu opartej na braku zgody oraz </w:t>
            </w:r>
            <w:r>
              <w:rPr>
                <w:b/>
                <w:i/>
              </w:rPr>
              <w:t>zapisanie</w:t>
            </w:r>
            <w:r>
              <w:t xml:space="preserve"> w Karcie prawa dostępu do bezpiecznej i legalnej aborcji;</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422</w:t>
      </w:r>
      <w:r>
        <w:rPr>
          <w:rStyle w:val="HideTWBExt"/>
        </w:rPr>
        <w:t>&lt;/NumAm&gt;</w:t>
      </w:r>
    </w:p>
    <w:p w:rsidR="007A0039" w:rsidRPr="00EA7539" w:rsidRDefault="007A0039" w:rsidP="007A0039">
      <w:pPr>
        <w:pStyle w:val="NormalBold"/>
      </w:pPr>
      <w:r>
        <w:rPr>
          <w:rStyle w:val="HideTWBExt"/>
          <w:b w:val="0"/>
        </w:rPr>
        <w:t>&lt;RepeatBlock-By&gt;&lt;Members&gt;</w:t>
      </w:r>
      <w:r>
        <w:t>Sebastian Tynkkynen</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16.</w:t>
            </w:r>
            <w:r>
              <w:tab/>
            </w:r>
            <w:r>
              <w:rPr>
                <w:b/>
                <w:i/>
              </w:rPr>
              <w:t>apeluje o objęcie</w:t>
            </w:r>
            <w:r>
              <w:t xml:space="preserve"> kobiet </w:t>
            </w:r>
            <w:r>
              <w:rPr>
                <w:b/>
                <w:i/>
              </w:rPr>
              <w:t>ochroną prawną</w:t>
            </w:r>
            <w:r>
              <w:t xml:space="preserve">, </w:t>
            </w:r>
            <w:r>
              <w:rPr>
                <w:b/>
                <w:i/>
              </w:rPr>
              <w:t>dodanie przemocy ze względu na płeć</w:t>
            </w:r>
            <w:r>
              <w:t xml:space="preserve"> do </w:t>
            </w:r>
            <w:r>
              <w:rPr>
                <w:b/>
                <w:i/>
              </w:rPr>
              <w:t>katalogu przestępstw na mocy prawa UE, przedstawienia wniosku UE w sprawie przepisów dotyczących definicji gwałtu opartej na braku zgody oraz do zapisania</w:t>
            </w:r>
            <w:r>
              <w:t xml:space="preserve"> w </w:t>
            </w:r>
            <w:r>
              <w:rPr>
                <w:b/>
                <w:i/>
              </w:rPr>
              <w:t>Karcie prawa dostępu do bezpiecznej</w:t>
            </w:r>
            <w:r>
              <w:t xml:space="preserve"> i </w:t>
            </w:r>
            <w:r>
              <w:rPr>
                <w:b/>
                <w:i/>
              </w:rPr>
              <w:t>legalnej aborcji</w:t>
            </w:r>
            <w:r>
              <w:t>;</w:t>
            </w:r>
          </w:p>
        </w:tc>
        <w:tc>
          <w:tcPr>
            <w:tcW w:w="4876" w:type="dxa"/>
            <w:tcBorders>
              <w:top w:val="nil"/>
              <w:left w:val="nil"/>
              <w:bottom w:val="nil"/>
              <w:right w:val="nil"/>
            </w:tcBorders>
          </w:tcPr>
          <w:p w:rsidR="007A0039" w:rsidRPr="00EA7539" w:rsidRDefault="007A0039" w:rsidP="008F6778">
            <w:pPr>
              <w:pStyle w:val="Normal6a"/>
            </w:pPr>
            <w:r>
              <w:t>16.</w:t>
            </w:r>
            <w:r>
              <w:tab/>
            </w:r>
            <w:r>
              <w:rPr>
                <w:b/>
                <w:i/>
              </w:rPr>
              <w:t>podkreśla, że równość</w:t>
            </w:r>
            <w:r>
              <w:t xml:space="preserve"> kobiet </w:t>
            </w:r>
            <w:r>
              <w:rPr>
                <w:b/>
                <w:i/>
              </w:rPr>
              <w:t>i mężczyzn jest zasadą łączącą państwa członkowskie Unii</w:t>
            </w:r>
            <w:r>
              <w:t xml:space="preserve">, </w:t>
            </w:r>
            <w:r>
              <w:rPr>
                <w:b/>
                <w:i/>
              </w:rPr>
              <w:t>zapisaną w traktatach; wzywa państwa członkowskie</w:t>
            </w:r>
            <w:r>
              <w:t xml:space="preserve"> do </w:t>
            </w:r>
            <w:r>
              <w:rPr>
                <w:b/>
                <w:i/>
              </w:rPr>
              <w:t>realizacji krajowych strategii politycznych, aby równość kobiet i mężczyzn stała się faktem; podkreśla, że państwa członkowskie ponoszą główną odpowiedzialność za stanowienie prawa krajowego</w:t>
            </w:r>
            <w:r>
              <w:t xml:space="preserve"> w </w:t>
            </w:r>
            <w:r>
              <w:rPr>
                <w:b/>
                <w:i/>
              </w:rPr>
              <w:t>zakresie kryminalizacji takich form przemocy ze względu na płeć jak gwałty</w:t>
            </w:r>
            <w:r>
              <w:t xml:space="preserve"> i </w:t>
            </w:r>
            <w:r>
              <w:rPr>
                <w:b/>
                <w:i/>
              </w:rPr>
              <w:t>zabójstwa honorowe</w:t>
            </w:r>
            <w:r>
              <w:t>;</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{FI}</w:t>
      </w:r>
      <w:r w:rsidRPr="00EA7539">
        <w:t>fi</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423</w:t>
      </w:r>
      <w:r>
        <w:rPr>
          <w:rStyle w:val="HideTWBExt"/>
        </w:rPr>
        <w:t>&lt;/NumAm&gt;</w:t>
      </w:r>
    </w:p>
    <w:p w:rsidR="007A0039" w:rsidRPr="00EA7539" w:rsidRDefault="007A0039" w:rsidP="007A0039">
      <w:pPr>
        <w:pStyle w:val="NormalBold"/>
      </w:pPr>
      <w:r>
        <w:rPr>
          <w:rStyle w:val="HideTWBExt"/>
          <w:b w:val="0"/>
        </w:rPr>
        <w:t>&lt;RepeatBlock-By&gt;&lt;Members&gt;</w:t>
      </w:r>
      <w:r>
        <w:t>Moritz Körner, Hilde Vautmans, Nikola Minchev, Veronika Cifrová Ostrihoňová, Chloé Ridel, Abir Al-Sahlani, Alessandro Zan, Fabienne Keller, Lucia Yar, Irena Joveva, Isabel Wiseler-Lima, Daniel Freund</w:t>
      </w:r>
      <w:r>
        <w:rPr>
          <w:rStyle w:val="HideTWBExt"/>
          <w:b w:val="0"/>
        </w:rPr>
        <w:t>&lt;/Members&gt;</w:t>
      </w:r>
    </w:p>
    <w:p w:rsidR="007A0039" w:rsidRPr="00EA7539" w:rsidRDefault="007A0039" w:rsidP="007A0039">
      <w:r>
        <w:rPr>
          <w:rStyle w:val="HideTWBExt"/>
        </w:rPr>
        <w:t>&lt;AuNomDe&gt;</w:t>
      </w:r>
      <w:r>
        <w:rPr>
          <w:rStyle w:val="HideTWBInt"/>
        </w:rPr>
        <w:t>{LIBE}</w:t>
      </w:r>
      <w:r>
        <w:t>w imieniu Komisji Wolności Obywatelskich, Sprawiedliwości i Spraw Wewnętrznych</w:t>
      </w:r>
      <w:r>
        <w:rPr>
          <w:rStyle w:val="HideTWBExt"/>
        </w:rPr>
        <w:t>&lt;/AuNomDe&gt;</w:t>
      </w:r>
    </w:p>
    <w:p w:rsidR="007A0039" w:rsidRPr="00EA7539" w:rsidRDefault="007A0039" w:rsidP="007A0039">
      <w:pPr>
        <w:pStyle w:val="NormalBold"/>
      </w:pPr>
      <w:r>
        <w:rPr>
          <w:rStyle w:val="HideTWBExt"/>
          <w:b w:val="0"/>
        </w:rPr>
        <w:t>&lt;Members&gt;</w:t>
      </w:r>
      <w:r>
        <w:t>Sophie Wilmès</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16.</w:t>
            </w:r>
            <w:r>
              <w:tab/>
              <w:t xml:space="preserve">apeluje o objęcie kobiet ochroną prawną, dodanie przemocy ze względu na płeć do katalogu przestępstw na mocy prawa UE, </w:t>
            </w:r>
            <w:r>
              <w:rPr>
                <w:b/>
                <w:i/>
              </w:rPr>
              <w:t>przedstawienia</w:t>
            </w:r>
            <w:r>
              <w:t xml:space="preserve"> wniosku UE w sprawie przepisów dotyczących definicji gwałtu opartej na braku zgody oraz </w:t>
            </w:r>
            <w:r>
              <w:rPr>
                <w:b/>
                <w:i/>
              </w:rPr>
              <w:t>do zapisania</w:t>
            </w:r>
            <w:r>
              <w:t xml:space="preserve"> w Karcie prawa dostępu do bezpiecznej i legalnej aborcji;</w:t>
            </w:r>
          </w:p>
        </w:tc>
        <w:tc>
          <w:tcPr>
            <w:tcW w:w="4876" w:type="dxa"/>
            <w:tcBorders>
              <w:top w:val="nil"/>
              <w:left w:val="nil"/>
              <w:bottom w:val="nil"/>
              <w:right w:val="nil"/>
            </w:tcBorders>
          </w:tcPr>
          <w:p w:rsidR="007A0039" w:rsidRPr="00EA7539" w:rsidRDefault="007A0039" w:rsidP="008F6778">
            <w:pPr>
              <w:pStyle w:val="Normal6a"/>
            </w:pPr>
            <w:r>
              <w:t>16.</w:t>
            </w:r>
            <w:r>
              <w:tab/>
              <w:t xml:space="preserve">apeluje o objęcie kobiet ochroną prawną, dodanie przemocy ze względu na płeć do katalogu przestępstw </w:t>
            </w:r>
            <w:r>
              <w:rPr>
                <w:b/>
                <w:i/>
              </w:rPr>
              <w:t>ściganych prawem</w:t>
            </w:r>
            <w:r>
              <w:t xml:space="preserve"> UE, </w:t>
            </w:r>
            <w:r>
              <w:rPr>
                <w:b/>
                <w:i/>
              </w:rPr>
              <w:t>przedstawienie</w:t>
            </w:r>
            <w:r>
              <w:t xml:space="preserve"> wniosku UE w sprawie przepisów dotyczących definicji gwałtu opartej na braku zgody oraz </w:t>
            </w:r>
            <w:r>
              <w:rPr>
                <w:b/>
                <w:i/>
              </w:rPr>
              <w:t>zapisanie</w:t>
            </w:r>
            <w:r>
              <w:t xml:space="preserve"> w Karcie prawa dostępu do bezpiecznej i legalnej aborcji; </w:t>
            </w:r>
            <w:r>
              <w:rPr>
                <w:b/>
                <w:i/>
              </w:rPr>
              <w:t>apeluje o przeciwdziałanie przemocy ze względu na płeć, zarówno w internecie, jak i poza nim;</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424</w:t>
      </w:r>
      <w:r>
        <w:rPr>
          <w:rStyle w:val="HideTWBExt"/>
        </w:rPr>
        <w:t>&lt;/NumAm&gt;</w:t>
      </w:r>
    </w:p>
    <w:p w:rsidR="007A0039" w:rsidRPr="00EA7539" w:rsidRDefault="007A0039" w:rsidP="007A0039">
      <w:pPr>
        <w:pStyle w:val="NormalBold"/>
      </w:pPr>
      <w:r>
        <w:rPr>
          <w:rStyle w:val="HideTWBExt"/>
          <w:b w:val="0"/>
        </w:rPr>
        <w:t>&lt;RepeatBlock-By&gt;&lt;Members&gt;</w:t>
      </w:r>
      <w:r>
        <w:t>Marieke Ehlers, Tom Vandendriessche</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16.</w:t>
            </w:r>
            <w:r>
              <w:tab/>
              <w:t xml:space="preserve">apeluje o objęcie kobiet ochroną prawną, dodanie przemocy ze względu na płeć do katalogu przestępstw na mocy prawa UE, </w:t>
            </w:r>
            <w:r>
              <w:rPr>
                <w:b/>
                <w:i/>
              </w:rPr>
              <w:t>przedstawienia</w:t>
            </w:r>
            <w:r>
              <w:t xml:space="preserve"> wniosku UE w sprawie przepisów dotyczących definicji gwałtu opartej na braku zgody oraz </w:t>
            </w:r>
            <w:r>
              <w:rPr>
                <w:b/>
                <w:i/>
              </w:rPr>
              <w:t>do zapisania</w:t>
            </w:r>
            <w:r>
              <w:t xml:space="preserve"> w Karcie prawa dostępu do bezpiecznej i legalnej aborcji;</w:t>
            </w:r>
          </w:p>
        </w:tc>
        <w:tc>
          <w:tcPr>
            <w:tcW w:w="4876" w:type="dxa"/>
            <w:tcBorders>
              <w:top w:val="nil"/>
              <w:left w:val="nil"/>
              <w:bottom w:val="nil"/>
              <w:right w:val="nil"/>
            </w:tcBorders>
          </w:tcPr>
          <w:p w:rsidR="007A0039" w:rsidRPr="00EA7539" w:rsidRDefault="007A0039" w:rsidP="008F6778">
            <w:pPr>
              <w:pStyle w:val="Normal6a"/>
            </w:pPr>
            <w:r>
              <w:t>16.</w:t>
            </w:r>
            <w:r>
              <w:tab/>
              <w:t>apeluje o objęcie kobiet ochroną prawną, dodanie przemocy ze względu na płeć</w:t>
            </w:r>
            <w:r>
              <w:rPr>
                <w:b/>
                <w:i/>
              </w:rPr>
              <w:t>, w tym okaleczanie żeńskich narządów płciowych,</w:t>
            </w:r>
            <w:r>
              <w:t xml:space="preserve"> do katalogu przestępstw </w:t>
            </w:r>
            <w:r>
              <w:rPr>
                <w:b/>
                <w:i/>
              </w:rPr>
              <w:t>ściganych prawem</w:t>
            </w:r>
            <w:r>
              <w:t xml:space="preserve"> UE, </w:t>
            </w:r>
            <w:r>
              <w:rPr>
                <w:b/>
                <w:i/>
              </w:rPr>
              <w:t>przedstawienie</w:t>
            </w:r>
            <w:r>
              <w:t xml:space="preserve"> wniosku UE w sprawie przepisów dotyczących definicji gwałtu opartej na braku zgody oraz </w:t>
            </w:r>
            <w:r>
              <w:rPr>
                <w:b/>
                <w:i/>
              </w:rPr>
              <w:t>zapisanie</w:t>
            </w:r>
            <w:r>
              <w:t xml:space="preserve"> w Karcie prawa dostępu do bezpiecznej i legalnej aborcji;</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425</w:t>
      </w:r>
      <w:r>
        <w:rPr>
          <w:rStyle w:val="HideTWBExt"/>
        </w:rPr>
        <w:t>&lt;/NumAm&gt;</w:t>
      </w:r>
    </w:p>
    <w:p w:rsidR="007A0039" w:rsidRPr="00EA7539" w:rsidRDefault="007A0039" w:rsidP="007A0039">
      <w:pPr>
        <w:pStyle w:val="NormalBold"/>
      </w:pPr>
      <w:r>
        <w:rPr>
          <w:rStyle w:val="HideTWBExt"/>
          <w:b w:val="0"/>
        </w:rPr>
        <w:t>&lt;RepeatBlock-By&gt;&lt;Members&gt;</w:t>
      </w:r>
      <w:r>
        <w:t>Ewa Zajączkowska-Hernik</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16.</w:t>
            </w:r>
            <w:r>
              <w:tab/>
              <w:t>apeluje o objęcie kobiet ochroną prawną, dodanie przemocy ze względu na płeć do katalogu przestępstw na mocy prawa UE</w:t>
            </w:r>
            <w:r>
              <w:rPr>
                <w:b/>
                <w:i/>
              </w:rPr>
              <w:t>, przedstawienia</w:t>
            </w:r>
            <w:r>
              <w:t xml:space="preserve"> wniosku UE w sprawie przepisów dotyczących definicji gwałtu opartej na braku zgody</w:t>
            </w:r>
            <w:r>
              <w:rPr>
                <w:b/>
                <w:i/>
              </w:rPr>
              <w:t xml:space="preserve"> oraz do zapisania w Karcie prawa dostępu do bezpiecznej i legalnej aborcji</w:t>
            </w:r>
            <w:r>
              <w:t>;</w:t>
            </w:r>
          </w:p>
        </w:tc>
        <w:tc>
          <w:tcPr>
            <w:tcW w:w="4876" w:type="dxa"/>
            <w:tcBorders>
              <w:top w:val="nil"/>
              <w:left w:val="nil"/>
              <w:bottom w:val="nil"/>
              <w:right w:val="nil"/>
            </w:tcBorders>
          </w:tcPr>
          <w:p w:rsidR="007A0039" w:rsidRPr="00EA7539" w:rsidRDefault="007A0039" w:rsidP="008F6778">
            <w:pPr>
              <w:pStyle w:val="Normal6a"/>
            </w:pPr>
            <w:r>
              <w:t>16.</w:t>
            </w:r>
            <w:r>
              <w:tab/>
              <w:t xml:space="preserve">apeluje o objęcie kobiet ochroną prawną, dodanie przemocy ze względu na płeć do katalogu przestępstw </w:t>
            </w:r>
            <w:r>
              <w:rPr>
                <w:b/>
                <w:i/>
              </w:rPr>
              <w:t>ściganych prawem</w:t>
            </w:r>
            <w:r>
              <w:t xml:space="preserve"> UE</w:t>
            </w:r>
            <w:r>
              <w:rPr>
                <w:b/>
                <w:i/>
              </w:rPr>
              <w:t xml:space="preserve"> i przedstawienie</w:t>
            </w:r>
            <w:r>
              <w:t xml:space="preserve"> wniosku UE w sprawie przepisów dotyczących definicji gwałtu opartej na braku zgody;</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426</w:t>
      </w:r>
      <w:r>
        <w:rPr>
          <w:rStyle w:val="HideTWBExt"/>
        </w:rPr>
        <w:t>&lt;/NumAm&gt;</w:t>
      </w:r>
    </w:p>
    <w:p w:rsidR="007A0039" w:rsidRPr="00EA7539" w:rsidRDefault="007A0039" w:rsidP="007A0039">
      <w:pPr>
        <w:pStyle w:val="NormalBold"/>
      </w:pPr>
      <w:r>
        <w:rPr>
          <w:rStyle w:val="HideTWBExt"/>
          <w:b w:val="0"/>
        </w:rPr>
        <w:t>&lt;RepeatBlock-By&gt;&lt;Members&gt;</w:t>
      </w:r>
      <w:r>
        <w:t>Romana Tomc</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16.</w:t>
            </w:r>
            <w:r>
              <w:tab/>
              <w:t>apeluje o objęcie kobiet ochroną prawną, dodanie przemocy ze względu na płeć do katalogu przestępstw na mocy prawa UE</w:t>
            </w:r>
            <w:r>
              <w:rPr>
                <w:b/>
                <w:i/>
              </w:rPr>
              <w:t>, przedstawienia</w:t>
            </w:r>
            <w:r>
              <w:t xml:space="preserve"> wniosku UE w sprawie przepisów dotyczących definicji gwałtu opartej na braku zgody</w:t>
            </w:r>
            <w:r>
              <w:rPr>
                <w:b/>
                <w:i/>
              </w:rPr>
              <w:t xml:space="preserve"> oraz do zapisania w Karcie prawa dostępu do bezpiecznej i legalnej aborcji</w:t>
            </w:r>
            <w:r>
              <w:t>;</w:t>
            </w:r>
          </w:p>
        </w:tc>
        <w:tc>
          <w:tcPr>
            <w:tcW w:w="4876" w:type="dxa"/>
            <w:tcBorders>
              <w:top w:val="nil"/>
              <w:left w:val="nil"/>
              <w:bottom w:val="nil"/>
              <w:right w:val="nil"/>
            </w:tcBorders>
          </w:tcPr>
          <w:p w:rsidR="007A0039" w:rsidRPr="00EA7539" w:rsidRDefault="007A0039" w:rsidP="008F6778">
            <w:pPr>
              <w:pStyle w:val="Normal6a"/>
            </w:pPr>
            <w:r>
              <w:t>16.</w:t>
            </w:r>
            <w:r>
              <w:tab/>
              <w:t xml:space="preserve">apeluje o objęcie kobiet ochroną prawną, dodanie przemocy ze względu na płeć do katalogu przestępstw </w:t>
            </w:r>
            <w:r>
              <w:rPr>
                <w:b/>
                <w:i/>
              </w:rPr>
              <w:t>ściganych prawem</w:t>
            </w:r>
            <w:r>
              <w:t xml:space="preserve"> UE</w:t>
            </w:r>
            <w:r>
              <w:rPr>
                <w:b/>
                <w:i/>
              </w:rPr>
              <w:t xml:space="preserve"> i przedstawienie</w:t>
            </w:r>
            <w:r>
              <w:t xml:space="preserve"> wniosku UE w sprawie przepisów dotyczących definicji gwałtu opartej na braku zgody;</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sidRPr="00EA7539">
        <w:rPr>
          <w:rStyle w:val="HideTWBExt"/>
        </w:rPr>
        <w:t>&lt;Amend&gt;</w:t>
      </w:r>
      <w:r w:rsidRPr="00EA7539">
        <w:t>Poprawka</w:t>
      </w:r>
      <w:r w:rsidRPr="00EA7539">
        <w:tab/>
      </w:r>
      <w:r w:rsidRPr="00EA7539">
        <w:tab/>
      </w:r>
      <w:r w:rsidRPr="00EA7539">
        <w:rPr>
          <w:rStyle w:val="HideTWBExt"/>
        </w:rPr>
        <w:t>&lt;NumAm&gt;</w:t>
      </w:r>
      <w:r w:rsidRPr="00EA7539">
        <w:t>427</w:t>
      </w:r>
      <w:r w:rsidRPr="00EA7539">
        <w:rPr>
          <w:rStyle w:val="HideTWBExt"/>
        </w:rPr>
        <w:t>&lt;/NumAm&gt;</w:t>
      </w:r>
    </w:p>
    <w:p w:rsidR="007A0039" w:rsidRPr="00EA7539" w:rsidRDefault="007A0039" w:rsidP="007A0039">
      <w:pPr>
        <w:pStyle w:val="NormalBold"/>
      </w:pPr>
      <w:r w:rsidRPr="00EA7539">
        <w:rPr>
          <w:rStyle w:val="HideTWBExt"/>
          <w:b w:val="0"/>
        </w:rPr>
        <w:t>&lt;RepeatBlock-By&gt;&lt;Members&gt;</w:t>
      </w:r>
      <w:r w:rsidRPr="00EA7539">
        <w:t>Mariusz Kamiński, Joachim Stanisław Brudziński, Jadwiga Wiśniewska, Maciej Wąsik, Jacek Ozdoba</w:t>
      </w:r>
      <w:r w:rsidRPr="00EA7539">
        <w:rPr>
          <w:rStyle w:val="HideTWBExt"/>
          <w:b w:val="0"/>
        </w:rPr>
        <w:t>&lt;/Members&gt;</w:t>
      </w:r>
    </w:p>
    <w:p w:rsidR="007A0039" w:rsidRPr="00EA7539" w:rsidRDefault="007A0039" w:rsidP="007A0039">
      <w:pPr>
        <w:pStyle w:val="NormalBold"/>
      </w:pPr>
      <w:r w:rsidRPr="00EA7539">
        <w:rPr>
          <w:rStyle w:val="HideTWBExt"/>
          <w:b w:val="0"/>
        </w:rPr>
        <w:t>&lt;/RepeatBlock-By&gt;</w:t>
      </w:r>
    </w:p>
    <w:p w:rsidR="007A0039" w:rsidRPr="00EA7539" w:rsidRDefault="007A0039" w:rsidP="007A0039">
      <w:pPr>
        <w:pStyle w:val="NormalBold"/>
      </w:pPr>
      <w:r w:rsidRPr="00EA7539">
        <w:rPr>
          <w:rStyle w:val="HideTWBExt"/>
        </w:rPr>
        <w:t>&lt;DocAmend&gt;</w:t>
      </w:r>
      <w:r w:rsidRPr="00EA7539">
        <w:t>Projekt rezolucji</w:t>
      </w:r>
      <w:r w:rsidRPr="00EA7539">
        <w:rPr>
          <w:rStyle w:val="HideTWBExt"/>
        </w:rPr>
        <w:t>&lt;/DocAmend&gt;</w:t>
      </w:r>
    </w:p>
    <w:p w:rsidR="007A0039" w:rsidRPr="00EA7539" w:rsidRDefault="007A0039" w:rsidP="007A0039">
      <w:pPr>
        <w:pStyle w:val="NormalBold"/>
      </w:pPr>
      <w:r w:rsidRPr="00EA7539">
        <w:rPr>
          <w:rStyle w:val="HideTWBExt"/>
        </w:rPr>
        <w:t>&lt;Article&gt;</w:t>
      </w:r>
      <w:r w:rsidRPr="00EA7539">
        <w:t>Ustęp 16</w:t>
      </w:r>
      <w:r w:rsidRPr="00EA7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RPr="00EA75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RPr="00EA75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rsidRPr="00EA7539">
              <w:t>Projekt rezolucji</w:t>
            </w:r>
          </w:p>
        </w:tc>
        <w:tc>
          <w:tcPr>
            <w:tcW w:w="4876" w:type="dxa"/>
            <w:tcBorders>
              <w:top w:val="nil"/>
              <w:left w:val="nil"/>
              <w:bottom w:val="nil"/>
              <w:right w:val="nil"/>
            </w:tcBorders>
          </w:tcPr>
          <w:p w:rsidR="007A0039" w:rsidRPr="00EA7539" w:rsidRDefault="007A0039" w:rsidP="008F6778">
            <w:pPr>
              <w:pStyle w:val="AmColumnHeading"/>
            </w:pPr>
            <w:r w:rsidRPr="00EA7539">
              <w:t>Poprawka</w:t>
            </w:r>
          </w:p>
        </w:tc>
      </w:tr>
      <w:tr w:rsidR="007A0039" w:rsidRPr="00EA7539" w:rsidTr="008F6778">
        <w:trPr>
          <w:jc w:val="center"/>
        </w:trPr>
        <w:tc>
          <w:tcPr>
            <w:tcW w:w="4876" w:type="dxa"/>
            <w:tcBorders>
              <w:top w:val="nil"/>
              <w:left w:val="nil"/>
              <w:bottom w:val="nil"/>
              <w:right w:val="nil"/>
            </w:tcBorders>
          </w:tcPr>
          <w:p w:rsidR="007A0039" w:rsidRPr="00EA7539" w:rsidRDefault="007A0039" w:rsidP="008F6778">
            <w:pPr>
              <w:pStyle w:val="Normal6a"/>
            </w:pPr>
            <w:r w:rsidRPr="00EA7539">
              <w:t>16.</w:t>
            </w:r>
            <w:r w:rsidRPr="00EA7539">
              <w:tab/>
              <w:t xml:space="preserve">apeluje o objęcie kobiet ochroną </w:t>
            </w:r>
            <w:r w:rsidRPr="00EA7539">
              <w:rPr>
                <w:b/>
                <w:i/>
              </w:rPr>
              <w:t>prawną, dodanie przemocy ze względu na płeć do katalogu przestępstw na mocy prawa UE, przedstawienia wniosku UE w sprawie przepisów dotyczących definicji gwałtu opartej na braku zgody oraz do zapisania w Karcie prawa dostępu do bezpiecznej i legalnej aborcji</w:t>
            </w:r>
            <w:r w:rsidRPr="00EA7539">
              <w:t>;</w:t>
            </w:r>
          </w:p>
        </w:tc>
        <w:tc>
          <w:tcPr>
            <w:tcW w:w="4876" w:type="dxa"/>
            <w:tcBorders>
              <w:top w:val="nil"/>
              <w:left w:val="nil"/>
              <w:bottom w:val="nil"/>
              <w:right w:val="nil"/>
            </w:tcBorders>
          </w:tcPr>
          <w:p w:rsidR="007A0039" w:rsidRPr="00EA7539" w:rsidRDefault="007A0039" w:rsidP="008F6778">
            <w:pPr>
              <w:pStyle w:val="Normal6a"/>
            </w:pPr>
            <w:r w:rsidRPr="00EA7539">
              <w:t>16.</w:t>
            </w:r>
            <w:r w:rsidRPr="00EA7539">
              <w:tab/>
              <w:t>apeluje o objęcie kobiet ochroną</w:t>
            </w:r>
            <w:r w:rsidRPr="00EA7539">
              <w:rPr>
                <w:b/>
                <w:i/>
              </w:rPr>
              <w:t>, w szczególności w środowiskach, gdzie są one narażone na systemową przemoc, w tym w środowiskach radykalnego islamu praktykującego prawo szariatu, małżeństwa nieletnich, zgwałcenia, czy FGM</w:t>
            </w:r>
            <w:r w:rsidRPr="00EA7539">
              <w:t>;</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{PL}</w:t>
      </w:r>
      <w:r w:rsidRPr="00EA7539">
        <w:t>pl</w:t>
      </w:r>
      <w:r w:rsidRPr="00EA7539">
        <w:rPr>
          <w:rStyle w:val="HideTWBExt"/>
        </w:rPr>
        <w:t>&lt;/Original&gt;</w:t>
      </w:r>
    </w:p>
    <w:p w:rsidR="007A0039" w:rsidRPr="00EA7539" w:rsidRDefault="007A0039" w:rsidP="007A0039">
      <w:r w:rsidRPr="00EA7539">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428</w:t>
      </w:r>
      <w:r>
        <w:rPr>
          <w:rStyle w:val="HideTWBExt"/>
        </w:rPr>
        <w:t>&lt;/NumAm&gt;</w:t>
      </w:r>
    </w:p>
    <w:p w:rsidR="007A0039" w:rsidRPr="00EA7539" w:rsidRDefault="007A0039" w:rsidP="007A0039">
      <w:pPr>
        <w:pStyle w:val="NormalBold"/>
      </w:pPr>
      <w:r>
        <w:rPr>
          <w:rStyle w:val="HideTWBExt"/>
          <w:b w:val="0"/>
        </w:rPr>
        <w:t>&lt;RepeatBlock-By&gt;&lt;Members&gt;</w:t>
      </w:r>
      <w:r>
        <w:t>Daniel Freund</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16.</w:t>
            </w:r>
            <w:r>
              <w:tab/>
              <w:t xml:space="preserve">apeluje o objęcie kobiet ochroną prawną, dodanie przemocy ze względu na płeć do katalogu przestępstw na mocy prawa UE, </w:t>
            </w:r>
            <w:r>
              <w:rPr>
                <w:b/>
                <w:i/>
              </w:rPr>
              <w:t>przedstawienia</w:t>
            </w:r>
            <w:r>
              <w:t xml:space="preserve"> wniosku UE w sprawie </w:t>
            </w:r>
            <w:r>
              <w:rPr>
                <w:b/>
                <w:i/>
              </w:rPr>
              <w:t>przepisów dotyczących definicji gwałtu</w:t>
            </w:r>
            <w:r>
              <w:t xml:space="preserve"> opartej na braku zgody oraz </w:t>
            </w:r>
            <w:r>
              <w:rPr>
                <w:b/>
                <w:i/>
              </w:rPr>
              <w:t>do zapisania</w:t>
            </w:r>
            <w:r>
              <w:t xml:space="preserve"> w Karcie prawa dostępu do bezpiecznej i legalnej aborcji;</w:t>
            </w:r>
          </w:p>
        </w:tc>
        <w:tc>
          <w:tcPr>
            <w:tcW w:w="4876" w:type="dxa"/>
            <w:tcBorders>
              <w:top w:val="nil"/>
              <w:left w:val="nil"/>
              <w:bottom w:val="nil"/>
              <w:right w:val="nil"/>
            </w:tcBorders>
          </w:tcPr>
          <w:p w:rsidR="007A0039" w:rsidRPr="00EA7539" w:rsidRDefault="007A0039" w:rsidP="008F6778">
            <w:pPr>
              <w:pStyle w:val="Normal6a"/>
            </w:pPr>
            <w:r>
              <w:t>16.</w:t>
            </w:r>
            <w:r>
              <w:tab/>
              <w:t xml:space="preserve">apeluje o objęcie kobiet ochroną prawną, dodanie przemocy ze względu na płeć do katalogu przestępstw </w:t>
            </w:r>
            <w:r>
              <w:rPr>
                <w:b/>
                <w:i/>
              </w:rPr>
              <w:t>ściganych prawem</w:t>
            </w:r>
            <w:r>
              <w:t xml:space="preserve"> prawa UE, </w:t>
            </w:r>
            <w:r>
              <w:rPr>
                <w:b/>
                <w:i/>
              </w:rPr>
              <w:t>przedstawienie</w:t>
            </w:r>
            <w:r>
              <w:t xml:space="preserve"> wniosku</w:t>
            </w:r>
            <w:r>
              <w:rPr>
                <w:b/>
                <w:i/>
              </w:rPr>
              <w:t xml:space="preserve"> ustawodawczego</w:t>
            </w:r>
            <w:r>
              <w:t xml:space="preserve"> UE w sprawie </w:t>
            </w:r>
            <w:r>
              <w:rPr>
                <w:b/>
                <w:i/>
              </w:rPr>
              <w:t>zwalczania gwałtu na podstawie definicji</w:t>
            </w:r>
            <w:r>
              <w:t xml:space="preserve"> opartej na braku zgody oraz </w:t>
            </w:r>
            <w:r>
              <w:rPr>
                <w:b/>
                <w:i/>
              </w:rPr>
              <w:t>zapisanie</w:t>
            </w:r>
            <w:r>
              <w:t xml:space="preserve"> w Karcie prawa dostępu do bezpiecznej i legalnej aborcji;</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429</w:t>
      </w:r>
      <w:r>
        <w:rPr>
          <w:rStyle w:val="HideTWBExt"/>
        </w:rPr>
        <w:t>&lt;/NumAm&gt;</w:t>
      </w:r>
    </w:p>
    <w:p w:rsidR="007A0039" w:rsidRPr="00EA7539" w:rsidRDefault="007A0039" w:rsidP="007A0039">
      <w:pPr>
        <w:pStyle w:val="NormalBold"/>
      </w:pPr>
      <w:r>
        <w:rPr>
          <w:rStyle w:val="HideTWBExt"/>
          <w:b w:val="0"/>
        </w:rPr>
        <w:t>&lt;RepeatBlock-By&gt;&lt;Members&gt;</w:t>
      </w:r>
      <w:r>
        <w:t>Javier Zarzalejos</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16.</w:t>
            </w:r>
            <w:r>
              <w:tab/>
              <w:t>apeluje o objęcie kobiet ochroną prawną</w:t>
            </w:r>
            <w:r>
              <w:rPr>
                <w:b/>
                <w:i/>
              </w:rPr>
              <w:t>,</w:t>
            </w:r>
            <w:r>
              <w:t xml:space="preserve"> dodanie przemocy ze względu na płeć do katalogu przestępstw na mocy prawa UE</w:t>
            </w:r>
            <w:r>
              <w:rPr>
                <w:b/>
                <w:i/>
              </w:rPr>
              <w:t>, przedstawienia wniosku UE</w:t>
            </w:r>
            <w:r>
              <w:t xml:space="preserve"> w sprawie przepisów dotyczących definicji gwałtu opartej na braku zgody</w:t>
            </w:r>
            <w:r>
              <w:rPr>
                <w:b/>
                <w:i/>
              </w:rPr>
              <w:t xml:space="preserve"> oraz do zapisania w Karcie prawa dostępu do bezpiecznej i legalnej aborcji</w:t>
            </w:r>
            <w:r>
              <w:t>;</w:t>
            </w:r>
          </w:p>
        </w:tc>
        <w:tc>
          <w:tcPr>
            <w:tcW w:w="4876" w:type="dxa"/>
            <w:tcBorders>
              <w:top w:val="nil"/>
              <w:left w:val="nil"/>
              <w:bottom w:val="nil"/>
              <w:right w:val="nil"/>
            </w:tcBorders>
          </w:tcPr>
          <w:p w:rsidR="007A0039" w:rsidRPr="00EA7539" w:rsidRDefault="007A0039" w:rsidP="008F6778">
            <w:pPr>
              <w:pStyle w:val="Normal6a"/>
            </w:pPr>
            <w:r>
              <w:t>16.</w:t>
            </w:r>
            <w:r>
              <w:tab/>
              <w:t>apeluje o objęcie kobiet ochroną prawną</w:t>
            </w:r>
            <w:r>
              <w:rPr>
                <w:b/>
                <w:i/>
              </w:rPr>
              <w:t xml:space="preserve"> i</w:t>
            </w:r>
            <w:r>
              <w:t xml:space="preserve"> dodanie przemocy ze względu na płeć do katalogu przestępstw </w:t>
            </w:r>
            <w:r>
              <w:rPr>
                <w:b/>
                <w:i/>
              </w:rPr>
              <w:t>ściganych prawem</w:t>
            </w:r>
            <w:r>
              <w:t xml:space="preserve"> UE</w:t>
            </w:r>
            <w:r>
              <w:rPr>
                <w:b/>
                <w:i/>
              </w:rPr>
              <w:t>; oczekuje na dyskusję na temat wniosku</w:t>
            </w:r>
            <w:r>
              <w:t xml:space="preserve"> w sprawie przepisów dotyczących definicji gwałtu opartej na braku zgody;</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430</w:t>
      </w:r>
      <w:r>
        <w:rPr>
          <w:rStyle w:val="HideTWBExt"/>
        </w:rPr>
        <w:t>&lt;/NumAm&gt;</w:t>
      </w:r>
    </w:p>
    <w:p w:rsidR="007A0039" w:rsidRPr="00EA7539" w:rsidRDefault="007A0039" w:rsidP="007A0039">
      <w:pPr>
        <w:pStyle w:val="NormalBold"/>
      </w:pPr>
      <w:r>
        <w:rPr>
          <w:rStyle w:val="HideTWBExt"/>
          <w:b w:val="0"/>
        </w:rPr>
        <w:t>&lt;RepeatBlock-By&gt;&lt;Members&gt;</w:t>
      </w:r>
      <w:r>
        <w:t>Alessandro Zan</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16.</w:t>
            </w:r>
            <w:r>
              <w:tab/>
              <w:t xml:space="preserve">apeluje o objęcie kobiet ochroną prawną, dodanie przemocy ze względu na płeć do katalogu przestępstw na mocy prawa UE, </w:t>
            </w:r>
            <w:r>
              <w:rPr>
                <w:b/>
                <w:i/>
              </w:rPr>
              <w:t>przedstawienia</w:t>
            </w:r>
            <w:r>
              <w:t xml:space="preserve"> wniosku UE w sprawie przepisów dotyczących definicji gwałtu opartej na braku zgody oraz </w:t>
            </w:r>
            <w:r>
              <w:rPr>
                <w:b/>
                <w:i/>
              </w:rPr>
              <w:t>do zapisania</w:t>
            </w:r>
            <w:r>
              <w:t xml:space="preserve"> w Karcie prawa dostępu do bezpiecznej i legalnej aborcji;</w:t>
            </w:r>
          </w:p>
        </w:tc>
        <w:tc>
          <w:tcPr>
            <w:tcW w:w="4876" w:type="dxa"/>
            <w:tcBorders>
              <w:top w:val="nil"/>
              <w:left w:val="nil"/>
              <w:bottom w:val="nil"/>
              <w:right w:val="nil"/>
            </w:tcBorders>
          </w:tcPr>
          <w:p w:rsidR="007A0039" w:rsidRPr="00EA7539" w:rsidRDefault="007A0039" w:rsidP="008F6778">
            <w:pPr>
              <w:pStyle w:val="Normal6a"/>
            </w:pPr>
            <w:r>
              <w:t>16.</w:t>
            </w:r>
            <w:r>
              <w:tab/>
              <w:t xml:space="preserve">apeluje o objęcie kobiet ochroną prawną, dodanie przemocy </w:t>
            </w:r>
            <w:r>
              <w:rPr>
                <w:b/>
                <w:i/>
              </w:rPr>
              <w:t xml:space="preserve">i nienawiści </w:t>
            </w:r>
            <w:r>
              <w:t xml:space="preserve">ze względu na płeć do katalogu przestępstw </w:t>
            </w:r>
            <w:r>
              <w:rPr>
                <w:b/>
                <w:i/>
              </w:rPr>
              <w:t>ściganych prawem</w:t>
            </w:r>
            <w:r>
              <w:t xml:space="preserve"> UE, </w:t>
            </w:r>
            <w:r>
              <w:rPr>
                <w:b/>
                <w:i/>
              </w:rPr>
              <w:t>przedstawienie</w:t>
            </w:r>
            <w:r>
              <w:t xml:space="preserve"> wniosku UE w sprawie przepisów dotyczących definicji gwałtu opartej na braku zgody oraz </w:t>
            </w:r>
            <w:r>
              <w:rPr>
                <w:b/>
                <w:i/>
              </w:rPr>
              <w:t>zapisanie</w:t>
            </w:r>
            <w:r>
              <w:t xml:space="preserve"> w Karcie prawa dostępu do bezpiecznej i legalnej aborcji;</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431</w:t>
      </w:r>
      <w:r>
        <w:rPr>
          <w:rStyle w:val="HideTWBExt"/>
        </w:rPr>
        <w:t>&lt;/NumAm&gt;</w:t>
      </w:r>
    </w:p>
    <w:p w:rsidR="007A0039" w:rsidRPr="00EA7539" w:rsidRDefault="007A0039" w:rsidP="007A0039">
      <w:pPr>
        <w:pStyle w:val="NormalBold"/>
      </w:pPr>
      <w:r>
        <w:rPr>
          <w:rStyle w:val="HideTWBExt"/>
          <w:b w:val="0"/>
        </w:rPr>
        <w:t>&lt;RepeatBlock-By&gt;&lt;Members&gt;</w:t>
      </w:r>
      <w:r>
        <w:t>Alessandro Ciriani, Paolo Inselvini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16.</w:t>
            </w:r>
            <w:r>
              <w:tab/>
            </w:r>
            <w:r>
              <w:rPr>
                <w:b/>
                <w:i/>
              </w:rPr>
              <w:t>apeluje o objęcie kobiet ochroną prawną, dodanie przemocy ze względu na płeć</w:t>
            </w:r>
            <w:r>
              <w:t xml:space="preserve"> do </w:t>
            </w:r>
            <w:r>
              <w:rPr>
                <w:b/>
                <w:i/>
              </w:rPr>
              <w:t>katalogu przestępstw na mocy prawa UE</w:t>
            </w:r>
            <w:r>
              <w:t xml:space="preserve">, </w:t>
            </w:r>
            <w:r>
              <w:rPr>
                <w:b/>
                <w:i/>
              </w:rPr>
              <w:t>przedstawienia wniosku UE w sprawie przepisów dotyczących definicji gwałtu opartej na braku zgody oraz do zapisania w Karcie prawa dostępu do bezpiecznej i legalnej aborcji</w:t>
            </w:r>
            <w:r>
              <w:t>;</w:t>
            </w:r>
          </w:p>
        </w:tc>
        <w:tc>
          <w:tcPr>
            <w:tcW w:w="4876" w:type="dxa"/>
            <w:tcBorders>
              <w:top w:val="nil"/>
              <w:left w:val="nil"/>
              <w:bottom w:val="nil"/>
              <w:right w:val="nil"/>
            </w:tcBorders>
          </w:tcPr>
          <w:p w:rsidR="007A0039" w:rsidRPr="00EA7539" w:rsidRDefault="007A0039" w:rsidP="008F6778">
            <w:pPr>
              <w:pStyle w:val="Normal6a"/>
            </w:pPr>
            <w:r>
              <w:t>16.</w:t>
            </w:r>
            <w:r>
              <w:tab/>
            </w:r>
            <w:r>
              <w:rPr>
                <w:b/>
                <w:i/>
              </w:rPr>
              <w:t>przypomina, że art. 2 TUE i Karta praw podstawowych zobowiązują państwa członkowskie do gwarantowania, ochrony i wspierania równouprawnienia płci; zdecydowanie potępia wszelkie formy przemocy wobec kobiet i apeluje o objęcie kobiet ochroną prawną</w:t>
            </w:r>
            <w:r>
              <w:t>;</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{IT}</w:t>
      </w:r>
      <w:r w:rsidRPr="00EA7539">
        <w:t>it</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432</w:t>
      </w:r>
      <w:r>
        <w:rPr>
          <w:rStyle w:val="HideTWBExt"/>
        </w:rPr>
        <w:t>&lt;/NumAm&gt;</w:t>
      </w:r>
    </w:p>
    <w:p w:rsidR="007A0039" w:rsidRPr="00EA7539" w:rsidRDefault="007A0039" w:rsidP="007A0039">
      <w:pPr>
        <w:pStyle w:val="NormalBold"/>
      </w:pPr>
      <w:r>
        <w:rPr>
          <w:rStyle w:val="HideTWBExt"/>
          <w:b w:val="0"/>
        </w:rPr>
        <w:t>&lt;RepeatBlock-By&gt;&lt;Members&gt;</w:t>
      </w:r>
      <w:r>
        <w:t>Maria Walsh</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16a.</w:t>
            </w:r>
            <w:r>
              <w:tab/>
            </w:r>
            <w:r>
              <w:rPr>
                <w:b/>
                <w:i/>
              </w:rPr>
              <w:t>zważywszy na skalę przemocy ze względu na płeć, Komisja powinna uznać rosnącą przemoc w internecie, która dotyka kobiety, za poważne przestępstwo i poddać platformy cyfrowe bardziej rygorystycznej kontroli; ponadto powinna zapewnić ofiarom ochronę prawną w celu stworzenia bezpieczniejszego środowiska internetowego dla kobiet;</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{GA}</w:t>
      </w:r>
      <w:r w:rsidRPr="00EA7539">
        <w:t>ga</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433</w:t>
      </w:r>
      <w:r>
        <w:rPr>
          <w:rStyle w:val="HideTWBExt"/>
        </w:rPr>
        <w:t>&lt;/NumAm&gt;</w:t>
      </w:r>
    </w:p>
    <w:p w:rsidR="007A0039" w:rsidRPr="00EA7539" w:rsidRDefault="007A0039" w:rsidP="007A0039">
      <w:pPr>
        <w:pStyle w:val="NormalBold"/>
      </w:pPr>
      <w:r>
        <w:rPr>
          <w:rStyle w:val="HideTWBExt"/>
          <w:b w:val="0"/>
        </w:rPr>
        <w:t>&lt;RepeatBlock-By&gt;&lt;Members&gt;</w:t>
      </w:r>
      <w:r>
        <w:t>Alessandro Ciriani, Paolo Inselvini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16a.</w:t>
            </w:r>
            <w:r>
              <w:tab/>
            </w:r>
            <w:r>
              <w:rPr>
                <w:b/>
                <w:i/>
              </w:rPr>
              <w:t>podkreśla, że opieka zdrowotna należy do kompetencji krajowych na mocy art. 168 TFUE;</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{IT}</w:t>
      </w:r>
      <w:r w:rsidRPr="00EA7539">
        <w:t>it</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434</w:t>
      </w:r>
      <w:r>
        <w:rPr>
          <w:rStyle w:val="HideTWBExt"/>
        </w:rPr>
        <w:t>&lt;/NumAm&gt;</w:t>
      </w:r>
    </w:p>
    <w:p w:rsidR="007A0039" w:rsidRPr="00EA7539" w:rsidRDefault="007A0039" w:rsidP="007A0039">
      <w:pPr>
        <w:pStyle w:val="NormalBold"/>
      </w:pPr>
      <w:r>
        <w:rPr>
          <w:rStyle w:val="HideTWBExt"/>
          <w:b w:val="0"/>
        </w:rPr>
        <w:t>&lt;RepeatBlock-By&gt;&lt;Members&gt;</w:t>
      </w:r>
      <w:r>
        <w:t>Nicolas Bay</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17.</w:t>
            </w:r>
            <w:r>
              <w:tab/>
            </w:r>
            <w:r>
              <w:rPr>
                <w:b/>
                <w:i/>
              </w:rPr>
              <w:t>podkreśla, że wszyscy obywatele, niezależnie od obywatelstwa, miejsca urodzenia lub regularności przybycia do państw członkowskich, muszą być równi wobec prawa, i zachęca Komisję i państwa członkowskie do dalszego zwalczania dyskryminacji ze względu na przynależność państwową; wzywa Komisję do dopilnowania, aby przy wdrażaniu paktu o migracji i azylu państwa członkowskie przestrzegały zasady praworządności w swoich planach krajowych;</w:t>
            </w:r>
          </w:p>
        </w:tc>
        <w:tc>
          <w:tcPr>
            <w:tcW w:w="4876" w:type="dxa"/>
            <w:tcBorders>
              <w:top w:val="nil"/>
              <w:left w:val="nil"/>
              <w:bottom w:val="nil"/>
              <w:right w:val="nil"/>
            </w:tcBorders>
          </w:tcPr>
          <w:p w:rsidR="007A0039" w:rsidRPr="00EA7539" w:rsidRDefault="007A0039" w:rsidP="008F6778">
            <w:pPr>
              <w:pStyle w:val="Normal6a"/>
            </w:pPr>
            <w:r>
              <w:rPr>
                <w:b/>
                <w:i/>
              </w:rPr>
              <w:t>skreśla się</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{FR}</w:t>
      </w:r>
      <w:r w:rsidRPr="00EA7539">
        <w:t>fr</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435</w:t>
      </w:r>
      <w:r>
        <w:rPr>
          <w:rStyle w:val="HideTWBExt"/>
        </w:rPr>
        <w:t>&lt;/NumAm&gt;</w:t>
      </w:r>
    </w:p>
    <w:p w:rsidR="007A0039" w:rsidRPr="00EA7539" w:rsidRDefault="007A0039" w:rsidP="007A0039">
      <w:pPr>
        <w:pStyle w:val="NormalBold"/>
      </w:pPr>
      <w:r>
        <w:rPr>
          <w:rStyle w:val="HideTWBExt"/>
          <w:b w:val="0"/>
        </w:rPr>
        <w:t>&lt;RepeatBlock-By&gt;&lt;Members&gt;</w:t>
      </w:r>
      <w:r>
        <w:t>Alessandro Ciriani, Paolo Inselvini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17.</w:t>
            </w:r>
            <w:r>
              <w:tab/>
            </w:r>
            <w:r>
              <w:rPr>
                <w:b/>
                <w:i/>
              </w:rPr>
              <w:t>podkreśla, że wszyscy obywatele, niezależnie od obywatelstwa, miejsca urodzenia lub regularności przybycia do państw członkowskich, muszą być równi wobec prawa, i zachęca Komisję i państwa członkowskie do dalszego zwalczania dyskryminacji ze względu na przynależność państwową; wzywa Komisję do dopilnowania, aby przy wdrażaniu paktu o migracji i azylu państwa członkowskie przestrzegały zasady praworządności w swoich planach krajowych;</w:t>
            </w:r>
          </w:p>
        </w:tc>
        <w:tc>
          <w:tcPr>
            <w:tcW w:w="4876" w:type="dxa"/>
            <w:tcBorders>
              <w:top w:val="nil"/>
              <w:left w:val="nil"/>
              <w:bottom w:val="nil"/>
              <w:right w:val="nil"/>
            </w:tcBorders>
          </w:tcPr>
          <w:p w:rsidR="007A0039" w:rsidRPr="00EA7539" w:rsidRDefault="007A0039" w:rsidP="008F6778">
            <w:pPr>
              <w:pStyle w:val="Normal6a"/>
            </w:pPr>
            <w:r>
              <w:rPr>
                <w:b/>
                <w:i/>
              </w:rPr>
              <w:t>skreśla się</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{IT}</w:t>
      </w:r>
      <w:r w:rsidRPr="00EA7539">
        <w:t>it</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436</w:t>
      </w:r>
      <w:r>
        <w:rPr>
          <w:rStyle w:val="HideTWBExt"/>
        </w:rPr>
        <w:t>&lt;/NumAm&gt;</w:t>
      </w:r>
    </w:p>
    <w:p w:rsidR="007A0039" w:rsidRPr="00EA7539" w:rsidRDefault="007A0039" w:rsidP="007A0039">
      <w:pPr>
        <w:pStyle w:val="NormalBold"/>
      </w:pPr>
      <w:r>
        <w:rPr>
          <w:rStyle w:val="HideTWBExt"/>
          <w:b w:val="0"/>
        </w:rPr>
        <w:t>&lt;RepeatBlock-By&gt;&lt;Members&gt;</w:t>
      </w:r>
      <w:r>
        <w:t>Sebastian Tynkkynen</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17.</w:t>
            </w:r>
            <w:r>
              <w:tab/>
            </w:r>
            <w:r>
              <w:rPr>
                <w:b/>
                <w:i/>
              </w:rPr>
              <w:t>podkreśla, że wszyscy obywatele, niezależnie od obywatelstwa, miejsca urodzenia lub regularności przybycia do państw członkowskich, muszą być równi wobec prawa, i zachęca Komisję i państwa członkowskie do dalszego zwalczania dyskryminacji ze względu na przynależność państwową; wzywa Komisję do dopilnowania, aby przy wdrażaniu paktu o migracji i azylu państwa członkowskie przestrzegały zasady praworządności w swoich planach krajowych;</w:t>
            </w:r>
          </w:p>
        </w:tc>
        <w:tc>
          <w:tcPr>
            <w:tcW w:w="4876" w:type="dxa"/>
            <w:tcBorders>
              <w:top w:val="nil"/>
              <w:left w:val="nil"/>
              <w:bottom w:val="nil"/>
              <w:right w:val="nil"/>
            </w:tcBorders>
          </w:tcPr>
          <w:p w:rsidR="007A0039" w:rsidRPr="00EA7539" w:rsidRDefault="007A0039" w:rsidP="008F6778">
            <w:pPr>
              <w:pStyle w:val="Normal6a"/>
            </w:pPr>
            <w:r>
              <w:rPr>
                <w:b/>
                <w:i/>
              </w:rPr>
              <w:t>skreśla się</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{FI}</w:t>
      </w:r>
      <w:r w:rsidRPr="00EA7539">
        <w:t>fi</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437</w:t>
      </w:r>
      <w:r>
        <w:rPr>
          <w:rStyle w:val="HideTWBExt"/>
        </w:rPr>
        <w:t>&lt;/NumAm&gt;</w:t>
      </w:r>
    </w:p>
    <w:p w:rsidR="007A0039" w:rsidRPr="00EA7539" w:rsidRDefault="007A0039" w:rsidP="007A0039">
      <w:pPr>
        <w:pStyle w:val="NormalBold"/>
      </w:pPr>
      <w:r>
        <w:rPr>
          <w:rStyle w:val="HideTWBExt"/>
          <w:b w:val="0"/>
        </w:rPr>
        <w:t>&lt;RepeatBlock-By&gt;&lt;Members&gt;</w:t>
      </w:r>
      <w:r>
        <w:t>Ewa Zajączkowska-Hernik</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17.</w:t>
            </w:r>
            <w:r>
              <w:tab/>
            </w:r>
            <w:r>
              <w:rPr>
                <w:b/>
                <w:i/>
              </w:rPr>
              <w:t>podkreśla, że wszyscy obywatele, niezależnie od obywatelstwa, miejsca urodzenia lub regularności przybycia do państw członkowskich, muszą być równi wobec prawa, i zachęca Komisję i państwa członkowskie do dalszego zwalczania dyskryminacji ze względu na przynależność państwową; wzywa Komisję do dopilnowania, aby przy wdrażaniu paktu o migracji i azylu państwa członkowskie przestrzegały zasady praworządności w swoich planach krajowych;</w:t>
            </w:r>
          </w:p>
        </w:tc>
        <w:tc>
          <w:tcPr>
            <w:tcW w:w="4876" w:type="dxa"/>
            <w:tcBorders>
              <w:top w:val="nil"/>
              <w:left w:val="nil"/>
              <w:bottom w:val="nil"/>
              <w:right w:val="nil"/>
            </w:tcBorders>
          </w:tcPr>
          <w:p w:rsidR="007A0039" w:rsidRPr="00EA7539" w:rsidRDefault="007A0039" w:rsidP="008F6778">
            <w:pPr>
              <w:pStyle w:val="Normal6a"/>
            </w:pPr>
            <w:r>
              <w:rPr>
                <w:b/>
                <w:i/>
              </w:rPr>
              <w:t>skreśla się</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438</w:t>
      </w:r>
      <w:r>
        <w:rPr>
          <w:rStyle w:val="HideTWBExt"/>
        </w:rPr>
        <w:t>&lt;/NumAm&gt;</w:t>
      </w:r>
    </w:p>
    <w:p w:rsidR="007A0039" w:rsidRPr="00EA7539" w:rsidRDefault="007A0039" w:rsidP="007A0039">
      <w:pPr>
        <w:pStyle w:val="NormalBold"/>
      </w:pPr>
      <w:r>
        <w:rPr>
          <w:rStyle w:val="HideTWBExt"/>
          <w:b w:val="0"/>
        </w:rPr>
        <w:t>&lt;RepeatBlock-By&gt;&lt;Members&gt;</w:t>
      </w:r>
      <w:r>
        <w:t>Alessandro Zan, Cecilia Strada, Sandro Ruotolo, Pina Picierno, Marco Tarquinio</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17.</w:t>
            </w:r>
            <w:r>
              <w:tab/>
              <w:t xml:space="preserve">podkreśla, że wszyscy obywatele, niezależnie od obywatelstwa, miejsca urodzenia lub regularności przybycia do państw członkowskich, muszą być równi wobec prawa, i zachęca Komisję i państwa członkowskie do dalszego zwalczania dyskryminacji ze względu na przynależność państwową; wzywa Komisję do dopilnowania, aby przy wdrażaniu paktu o migracji i azylu państwa członkowskie przestrzegały zasady praworządności w </w:t>
            </w:r>
            <w:r>
              <w:rPr>
                <w:b/>
                <w:i/>
              </w:rPr>
              <w:t>swoich planach krajowych</w:t>
            </w:r>
            <w:r>
              <w:t>;</w:t>
            </w:r>
          </w:p>
        </w:tc>
        <w:tc>
          <w:tcPr>
            <w:tcW w:w="4876" w:type="dxa"/>
            <w:tcBorders>
              <w:top w:val="nil"/>
              <w:left w:val="nil"/>
              <w:bottom w:val="nil"/>
              <w:right w:val="nil"/>
            </w:tcBorders>
          </w:tcPr>
          <w:p w:rsidR="007A0039" w:rsidRPr="00EA7539" w:rsidRDefault="007A0039" w:rsidP="008F6778">
            <w:pPr>
              <w:pStyle w:val="Normal6a"/>
            </w:pPr>
            <w:r>
              <w:t>17.</w:t>
            </w:r>
            <w:r>
              <w:tab/>
              <w:t xml:space="preserve">podkreśla, że wszyscy obywatele, niezależnie od obywatelstwa, miejsca urodzenia lub regularności przybycia do państw członkowskich, muszą być równi wobec prawa, </w:t>
            </w:r>
            <w:r>
              <w:rPr>
                <w:b/>
                <w:i/>
              </w:rPr>
              <w:t xml:space="preserve">w pełni korzystać ze swoich praw, być sprawiedliwie </w:t>
            </w:r>
            <w:r>
              <w:t xml:space="preserve">i </w:t>
            </w:r>
            <w:r>
              <w:rPr>
                <w:b/>
                <w:i/>
              </w:rPr>
              <w:t>humanitarnie traktowani oraz mieć dostęp do sprawiedliwych procedur ochrony międzynarodowej, w pełnej zgodności z prawem międzynarodowym i zasadą non-refoulement; zauważa, że eksternalizacja migracji i eksterytorialne zarządzanie migracją, np. umowy dwustronne między państwami członkowskimi a państwami trzecimi, zagrażają tym zasadom i wspólnemu europejskiemu systemowi azylowemu oraz podważają wdrażanie wspólnych norm unijnych, celów prawa unijnego i praw migrantów;</w:t>
            </w:r>
            <w:r>
              <w:t xml:space="preserve"> zachęca Komisję i państwa członkowskie do dalszego zwalczania dyskryminacji ze względu na przynależność państwową; wzywa Komisję do dopilnowania, aby przy wdrażaniu paktu o migracji i azylu państwa członkowskie </w:t>
            </w:r>
            <w:r>
              <w:rPr>
                <w:b/>
                <w:i/>
              </w:rPr>
              <w:t xml:space="preserve">w swoich planach krajowych </w:t>
            </w:r>
            <w:r>
              <w:t xml:space="preserve">przestrzegały zasady praworządności </w:t>
            </w:r>
            <w:r>
              <w:rPr>
                <w:b/>
                <w:i/>
              </w:rPr>
              <w:t xml:space="preserve">i zasad zagwarantowanych </w:t>
            </w:r>
            <w:r>
              <w:t xml:space="preserve">w </w:t>
            </w:r>
            <w:r>
              <w:rPr>
                <w:b/>
                <w:i/>
              </w:rPr>
              <w:t>Karcie praw podstawowych UE, a także w prawie międzynarodowym;</w:t>
            </w:r>
            <w:r>
              <w:t xml:space="preserve"> </w:t>
            </w:r>
            <w:r>
              <w:rPr>
                <w:b/>
                <w:i/>
              </w:rPr>
              <w:t>zdecydowanie potępia arbitralne i bezprawne ograniczenia indywidualnych praw migrantów, nadmierne stosowanie praktyk detencyjnych i ograniczoną pomoc prawną, co według doniesień ma miejsce we Włoszech;</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439</w:t>
      </w:r>
      <w:r>
        <w:rPr>
          <w:rStyle w:val="HideTWBExt"/>
        </w:rPr>
        <w:t>&lt;/NumAm&gt;</w:t>
      </w:r>
    </w:p>
    <w:p w:rsidR="007A0039" w:rsidRPr="00EA7539" w:rsidRDefault="007A0039" w:rsidP="007A0039">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17.</w:t>
            </w:r>
            <w:r>
              <w:tab/>
              <w:t>podkreśla, że wszyscy obywatele, niezależnie od obywatelstwa, miejsca urodzenia lub regularności przybycia do państw członkowskich, muszą być równi wobec prawa, i zachęca Komisję i państwa członkowskie do dalszego zwalczania dyskryminacji ze względu na przynależność państwową; wzywa Komisję do dopilnowania, aby przy wdrażaniu paktu o migracji i azylu państwa członkowskie przestrzegały zasady praworządności w swoich planach krajowych;</w:t>
            </w:r>
          </w:p>
        </w:tc>
        <w:tc>
          <w:tcPr>
            <w:tcW w:w="4876" w:type="dxa"/>
            <w:tcBorders>
              <w:top w:val="nil"/>
              <w:left w:val="nil"/>
              <w:bottom w:val="nil"/>
              <w:right w:val="nil"/>
            </w:tcBorders>
          </w:tcPr>
          <w:p w:rsidR="007A0039" w:rsidRPr="00EA7539" w:rsidRDefault="007A0039" w:rsidP="008F6778">
            <w:pPr>
              <w:pStyle w:val="Normal6a"/>
            </w:pPr>
            <w:r>
              <w:t>17.</w:t>
            </w:r>
            <w:r>
              <w:tab/>
              <w:t xml:space="preserve">podkreśla, że wszyscy obywatele, niezależnie od obywatelstwa, miejsca urodzenia lub regularności przybycia do państw członkowskich, muszą być równi wobec prawa, </w:t>
            </w:r>
            <w:r>
              <w:rPr>
                <w:b/>
                <w:i/>
              </w:rPr>
              <w:t xml:space="preserve">w pełni korzystać ze swoich praw, być równo </w:t>
            </w:r>
            <w:r>
              <w:t>i</w:t>
            </w:r>
            <w:r>
              <w:rPr>
                <w:b/>
                <w:i/>
              </w:rPr>
              <w:t xml:space="preserve"> humanitarnie traktowani, a także mieć dostęp do sprawiedliwych procedur ochrony międzynarodowej, w pełnej zgodności z prawem międzynarodowym i zasadą non-refoulement; zauważa, że eksternalizacja migracji i eksterytorialne zarządzanie migracją, np. umowy dwustronne między państwami członkowskimi a państwami trzecimi, w żadnym wypadku nie powinny podważać tych zasad i kryteriów określonych w prawodawstwie UE;</w:t>
            </w:r>
            <w:r>
              <w:t xml:space="preserve"> zachęca Komisję i państwa członkowskie do dalszego zwalczania dyskryminacji ze względu na przynależność państwową; wzywa Komisję do dopilnowania, aby przy wdrażaniu paktu o migracji i azylu państwa członkowskie przestrzegały zasady praworządności w swoich planach krajowych;</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440</w:t>
      </w:r>
      <w:r>
        <w:rPr>
          <w:rStyle w:val="HideTWBExt"/>
        </w:rPr>
        <w:t>&lt;/NumAm&gt;</w:t>
      </w:r>
    </w:p>
    <w:p w:rsidR="007A0039" w:rsidRPr="00EA7539" w:rsidRDefault="007A0039" w:rsidP="007A0039">
      <w:pPr>
        <w:pStyle w:val="NormalBold"/>
      </w:pPr>
      <w:r>
        <w:rPr>
          <w:rStyle w:val="HideTWBExt"/>
          <w:b w:val="0"/>
        </w:rPr>
        <w:t>&lt;RepeatBlock-By&gt;&lt;Members&gt;</w:t>
      </w:r>
      <w:r>
        <w:t>Erik Kaliňák</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17.</w:t>
            </w:r>
            <w:r>
              <w:tab/>
              <w:t xml:space="preserve">podkreśla, że wszyscy </w:t>
            </w:r>
            <w:r>
              <w:rPr>
                <w:b/>
                <w:i/>
              </w:rPr>
              <w:t>obywatele</w:t>
            </w:r>
            <w:r>
              <w:t>, niezależnie od obywatelstwa</w:t>
            </w:r>
            <w:r>
              <w:rPr>
                <w:b/>
                <w:i/>
              </w:rPr>
              <w:t>, miejsca urodzenia</w:t>
            </w:r>
            <w:r>
              <w:t xml:space="preserve"> lub </w:t>
            </w:r>
            <w:r>
              <w:rPr>
                <w:b/>
                <w:i/>
              </w:rPr>
              <w:t>regularności przybycia do państw członkowskich</w:t>
            </w:r>
            <w:r>
              <w:t>, muszą być równi wobec prawa</w:t>
            </w:r>
            <w:r>
              <w:rPr>
                <w:b/>
                <w:i/>
              </w:rPr>
              <w:t>, i zachęca Komisję i państwa członkowskie do dalszego zwalczania dyskryminacji ze względu na przynależność państwową;</w:t>
            </w:r>
            <w:r>
              <w:t xml:space="preserve"> </w:t>
            </w:r>
            <w:r>
              <w:rPr>
                <w:b/>
                <w:i/>
              </w:rPr>
              <w:t>wzywa Komisję do dopilnowania, aby przy wdrażaniu paktu o migracji i azylu państwa członkowskie przestrzegały zasady praworządności w swoich planach krajowych;</w:t>
            </w:r>
          </w:p>
        </w:tc>
        <w:tc>
          <w:tcPr>
            <w:tcW w:w="4876" w:type="dxa"/>
            <w:tcBorders>
              <w:top w:val="nil"/>
              <w:left w:val="nil"/>
              <w:bottom w:val="nil"/>
              <w:right w:val="nil"/>
            </w:tcBorders>
          </w:tcPr>
          <w:p w:rsidR="007A0039" w:rsidRPr="00EA7539" w:rsidRDefault="007A0039" w:rsidP="008F6778">
            <w:pPr>
              <w:pStyle w:val="Normal6a"/>
            </w:pPr>
            <w:r>
              <w:t>17.</w:t>
            </w:r>
            <w:r>
              <w:tab/>
              <w:t xml:space="preserve">podkreśla, że wszyscy </w:t>
            </w:r>
            <w:r>
              <w:rPr>
                <w:b/>
                <w:i/>
              </w:rPr>
              <w:t>ludzie</w:t>
            </w:r>
            <w:r>
              <w:t xml:space="preserve">, niezależnie od obywatelstwa lub </w:t>
            </w:r>
            <w:r>
              <w:rPr>
                <w:b/>
                <w:i/>
              </w:rPr>
              <w:t>miejsca urodzenia</w:t>
            </w:r>
            <w:r>
              <w:t>, muszą być równi wobec prawa;</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{SK}</w:t>
      </w:r>
      <w:r w:rsidRPr="00EA7539">
        <w:t>sk</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441</w:t>
      </w:r>
      <w:r>
        <w:rPr>
          <w:rStyle w:val="HideTWBExt"/>
        </w:rPr>
        <w:t>&lt;/NumAm&gt;</w:t>
      </w:r>
    </w:p>
    <w:p w:rsidR="007A0039" w:rsidRPr="00EA7539" w:rsidRDefault="007A0039" w:rsidP="007A0039">
      <w:pPr>
        <w:pStyle w:val="NormalBold"/>
      </w:pPr>
      <w:r>
        <w:rPr>
          <w:rStyle w:val="HideTWBExt"/>
          <w:b w:val="0"/>
        </w:rPr>
        <w:t>&lt;RepeatBlock-By&gt;&lt;Members&gt;</w:t>
      </w:r>
      <w:r>
        <w:t>Loránt Vincze</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17.</w:t>
            </w:r>
            <w:r>
              <w:tab/>
              <w:t xml:space="preserve">podkreśla, że wszyscy obywatele, niezależnie od obywatelstwa, </w:t>
            </w:r>
            <w:r>
              <w:rPr>
                <w:b/>
                <w:i/>
              </w:rPr>
              <w:t xml:space="preserve">miejsca urodzenia lub regularności przybycia do państw członkowskich, </w:t>
            </w:r>
            <w:r>
              <w:t xml:space="preserve">muszą być równi wobec prawa, i zachęca Komisję i państwa członkowskie do dalszego zwalczania dyskryminacji ze względu na przynależność państwową; </w:t>
            </w:r>
            <w:r>
              <w:rPr>
                <w:b/>
                <w:i/>
              </w:rPr>
              <w:t>wzywa Komisję do dopilnowania, aby przy wdrażaniu paktu o migracji i azylu państwa członkowskie przestrzegały zasady praworządności w swoich planach krajowych;</w:t>
            </w:r>
          </w:p>
        </w:tc>
        <w:tc>
          <w:tcPr>
            <w:tcW w:w="4876" w:type="dxa"/>
            <w:tcBorders>
              <w:top w:val="nil"/>
              <w:left w:val="nil"/>
              <w:bottom w:val="nil"/>
              <w:right w:val="nil"/>
            </w:tcBorders>
          </w:tcPr>
          <w:p w:rsidR="007A0039" w:rsidRPr="00EA7539" w:rsidRDefault="007A0039" w:rsidP="008F6778">
            <w:pPr>
              <w:pStyle w:val="Normal6a"/>
            </w:pPr>
            <w:r>
              <w:t>17.</w:t>
            </w:r>
            <w:r>
              <w:tab/>
              <w:t>podkreśla, że wszyscy obywatele, niezależnie od obywatelstwa, muszą być równi wobec prawa, i zachęca Komisję i państwa członkowskie do dalszego zwalczania dyskryminacji ze względu na przynależność państwową;</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sidRPr="00EA7539">
        <w:rPr>
          <w:rStyle w:val="HideTWBExt"/>
        </w:rPr>
        <w:t>&lt;Amend&gt;</w:t>
      </w:r>
      <w:r w:rsidRPr="00EA7539">
        <w:t>Poprawka</w:t>
      </w:r>
      <w:r w:rsidRPr="00EA7539">
        <w:tab/>
      </w:r>
      <w:r w:rsidRPr="00EA7539">
        <w:tab/>
      </w:r>
      <w:r w:rsidRPr="00EA7539">
        <w:rPr>
          <w:rStyle w:val="HideTWBExt"/>
        </w:rPr>
        <w:t>&lt;NumAm&gt;</w:t>
      </w:r>
      <w:r w:rsidRPr="00EA7539">
        <w:t>442</w:t>
      </w:r>
      <w:r w:rsidRPr="00EA7539">
        <w:rPr>
          <w:rStyle w:val="HideTWBExt"/>
        </w:rPr>
        <w:t>&lt;/NumAm&gt;</w:t>
      </w:r>
    </w:p>
    <w:p w:rsidR="007A0039" w:rsidRPr="00EA7539" w:rsidRDefault="007A0039" w:rsidP="007A0039">
      <w:pPr>
        <w:pStyle w:val="NormalBold"/>
      </w:pPr>
      <w:r w:rsidRPr="00EA7539">
        <w:rPr>
          <w:rStyle w:val="HideTWBExt"/>
          <w:b w:val="0"/>
        </w:rPr>
        <w:t>&lt;RepeatBlock-By&gt;&lt;Members&gt;</w:t>
      </w:r>
      <w:r w:rsidRPr="00EA7539">
        <w:t>Mariusz Kamiński, Joachim Stanisław Brudziński, Jadwiga Wiśniewska, Maciej Wąsik, Jacek Ozdoba</w:t>
      </w:r>
      <w:r w:rsidRPr="00EA7539">
        <w:rPr>
          <w:rStyle w:val="HideTWBExt"/>
          <w:b w:val="0"/>
        </w:rPr>
        <w:t>&lt;/Members&gt;</w:t>
      </w:r>
    </w:p>
    <w:p w:rsidR="007A0039" w:rsidRPr="00EA7539" w:rsidRDefault="007A0039" w:rsidP="007A0039">
      <w:pPr>
        <w:pStyle w:val="NormalBold"/>
      </w:pPr>
      <w:r w:rsidRPr="00EA7539">
        <w:rPr>
          <w:rStyle w:val="HideTWBExt"/>
          <w:b w:val="0"/>
        </w:rPr>
        <w:t>&lt;/RepeatBlock-By&gt;</w:t>
      </w:r>
    </w:p>
    <w:p w:rsidR="007A0039" w:rsidRPr="00EA7539" w:rsidRDefault="007A0039" w:rsidP="007A0039">
      <w:pPr>
        <w:pStyle w:val="NormalBold"/>
      </w:pPr>
      <w:r w:rsidRPr="00EA7539">
        <w:rPr>
          <w:rStyle w:val="HideTWBExt"/>
        </w:rPr>
        <w:t>&lt;DocAmend&gt;</w:t>
      </w:r>
      <w:r w:rsidRPr="00EA7539">
        <w:t>Projekt rezolucji</w:t>
      </w:r>
      <w:r w:rsidRPr="00EA7539">
        <w:rPr>
          <w:rStyle w:val="HideTWBExt"/>
        </w:rPr>
        <w:t>&lt;/DocAmend&gt;</w:t>
      </w:r>
    </w:p>
    <w:p w:rsidR="007A0039" w:rsidRPr="00EA7539" w:rsidRDefault="007A0039" w:rsidP="007A0039">
      <w:pPr>
        <w:pStyle w:val="NormalBold"/>
      </w:pPr>
      <w:r w:rsidRPr="00EA7539">
        <w:rPr>
          <w:rStyle w:val="HideTWBExt"/>
        </w:rPr>
        <w:t>&lt;Article&gt;</w:t>
      </w:r>
      <w:r w:rsidRPr="00EA7539">
        <w:t>Ustęp 17</w:t>
      </w:r>
      <w:r w:rsidRPr="00EA7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RPr="00EA75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RPr="00EA75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rsidRPr="00EA7539">
              <w:t>Projekt rezolucji</w:t>
            </w:r>
          </w:p>
        </w:tc>
        <w:tc>
          <w:tcPr>
            <w:tcW w:w="4876" w:type="dxa"/>
            <w:tcBorders>
              <w:top w:val="nil"/>
              <w:left w:val="nil"/>
              <w:bottom w:val="nil"/>
              <w:right w:val="nil"/>
            </w:tcBorders>
          </w:tcPr>
          <w:p w:rsidR="007A0039" w:rsidRPr="00EA7539" w:rsidRDefault="007A0039" w:rsidP="008F6778">
            <w:pPr>
              <w:pStyle w:val="AmColumnHeading"/>
            </w:pPr>
            <w:r w:rsidRPr="00EA7539">
              <w:t>Poprawka</w:t>
            </w:r>
          </w:p>
        </w:tc>
      </w:tr>
      <w:tr w:rsidR="007A0039" w:rsidRPr="00EA7539" w:rsidTr="008F6778">
        <w:trPr>
          <w:jc w:val="center"/>
        </w:trPr>
        <w:tc>
          <w:tcPr>
            <w:tcW w:w="4876" w:type="dxa"/>
            <w:tcBorders>
              <w:top w:val="nil"/>
              <w:left w:val="nil"/>
              <w:bottom w:val="nil"/>
              <w:right w:val="nil"/>
            </w:tcBorders>
          </w:tcPr>
          <w:p w:rsidR="007A0039" w:rsidRPr="00EA7539" w:rsidRDefault="007A0039" w:rsidP="008F6778">
            <w:pPr>
              <w:pStyle w:val="Normal6a"/>
            </w:pPr>
            <w:r w:rsidRPr="00EA7539">
              <w:t>17.</w:t>
            </w:r>
            <w:r w:rsidRPr="00EA7539">
              <w:tab/>
              <w:t>podkreśla, że wszyscy obywatele, niezależnie od obywatelstwa</w:t>
            </w:r>
            <w:r w:rsidRPr="00EA7539">
              <w:rPr>
                <w:b/>
                <w:i/>
              </w:rPr>
              <w:t>,</w:t>
            </w:r>
            <w:r w:rsidRPr="00EA7539">
              <w:t xml:space="preserve"> miejsca urodzenia </w:t>
            </w:r>
            <w:r w:rsidRPr="00EA7539">
              <w:rPr>
                <w:b/>
                <w:i/>
              </w:rPr>
              <w:t>lub regularności przybycia do państw członkowskich,</w:t>
            </w:r>
            <w:r w:rsidRPr="00EA7539">
              <w:t xml:space="preserve"> muszą być równi wobec prawa, i zachęca Komisję i państwa członkowskie do dalszego zwalczania dyskryminacji ze względu na przynależność państwową; </w:t>
            </w:r>
            <w:r w:rsidRPr="00EA7539">
              <w:rPr>
                <w:b/>
                <w:i/>
              </w:rPr>
              <w:t>wzywa Komisję do dopilnowania, aby przy wdrażaniu paktu o migracji i azylu państwa członkowskie przestrzegały zasady praworządności w swoich planach krajowych;</w:t>
            </w:r>
          </w:p>
        </w:tc>
        <w:tc>
          <w:tcPr>
            <w:tcW w:w="4876" w:type="dxa"/>
            <w:tcBorders>
              <w:top w:val="nil"/>
              <w:left w:val="nil"/>
              <w:bottom w:val="nil"/>
              <w:right w:val="nil"/>
            </w:tcBorders>
          </w:tcPr>
          <w:p w:rsidR="007A0039" w:rsidRPr="00EA7539" w:rsidRDefault="007A0039" w:rsidP="008F6778">
            <w:pPr>
              <w:pStyle w:val="Normal6a"/>
            </w:pPr>
            <w:r w:rsidRPr="00EA7539">
              <w:t>17.</w:t>
            </w:r>
            <w:r w:rsidRPr="00EA7539">
              <w:tab/>
              <w:t xml:space="preserve">podkreśla, że wszyscy obywatele </w:t>
            </w:r>
            <w:r w:rsidRPr="00EA7539">
              <w:rPr>
                <w:b/>
                <w:i/>
              </w:rPr>
              <w:t>Unii</w:t>
            </w:r>
            <w:r w:rsidRPr="00EA7539">
              <w:t xml:space="preserve">, niezależnie od obywatelstwa </w:t>
            </w:r>
            <w:r w:rsidRPr="00EA7539">
              <w:rPr>
                <w:b/>
                <w:i/>
              </w:rPr>
              <w:t>i</w:t>
            </w:r>
            <w:r w:rsidRPr="00EA7539">
              <w:t xml:space="preserve"> miejsca urodzenia muszą być równi wobec prawa, i zachęca Komisję i państwa członkowskie do dalszego zwalczania dyskryminacji ze względu na przynależność państwową;</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{PL}</w:t>
      </w:r>
      <w:r w:rsidRPr="00EA7539">
        <w:t>pl</w:t>
      </w:r>
      <w:r w:rsidRPr="00EA7539">
        <w:rPr>
          <w:rStyle w:val="HideTWBExt"/>
        </w:rPr>
        <w:t>&lt;/Original&gt;</w:t>
      </w:r>
    </w:p>
    <w:p w:rsidR="007A0039" w:rsidRPr="00EA7539" w:rsidRDefault="007A0039" w:rsidP="007A0039">
      <w:r w:rsidRPr="00EA7539">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443</w:t>
      </w:r>
      <w:r>
        <w:rPr>
          <w:rStyle w:val="HideTWBExt"/>
        </w:rPr>
        <w:t>&lt;/NumAm&gt;</w:t>
      </w:r>
    </w:p>
    <w:p w:rsidR="007A0039" w:rsidRPr="00EA7539" w:rsidRDefault="007A0039" w:rsidP="007A0039">
      <w:pPr>
        <w:pStyle w:val="NormalBold"/>
      </w:pPr>
      <w:r>
        <w:rPr>
          <w:rStyle w:val="HideTWBExt"/>
          <w:b w:val="0"/>
        </w:rPr>
        <w:t>&lt;RepeatBlock-By&gt;&lt;Members&gt;</w:t>
      </w:r>
      <w:r>
        <w:t>Mary Khan, Milan Uhrík</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17.</w:t>
            </w:r>
            <w:r>
              <w:tab/>
              <w:t>podkreśla, że wszyscy obywatele, niezależnie od obywatelstwa</w:t>
            </w:r>
            <w:r>
              <w:rPr>
                <w:b/>
                <w:i/>
              </w:rPr>
              <w:t xml:space="preserve">, </w:t>
            </w:r>
            <w:r>
              <w:t xml:space="preserve">miejsca urodzenia </w:t>
            </w:r>
            <w:r>
              <w:rPr>
                <w:b/>
                <w:bCs/>
                <w:i/>
                <w:iCs/>
              </w:rPr>
              <w:t>lub</w:t>
            </w:r>
            <w:r>
              <w:t xml:space="preserve"> </w:t>
            </w:r>
            <w:r>
              <w:rPr>
                <w:b/>
                <w:i/>
              </w:rPr>
              <w:t>regularności przybycia do państw członkowskich</w:t>
            </w:r>
            <w:r>
              <w:t>, muszą być równi wobec prawa</w:t>
            </w:r>
            <w:r>
              <w:rPr>
                <w:b/>
                <w:i/>
              </w:rPr>
              <w:t xml:space="preserve">, i zachęca Komisję i </w:t>
            </w:r>
            <w:r>
              <w:t xml:space="preserve">państwa członkowskie do </w:t>
            </w:r>
            <w:r>
              <w:rPr>
                <w:b/>
                <w:i/>
              </w:rPr>
              <w:t>dalszego zwalczania dyskryminacji ze względu na przynależność państwową; wzywa Komisję do dopilnowania, aby przy wdrażaniu paktu o migracji i azylu państwa członkowskie przestrzegały zasady praworządności w swoich planach krajowych</w:t>
            </w:r>
            <w:r>
              <w:t>;</w:t>
            </w:r>
          </w:p>
        </w:tc>
        <w:tc>
          <w:tcPr>
            <w:tcW w:w="4876" w:type="dxa"/>
            <w:tcBorders>
              <w:top w:val="nil"/>
              <w:left w:val="nil"/>
              <w:bottom w:val="nil"/>
              <w:right w:val="nil"/>
            </w:tcBorders>
          </w:tcPr>
          <w:p w:rsidR="007A0039" w:rsidRPr="00EA7539" w:rsidRDefault="007A0039" w:rsidP="008F6778">
            <w:pPr>
              <w:pStyle w:val="Normal6a"/>
            </w:pPr>
            <w:r>
              <w:t>17.</w:t>
            </w:r>
            <w:r>
              <w:tab/>
              <w:t xml:space="preserve">podkreśla, że wszyscy obywatele, niezależnie od obywatelstwa </w:t>
            </w:r>
            <w:r>
              <w:rPr>
                <w:b/>
                <w:bCs/>
                <w:i/>
                <w:iCs/>
              </w:rPr>
              <w:t>lub</w:t>
            </w:r>
            <w:r>
              <w:t xml:space="preserve"> miejsca</w:t>
            </w:r>
            <w:r>
              <w:rPr>
                <w:b/>
                <w:i/>
              </w:rPr>
              <w:t xml:space="preserve"> </w:t>
            </w:r>
            <w:r>
              <w:t>urodzenia, muszą być równi wobec prawa</w:t>
            </w:r>
            <w:r>
              <w:rPr>
                <w:b/>
                <w:i/>
              </w:rPr>
              <w:t xml:space="preserve">; uznaje, że </w:t>
            </w:r>
            <w:r>
              <w:t xml:space="preserve">państwa członkowskie </w:t>
            </w:r>
            <w:r>
              <w:rPr>
                <w:b/>
                <w:i/>
              </w:rPr>
              <w:t xml:space="preserve">mają suwerenne </w:t>
            </w:r>
            <w:r>
              <w:t xml:space="preserve">do </w:t>
            </w:r>
            <w:r>
              <w:rPr>
                <w:b/>
                <w:i/>
              </w:rPr>
              <w:t>określania własnej polityki imigracyjnej</w:t>
            </w:r>
            <w:r>
              <w:t>;</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444</w:t>
      </w:r>
      <w:r>
        <w:rPr>
          <w:rStyle w:val="HideTWBExt"/>
        </w:rPr>
        <w:t>&lt;/NumAm&gt;</w:t>
      </w:r>
    </w:p>
    <w:p w:rsidR="007A0039" w:rsidRPr="00EA7539" w:rsidRDefault="007A0039" w:rsidP="007A0039">
      <w:pPr>
        <w:pStyle w:val="NormalBold"/>
      </w:pPr>
      <w:r>
        <w:rPr>
          <w:rStyle w:val="HideTWBExt"/>
          <w:b w:val="0"/>
        </w:rPr>
        <w:t>&lt;RepeatBlock-By&gt;&lt;Members&gt;</w:t>
      </w:r>
      <w:r>
        <w:t>Emmanuel Fragkos, Geadis Geadi, Galato Alexandraki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17.</w:t>
            </w:r>
            <w:r>
              <w:tab/>
              <w:t xml:space="preserve">podkreśla, że wszyscy obywatele, niezależnie od obywatelstwa, miejsca urodzenia lub regularności przybycia do państw członkowskich, muszą być równi wobec prawa, i zachęca Komisję i państwa członkowskie do dalszego zwalczania dyskryminacji ze względu na przynależność państwową; </w:t>
            </w:r>
            <w:r>
              <w:rPr>
                <w:b/>
                <w:i/>
              </w:rPr>
              <w:t>wzywa Komisję do dopilnowania, aby przy wdrażaniu paktu o migracji i azylu państwa członkowskie przestrzegały zasady praworządności w swoich planach krajowych;</w:t>
            </w:r>
          </w:p>
        </w:tc>
        <w:tc>
          <w:tcPr>
            <w:tcW w:w="4876" w:type="dxa"/>
            <w:tcBorders>
              <w:top w:val="nil"/>
              <w:left w:val="nil"/>
              <w:bottom w:val="nil"/>
              <w:right w:val="nil"/>
            </w:tcBorders>
          </w:tcPr>
          <w:p w:rsidR="007A0039" w:rsidRPr="00EA7539" w:rsidRDefault="007A0039" w:rsidP="008F6778">
            <w:pPr>
              <w:pStyle w:val="Normal6a"/>
            </w:pPr>
            <w:r>
              <w:t>17.</w:t>
            </w:r>
            <w:r>
              <w:tab/>
              <w:t>podkreśla, że wszyscy obywatele, niezależnie od obywatelstwa, miejsca urodzenia lub regularności przybycia do państw członkowskich, muszą być równi wobec prawa, i zachęca Komisję i państwa członkowskie do dalszego zwalczania dyskryminacji ze względu na przynależność państwową;</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{EL}</w:t>
      </w:r>
      <w:r w:rsidRPr="00EA7539">
        <w:t>el</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445</w:t>
      </w:r>
      <w:r>
        <w:rPr>
          <w:rStyle w:val="HideTWBExt"/>
        </w:rPr>
        <w:t>&lt;/NumAm&gt;</w:t>
      </w:r>
    </w:p>
    <w:p w:rsidR="007A0039" w:rsidRPr="00EA7539" w:rsidRDefault="007A0039" w:rsidP="007A0039">
      <w:pPr>
        <w:pStyle w:val="NormalBold"/>
      </w:pPr>
      <w:r>
        <w:rPr>
          <w:rStyle w:val="HideTWBExt"/>
          <w:b w:val="0"/>
        </w:rPr>
        <w:t>&lt;RepeatBlock-By&gt;&lt;Members&gt;</w:t>
      </w:r>
      <w:r>
        <w:t>Jorge Buxadé Villalba, Marieke Ehlers, Malika Sorel, Fabrice Leggeri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17.</w:t>
            </w:r>
            <w:r>
              <w:tab/>
              <w:t>podkreśla, że wszyscy obywatele, niezależnie od obywatelstwa, miejsca urodzenia lub regularności przybycia do państw członkowskich, muszą być równi wobec prawa</w:t>
            </w:r>
            <w:r>
              <w:rPr>
                <w:b/>
                <w:i/>
              </w:rPr>
              <w:t>, i zachęca Komisję i państwa członkowskie do dalszego zwalczania dyskryminacji ze względu na przynależność państwową</w:t>
            </w:r>
            <w:r>
              <w:t xml:space="preserve">; wzywa Komisję do </w:t>
            </w:r>
            <w:r>
              <w:rPr>
                <w:b/>
                <w:i/>
              </w:rPr>
              <w:t>dopilnowania, aby przy wdrażaniu paktu</w:t>
            </w:r>
            <w:r>
              <w:t xml:space="preserve"> o migracji i azylu państwa członkowskie </w:t>
            </w:r>
            <w:r>
              <w:rPr>
                <w:b/>
                <w:i/>
              </w:rPr>
              <w:t>przestrzegały zasady praworządności w swoich planach krajowych</w:t>
            </w:r>
            <w:r>
              <w:t>;</w:t>
            </w:r>
          </w:p>
        </w:tc>
        <w:tc>
          <w:tcPr>
            <w:tcW w:w="4876" w:type="dxa"/>
            <w:tcBorders>
              <w:top w:val="nil"/>
              <w:left w:val="nil"/>
              <w:bottom w:val="nil"/>
              <w:right w:val="nil"/>
            </w:tcBorders>
          </w:tcPr>
          <w:p w:rsidR="007A0039" w:rsidRPr="00EA7539" w:rsidRDefault="007A0039" w:rsidP="008F6778">
            <w:pPr>
              <w:pStyle w:val="Normal6a"/>
            </w:pPr>
            <w:r>
              <w:t>17.</w:t>
            </w:r>
            <w:r>
              <w:tab/>
              <w:t>podkreśla, że wszyscy obywatele, niezależnie od obywatelstwa, miejsca urodzenia lub regularności przybycia do państw członkowskich, muszą być równi wobec prawa</w:t>
            </w:r>
            <w:r>
              <w:rPr>
                <w:b/>
                <w:i/>
              </w:rPr>
              <w:t>; w związku z tym zwraca uwagę na znaczenie skuteczności systemu powrotów</w:t>
            </w:r>
            <w:r>
              <w:t xml:space="preserve">; wzywa Komisję do </w:t>
            </w:r>
            <w:r>
              <w:rPr>
                <w:b/>
                <w:i/>
              </w:rPr>
              <w:t>dokonania niezbędnych dostosowań w pakcie</w:t>
            </w:r>
            <w:r>
              <w:t xml:space="preserve"> o migracji i azylu </w:t>
            </w:r>
            <w:r>
              <w:rPr>
                <w:b/>
                <w:i/>
              </w:rPr>
              <w:t xml:space="preserve">w celu zapewnienia natychmiastowego wykonania wszystkich decyzji nakazujących powrót wydanych przez </w:t>
            </w:r>
            <w:r>
              <w:t xml:space="preserve">państwa członkowskie </w:t>
            </w:r>
            <w:r>
              <w:rPr>
                <w:b/>
                <w:i/>
              </w:rPr>
              <w:t>oraz do zaproponowania nałożenia nowych sankcji lub ceł na państwa trzecie niechętne współpracy w tym zakresie</w:t>
            </w:r>
            <w:r>
              <w:t>;</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446</w:t>
      </w:r>
      <w:r>
        <w:rPr>
          <w:rStyle w:val="HideTWBExt"/>
        </w:rPr>
        <w:t>&lt;/NumAm&gt;</w:t>
      </w:r>
    </w:p>
    <w:p w:rsidR="007A0039" w:rsidRPr="00EA7539" w:rsidRDefault="007A0039" w:rsidP="007A0039">
      <w:pPr>
        <w:pStyle w:val="NormalBold"/>
      </w:pPr>
      <w:r>
        <w:rPr>
          <w:rStyle w:val="HideTWBExt"/>
          <w:b w:val="0"/>
        </w:rPr>
        <w:t>&lt;RepeatBlock-By&gt;&lt;Members&gt;</w:t>
      </w:r>
      <w:r>
        <w:t>Daniel Freund</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17.</w:t>
            </w:r>
            <w:r>
              <w:tab/>
              <w:t>podkreśla, że wszyscy obywatele, niezależnie od obywatelstwa, miejsca urodzenia lub regularności przybycia do państw członkowskich, muszą być równi wobec prawa, i zachęca Komisję i państwa członkowskie do dalszego zwalczania dyskryminacji ze względu na przynależność państwową; wzywa Komisję do dopilnowania, aby przy wdrażaniu paktu o migracji i azylu państwa członkowskie przestrzegały zasady praworządności w swoich planach krajowych;</w:t>
            </w:r>
          </w:p>
        </w:tc>
        <w:tc>
          <w:tcPr>
            <w:tcW w:w="4876" w:type="dxa"/>
            <w:tcBorders>
              <w:top w:val="nil"/>
              <w:left w:val="nil"/>
              <w:bottom w:val="nil"/>
              <w:right w:val="nil"/>
            </w:tcBorders>
          </w:tcPr>
          <w:p w:rsidR="007A0039" w:rsidRPr="00EA7539" w:rsidRDefault="007A0039" w:rsidP="007A0039">
            <w:pPr>
              <w:pStyle w:val="Normal6a"/>
            </w:pPr>
            <w:r>
              <w:t>17.</w:t>
            </w:r>
            <w:r>
              <w:tab/>
              <w:t xml:space="preserve">podkreśla, że wszyscy obywatele, niezależnie od obywatelstwa, miejsca urodzenia lub regularności przybycia do państw członkowskich, muszą być równi wobec prawa, i zachęca Komisję i państwa członkowskie do dalszego zwalczania dyskryminacji ze względu na przynależność państwową; wzywa Komisję do dopilnowania, aby przy wdrażaniu paktu o migracji i azylu </w:t>
            </w:r>
            <w:r>
              <w:rPr>
                <w:b/>
                <w:i/>
              </w:rPr>
              <w:t xml:space="preserve">i dorobku Schengen </w:t>
            </w:r>
            <w:r>
              <w:t xml:space="preserve">państwa członkowskie przestrzegały zasady praworządności w swoich planach krajowych; </w:t>
            </w:r>
            <w:r>
              <w:rPr>
                <w:b/>
                <w:i/>
              </w:rPr>
              <w:t>przypomina, że zawracanie migrantów w każdym wypadku narusza prawo UE i prawo międzynarodowe;</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447</w:t>
      </w:r>
      <w:r>
        <w:rPr>
          <w:rStyle w:val="HideTWBExt"/>
        </w:rPr>
        <w:t>&lt;/NumAm&gt;</w:t>
      </w:r>
    </w:p>
    <w:p w:rsidR="007A0039" w:rsidRPr="00EA7539" w:rsidRDefault="007A0039" w:rsidP="007A0039">
      <w:pPr>
        <w:pStyle w:val="NormalBold"/>
      </w:pPr>
      <w:r>
        <w:rPr>
          <w:rStyle w:val="HideTWBExt"/>
          <w:b w:val="0"/>
        </w:rPr>
        <w:t>&lt;RepeatBlock-By&gt;&lt;Members&gt;</w:t>
      </w:r>
      <w:r>
        <w:t>Romana Tomc</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17.</w:t>
            </w:r>
            <w:r>
              <w:tab/>
              <w:t xml:space="preserve">podkreśla, że wszyscy obywatele, niezależnie od obywatelstwa, miejsca urodzenia lub regularności przybycia do państw członkowskich, muszą być równi wobec prawa, i zachęca Komisję i państwa członkowskie do dalszego zwalczania dyskryminacji ze względu na przynależność państwową; wzywa Komisję do dopilnowania, aby </w:t>
            </w:r>
            <w:r>
              <w:rPr>
                <w:b/>
                <w:i/>
              </w:rPr>
              <w:t xml:space="preserve">przy wdrażaniu paktu o migracji i azylu </w:t>
            </w:r>
            <w:r>
              <w:t>państwa członkowskie przestrzegały zasady praworządności w swoich planach krajowych;</w:t>
            </w:r>
          </w:p>
        </w:tc>
        <w:tc>
          <w:tcPr>
            <w:tcW w:w="4876" w:type="dxa"/>
            <w:tcBorders>
              <w:top w:val="nil"/>
              <w:left w:val="nil"/>
              <w:bottom w:val="nil"/>
              <w:right w:val="nil"/>
            </w:tcBorders>
          </w:tcPr>
          <w:p w:rsidR="007A0039" w:rsidRPr="00EA7539" w:rsidRDefault="007A0039" w:rsidP="008F6778">
            <w:pPr>
              <w:pStyle w:val="Normal6a"/>
            </w:pPr>
            <w:r>
              <w:t>17.</w:t>
            </w:r>
            <w:r>
              <w:tab/>
              <w:t>podkreśla, że wszyscy obywatele, niezależnie od obywatelstwa, miejsca urodzenia lub regularności przybycia do państw członkowskich, muszą być równi wobec prawa, i zachęca Komisję i państwa członkowskie do dalszego zwalczania dyskryminacji ze względu na przynależność państwową; wzywa Komisję do dopilnowania, aby państwa członkowskie przestrzegały zasady praworządności w swoich planach krajowych;</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448</w:t>
      </w:r>
      <w:r>
        <w:rPr>
          <w:rStyle w:val="HideTWBExt"/>
        </w:rPr>
        <w:t>&lt;/NumAm&gt;</w:t>
      </w:r>
    </w:p>
    <w:p w:rsidR="007A0039" w:rsidRPr="00EA7539" w:rsidRDefault="007A0039" w:rsidP="007A0039">
      <w:pPr>
        <w:pStyle w:val="NormalBold"/>
      </w:pPr>
      <w:r>
        <w:rPr>
          <w:rStyle w:val="HideTWBExt"/>
          <w:b w:val="0"/>
        </w:rPr>
        <w:t>&lt;RepeatBlock-By&gt;&lt;Members&gt;</w:t>
      </w:r>
      <w:r>
        <w:t>András László</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17.</w:t>
            </w:r>
            <w:r>
              <w:tab/>
              <w:t xml:space="preserve">podkreśla, że wszyscy obywatele, niezależnie od obywatelstwa, miejsca urodzenia lub regularności przybycia do państw członkowskich, muszą być równi wobec prawa, i zachęca Komisję i państwa członkowskie do dalszego zwalczania dyskryminacji ze względu na przynależność państwową; wzywa Komisję do </w:t>
            </w:r>
            <w:r>
              <w:rPr>
                <w:b/>
                <w:i/>
              </w:rPr>
              <w:t>dopilnowania, aby przy wdrażaniu</w:t>
            </w:r>
            <w:r>
              <w:t xml:space="preserve"> paktu o migracji i azylu </w:t>
            </w:r>
            <w:r>
              <w:rPr>
                <w:b/>
                <w:i/>
              </w:rPr>
              <w:t>państwa członkowskie przestrzegały zasady praworządności w swoich planach krajowych</w:t>
            </w:r>
            <w:r>
              <w:t>;</w:t>
            </w:r>
          </w:p>
        </w:tc>
        <w:tc>
          <w:tcPr>
            <w:tcW w:w="4876" w:type="dxa"/>
            <w:tcBorders>
              <w:top w:val="nil"/>
              <w:left w:val="nil"/>
              <w:bottom w:val="nil"/>
              <w:right w:val="nil"/>
            </w:tcBorders>
          </w:tcPr>
          <w:p w:rsidR="007A0039" w:rsidRPr="00EA7539" w:rsidRDefault="007A0039" w:rsidP="008F6778">
            <w:pPr>
              <w:pStyle w:val="Normal6a"/>
            </w:pPr>
            <w:r>
              <w:t>17.</w:t>
            </w:r>
            <w:r>
              <w:tab/>
              <w:t xml:space="preserve">podkreśla, że wszyscy obywatele, niezależnie od obywatelstwa, miejsca urodzenia lub regularności przybycia do państw członkowskich, muszą być równi wobec prawa, i zachęca Komisję i państwa członkowskie do dalszego zwalczania dyskryminacji ze względu na przynależność państwową; wzywa Komisję do </w:t>
            </w:r>
            <w:r>
              <w:rPr>
                <w:b/>
                <w:i/>
              </w:rPr>
              <w:t>rezygnacji z</w:t>
            </w:r>
            <w:r>
              <w:t xml:space="preserve"> paktu o migracji i azylu </w:t>
            </w:r>
            <w:r>
              <w:rPr>
                <w:b/>
                <w:i/>
              </w:rPr>
              <w:t>lub do umożliwienia państwom członkowskim stosowania klauzuli opt-out</w:t>
            </w:r>
            <w:r>
              <w:t>;</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449</w:t>
      </w:r>
      <w:r>
        <w:rPr>
          <w:rStyle w:val="HideTWBExt"/>
        </w:rPr>
        <w:t>&lt;/NumAm&gt;</w:t>
      </w:r>
    </w:p>
    <w:p w:rsidR="007A0039" w:rsidRPr="00EA7539" w:rsidRDefault="007A0039" w:rsidP="007A0039">
      <w:pPr>
        <w:pStyle w:val="NormalBold"/>
      </w:pPr>
      <w:r>
        <w:rPr>
          <w:rStyle w:val="HideTWBExt"/>
          <w:b w:val="0"/>
        </w:rPr>
        <w:t>&lt;RepeatBlock-By&gt;&lt;Members&gt;</w:t>
      </w:r>
      <w:r>
        <w:t>Michał Wawrykiewicz</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17.</w:t>
            </w:r>
            <w:r>
              <w:tab/>
              <w:t xml:space="preserve">podkreśla, że wszyscy obywatele, niezależnie od obywatelstwa, miejsca urodzenia lub </w:t>
            </w:r>
            <w:r>
              <w:rPr>
                <w:b/>
                <w:i/>
              </w:rPr>
              <w:t>regularności przybycia do państw członkowskich</w:t>
            </w:r>
            <w:r>
              <w:t>, muszą być równi wobec prawa, i zachęca Komisję i państwa członkowskie do dalszego zwalczania dyskryminacji ze względu na przynależność państwową; wzywa Komisję do dopilnowania, aby przy wdrażaniu paktu o migracji i azylu państwa członkowskie przestrzegały zasady praworządności w swoich planach krajowych;</w:t>
            </w:r>
          </w:p>
        </w:tc>
        <w:tc>
          <w:tcPr>
            <w:tcW w:w="4876" w:type="dxa"/>
            <w:tcBorders>
              <w:top w:val="nil"/>
              <w:left w:val="nil"/>
              <w:bottom w:val="nil"/>
              <w:right w:val="nil"/>
            </w:tcBorders>
          </w:tcPr>
          <w:p w:rsidR="007A0039" w:rsidRPr="00EA7539" w:rsidRDefault="007A0039" w:rsidP="008F6778">
            <w:pPr>
              <w:pStyle w:val="Normal6a"/>
            </w:pPr>
            <w:r>
              <w:t>17.</w:t>
            </w:r>
            <w:r>
              <w:tab/>
              <w:t xml:space="preserve">podkreśla, że wszyscy obywatele, niezależnie od obywatelstwa, miejsca urodzenia lub </w:t>
            </w:r>
            <w:r>
              <w:rPr>
                <w:b/>
                <w:i/>
              </w:rPr>
              <w:t>statusu pobytu</w:t>
            </w:r>
            <w:r>
              <w:t>, muszą być równi wobec prawa, i zachęca Komisję i państwa członkowskie do dalszego zwalczania dyskryminacji ze względu na przynależność państwową; wzywa Komisję do dopilnowania, aby przy wdrażaniu paktu o migracji i azylu państwa członkowskie przestrzegały zasady praworządności w swoich planach krajowych;</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450</w:t>
      </w:r>
      <w:r>
        <w:rPr>
          <w:rStyle w:val="HideTWBExt"/>
        </w:rPr>
        <w:t>&lt;/NumAm&gt;</w:t>
      </w:r>
    </w:p>
    <w:p w:rsidR="007A0039" w:rsidRPr="00EA7539" w:rsidRDefault="007A0039" w:rsidP="007A0039">
      <w:pPr>
        <w:pStyle w:val="NormalBold"/>
      </w:pPr>
      <w:r>
        <w:rPr>
          <w:rStyle w:val="HideTWBExt"/>
          <w:b w:val="0"/>
        </w:rPr>
        <w:t>&lt;RepeatBlock-By&gt;&lt;Members&gt;</w:t>
      </w:r>
      <w:r>
        <w:t>Alessandro Zan, Cecilia Strada, Sandro Ruotolo, Pina Picierno, Marco Tarquinio</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17a.</w:t>
            </w:r>
            <w:r>
              <w:tab/>
            </w:r>
            <w:r>
              <w:rPr>
                <w:b/>
                <w:i/>
              </w:rPr>
              <w:t>uznaje, że określając kraj trzeci jako bezpieczny kraj pochodzenia, właściwe organy muszą zawsze działać zgodnie z zasadami demokracji, a więc przestrzegać praworządności, kryteriów określonych w prawodawstwie UE, wyroków TSUE i prawa międzynarodowego; podkreśla wynikający z prawa UE i prawa międzynarodowego obowiązek udzielania ochrony międzynarodowej osobom prześladowanym lub narażonym na poważną krzywdę ze względu na pochodzenie rasowe i etniczne, religię lub przekonania, narodowość, poglądy polityczne, język, niepełnosprawność, wiek, płeć, w tym tożsamość płciową i ekspresję płciową, oraz orientację seksualną;</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451</w:t>
      </w:r>
      <w:r>
        <w:rPr>
          <w:rStyle w:val="HideTWBExt"/>
        </w:rPr>
        <w:t>&lt;/NumAm&gt;</w:t>
      </w:r>
    </w:p>
    <w:p w:rsidR="007A0039" w:rsidRPr="00EA7539" w:rsidRDefault="007A0039" w:rsidP="007A0039">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Michał Wawrykiewicz, Cecilia Strada</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17a.</w:t>
            </w:r>
            <w:r>
              <w:tab/>
            </w:r>
            <w:r>
              <w:rPr>
                <w:b/>
                <w:i/>
              </w:rPr>
              <w:t>uznaje, że określając kraj trzeci jako bezpieczny kraj pochodzenia, właściwe organy muszą zawsze działać zgodnie z zasadami praworządności, kryteriami określonych w prawodawstwie UE, wyrokami TSUE i prawem międzynarodowym; podkreśla, że z prawa UE i prawa międzynarodowego wynika obowiązek udzielania ochrony międzynarodowej osobom prześladowanym lub narażonym na poważną krzywdę;</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452</w:t>
      </w:r>
      <w:r>
        <w:rPr>
          <w:rStyle w:val="HideTWBExt"/>
        </w:rPr>
        <w:t>&lt;/NumAm&gt;</w:t>
      </w:r>
    </w:p>
    <w:p w:rsidR="007A0039" w:rsidRPr="00EA7539" w:rsidRDefault="007A0039" w:rsidP="007A0039">
      <w:pPr>
        <w:pStyle w:val="NormalBold"/>
      </w:pPr>
      <w:r>
        <w:rPr>
          <w:rStyle w:val="HideTWBExt"/>
          <w:b w:val="0"/>
        </w:rPr>
        <w:t>&lt;RepeatBlock-By&gt;&lt;Members&gt;</w:t>
      </w:r>
      <w:r>
        <w:t>Alessandro Ciriani, Paolo Inselvini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17a.</w:t>
            </w:r>
            <w:r>
              <w:tab/>
            </w:r>
            <w:r>
              <w:rPr>
                <w:b/>
                <w:i/>
              </w:rPr>
              <w:t>podkreśla konieczność poszanowania zasady równości wobec prawa w odniesieniu do wszystkich obywateli; wzywa Komisję do dopilnowania, by pakt o migracji i azylu wdrażany był w ramach kompetencji krajowych w dziedzinie bezpieczeństwa, porządku publicznego i kontroli granic, przy pełnym poszanowaniu decyzji współprawodawców;</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{IT}</w:t>
      </w:r>
      <w:r w:rsidRPr="00EA7539">
        <w:t>it</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453</w:t>
      </w:r>
      <w:r>
        <w:rPr>
          <w:rStyle w:val="HideTWBExt"/>
        </w:rPr>
        <w:t>&lt;/NumAm&gt;</w:t>
      </w:r>
    </w:p>
    <w:p w:rsidR="007A0039" w:rsidRPr="00EA7539" w:rsidRDefault="007A0039" w:rsidP="007A0039">
      <w:pPr>
        <w:pStyle w:val="NormalBold"/>
      </w:pPr>
      <w:r>
        <w:rPr>
          <w:rStyle w:val="HideTWBExt"/>
          <w:b w:val="0"/>
        </w:rPr>
        <w:t>&lt;RepeatBlock-By&gt;&lt;Members&gt;</w:t>
      </w:r>
      <w:r>
        <w:t>Marco Tarquinio, Alessandro Zan, Damien Carême, Mélissa Camara</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17a.</w:t>
            </w:r>
            <w:r>
              <w:tab/>
            </w:r>
            <w:r>
              <w:rPr>
                <w:b/>
                <w:i/>
              </w:rPr>
              <w:t>podkreśla, że brak rozliczalności nieproporcjonalnie dotyka społeczności marginalizowane z powodów rasowych, które często są dotknięte systemowym wykluczeniem z usług publicznych, ze sprawiedliwej reprezentacji politycznej i z możliwości gospodarczych; apeluje o większą przejrzystość publicznych procesów decyzyjnych w celu zapewnienia inkluzywnego i sprawiedliwego zarządzania;</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454</w:t>
      </w:r>
      <w:r>
        <w:rPr>
          <w:rStyle w:val="HideTWBExt"/>
        </w:rPr>
        <w:t>&lt;/NumAm&gt;</w:t>
      </w:r>
    </w:p>
    <w:p w:rsidR="007A0039" w:rsidRPr="00EA7539" w:rsidRDefault="007A0039" w:rsidP="007A0039">
      <w:pPr>
        <w:pStyle w:val="NormalBold"/>
      </w:pPr>
      <w:r>
        <w:rPr>
          <w:rStyle w:val="HideTWBExt"/>
          <w:b w:val="0"/>
        </w:rPr>
        <w:t>&lt;RepeatBlock-By&gt;&lt;Members&gt;</w:t>
      </w:r>
      <w:r>
        <w:t>Marco Tarquinio, Alessandro Zan, Damien Carême, Mélissa Camara</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17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17b.</w:t>
            </w:r>
            <w:r>
              <w:tab/>
            </w:r>
            <w:r>
              <w:rPr>
                <w:b/>
                <w:i/>
              </w:rPr>
              <w:t>ubolewa, że przemoc policyjna i nieproporcjonalne użycie siły przez organy ścigania wobec mniejszości rasowych w państwach członkowskich często pozostają bezkarne; podkreśla, że rozliczalność i niezależny nadzór mają zasadnicze znaczenie dla rozwiązania problemu rasizmu instytucjonalnego w organach ścigania;</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455</w:t>
      </w:r>
      <w:r>
        <w:rPr>
          <w:rStyle w:val="HideTWBExt"/>
        </w:rPr>
        <w:t>&lt;/NumAm&gt;</w:t>
      </w:r>
    </w:p>
    <w:p w:rsidR="007A0039" w:rsidRPr="00EA7539" w:rsidRDefault="007A0039" w:rsidP="007A0039">
      <w:pPr>
        <w:pStyle w:val="NormalBold"/>
      </w:pPr>
      <w:r>
        <w:rPr>
          <w:rStyle w:val="HideTWBExt"/>
          <w:b w:val="0"/>
        </w:rPr>
        <w:t>&lt;RepeatBlock-By&gt;&lt;Members&gt;</w:t>
      </w:r>
      <w:r>
        <w:t>Marco Tarquinio, Alessandro Zan, Damien Carême, Mélissa Camara</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17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17c.</w:t>
            </w:r>
            <w:r>
              <w:tab/>
            </w:r>
            <w:r>
              <w:rPr>
                <w:b/>
                <w:i/>
              </w:rPr>
              <w:t>zauważa, że mniejszości rasowe i etniczne spotykają się z dyskryminacją strukturalną w systemie sądowym, w tym z profilowaniem rasowym, nadmierną kontrolą policyjną i innymi dyskryminacyjnymi praktykami policyjnymi oraz z przeszkodami w dostępie do wymiaru sprawiedliwości; wzywa państwa członkowskie do wdrożenia środków zapewniających równe traktowanie w postępowaniach sądowych oraz do gromadzenia zdezagregowanych danych dotyczących nierówności ze względów rasowych przy egzekwowaniu prawa i orzekaniu kar;</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456</w:t>
      </w:r>
      <w:r>
        <w:rPr>
          <w:rStyle w:val="HideTWBExt"/>
        </w:rPr>
        <w:t>&lt;/NumAm&gt;</w:t>
      </w:r>
    </w:p>
    <w:p w:rsidR="007A0039" w:rsidRPr="00EA7539" w:rsidRDefault="007A0039" w:rsidP="007A0039">
      <w:pPr>
        <w:pStyle w:val="NormalBold"/>
      </w:pPr>
      <w:r>
        <w:rPr>
          <w:rStyle w:val="HideTWBExt"/>
          <w:b w:val="0"/>
        </w:rPr>
        <w:t>&lt;RepeatBlock-By&gt;&lt;Members&gt;</w:t>
      </w:r>
      <w:r>
        <w:t>Marco Tarquinio, Alessandro Zan, Damien Carême, Mélissa Camara</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17 d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17d.</w:t>
            </w:r>
            <w:r>
              <w:tab/>
            </w:r>
            <w:r>
              <w:rPr>
                <w:b/>
                <w:i/>
              </w:rPr>
              <w:t>wzywa państwa członkowskie do pełnego wdrożenia dyrektywy 2024/1500 i dyrektywy 2024/1499, które ustanawiają minimalne normy dla organów ds. równości; apeluje o konkretne środki, aby zagwarantować niezależność organów ds. równości i zapewnić skuteczne promowanie przez nie równości;</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457</w:t>
      </w:r>
      <w:r>
        <w:rPr>
          <w:rStyle w:val="HideTWBExt"/>
        </w:rPr>
        <w:t>&lt;/NumAm&gt;</w:t>
      </w:r>
    </w:p>
    <w:p w:rsidR="007A0039" w:rsidRPr="00EA7539" w:rsidRDefault="007A0039" w:rsidP="007A0039">
      <w:pPr>
        <w:pStyle w:val="NormalBold"/>
      </w:pPr>
      <w:r>
        <w:rPr>
          <w:rStyle w:val="HideTWBExt"/>
          <w:b w:val="0"/>
        </w:rPr>
        <w:t>&lt;RepeatBlock-By&gt;&lt;Members&gt;</w:t>
      </w:r>
      <w:r>
        <w:t>Nicolas Bay</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18.</w:t>
            </w:r>
            <w:r>
              <w:tab/>
            </w:r>
            <w:r>
              <w:rPr>
                <w:b/>
                <w:i/>
              </w:rPr>
              <w:t>apeluje o dalsze zwalczanie dyskryminacji i przestępstw wymierzonych w grupy mniejszościowe oraz mniejszości narodowe, etniczne, językowe i religijne; wzywa Komisję do uwzględnienia filaru dotyczącego intensyfikacji walki z wszelkimi formami dyskryminacji w rocznym sprawozdaniu na temat praworządności;</w:t>
            </w:r>
          </w:p>
        </w:tc>
        <w:tc>
          <w:tcPr>
            <w:tcW w:w="4876" w:type="dxa"/>
            <w:tcBorders>
              <w:top w:val="nil"/>
              <w:left w:val="nil"/>
              <w:bottom w:val="nil"/>
              <w:right w:val="nil"/>
            </w:tcBorders>
          </w:tcPr>
          <w:p w:rsidR="007A0039" w:rsidRPr="00EA7539" w:rsidRDefault="007A0039" w:rsidP="008F6778">
            <w:pPr>
              <w:pStyle w:val="Normal6a"/>
            </w:pPr>
            <w:r>
              <w:rPr>
                <w:b/>
                <w:i/>
              </w:rPr>
              <w:t>skreśla się</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{FR}</w:t>
      </w:r>
      <w:r w:rsidRPr="00EA7539">
        <w:t>fr</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458</w:t>
      </w:r>
      <w:r>
        <w:rPr>
          <w:rStyle w:val="HideTWBExt"/>
        </w:rPr>
        <w:t>&lt;/NumAm&gt;</w:t>
      </w:r>
    </w:p>
    <w:p w:rsidR="007A0039" w:rsidRPr="00EA7539" w:rsidRDefault="007A0039" w:rsidP="007A0039">
      <w:pPr>
        <w:pStyle w:val="NormalBold"/>
      </w:pPr>
      <w:r>
        <w:rPr>
          <w:rStyle w:val="HideTWBExt"/>
          <w:b w:val="0"/>
        </w:rPr>
        <w:t>&lt;RepeatBlock-By&gt;&lt;Members&gt;</w:t>
      </w:r>
      <w:r>
        <w:t>Erik Kaliňák</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18.</w:t>
            </w:r>
            <w:r>
              <w:tab/>
            </w:r>
            <w:r>
              <w:rPr>
                <w:b/>
                <w:i/>
              </w:rPr>
              <w:t>apeluje o dalsze zwalczanie dyskryminacji i przestępstw wymierzonych w grupy mniejszościowe oraz mniejszości narodowe, etniczne, językowe i religijne; wzywa Komisję do uwzględnienia filaru dotyczącego intensyfikacji walki z wszelkimi formami dyskryminacji w rocznym sprawozdaniu na temat praworządności;</w:t>
            </w:r>
          </w:p>
        </w:tc>
        <w:tc>
          <w:tcPr>
            <w:tcW w:w="4876" w:type="dxa"/>
            <w:tcBorders>
              <w:top w:val="nil"/>
              <w:left w:val="nil"/>
              <w:bottom w:val="nil"/>
              <w:right w:val="nil"/>
            </w:tcBorders>
          </w:tcPr>
          <w:p w:rsidR="007A0039" w:rsidRPr="00EA7539" w:rsidRDefault="007A0039" w:rsidP="008F6778">
            <w:pPr>
              <w:pStyle w:val="Normal6a"/>
            </w:pPr>
            <w:r>
              <w:rPr>
                <w:b/>
                <w:i/>
              </w:rPr>
              <w:t>skreśla się</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{SK}</w:t>
      </w:r>
      <w:r w:rsidRPr="00EA7539">
        <w:t>sk</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459</w:t>
      </w:r>
      <w:r>
        <w:rPr>
          <w:rStyle w:val="HideTWBExt"/>
        </w:rPr>
        <w:t>&lt;/NumAm&gt;</w:t>
      </w:r>
    </w:p>
    <w:p w:rsidR="007A0039" w:rsidRPr="00EA7539" w:rsidRDefault="007A0039" w:rsidP="007A0039">
      <w:pPr>
        <w:pStyle w:val="NormalBold"/>
      </w:pPr>
      <w:r>
        <w:rPr>
          <w:rStyle w:val="HideTWBExt"/>
          <w:b w:val="0"/>
        </w:rPr>
        <w:t>&lt;RepeatBlock-By&gt;&lt;Members&gt;</w:t>
      </w:r>
      <w:r>
        <w:t>Alessandro Ciriani, Paolo Inselvini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18.</w:t>
            </w:r>
            <w:r>
              <w:tab/>
              <w:t xml:space="preserve">apeluje o dalsze zwalczanie dyskryminacji i przestępstw wymierzonych w </w:t>
            </w:r>
            <w:r>
              <w:rPr>
                <w:b/>
                <w:i/>
              </w:rPr>
              <w:t>grupy mniejszościowe oraz mniejszości narodowe, etniczne, językowe i religijne;</w:t>
            </w:r>
            <w:r>
              <w:t xml:space="preserve"> </w:t>
            </w:r>
            <w:r>
              <w:rPr>
                <w:b/>
                <w:i/>
              </w:rPr>
              <w:t>wzywa Komisję do uwzględnienia filaru dotyczącego intensyfikacji walki z wszelkimi formami dyskryminacji w rocznym sprawozdaniu na temat praworządności;</w:t>
            </w:r>
          </w:p>
        </w:tc>
        <w:tc>
          <w:tcPr>
            <w:tcW w:w="4876" w:type="dxa"/>
            <w:tcBorders>
              <w:top w:val="nil"/>
              <w:left w:val="nil"/>
              <w:bottom w:val="nil"/>
              <w:right w:val="nil"/>
            </w:tcBorders>
          </w:tcPr>
          <w:p w:rsidR="007A0039" w:rsidRPr="00EA7539" w:rsidRDefault="007A0039" w:rsidP="008F6778">
            <w:pPr>
              <w:pStyle w:val="Normal6a"/>
            </w:pPr>
            <w:r>
              <w:t>18.</w:t>
            </w:r>
            <w:r>
              <w:tab/>
              <w:t xml:space="preserve">apeluje o dalsze zwalczanie dyskryminacji i przestępstw wymierzonych w </w:t>
            </w:r>
            <w:r>
              <w:rPr>
                <w:b/>
                <w:i/>
              </w:rPr>
              <w:t>słabsze grupy</w:t>
            </w:r>
            <w:r>
              <w:t>;</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{IT}</w:t>
      </w:r>
      <w:r w:rsidRPr="00EA7539">
        <w:t>it</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460</w:t>
      </w:r>
      <w:r>
        <w:rPr>
          <w:rStyle w:val="HideTWBExt"/>
        </w:rPr>
        <w:t>&lt;/NumAm&gt;</w:t>
      </w:r>
    </w:p>
    <w:p w:rsidR="007A0039" w:rsidRPr="00EA7539" w:rsidRDefault="007A0039" w:rsidP="007A0039">
      <w:pPr>
        <w:pStyle w:val="NormalBold"/>
      </w:pPr>
      <w:r>
        <w:rPr>
          <w:rStyle w:val="HideTWBExt"/>
          <w:b w:val="0"/>
        </w:rPr>
        <w:t>&lt;RepeatBlock-By&gt;&lt;Members&gt;</w:t>
      </w:r>
      <w:r>
        <w:t>Jorge Buxadé Villalba, Marieke Ehlers, Malika Sorel, Fabrice Leggeri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18.</w:t>
            </w:r>
            <w:r>
              <w:tab/>
              <w:t>apeluje o dalsze zwalczanie dyskryminacji i przestępstw wymierzonych w grupy mniejszościowe</w:t>
            </w:r>
            <w:r>
              <w:rPr>
                <w:b/>
                <w:i/>
              </w:rPr>
              <w:t xml:space="preserve"> oraz mniejszości</w:t>
            </w:r>
            <w:r>
              <w:t xml:space="preserve"> narodowe, etniczne, językowe</w:t>
            </w:r>
            <w:r>
              <w:rPr>
                <w:b/>
                <w:i/>
              </w:rPr>
              <w:t xml:space="preserve"> i</w:t>
            </w:r>
            <w:r>
              <w:t xml:space="preserve"> religijne; wzywa Komisję do uwzględnienia filaru dotyczącego intensyfikacji walki z wszelkimi formami dyskryminacji w rocznym sprawozdaniu na temat praworządności;</w:t>
            </w:r>
          </w:p>
        </w:tc>
        <w:tc>
          <w:tcPr>
            <w:tcW w:w="4876" w:type="dxa"/>
            <w:tcBorders>
              <w:top w:val="nil"/>
              <w:left w:val="nil"/>
              <w:bottom w:val="nil"/>
              <w:right w:val="nil"/>
            </w:tcBorders>
          </w:tcPr>
          <w:p w:rsidR="007A0039" w:rsidRPr="00EA7539" w:rsidRDefault="007A0039" w:rsidP="008F6778">
            <w:pPr>
              <w:pStyle w:val="Normal6a"/>
            </w:pPr>
            <w:r>
              <w:t>18.</w:t>
            </w:r>
            <w:r>
              <w:tab/>
              <w:t>apeluje o dalsze zwalczanie dyskryminacji i przestępstw wymierzonych w grupy mniejszościowe</w:t>
            </w:r>
            <w:r>
              <w:rPr>
                <w:b/>
                <w:i/>
              </w:rPr>
              <w:t>,</w:t>
            </w:r>
            <w:r>
              <w:t xml:space="preserve"> narodowe, etniczne, językowe</w:t>
            </w:r>
            <w:r>
              <w:rPr>
                <w:b/>
                <w:i/>
              </w:rPr>
              <w:t>, a także przekonania</w:t>
            </w:r>
            <w:r>
              <w:t xml:space="preserve"> religijne</w:t>
            </w:r>
            <w:r>
              <w:rPr>
                <w:b/>
                <w:i/>
              </w:rPr>
              <w:t>; zdecydowanie potępia nasilające się ataki na chrześcijan, a także wzrost antysemityzmu w UE po ataku terrorystycznym z 7 października 2023 r. w Izraelu</w:t>
            </w:r>
            <w:r>
              <w:t>; wzywa Komisję do uwzględnienia filaru dotyczącego intensyfikacji walki z wszelkimi formami dyskryminacji w rocznym sprawozdaniu na temat praworządności;</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461</w:t>
      </w:r>
      <w:r>
        <w:rPr>
          <w:rStyle w:val="HideTWBExt"/>
        </w:rPr>
        <w:t>&lt;/NumAm&gt;</w:t>
      </w:r>
    </w:p>
    <w:p w:rsidR="007A0039" w:rsidRPr="00EA7539" w:rsidRDefault="007A0039" w:rsidP="007A0039">
      <w:pPr>
        <w:pStyle w:val="NormalBold"/>
      </w:pPr>
      <w:r>
        <w:rPr>
          <w:rStyle w:val="HideTWBExt"/>
          <w:b w:val="0"/>
        </w:rPr>
        <w:t>&lt;RepeatBlock-By&gt;&lt;Members&gt;</w:t>
      </w:r>
      <w:r>
        <w:t>Sebastian Tynkkynen</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18.</w:t>
            </w:r>
            <w:r>
              <w:tab/>
              <w:t>apeluje o dalsze zwalczanie dyskryminacji i przestępstw wymierzonych w grupy mniejszościowe oraz mniejszości narodowe, etniczne, językowe i religijne; wzywa Komisję do uwzględnienia filaru dotyczącego intensyfikacji walki z wszelkimi formami dyskryminacji w rocznym sprawozdaniu na temat praworządności;</w:t>
            </w:r>
          </w:p>
        </w:tc>
        <w:tc>
          <w:tcPr>
            <w:tcW w:w="4876" w:type="dxa"/>
            <w:tcBorders>
              <w:top w:val="nil"/>
              <w:left w:val="nil"/>
              <w:bottom w:val="nil"/>
              <w:right w:val="nil"/>
            </w:tcBorders>
          </w:tcPr>
          <w:p w:rsidR="007A0039" w:rsidRPr="00EA7539" w:rsidRDefault="007A0039" w:rsidP="008F6778">
            <w:pPr>
              <w:pStyle w:val="Normal6a"/>
            </w:pPr>
            <w:r>
              <w:t>18.</w:t>
            </w:r>
            <w:r>
              <w:tab/>
              <w:t xml:space="preserve">apeluje o dalsze zwalczanie dyskryminacji i przestępstw wymierzonych w grupy mniejszościowe oraz mniejszości narodowe, etniczne, językowe i religijne; </w:t>
            </w:r>
            <w:r>
              <w:rPr>
                <w:b/>
                <w:i/>
              </w:rPr>
              <w:t>jest głęboko zaniepokojony skalą antysemityzmu w Europie;</w:t>
            </w:r>
            <w:r>
              <w:t xml:space="preserve"> wzywa Komisję do uwzględnienia filaru dotyczącego intensyfikacji walki z wszelkimi formami dyskryminacji w rocznym sprawozdaniu na temat praworządności;</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{FI}</w:t>
      </w:r>
      <w:r w:rsidRPr="00EA7539">
        <w:t>fi</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sidRPr="00EA7539">
        <w:rPr>
          <w:rStyle w:val="HideTWBExt"/>
        </w:rPr>
        <w:t>&lt;Amend&gt;</w:t>
      </w:r>
      <w:r w:rsidRPr="00EA7539">
        <w:t>Poprawka</w:t>
      </w:r>
      <w:r w:rsidRPr="00EA7539">
        <w:tab/>
      </w:r>
      <w:r w:rsidRPr="00EA7539">
        <w:tab/>
      </w:r>
      <w:r w:rsidRPr="00EA7539">
        <w:rPr>
          <w:rStyle w:val="HideTWBExt"/>
        </w:rPr>
        <w:t>&lt;NumAm&gt;</w:t>
      </w:r>
      <w:r w:rsidRPr="00EA7539">
        <w:t>462</w:t>
      </w:r>
      <w:r w:rsidRPr="00EA7539">
        <w:rPr>
          <w:rStyle w:val="HideTWBExt"/>
        </w:rPr>
        <w:t>&lt;/NumAm&gt;</w:t>
      </w:r>
    </w:p>
    <w:p w:rsidR="007A0039" w:rsidRPr="00EA7539" w:rsidRDefault="007A0039" w:rsidP="007A0039">
      <w:pPr>
        <w:pStyle w:val="NormalBold"/>
      </w:pPr>
      <w:r w:rsidRPr="00EA7539">
        <w:rPr>
          <w:rStyle w:val="HideTWBExt"/>
          <w:b w:val="0"/>
        </w:rPr>
        <w:t>&lt;RepeatBlock-By&gt;&lt;Members&gt;</w:t>
      </w:r>
      <w:r w:rsidRPr="00EA7539">
        <w:t>Mariusz Kamiński, Joachim Stanisław Brudziński, Jadwiga Wiśniewska, Maciej Wąsik, Jacek Ozdoba</w:t>
      </w:r>
      <w:r w:rsidRPr="00EA7539">
        <w:rPr>
          <w:rStyle w:val="HideTWBExt"/>
          <w:b w:val="0"/>
        </w:rPr>
        <w:t>&lt;/Members&gt;</w:t>
      </w:r>
    </w:p>
    <w:p w:rsidR="007A0039" w:rsidRPr="00EA7539" w:rsidRDefault="007A0039" w:rsidP="007A0039">
      <w:pPr>
        <w:pStyle w:val="NormalBold"/>
      </w:pPr>
      <w:r w:rsidRPr="00EA7539">
        <w:rPr>
          <w:rStyle w:val="HideTWBExt"/>
          <w:b w:val="0"/>
        </w:rPr>
        <w:t>&lt;/RepeatBlock-By&gt;</w:t>
      </w:r>
    </w:p>
    <w:p w:rsidR="007A0039" w:rsidRPr="00EA7539" w:rsidRDefault="007A0039" w:rsidP="007A0039">
      <w:pPr>
        <w:pStyle w:val="NormalBold"/>
      </w:pPr>
      <w:r w:rsidRPr="00EA7539">
        <w:rPr>
          <w:rStyle w:val="HideTWBExt"/>
        </w:rPr>
        <w:t>&lt;DocAmend&gt;</w:t>
      </w:r>
      <w:r w:rsidRPr="00EA7539">
        <w:t>Projekt rezolucji</w:t>
      </w:r>
      <w:r w:rsidRPr="00EA7539">
        <w:rPr>
          <w:rStyle w:val="HideTWBExt"/>
        </w:rPr>
        <w:t>&lt;/DocAmend&gt;</w:t>
      </w:r>
    </w:p>
    <w:p w:rsidR="007A0039" w:rsidRPr="00EA7539" w:rsidRDefault="007A0039" w:rsidP="007A0039">
      <w:pPr>
        <w:pStyle w:val="NormalBold"/>
      </w:pPr>
      <w:r w:rsidRPr="00EA7539">
        <w:rPr>
          <w:rStyle w:val="HideTWBExt"/>
        </w:rPr>
        <w:t>&lt;Article&gt;</w:t>
      </w:r>
      <w:r w:rsidRPr="00EA7539">
        <w:t>Ustęp 18</w:t>
      </w:r>
      <w:r w:rsidRPr="00EA7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RPr="00EA75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RPr="00EA75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rsidRPr="00EA7539">
              <w:t>Projekt rezolucji</w:t>
            </w:r>
          </w:p>
        </w:tc>
        <w:tc>
          <w:tcPr>
            <w:tcW w:w="4876" w:type="dxa"/>
            <w:tcBorders>
              <w:top w:val="nil"/>
              <w:left w:val="nil"/>
              <w:bottom w:val="nil"/>
              <w:right w:val="nil"/>
            </w:tcBorders>
          </w:tcPr>
          <w:p w:rsidR="007A0039" w:rsidRPr="00EA7539" w:rsidRDefault="007A0039" w:rsidP="008F6778">
            <w:pPr>
              <w:pStyle w:val="AmColumnHeading"/>
            </w:pPr>
            <w:r w:rsidRPr="00EA7539">
              <w:t>Poprawka</w:t>
            </w:r>
          </w:p>
        </w:tc>
      </w:tr>
      <w:tr w:rsidR="007A0039" w:rsidRPr="00EA7539" w:rsidTr="008F6778">
        <w:trPr>
          <w:jc w:val="center"/>
        </w:trPr>
        <w:tc>
          <w:tcPr>
            <w:tcW w:w="4876" w:type="dxa"/>
            <w:tcBorders>
              <w:top w:val="nil"/>
              <w:left w:val="nil"/>
              <w:bottom w:val="nil"/>
              <w:right w:val="nil"/>
            </w:tcBorders>
          </w:tcPr>
          <w:p w:rsidR="007A0039" w:rsidRPr="00EA7539" w:rsidRDefault="007A0039" w:rsidP="008F6778">
            <w:pPr>
              <w:pStyle w:val="Normal6a"/>
            </w:pPr>
            <w:r w:rsidRPr="00EA7539">
              <w:t>18.</w:t>
            </w:r>
            <w:r w:rsidRPr="00EA7539">
              <w:tab/>
              <w:t xml:space="preserve">apeluje o dalsze zwalczanie dyskryminacji i przestępstw wymierzonych w grupy mniejszościowe oraz mniejszości narodowe, etniczne, językowe i religijne; </w:t>
            </w:r>
            <w:r w:rsidRPr="00EA7539">
              <w:rPr>
                <w:b/>
                <w:i/>
              </w:rPr>
              <w:t>wzywa Komisję do uwzględnienia filaru dotyczącego intensyfikacji walki z wszelkimi formami dyskryminacji w rocznym sprawozdaniu na temat praworządności</w:t>
            </w:r>
            <w:r w:rsidRPr="00EA7539">
              <w:t>;</w:t>
            </w:r>
          </w:p>
        </w:tc>
        <w:tc>
          <w:tcPr>
            <w:tcW w:w="4876" w:type="dxa"/>
            <w:tcBorders>
              <w:top w:val="nil"/>
              <w:left w:val="nil"/>
              <w:bottom w:val="nil"/>
              <w:right w:val="nil"/>
            </w:tcBorders>
          </w:tcPr>
          <w:p w:rsidR="007A0039" w:rsidRPr="00EA7539" w:rsidRDefault="007A0039" w:rsidP="008F6778">
            <w:pPr>
              <w:pStyle w:val="Normal6a"/>
            </w:pPr>
            <w:r w:rsidRPr="00EA7539">
              <w:t>18.</w:t>
            </w:r>
            <w:r w:rsidRPr="00EA7539">
              <w:tab/>
              <w:t xml:space="preserve">apeluje o dalsze zwalczanie dyskryminacji i przestępstw wymierzonych w grupy mniejszościowe oraz mniejszości narodowe, etniczne, językowe i religijne; </w:t>
            </w:r>
            <w:r w:rsidRPr="00EA7539">
              <w:rPr>
                <w:b/>
                <w:i/>
              </w:rPr>
              <w:t>podkreśla, iż działania te powinny być realizowane na poziomie krajowym</w:t>
            </w:r>
            <w:r w:rsidRPr="00EA7539">
              <w:t>;</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{PL}</w:t>
      </w:r>
      <w:r w:rsidRPr="00EA7539">
        <w:t>pl</w:t>
      </w:r>
      <w:r w:rsidRPr="00EA7539">
        <w:rPr>
          <w:rStyle w:val="HideTWBExt"/>
        </w:rPr>
        <w:t>&lt;/Original&gt;</w:t>
      </w:r>
    </w:p>
    <w:p w:rsidR="007A0039" w:rsidRPr="00EA7539" w:rsidRDefault="007A0039" w:rsidP="007A0039">
      <w:r w:rsidRPr="00EA7539">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463</w:t>
      </w:r>
      <w:r>
        <w:rPr>
          <w:rStyle w:val="HideTWBExt"/>
        </w:rPr>
        <w:t>&lt;/NumAm&gt;</w:t>
      </w:r>
    </w:p>
    <w:p w:rsidR="007A0039" w:rsidRPr="00EA7539" w:rsidRDefault="007A0039" w:rsidP="007A0039">
      <w:pPr>
        <w:pStyle w:val="NormalBold"/>
      </w:pPr>
      <w:r>
        <w:rPr>
          <w:rStyle w:val="HideTWBExt"/>
          <w:b w:val="0"/>
        </w:rPr>
        <w:t>&lt;RepeatBlock-By&gt;&lt;Members&gt;</w:t>
      </w:r>
      <w:r>
        <w:t>Raquel García Hermida-Van Der Walle, Fabienne Keller, Sophie Wilmès, Moritz Körner, Abir Al-Sahlani, Sigrid Friis, Lucia Yar</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18.</w:t>
            </w:r>
            <w:r>
              <w:tab/>
              <w:t xml:space="preserve">apeluje o dalsze zwalczanie dyskryminacji i przestępstw wymierzonych w grupy mniejszościowe oraz mniejszości narodowe, etniczne, językowe i </w:t>
            </w:r>
            <w:r>
              <w:rPr>
                <w:b/>
                <w:i/>
              </w:rPr>
              <w:t>religijne</w:t>
            </w:r>
            <w:r>
              <w:t>; wzywa Komisję do uwzględnienia filaru dotyczącego intensyfikacji walki z wszelkimi formami dyskryminacji w rocznym sprawozdaniu na temat praworządności;</w:t>
            </w:r>
          </w:p>
        </w:tc>
        <w:tc>
          <w:tcPr>
            <w:tcW w:w="4876" w:type="dxa"/>
            <w:tcBorders>
              <w:top w:val="nil"/>
              <w:left w:val="nil"/>
              <w:bottom w:val="nil"/>
              <w:right w:val="nil"/>
            </w:tcBorders>
          </w:tcPr>
          <w:p w:rsidR="007A0039" w:rsidRPr="00EA7539" w:rsidRDefault="007A0039" w:rsidP="008F6778">
            <w:pPr>
              <w:pStyle w:val="Normal6a"/>
            </w:pPr>
            <w:r>
              <w:t>18.</w:t>
            </w:r>
            <w:r>
              <w:tab/>
              <w:t>apeluje o dalsze zwalczanie dyskryminacji i przestępstw wymierzonych w grupy mniejszościowe oraz mniejszości narodowe, etniczne, językowe</w:t>
            </w:r>
            <w:r>
              <w:rPr>
                <w:b/>
                <w:i/>
              </w:rPr>
              <w:t>, religijne</w:t>
            </w:r>
            <w:r>
              <w:t xml:space="preserve"> i </w:t>
            </w:r>
            <w:r>
              <w:rPr>
                <w:b/>
                <w:i/>
              </w:rPr>
              <w:t>seksualne</w:t>
            </w:r>
            <w:r>
              <w:t>; wzywa Komisję do uwzględnienia filaru dotyczącego intensyfikacji walki z wszelkimi formami dyskryminacji w rocznym sprawozdaniu na temat praworządności;</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464</w:t>
      </w:r>
      <w:r>
        <w:rPr>
          <w:rStyle w:val="HideTWBExt"/>
        </w:rPr>
        <w:t>&lt;/NumAm&gt;</w:t>
      </w:r>
    </w:p>
    <w:p w:rsidR="007A0039" w:rsidRPr="00EA7539" w:rsidRDefault="007A0039" w:rsidP="007A0039">
      <w:pPr>
        <w:pStyle w:val="NormalBold"/>
      </w:pPr>
      <w:r>
        <w:rPr>
          <w:rStyle w:val="HideTWBExt"/>
          <w:b w:val="0"/>
        </w:rPr>
        <w:t>&lt;RepeatBlock-By&gt;&lt;Members&gt;</w:t>
      </w:r>
      <w:r>
        <w:t>András László</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18.</w:t>
            </w:r>
            <w:r>
              <w:tab/>
              <w:t xml:space="preserve">apeluje o dalsze zwalczanie dyskryminacji i przestępstw wymierzonych w grupy mniejszościowe oraz mniejszości narodowe, etniczne, językowe i religijne; wzywa Komisję do </w:t>
            </w:r>
            <w:r>
              <w:rPr>
                <w:b/>
                <w:i/>
              </w:rPr>
              <w:t>uwzględnienia filaru dotyczącego intensyfikacji walki z wszelkimi formami dyskryminacji w rocznym sprawozdaniu</w:t>
            </w:r>
            <w:r>
              <w:t xml:space="preserve"> na </w:t>
            </w:r>
            <w:r>
              <w:rPr>
                <w:b/>
                <w:i/>
              </w:rPr>
              <w:t>temat praworządności</w:t>
            </w:r>
            <w:r>
              <w:t>;</w:t>
            </w:r>
          </w:p>
        </w:tc>
        <w:tc>
          <w:tcPr>
            <w:tcW w:w="4876" w:type="dxa"/>
            <w:tcBorders>
              <w:top w:val="nil"/>
              <w:left w:val="nil"/>
              <w:bottom w:val="nil"/>
              <w:right w:val="nil"/>
            </w:tcBorders>
          </w:tcPr>
          <w:p w:rsidR="007A0039" w:rsidRPr="00EA7539" w:rsidRDefault="007A0039" w:rsidP="008F6778">
            <w:pPr>
              <w:pStyle w:val="Normal6a"/>
            </w:pPr>
            <w:r>
              <w:t>18.</w:t>
            </w:r>
            <w:r>
              <w:tab/>
              <w:t xml:space="preserve">apeluje o dalsze zwalczanie dyskryminacji i przestępstw wymierzonych w grupy mniejszościowe oraz mniejszości narodowe, etniczne, językowe i religijne; wzywa Komisję do </w:t>
            </w:r>
            <w:r>
              <w:rPr>
                <w:b/>
                <w:i/>
              </w:rPr>
              <w:t>zbadania erozji demokracji w instytucjach UE i do przedłożenia sprawozdania</w:t>
            </w:r>
            <w:r>
              <w:t xml:space="preserve"> na </w:t>
            </w:r>
            <w:r>
              <w:rPr>
                <w:b/>
                <w:i/>
              </w:rPr>
              <w:t>ten temat</w:t>
            </w:r>
            <w:r>
              <w:t>;</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465</w:t>
      </w:r>
      <w:r>
        <w:rPr>
          <w:rStyle w:val="HideTWBExt"/>
        </w:rPr>
        <w:t>&lt;/NumAm&gt;</w:t>
      </w:r>
    </w:p>
    <w:p w:rsidR="007A0039" w:rsidRPr="00EA7539" w:rsidRDefault="007A0039" w:rsidP="007A0039">
      <w:pPr>
        <w:pStyle w:val="NormalBold"/>
      </w:pPr>
      <w:r>
        <w:rPr>
          <w:rStyle w:val="HideTWBExt"/>
          <w:b w:val="0"/>
        </w:rPr>
        <w:t>&lt;RepeatBlock-By&gt;&lt;Members&gt;</w:t>
      </w:r>
      <w:r>
        <w:t>Moritz Körner, Hilde Vautmans, Nikola Minchev, Veronika Cifrová Ostrihoňová, Chloé Ridel, Abir Al-Sahlani, Alessandro Zan, Fabienne Keller, Lucia Yar, Irena Joveva, Isabel Wiseler-Lima, Daniel Freund</w:t>
      </w:r>
      <w:r>
        <w:rPr>
          <w:rStyle w:val="HideTWBExt"/>
          <w:b w:val="0"/>
        </w:rPr>
        <w:t>&lt;/Members&gt;</w:t>
      </w:r>
    </w:p>
    <w:p w:rsidR="007A0039" w:rsidRPr="00EA7539" w:rsidRDefault="007A0039" w:rsidP="007A0039">
      <w:r>
        <w:rPr>
          <w:rStyle w:val="HideTWBExt"/>
        </w:rPr>
        <w:t>&lt;AuNomDe&gt;</w:t>
      </w:r>
      <w:r>
        <w:rPr>
          <w:rStyle w:val="HideTWBInt"/>
        </w:rPr>
        <w:t>{LIBE}</w:t>
      </w:r>
      <w:r>
        <w:t>w imieniu Komisji Wolności Obywatelskich, Sprawiedliwości i Spraw Wewnętrznych</w:t>
      </w:r>
      <w:r>
        <w:rPr>
          <w:rStyle w:val="HideTWBExt"/>
        </w:rPr>
        <w:t>&lt;/AuNomDe&gt;</w:t>
      </w:r>
    </w:p>
    <w:p w:rsidR="007A0039" w:rsidRPr="00EA7539" w:rsidRDefault="007A0039" w:rsidP="007A0039">
      <w:pPr>
        <w:pStyle w:val="NormalBold"/>
      </w:pPr>
      <w:r>
        <w:rPr>
          <w:rStyle w:val="HideTWBExt"/>
          <w:b w:val="0"/>
        </w:rPr>
        <w:t>&lt;Members&gt;</w:t>
      </w:r>
      <w:r>
        <w:t>Sophie Wilmès</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18 – punkt 1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w:t>
            </w:r>
            <w:r>
              <w:tab/>
            </w:r>
            <w:r>
              <w:rPr>
                <w:b/>
                <w:i/>
              </w:rPr>
              <w:t>wzywa państwa członkowskie do ochrony praw osób LGBTIQ i do zapewnienia ich poszanowania w całej UE;</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466</w:t>
      </w:r>
      <w:r>
        <w:rPr>
          <w:rStyle w:val="HideTWBExt"/>
        </w:rPr>
        <w:t>&lt;/NumAm&gt;</w:t>
      </w:r>
    </w:p>
    <w:p w:rsidR="007A0039" w:rsidRPr="00EA7539" w:rsidRDefault="007A0039" w:rsidP="007A0039">
      <w:pPr>
        <w:pStyle w:val="NormalBold"/>
      </w:pPr>
      <w:r>
        <w:rPr>
          <w:rStyle w:val="HideTWBExt"/>
          <w:b w:val="0"/>
        </w:rPr>
        <w:t>&lt;RepeatBlock-By&gt;&lt;Members&gt;</w:t>
      </w:r>
      <w:r>
        <w:t>Isabel Serra Sánchez</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18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18a.</w:t>
            </w:r>
            <w:r>
              <w:tab/>
            </w:r>
            <w:r>
              <w:rPr>
                <w:b/>
                <w:i/>
              </w:rPr>
              <w:t>podkreśla oczywisty związek między pogarszającymi się standardami praworządności a naruszeniami praw podstawowych i praw mniejszości, takimi jak użycie nadmiernej siły przez organy ścigania podczas protestów i na granicach UE, brak gwarancji i sprawiedliwości proceduralnej dla osób zatrzymanych, podburzanie do nienawiści przez działaczy politycznych, zwiększenie uprawnień organów do prowadzenia masowej inwigilacji i masowego gromadzenia przechwyconych danych oraz ograniczenia nakładane na organizacje społeczeństwa obywatelskiego otrzymujące finansowanie z zagranicy lub oparte na przynależności religijnej;</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467</w:t>
      </w:r>
      <w:r>
        <w:rPr>
          <w:rStyle w:val="HideTWBExt"/>
        </w:rPr>
        <w:t>&lt;/NumAm&gt;</w:t>
      </w:r>
    </w:p>
    <w:p w:rsidR="007A0039" w:rsidRPr="00EA7539" w:rsidRDefault="007A0039" w:rsidP="007A0039">
      <w:pPr>
        <w:pStyle w:val="NormalBold"/>
      </w:pPr>
      <w:r>
        <w:rPr>
          <w:rStyle w:val="HideTWBExt"/>
          <w:b w:val="0"/>
        </w:rPr>
        <w:t>&lt;RepeatBlock-By&gt;&lt;Members&gt;</w:t>
      </w:r>
      <w:r>
        <w:t>Paolo Inselvini, Alessandro Ciriani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18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18a.</w:t>
            </w:r>
            <w:r>
              <w:tab/>
            </w:r>
            <w:r>
              <w:rPr>
                <w:b/>
                <w:i/>
              </w:rPr>
              <w:t>podkreśla, że zrównoważony rozwój demograficzny jest zasadniczym elementem utrzymania praworządności, ponieważ wpływa na stabilność gospodarczą, reprezentację demokratyczną i sprawiedliwość międzypokoleniową; wzywa Komisję do dodania do rocznego sprawozdania na temat praworządności rozdziału dotyczącego monitorowania wpływu polityki demograficznej państw członkowskich na poszanowanie praw socjalnych, stabilność systemów ochrony socjalnej i spójność społeczną, a także na politykę wspierania rodzin i przyrostu naturalnego;</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{IT}</w:t>
      </w:r>
      <w:r w:rsidRPr="00EA7539">
        <w:t>it</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468</w:t>
      </w:r>
      <w:r>
        <w:rPr>
          <w:rStyle w:val="HideTWBExt"/>
        </w:rPr>
        <w:t>&lt;/NumAm&gt;</w:t>
      </w:r>
    </w:p>
    <w:p w:rsidR="007A0039" w:rsidRPr="00EA7539" w:rsidRDefault="007A0039" w:rsidP="007A0039">
      <w:pPr>
        <w:pStyle w:val="NormalBold"/>
      </w:pPr>
      <w:r>
        <w:rPr>
          <w:rStyle w:val="HideTWBExt"/>
          <w:b w:val="0"/>
        </w:rPr>
        <w:t>&lt;RepeatBlock-By&gt;&lt;Members&gt;</w:t>
      </w:r>
      <w:r>
        <w:t>Loránt Vincze</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18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18a.</w:t>
            </w:r>
            <w:r>
              <w:tab/>
            </w:r>
            <w:r>
              <w:rPr>
                <w:b/>
                <w:i/>
              </w:rPr>
              <w:t>podkreśla konieczności ustanowienia mechanizmu na rzecz demokracji, praworządności i praw podstawowych obejmującego wszystkie wartości określone w art. 2 TUE; domaga się ogólnounijnego monitorowania sytuacji mniejszości autochtonicznych i językowych; </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469</w:t>
      </w:r>
      <w:r>
        <w:rPr>
          <w:rStyle w:val="HideTWBExt"/>
        </w:rPr>
        <w:t>&lt;/NumAm&gt;</w:t>
      </w:r>
    </w:p>
    <w:p w:rsidR="007A0039" w:rsidRPr="00EA7539" w:rsidRDefault="007A0039" w:rsidP="007A0039">
      <w:pPr>
        <w:pStyle w:val="NormalBold"/>
      </w:pPr>
      <w:r>
        <w:rPr>
          <w:rStyle w:val="HideTWBExt"/>
          <w:b w:val="0"/>
        </w:rPr>
        <w:t>&lt;RepeatBlock-By&gt;&lt;Members&gt;</w:t>
      </w:r>
      <w:r>
        <w:t>Mary Khan, Milan Uhrík, Ewa Zajączkowska-Hernik</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18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18a.</w:t>
            </w:r>
            <w:r>
              <w:tab/>
            </w:r>
            <w:r>
              <w:rPr>
                <w:b/>
                <w:i/>
              </w:rPr>
              <w:t>uznaje znaczenie tożsamości narodowej i ochrony kultury oraz zapewnienia, by unijne mechanizmy praworządności nie ingerowały w takie obszary jak prawo rodzinne, edukacja i polityka społeczna;</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470</w:t>
      </w:r>
      <w:r>
        <w:rPr>
          <w:rStyle w:val="HideTWBExt"/>
        </w:rPr>
        <w:t>&lt;/NumAm&gt;</w:t>
      </w:r>
    </w:p>
    <w:p w:rsidR="007A0039" w:rsidRPr="00EA7539" w:rsidRDefault="007A0039" w:rsidP="007A0039">
      <w:pPr>
        <w:pStyle w:val="NormalBold"/>
      </w:pPr>
      <w:r>
        <w:rPr>
          <w:rStyle w:val="HideTWBExt"/>
          <w:b w:val="0"/>
        </w:rPr>
        <w:t>&lt;RepeatBlock-By&gt;&lt;Members&gt;</w:t>
      </w:r>
      <w:r>
        <w:t>Isabel Serra Sánchez, Ana Catarina Mendes</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18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18b.</w:t>
            </w:r>
            <w:r>
              <w:tab/>
            </w:r>
            <w:r>
              <w:rPr>
                <w:b/>
                <w:i/>
              </w:rPr>
              <w:t>jest zaniepokojony rosnącym poziomem rasizmu i ksenofobii w całej UE; potępia przypadki nawoływania do nienawiści i przestępstwa z nienawiści, których podłożem jest rasizm, ksenofobia, nietolerancja religijna lub uprzedzenie do człowieka ze względu na jego niepełnosprawność, orientację seksualną, tożsamość płciową, cechy płciowe lub przynależność do mniejszości; apeluje do Komisji i państw członkowskich o wzmożenie prac nad wymianą najlepszych praktyk i o wzmocnienie współpracy w zakresie zwalczania rasizmu, ksenofobii, homofobii, transfobii i innych form nietolerancji przy pełnym zaangażowaniu społeczeństwa obywatelskiego i przy udziale zainteresowanych podmiotów, takich jak FRA;</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471</w:t>
      </w:r>
      <w:r>
        <w:rPr>
          <w:rStyle w:val="HideTWBExt"/>
        </w:rPr>
        <w:t>&lt;/NumAm&gt;</w:t>
      </w:r>
    </w:p>
    <w:p w:rsidR="007A0039" w:rsidRPr="00EA7539" w:rsidRDefault="007A0039" w:rsidP="007A0039">
      <w:pPr>
        <w:pStyle w:val="NormalBold"/>
      </w:pPr>
      <w:r>
        <w:rPr>
          <w:rStyle w:val="HideTWBExt"/>
          <w:b w:val="0"/>
        </w:rPr>
        <w:t>&lt;RepeatBlock-By&gt;&lt;Members&gt;</w:t>
      </w:r>
      <w:r>
        <w:t>Loránt Vincze</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18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18b.</w:t>
            </w:r>
            <w:r>
              <w:tab/>
            </w:r>
            <w:r>
              <w:rPr>
                <w:b/>
                <w:i/>
              </w:rPr>
              <w:t>ponawia swój apel do Unii Europejskiej o przystąpienie do Konwencji ramowej o ochronie mniejszości narodowych i Europejskiej karty języków regionalnych lub mniejszościowych; wzywa do zacieśnienia więzi między UE a Radą Europy w zakresie praw mniejszości, w tym w kontekście procesu rozszerzenia;</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472</w:t>
      </w:r>
      <w:r>
        <w:rPr>
          <w:rStyle w:val="HideTWBExt"/>
        </w:rPr>
        <w:t>&lt;/NumAm&gt;</w:t>
      </w:r>
    </w:p>
    <w:p w:rsidR="007A0039" w:rsidRPr="00EA7539" w:rsidRDefault="007A0039" w:rsidP="007A0039">
      <w:pPr>
        <w:pStyle w:val="NormalBold"/>
      </w:pPr>
      <w:r>
        <w:rPr>
          <w:rStyle w:val="HideTWBExt"/>
          <w:b w:val="0"/>
        </w:rPr>
        <w:t>&lt;RepeatBlock-By&gt;&lt;Members&gt;</w:t>
      </w:r>
      <w:r>
        <w:t>Isabel Serra Sánchez</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18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18c.</w:t>
            </w:r>
            <w:r>
              <w:tab/>
            </w:r>
            <w:r>
              <w:rPr>
                <w:b/>
                <w:i/>
              </w:rPr>
              <w:t>jest głęboko zaniepokojony nasilającym się antymuzułmańskim rasizmem i rosnącym postrzeganiem muzułmanów jako „podejrzanej grupy”; wzywa państwa członkowskie do dokonania przeglądu przepisów i strategii politycznych związanych ze zwalczaniem terroryzmu lub ekstremizmu, aby dopilnować, by nie dyskryminowały one muzułmanów ani bezpośrednio ani pośrednio, a także do uchylenia wszelkich przepisów ustawowych i wykonawczych uznawanych za dyskryminujące;</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473</w:t>
      </w:r>
      <w:r>
        <w:rPr>
          <w:rStyle w:val="HideTWBExt"/>
        </w:rPr>
        <w:t>&lt;/NumAm&gt;</w:t>
      </w:r>
    </w:p>
    <w:p w:rsidR="007A0039" w:rsidRPr="00EA7539" w:rsidRDefault="007A0039" w:rsidP="007A0039">
      <w:pPr>
        <w:pStyle w:val="NormalBold"/>
      </w:pPr>
      <w:r>
        <w:rPr>
          <w:rStyle w:val="HideTWBExt"/>
          <w:b w:val="0"/>
        </w:rPr>
        <w:t>&lt;RepeatBlock-By&gt;&lt;Members&gt;</w:t>
      </w:r>
      <w:r>
        <w:t>András László</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Śródtytuł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Jednolity rynek i praworządność</w:t>
            </w:r>
          </w:p>
        </w:tc>
        <w:tc>
          <w:tcPr>
            <w:tcW w:w="4876" w:type="dxa"/>
            <w:tcBorders>
              <w:top w:val="nil"/>
              <w:left w:val="nil"/>
              <w:bottom w:val="nil"/>
              <w:right w:val="nil"/>
            </w:tcBorders>
          </w:tcPr>
          <w:p w:rsidR="007A0039" w:rsidRPr="00EA7539" w:rsidRDefault="007A0039" w:rsidP="008F6778">
            <w:pPr>
              <w:pStyle w:val="Normal6a"/>
            </w:pPr>
            <w:r>
              <w:rPr>
                <w:b/>
                <w:i/>
              </w:rPr>
              <w:t>skreśla się</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474</w:t>
      </w:r>
      <w:r>
        <w:rPr>
          <w:rStyle w:val="HideTWBExt"/>
        </w:rPr>
        <w:t>&lt;/NumAm&gt;</w:t>
      </w:r>
    </w:p>
    <w:p w:rsidR="007A0039" w:rsidRPr="00EA7539" w:rsidRDefault="007A0039" w:rsidP="007A0039">
      <w:pPr>
        <w:pStyle w:val="NormalBold"/>
      </w:pPr>
      <w:r>
        <w:rPr>
          <w:rStyle w:val="HideTWBExt"/>
          <w:b w:val="0"/>
        </w:rPr>
        <w:t>&lt;RepeatBlock-By&gt;&lt;Members&gt;</w:t>
      </w:r>
      <w:r>
        <w:t>Lukas Mandl</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Śródtytuł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Jednolity rynek</w:t>
            </w:r>
            <w:r>
              <w:t xml:space="preserve"> i </w:t>
            </w:r>
            <w:r>
              <w:rPr>
                <w:b/>
                <w:i/>
              </w:rPr>
              <w:t>praworządność</w:t>
            </w:r>
          </w:p>
        </w:tc>
        <w:tc>
          <w:tcPr>
            <w:tcW w:w="4876" w:type="dxa"/>
            <w:tcBorders>
              <w:top w:val="nil"/>
              <w:left w:val="nil"/>
              <w:bottom w:val="nil"/>
              <w:right w:val="nil"/>
            </w:tcBorders>
          </w:tcPr>
          <w:p w:rsidR="007A0039" w:rsidRPr="00EA7539" w:rsidRDefault="007A0039" w:rsidP="008F6778">
            <w:pPr>
              <w:pStyle w:val="Normal6a"/>
            </w:pPr>
            <w:r>
              <w:rPr>
                <w:b/>
                <w:i/>
              </w:rPr>
              <w:t>Praworządność oraz jej aspekt gospodarczy</w:t>
            </w:r>
            <w:r>
              <w:t xml:space="preserve"> i </w:t>
            </w:r>
            <w:r>
              <w:rPr>
                <w:b/>
                <w:i/>
              </w:rPr>
              <w:t>aspekt jednolitego rynku</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475</w:t>
      </w:r>
      <w:r>
        <w:rPr>
          <w:rStyle w:val="HideTWBExt"/>
        </w:rPr>
        <w:t>&lt;/NumAm&gt;</w:t>
      </w:r>
    </w:p>
    <w:p w:rsidR="007A0039" w:rsidRPr="00EA7539" w:rsidRDefault="007A0039" w:rsidP="007A0039">
      <w:pPr>
        <w:pStyle w:val="NormalBold"/>
      </w:pPr>
      <w:r>
        <w:rPr>
          <w:rStyle w:val="HideTWBExt"/>
          <w:b w:val="0"/>
        </w:rPr>
        <w:t>&lt;RepeatBlock-By&gt;&lt;Members&gt;</w:t>
      </w:r>
      <w:r>
        <w:t>Moritz Körner, Hilde Vautmans, Nikola Minchev, Veronika Cifrová Ostrihoňová, Chloé Ridel, Abir Al-Sahlani, Fabienne Keller, Lucia Yar, Irena Joveva, Isabel Wiseler-Lima, Daniel Freund</w:t>
      </w:r>
      <w:r>
        <w:rPr>
          <w:rStyle w:val="HideTWBExt"/>
          <w:b w:val="0"/>
        </w:rPr>
        <w:t>&lt;/Members&gt;</w:t>
      </w:r>
    </w:p>
    <w:p w:rsidR="007A0039" w:rsidRPr="00EA7539" w:rsidRDefault="007A0039" w:rsidP="007A0039">
      <w:r>
        <w:rPr>
          <w:rStyle w:val="HideTWBExt"/>
        </w:rPr>
        <w:t>&lt;AuNomDe&gt;</w:t>
      </w:r>
      <w:r>
        <w:rPr>
          <w:rStyle w:val="HideTWBInt"/>
        </w:rPr>
        <w:t>{LIBE}</w:t>
      </w:r>
      <w:r>
        <w:t>w imieniu Komisji Wolności Obywatelskich, Sprawiedliwości i Spraw Wewnętrznych</w:t>
      </w:r>
      <w:r>
        <w:rPr>
          <w:rStyle w:val="HideTWBExt"/>
        </w:rPr>
        <w:t>&lt;/AuNomDe&gt;</w:t>
      </w:r>
    </w:p>
    <w:p w:rsidR="007A0039" w:rsidRPr="00EA7539" w:rsidRDefault="007A0039" w:rsidP="007A0039">
      <w:pPr>
        <w:pStyle w:val="NormalBold"/>
      </w:pPr>
      <w:r>
        <w:rPr>
          <w:rStyle w:val="HideTWBExt"/>
          <w:b w:val="0"/>
        </w:rPr>
        <w:t>&lt;Members&gt;</w:t>
      </w:r>
      <w:r>
        <w:t>Sophie Wilmès</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18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18a.</w:t>
            </w:r>
            <w:r>
              <w:tab/>
            </w:r>
            <w:r>
              <w:rPr>
                <w:b/>
                <w:i/>
              </w:rPr>
              <w:t>wyraża zaniepokojony niedawnym gwałtownym wzrostem antysemityzmu, w tym aktami przemocy, zastraszaniem i eksponowaniem symboli nienawiści w przestrzeni publicznej;</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476</w:t>
      </w:r>
      <w:r>
        <w:rPr>
          <w:rStyle w:val="HideTWBExt"/>
        </w:rPr>
        <w:t>&lt;/NumAm&gt;</w:t>
      </w:r>
    </w:p>
    <w:p w:rsidR="007A0039" w:rsidRPr="00EA7539" w:rsidRDefault="007A0039" w:rsidP="007A0039">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Michał Wawrykiewicz, Cecilia Strada</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18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18a.</w:t>
            </w:r>
            <w:r>
              <w:tab/>
            </w:r>
            <w:r>
              <w:rPr>
                <w:b/>
                <w:i/>
              </w:rPr>
              <w:t>zachęca Komisję Europejską do kontynuowania działań w ramach monitorowania sytuacji w zakresie praworządności w całej UE, ze szczególnym uwzględnieniem wpływu naruszeń zasad praworządności na jednolity rynek, a także do dalszego zdawania sprawozdań na ten temat; wzywa Komisję do wykorzystania wszystkich dostępnych narzędzi prawnych w celu wyeliminowania niedociągnięć w zakresie praworządności, w tym do wszczęcia w razie potrzeby postępowań w sprawie uchybienia zobowiązaniom państwa członkowskiego, aby chronić funkcjonowanie rynku wewnętrznego;</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477</w:t>
      </w:r>
      <w:r>
        <w:rPr>
          <w:rStyle w:val="HideTWBExt"/>
        </w:rPr>
        <w:t>&lt;/NumAm&gt;</w:t>
      </w:r>
    </w:p>
    <w:p w:rsidR="007A0039" w:rsidRPr="00EA7539" w:rsidRDefault="007A0039" w:rsidP="007A0039">
      <w:pPr>
        <w:pStyle w:val="NormalBold"/>
      </w:pPr>
      <w:r>
        <w:rPr>
          <w:rStyle w:val="HideTWBExt"/>
          <w:b w:val="0"/>
        </w:rPr>
        <w:t>&lt;RepeatBlock-By&gt;&lt;Members&gt;</w:t>
      </w:r>
      <w:r>
        <w:t>Lukas Mandl</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18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18a.</w:t>
            </w:r>
            <w:r>
              <w:tab/>
            </w:r>
            <w:r>
              <w:rPr>
                <w:b/>
                <w:i/>
              </w:rPr>
              <w:t>wzywa do wzmocnienia zasady praworządności na rynku wewnętrznym; podkreśla, że niezawodne i stabilne struktury praworządności są kluczowymi filarami inwestycji i handlu, o zasadniczym znaczeniu dla konkurencyjności, a tym samym dla zdolności systemu ochrony socjalnej i rynku pracy w Unii Europejskiej; ubolewa nad podejmowanymi przez państwa członkowskie w tej dziedzinie środkami naruszającymi prawo Unii, takimi jak niektóre środki protekcjonistyczne;</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478</w:t>
      </w:r>
      <w:r>
        <w:rPr>
          <w:rStyle w:val="HideTWBExt"/>
        </w:rPr>
        <w:t>&lt;/NumAm&gt;</w:t>
      </w:r>
    </w:p>
    <w:p w:rsidR="007A0039" w:rsidRPr="00EA7539" w:rsidRDefault="007A0039" w:rsidP="007A0039">
      <w:pPr>
        <w:pStyle w:val="NormalBold"/>
      </w:pPr>
      <w:r>
        <w:rPr>
          <w:rStyle w:val="HideTWBExt"/>
          <w:b w:val="0"/>
        </w:rPr>
        <w:t>&lt;RepeatBlock-By&gt;&lt;Members&gt;</w:t>
      </w:r>
      <w:r>
        <w:t>Klára Dobrev, Csaba Molnár, Birgit Sippel, Krzysztof Śmiszek</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Śródtytuł 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wzywa państwa członkowskie do ustanowienia, zgodnie z zasadami paryskimi ONZ, krajowych instytucji praw człowieka, do zagwarantowania ich niezależności i zapewnienia im zdolności do skutecznego wykonywania ich zadań;</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479</w:t>
      </w:r>
      <w:r>
        <w:rPr>
          <w:rStyle w:val="HideTWBExt"/>
        </w:rPr>
        <w:t>&lt;/NumAm&gt;</w:t>
      </w:r>
    </w:p>
    <w:p w:rsidR="007A0039" w:rsidRPr="00EA7539" w:rsidRDefault="007A0039" w:rsidP="007A0039">
      <w:pPr>
        <w:pStyle w:val="NormalBold"/>
      </w:pPr>
      <w:r>
        <w:rPr>
          <w:rStyle w:val="HideTWBExt"/>
          <w:b w:val="0"/>
        </w:rPr>
        <w:t>&lt;RepeatBlock-By&gt;&lt;Members&gt;</w:t>
      </w:r>
      <w:r>
        <w:t>András László</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19.</w:t>
            </w:r>
            <w:r>
              <w:tab/>
            </w:r>
            <w:r>
              <w:rPr>
                <w:b/>
                <w:i/>
              </w:rPr>
              <w:t>podkreśla znaczenie praworządności dla funkcjonowania jednolitego rynku i stwierdza, że systemy sądowe, skuteczne ramy antykorupcyjne i ochrona wolności mediów mają zasadnicze znaczenie dla uczciwej konkurencji, pewności prawa i zaufania między podmiotami gospodarczymi</w:t>
            </w:r>
            <w:r>
              <w:rPr>
                <w:b/>
                <w:i/>
                <w:vertAlign w:val="superscript"/>
              </w:rPr>
              <w:t>43</w:t>
            </w:r>
            <w:r>
              <w:rPr>
                <w:b/>
                <w:i/>
              </w:rPr>
              <w:t>;</w:t>
            </w:r>
          </w:p>
        </w:tc>
        <w:tc>
          <w:tcPr>
            <w:tcW w:w="4876" w:type="dxa"/>
            <w:tcBorders>
              <w:top w:val="nil"/>
              <w:left w:val="nil"/>
              <w:bottom w:val="nil"/>
              <w:right w:val="nil"/>
            </w:tcBorders>
          </w:tcPr>
          <w:p w:rsidR="007A0039" w:rsidRPr="00EA7539" w:rsidRDefault="007A0039" w:rsidP="008F6778">
            <w:pPr>
              <w:pStyle w:val="Normal6a"/>
            </w:pPr>
            <w:r>
              <w:rPr>
                <w:b/>
                <w:i/>
              </w:rPr>
              <w:t>skreśla się</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_________________</w:t>
            </w:r>
          </w:p>
        </w:tc>
        <w:tc>
          <w:tcPr>
            <w:tcW w:w="4876" w:type="dxa"/>
            <w:tcBorders>
              <w:top w:val="nil"/>
              <w:left w:val="nil"/>
              <w:bottom w:val="nil"/>
              <w:right w:val="nil"/>
            </w:tcBorders>
          </w:tcPr>
          <w:p w:rsidR="007A0039" w:rsidRPr="00EA7539" w:rsidRDefault="007A0039" w:rsidP="008F6778"/>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vertAlign w:val="superscript"/>
              </w:rPr>
              <w:t>43</w:t>
            </w:r>
            <w:r>
              <w:rPr>
                <w:b/>
                <w:i/>
              </w:rPr>
              <w:t xml:space="preserve"> Komunikat Komisji z dnia 24 lipca 2024 r. pt. „Sprawozdanie na temat praworządności z 2024 r.” (COM(2024)0800), s. 5.</w:t>
            </w:r>
          </w:p>
        </w:tc>
        <w:tc>
          <w:tcPr>
            <w:tcW w:w="4876" w:type="dxa"/>
            <w:tcBorders>
              <w:top w:val="nil"/>
              <w:left w:val="nil"/>
              <w:bottom w:val="nil"/>
              <w:right w:val="nil"/>
            </w:tcBorders>
          </w:tcPr>
          <w:p w:rsidR="007A0039" w:rsidRPr="00EA7539" w:rsidRDefault="007A0039" w:rsidP="008F6778"/>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480</w:t>
      </w:r>
      <w:r>
        <w:rPr>
          <w:rStyle w:val="HideTWBExt"/>
        </w:rPr>
        <w:t>&lt;/NumAm&gt;</w:t>
      </w:r>
    </w:p>
    <w:p w:rsidR="007A0039" w:rsidRPr="00EA7539" w:rsidRDefault="007A0039" w:rsidP="007A0039">
      <w:pPr>
        <w:pStyle w:val="NormalBold"/>
      </w:pPr>
      <w:r>
        <w:rPr>
          <w:rStyle w:val="HideTWBExt"/>
          <w:b w:val="0"/>
        </w:rPr>
        <w:t>&lt;RepeatBlock-By&gt;&lt;Members&gt;</w:t>
      </w:r>
      <w:r>
        <w:t>Ioan-Rareş Bogdan</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19.</w:t>
            </w:r>
            <w:r>
              <w:tab/>
              <w:t>podkreśla znaczenie praworządności dla funkcjonowania jednolitego rynku i stwierdza, że systemy sądowe, skuteczne ramy antykorupcyjne i ochrona wolności mediów mają zasadnicze znaczenie dla uczciwej konkurencji, pewności prawa i zaufania między podmiotami gospodarczymi</w:t>
            </w:r>
            <w:r>
              <w:rPr>
                <w:vertAlign w:val="superscript"/>
              </w:rPr>
              <w:t>43</w:t>
            </w:r>
            <w:r>
              <w:t>;</w:t>
            </w:r>
          </w:p>
        </w:tc>
        <w:tc>
          <w:tcPr>
            <w:tcW w:w="4876" w:type="dxa"/>
            <w:tcBorders>
              <w:top w:val="nil"/>
              <w:left w:val="nil"/>
              <w:bottom w:val="nil"/>
              <w:right w:val="nil"/>
            </w:tcBorders>
          </w:tcPr>
          <w:p w:rsidR="007A0039" w:rsidRPr="00EA7539" w:rsidRDefault="007A0039" w:rsidP="008F6778">
            <w:pPr>
              <w:pStyle w:val="Normal6a"/>
            </w:pPr>
            <w:r>
              <w:t>19.</w:t>
            </w:r>
            <w:r>
              <w:tab/>
              <w:t xml:space="preserve">podkreśla znaczenie praworządności dla </w:t>
            </w:r>
            <w:r>
              <w:rPr>
                <w:b/>
                <w:i/>
              </w:rPr>
              <w:t xml:space="preserve">sprawnego i skutecznego </w:t>
            </w:r>
            <w:r>
              <w:t>funkcjonowania jednolitego rynku i stwierdza, że</w:t>
            </w:r>
            <w:r>
              <w:rPr>
                <w:b/>
                <w:i/>
              </w:rPr>
              <w:t xml:space="preserve"> dobrze funkcjonujące</w:t>
            </w:r>
            <w:r>
              <w:t xml:space="preserve"> systemy sądowe, skuteczne ramy antykorupcyjne i </w:t>
            </w:r>
            <w:r>
              <w:rPr>
                <w:b/>
                <w:i/>
              </w:rPr>
              <w:t xml:space="preserve">solidna </w:t>
            </w:r>
            <w:r>
              <w:t xml:space="preserve">ochrona wolności mediów mają zasadnicze znaczenie dla </w:t>
            </w:r>
            <w:r>
              <w:rPr>
                <w:b/>
                <w:i/>
              </w:rPr>
              <w:t xml:space="preserve">utrzymania </w:t>
            </w:r>
            <w:r>
              <w:t xml:space="preserve">uczciwej konkurencji, </w:t>
            </w:r>
            <w:r>
              <w:rPr>
                <w:b/>
                <w:i/>
              </w:rPr>
              <w:t xml:space="preserve">zachowania </w:t>
            </w:r>
            <w:r>
              <w:t>pewności prawa i</w:t>
            </w:r>
            <w:r>
              <w:rPr>
                <w:b/>
                <w:i/>
              </w:rPr>
              <w:t xml:space="preserve"> wspierania</w:t>
            </w:r>
            <w:r>
              <w:t xml:space="preserve"> zaufania między podmiotami gospodarczymi</w:t>
            </w:r>
            <w:r>
              <w:rPr>
                <w:vertAlign w:val="superscript"/>
              </w:rPr>
              <w:t>43</w:t>
            </w:r>
            <w:r>
              <w:t xml:space="preserve">; </w:t>
            </w:r>
            <w:r>
              <w:rPr>
                <w:b/>
                <w:i/>
              </w:rPr>
              <w:t>podkreśla, że elementy te nie tylko zabezpieczają integralność interakcji na rynku, ale również przyczyniają się do stabilności i przewidywalności otoczenia biznesowego, sprzyjając tym samym inwestycjom i wzrostowi gospodarczemu;</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_________________</w:t>
            </w:r>
          </w:p>
        </w:tc>
        <w:tc>
          <w:tcPr>
            <w:tcW w:w="4876" w:type="dxa"/>
            <w:tcBorders>
              <w:top w:val="nil"/>
              <w:left w:val="nil"/>
              <w:bottom w:val="nil"/>
              <w:right w:val="nil"/>
            </w:tcBorders>
          </w:tcPr>
          <w:p w:rsidR="007A0039" w:rsidRPr="00EA7539" w:rsidRDefault="007A0039" w:rsidP="008F6778">
            <w:pPr>
              <w:pStyle w:val="Normal6a"/>
            </w:pPr>
            <w:r>
              <w:rPr>
                <w:b/>
                <w:i/>
              </w:rPr>
              <w:t>_________________</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vertAlign w:val="superscript"/>
              </w:rPr>
              <w:t>43</w:t>
            </w:r>
            <w:r>
              <w:t xml:space="preserve"> Komunikat Komisji z dnia 24 lipca 2024 r. pt. „Sprawozdanie na temat praworządności z 2024 r.” (COM(2024)0800), s. 5.</w:t>
            </w:r>
          </w:p>
        </w:tc>
        <w:tc>
          <w:tcPr>
            <w:tcW w:w="4876" w:type="dxa"/>
            <w:tcBorders>
              <w:top w:val="nil"/>
              <w:left w:val="nil"/>
              <w:bottom w:val="nil"/>
              <w:right w:val="nil"/>
            </w:tcBorders>
          </w:tcPr>
          <w:p w:rsidR="007A0039" w:rsidRPr="00EA7539" w:rsidRDefault="007A0039" w:rsidP="008F6778">
            <w:pPr>
              <w:pStyle w:val="Normal6a"/>
            </w:pPr>
            <w:r>
              <w:rPr>
                <w:vertAlign w:val="superscript"/>
              </w:rPr>
              <w:t>43</w:t>
            </w:r>
            <w:r>
              <w:t xml:space="preserve"> Komunikat Komisji z dnia 24 lipca 2024 r. pt. „Sprawozdanie na temat praworządności z 2024 r.” (COM(2024)0800), s. 5.</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sidRPr="00EA7539">
        <w:rPr>
          <w:rStyle w:val="HideTWBExt"/>
        </w:rPr>
        <w:t>&lt;Amend&gt;</w:t>
      </w:r>
      <w:r w:rsidRPr="00EA7539">
        <w:t>Poprawka</w:t>
      </w:r>
      <w:r w:rsidRPr="00EA7539">
        <w:tab/>
      </w:r>
      <w:r w:rsidRPr="00EA7539">
        <w:tab/>
      </w:r>
      <w:r w:rsidRPr="00EA7539">
        <w:rPr>
          <w:rStyle w:val="HideTWBExt"/>
        </w:rPr>
        <w:t>&lt;NumAm&gt;</w:t>
      </w:r>
      <w:r w:rsidRPr="00EA7539">
        <w:t>481</w:t>
      </w:r>
      <w:r w:rsidRPr="00EA7539">
        <w:rPr>
          <w:rStyle w:val="HideTWBExt"/>
        </w:rPr>
        <w:t>&lt;/NumAm&gt;</w:t>
      </w:r>
    </w:p>
    <w:p w:rsidR="007A0039" w:rsidRPr="00EA7539" w:rsidRDefault="007A0039" w:rsidP="007A0039">
      <w:pPr>
        <w:pStyle w:val="NormalBold"/>
      </w:pPr>
      <w:r w:rsidRPr="00EA7539">
        <w:rPr>
          <w:rStyle w:val="HideTWBExt"/>
          <w:b w:val="0"/>
        </w:rPr>
        <w:t>&lt;RepeatBlock-By&gt;&lt;Members&gt;</w:t>
      </w:r>
      <w:r w:rsidRPr="00EA7539">
        <w:t>Mariusz Kamiński, Joachim Stanisław Brudziński, Jadwiga Wiśniewska, Maciej Wąsik, Jacek Ozdoba</w:t>
      </w:r>
      <w:r w:rsidRPr="00EA7539">
        <w:rPr>
          <w:rStyle w:val="HideTWBExt"/>
          <w:b w:val="0"/>
        </w:rPr>
        <w:t>&lt;/Members&gt;</w:t>
      </w:r>
    </w:p>
    <w:p w:rsidR="007A0039" w:rsidRPr="00EA7539" w:rsidRDefault="007A0039" w:rsidP="007A0039">
      <w:pPr>
        <w:pStyle w:val="NormalBold"/>
      </w:pPr>
      <w:r w:rsidRPr="00EA7539">
        <w:rPr>
          <w:rStyle w:val="HideTWBExt"/>
          <w:b w:val="0"/>
        </w:rPr>
        <w:t>&lt;/RepeatBlock-By&gt;</w:t>
      </w:r>
    </w:p>
    <w:p w:rsidR="007A0039" w:rsidRPr="00EA7539" w:rsidRDefault="007A0039" w:rsidP="007A0039">
      <w:pPr>
        <w:pStyle w:val="NormalBold"/>
      </w:pPr>
      <w:r w:rsidRPr="00EA7539">
        <w:rPr>
          <w:rStyle w:val="HideTWBExt"/>
        </w:rPr>
        <w:t>&lt;DocAmend&gt;</w:t>
      </w:r>
      <w:r w:rsidRPr="00EA7539">
        <w:t>Projekt rezolucji</w:t>
      </w:r>
      <w:r w:rsidRPr="00EA7539">
        <w:rPr>
          <w:rStyle w:val="HideTWBExt"/>
        </w:rPr>
        <w:t>&lt;/DocAmend&gt;</w:t>
      </w:r>
    </w:p>
    <w:p w:rsidR="007A0039" w:rsidRPr="00EA7539" w:rsidRDefault="007A0039" w:rsidP="007A0039">
      <w:pPr>
        <w:pStyle w:val="NormalBold"/>
      </w:pPr>
      <w:r w:rsidRPr="00EA7539">
        <w:rPr>
          <w:rStyle w:val="HideTWBExt"/>
        </w:rPr>
        <w:t>&lt;Article&gt;</w:t>
      </w:r>
      <w:r w:rsidRPr="00EA7539">
        <w:t>Ustęp 19</w:t>
      </w:r>
      <w:r w:rsidRPr="00EA7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RPr="00EA75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RPr="00EA75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rsidRPr="00EA7539">
              <w:t>Projekt rezolucji</w:t>
            </w:r>
          </w:p>
        </w:tc>
        <w:tc>
          <w:tcPr>
            <w:tcW w:w="4876" w:type="dxa"/>
            <w:tcBorders>
              <w:top w:val="nil"/>
              <w:left w:val="nil"/>
              <w:bottom w:val="nil"/>
              <w:right w:val="nil"/>
            </w:tcBorders>
          </w:tcPr>
          <w:p w:rsidR="007A0039" w:rsidRPr="00EA7539" w:rsidRDefault="007A0039" w:rsidP="008F6778">
            <w:pPr>
              <w:pStyle w:val="AmColumnHeading"/>
            </w:pPr>
            <w:r w:rsidRPr="00EA7539">
              <w:t>Poprawka</w:t>
            </w:r>
          </w:p>
        </w:tc>
      </w:tr>
      <w:tr w:rsidR="007A0039" w:rsidRPr="00EA7539" w:rsidTr="008F6778">
        <w:trPr>
          <w:jc w:val="center"/>
        </w:trPr>
        <w:tc>
          <w:tcPr>
            <w:tcW w:w="4876" w:type="dxa"/>
            <w:tcBorders>
              <w:top w:val="nil"/>
              <w:left w:val="nil"/>
              <w:bottom w:val="nil"/>
              <w:right w:val="nil"/>
            </w:tcBorders>
          </w:tcPr>
          <w:p w:rsidR="007A0039" w:rsidRPr="00EA7539" w:rsidRDefault="007A0039" w:rsidP="008F6778">
            <w:pPr>
              <w:pStyle w:val="Normal6a"/>
            </w:pPr>
            <w:r w:rsidRPr="00EA7539">
              <w:t>19.</w:t>
            </w:r>
            <w:r w:rsidRPr="00EA7539">
              <w:tab/>
              <w:t xml:space="preserve">podkreśla znaczenie praworządności dla funkcjonowania jednolitego rynku i stwierdza, że systemy sądowe, skuteczne ramy antykorupcyjne </w:t>
            </w:r>
            <w:r w:rsidRPr="00EA7539">
              <w:rPr>
                <w:b/>
                <w:i/>
              </w:rPr>
              <w:t>i</w:t>
            </w:r>
            <w:r w:rsidRPr="00EA7539">
              <w:t xml:space="preserve"> ochrona wolności mediów mają zasadnicze znaczenie dla uczciwej konkurencji, pewności prawa i zaufania między podmiotami gospodarczymi</w:t>
            </w:r>
            <w:r w:rsidRPr="00EA7539">
              <w:rPr>
                <w:vertAlign w:val="superscript"/>
              </w:rPr>
              <w:t>43</w:t>
            </w:r>
            <w:r w:rsidRPr="00EA7539">
              <w:t xml:space="preserve"> ;</w:t>
            </w:r>
          </w:p>
        </w:tc>
        <w:tc>
          <w:tcPr>
            <w:tcW w:w="4876" w:type="dxa"/>
            <w:tcBorders>
              <w:top w:val="nil"/>
              <w:left w:val="nil"/>
              <w:bottom w:val="nil"/>
              <w:right w:val="nil"/>
            </w:tcBorders>
          </w:tcPr>
          <w:p w:rsidR="007A0039" w:rsidRPr="00EA7539" w:rsidRDefault="007A0039" w:rsidP="008F6778">
            <w:pPr>
              <w:pStyle w:val="Normal6a"/>
            </w:pPr>
            <w:r w:rsidRPr="00EA7539">
              <w:t>19.</w:t>
            </w:r>
            <w:r w:rsidRPr="00EA7539">
              <w:tab/>
              <w:t>podkreśla znaczenie praworządności</w:t>
            </w:r>
            <w:r w:rsidRPr="00EA7539">
              <w:rPr>
                <w:b/>
                <w:i/>
              </w:rPr>
              <w:t>, w tym sprawnego wymiaru sprawiedliwości,</w:t>
            </w:r>
            <w:r w:rsidRPr="00EA7539">
              <w:t xml:space="preserve"> dla funkcjonowania jednolitego rynku </w:t>
            </w:r>
            <w:r w:rsidRPr="00EA7539">
              <w:rPr>
                <w:b/>
                <w:i/>
              </w:rPr>
              <w:t>i sprawnej gospodarki wolnorynkowej,</w:t>
            </w:r>
            <w:r w:rsidRPr="00EA7539">
              <w:t xml:space="preserve"> i stwierdza, że systemy sądowe, skuteczne ramy antykorupcyjne </w:t>
            </w:r>
            <w:r w:rsidRPr="00EA7539">
              <w:rPr>
                <w:b/>
                <w:i/>
              </w:rPr>
              <w:t>oraz</w:t>
            </w:r>
            <w:r w:rsidRPr="00EA7539">
              <w:t xml:space="preserve"> ochrona wolności mediów mają zasadnicze znaczenie dla uczciwej konkurencji, pewności prawa i zaufania między podmiotami gospodarczymi</w:t>
            </w:r>
            <w:r w:rsidRPr="00EA7539">
              <w:rPr>
                <w:vertAlign w:val="superscript"/>
              </w:rPr>
              <w:t>43</w:t>
            </w:r>
            <w:r w:rsidRPr="00EA7539">
              <w:t xml:space="preserve"> ;</w:t>
            </w:r>
          </w:p>
        </w:tc>
      </w:tr>
      <w:tr w:rsidR="007A0039" w:rsidRPr="00EA7539" w:rsidTr="008F6778">
        <w:trPr>
          <w:jc w:val="center"/>
        </w:trPr>
        <w:tc>
          <w:tcPr>
            <w:tcW w:w="4876" w:type="dxa"/>
            <w:tcBorders>
              <w:top w:val="nil"/>
              <w:left w:val="nil"/>
              <w:bottom w:val="nil"/>
              <w:right w:val="nil"/>
            </w:tcBorders>
          </w:tcPr>
          <w:p w:rsidR="007A0039" w:rsidRPr="00EA7539" w:rsidRDefault="007A0039" w:rsidP="008F6778">
            <w:pPr>
              <w:pStyle w:val="Normal6a"/>
            </w:pPr>
            <w:r w:rsidRPr="00EA7539">
              <w:rPr>
                <w:b/>
                <w:i/>
              </w:rPr>
              <w:t>_________________</w:t>
            </w:r>
          </w:p>
        </w:tc>
        <w:tc>
          <w:tcPr>
            <w:tcW w:w="4876" w:type="dxa"/>
            <w:tcBorders>
              <w:top w:val="nil"/>
              <w:left w:val="nil"/>
              <w:bottom w:val="nil"/>
              <w:right w:val="nil"/>
            </w:tcBorders>
          </w:tcPr>
          <w:p w:rsidR="007A0039" w:rsidRPr="00EA7539" w:rsidRDefault="007A0039" w:rsidP="008F6778">
            <w:pPr>
              <w:pStyle w:val="Normal6a"/>
            </w:pPr>
            <w:r w:rsidRPr="00EA7539">
              <w:rPr>
                <w:b/>
                <w:i/>
              </w:rPr>
              <w:t>_________________</w:t>
            </w:r>
          </w:p>
        </w:tc>
      </w:tr>
      <w:tr w:rsidR="007A0039" w:rsidRPr="00EA7539" w:rsidTr="008F6778">
        <w:trPr>
          <w:jc w:val="center"/>
        </w:trPr>
        <w:tc>
          <w:tcPr>
            <w:tcW w:w="4876" w:type="dxa"/>
            <w:tcBorders>
              <w:top w:val="nil"/>
              <w:left w:val="nil"/>
              <w:bottom w:val="nil"/>
              <w:right w:val="nil"/>
            </w:tcBorders>
          </w:tcPr>
          <w:p w:rsidR="007A0039" w:rsidRPr="00EA7539" w:rsidRDefault="007A0039" w:rsidP="008F6778">
            <w:pPr>
              <w:pStyle w:val="Normal6a"/>
            </w:pPr>
            <w:r w:rsidRPr="00EA7539">
              <w:rPr>
                <w:vertAlign w:val="superscript"/>
              </w:rPr>
              <w:t>43</w:t>
            </w:r>
            <w:r w:rsidRPr="00EA7539">
              <w:t xml:space="preserve"> Komunikat Komisji z dnia 24 lipca 2024 r. pt. „Sprawozdanie na temat praworządności z 2024 r.” (COM(2024)0800), s. 5.</w:t>
            </w:r>
          </w:p>
        </w:tc>
        <w:tc>
          <w:tcPr>
            <w:tcW w:w="4876" w:type="dxa"/>
            <w:tcBorders>
              <w:top w:val="nil"/>
              <w:left w:val="nil"/>
              <w:bottom w:val="nil"/>
              <w:right w:val="nil"/>
            </w:tcBorders>
          </w:tcPr>
          <w:p w:rsidR="007A0039" w:rsidRPr="00EA7539" w:rsidRDefault="007A0039" w:rsidP="008F6778">
            <w:pPr>
              <w:pStyle w:val="Normal6a"/>
            </w:pPr>
            <w:r w:rsidRPr="00EA7539">
              <w:rPr>
                <w:vertAlign w:val="superscript"/>
              </w:rPr>
              <w:t>43</w:t>
            </w:r>
            <w:r w:rsidRPr="00EA7539">
              <w:t xml:space="preserve"> Komunikat Komisji z dnia 24 lipca 2024 r. pt. „Sprawozdanie na temat praworządności z 2024 r.” (COM(2024)0800), s. 5.</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{PL}</w:t>
      </w:r>
      <w:r w:rsidRPr="00EA7539">
        <w:t>pl</w:t>
      </w:r>
      <w:r w:rsidRPr="00EA7539">
        <w:rPr>
          <w:rStyle w:val="HideTWBExt"/>
        </w:rPr>
        <w:t>&lt;/Original&gt;</w:t>
      </w:r>
    </w:p>
    <w:p w:rsidR="007A0039" w:rsidRPr="00EA7539" w:rsidRDefault="007A0039" w:rsidP="007A0039">
      <w:r w:rsidRPr="00EA7539">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482</w:t>
      </w:r>
      <w:r>
        <w:rPr>
          <w:rStyle w:val="HideTWBExt"/>
        </w:rPr>
        <w:t>&lt;/NumAm&gt;</w:t>
      </w:r>
    </w:p>
    <w:p w:rsidR="007A0039" w:rsidRPr="00EA7539" w:rsidRDefault="007A0039" w:rsidP="007A0039">
      <w:pPr>
        <w:pStyle w:val="NormalBold"/>
      </w:pPr>
      <w:r>
        <w:rPr>
          <w:rStyle w:val="HideTWBExt"/>
          <w:b w:val="0"/>
        </w:rPr>
        <w:t>&lt;RepeatBlock-By&gt;&lt;Members&gt;</w:t>
      </w:r>
      <w:r>
        <w:t>Birgit Sippel, Klára Dobrev</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19.</w:t>
            </w:r>
            <w:r>
              <w:tab/>
              <w:t>podkreśla znaczenie praworządności dla funkcjonowania jednolitego rynku i stwierdza, że systemy sądowe, skuteczne ramy antykorupcyjne i ochrona wolności mediów mają zasadnicze znaczenie dla uczciwej konkurencji, pewności prawa i zaufania między podmiotami gospodarczymi</w:t>
            </w:r>
            <w:r>
              <w:rPr>
                <w:vertAlign w:val="superscript"/>
              </w:rPr>
              <w:t>43</w:t>
            </w:r>
            <w:r>
              <w:t>;</w:t>
            </w:r>
          </w:p>
        </w:tc>
        <w:tc>
          <w:tcPr>
            <w:tcW w:w="4876" w:type="dxa"/>
            <w:tcBorders>
              <w:top w:val="nil"/>
              <w:left w:val="nil"/>
              <w:bottom w:val="nil"/>
              <w:right w:val="nil"/>
            </w:tcBorders>
          </w:tcPr>
          <w:p w:rsidR="007A0039" w:rsidRPr="00EA7539" w:rsidRDefault="007A0039" w:rsidP="008F6778">
            <w:pPr>
              <w:pStyle w:val="Normal6a"/>
            </w:pPr>
            <w:r>
              <w:t>19.</w:t>
            </w:r>
            <w:r>
              <w:tab/>
              <w:t xml:space="preserve">podkreśla znaczenie praworządności dla funkcjonowania jednolitego rynku i stwierdza, że </w:t>
            </w:r>
            <w:r>
              <w:rPr>
                <w:b/>
                <w:i/>
              </w:rPr>
              <w:t xml:space="preserve">niezależne </w:t>
            </w:r>
            <w:r>
              <w:t>systemy sądowe, skuteczne ramy antykorupcyjne i ochrona wolności mediów mają zasadnicze znaczenie dla uczciwej konkurencji, pewności prawa i zaufania między podmiotami gospodarczymi</w:t>
            </w:r>
            <w:r>
              <w:rPr>
                <w:vertAlign w:val="superscript"/>
              </w:rPr>
              <w:t>43</w:t>
            </w:r>
            <w:r>
              <w:t>;</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_________________</w:t>
            </w:r>
          </w:p>
        </w:tc>
        <w:tc>
          <w:tcPr>
            <w:tcW w:w="4876" w:type="dxa"/>
            <w:tcBorders>
              <w:top w:val="nil"/>
              <w:left w:val="nil"/>
              <w:bottom w:val="nil"/>
              <w:right w:val="nil"/>
            </w:tcBorders>
          </w:tcPr>
          <w:p w:rsidR="007A0039" w:rsidRPr="00EA7539" w:rsidRDefault="007A0039" w:rsidP="008F6778">
            <w:pPr>
              <w:pStyle w:val="Normal6a"/>
            </w:pPr>
            <w:r>
              <w:rPr>
                <w:b/>
                <w:i/>
              </w:rPr>
              <w:t>_________________</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vertAlign w:val="superscript"/>
              </w:rPr>
              <w:t>43</w:t>
            </w:r>
            <w:r>
              <w:t xml:space="preserve"> Komunikat Komisji z dnia 24 lipca 2024 r. pt. „Sprawozdanie na temat praworządności z 2024 r.” (COM(2024)0800), s. 5.</w:t>
            </w:r>
          </w:p>
        </w:tc>
        <w:tc>
          <w:tcPr>
            <w:tcW w:w="4876" w:type="dxa"/>
            <w:tcBorders>
              <w:top w:val="nil"/>
              <w:left w:val="nil"/>
              <w:bottom w:val="nil"/>
              <w:right w:val="nil"/>
            </w:tcBorders>
          </w:tcPr>
          <w:p w:rsidR="007A0039" w:rsidRPr="00EA7539" w:rsidRDefault="007A0039" w:rsidP="008F6778">
            <w:pPr>
              <w:pStyle w:val="Normal6a"/>
            </w:pPr>
            <w:r>
              <w:rPr>
                <w:vertAlign w:val="superscript"/>
              </w:rPr>
              <w:t>43</w:t>
            </w:r>
            <w:r>
              <w:t xml:space="preserve"> Komunikat Komisji z dnia 24 lipca 2024 r. pt. „Sprawozdanie na temat praworządności z 2024 r.” (COM(2024)0800), s. 5.</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483</w:t>
      </w:r>
      <w:r>
        <w:rPr>
          <w:rStyle w:val="HideTWBExt"/>
        </w:rPr>
        <w:t>&lt;/NumAm&gt;</w:t>
      </w:r>
    </w:p>
    <w:p w:rsidR="007A0039" w:rsidRPr="00EA7539" w:rsidRDefault="007A0039" w:rsidP="007A0039">
      <w:pPr>
        <w:pStyle w:val="NormalBold"/>
      </w:pPr>
      <w:r>
        <w:rPr>
          <w:rStyle w:val="HideTWBExt"/>
          <w:b w:val="0"/>
        </w:rPr>
        <w:t>&lt;RepeatBlock-By&gt;&lt;Members&gt;</w:t>
      </w:r>
      <w:r>
        <w:t>Michał Wawrykiewicz, Ana Catarina Mendes, Moritz Körner, Sophie Wilmès</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Śródtytuł 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podkreśla, że niezawodne i stabilne struktury praworządności są kluczowymi filarami inwestycji i handlu, o zasadniczym znaczeniu dla konkurencyjności, a tym samym dla zdolności systemu ochrony socjalnej i rynku pracy w Unii Europejskiej; podkreśla, że systematyczne naruszanie praworządności podważa pewność prawa, zniechęca do inwestycji i prowadzi do fragmentacji rynku wewnętrznego, osłabiając ogólną stabilność gospodarczą UE; wzywa Komisję do wyraźniejszego włączenia gospodarczego aspektu praworządności do swoich mechanizmów monitorowania oraz do zapewnienia, by przestrzeganie przez państwa członkowskie zasad praworządności było oceniane nie tylko z punktu widzenia demokracji i sądownictwa, ale również pod kątem jego gospodarczego wpływu na jednolity rynek i stabilność finansową;</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484</w:t>
      </w:r>
      <w:r>
        <w:rPr>
          <w:rStyle w:val="HideTWBExt"/>
        </w:rPr>
        <w:t>&lt;/NumAm&gt;</w:t>
      </w:r>
    </w:p>
    <w:p w:rsidR="007A0039" w:rsidRPr="00EA7539" w:rsidRDefault="007A0039" w:rsidP="007A0039">
      <w:pPr>
        <w:pStyle w:val="NormalBold"/>
      </w:pPr>
      <w:r>
        <w:rPr>
          <w:rStyle w:val="HideTWBExt"/>
          <w:b w:val="0"/>
        </w:rPr>
        <w:t>&lt;RepeatBlock-By&gt;&lt;Members&gt;</w:t>
      </w:r>
      <w:r>
        <w:t>Daniel Freund</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19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19a.</w:t>
            </w:r>
            <w:r>
              <w:tab/>
            </w:r>
            <w:r>
              <w:rPr>
                <w:b/>
                <w:i/>
              </w:rPr>
              <w:t>przypomina, że w zakresie stosowania Traktatów wszelka dyskryminacja ze względu na przynależność państwową jest zakazana zgodnie z kartą oraz że swoboda przedsiębiorczości, swoboda świadczenia usług i swoboda przepływu kapitału mają podstawowe znaczenie dla jednolitego rynku; podkreśla, że przepisy dotyczące równego traktowania zakazują jawnej i ukrytej dyskryminacji ze względu na przynależność państwową lub, w przypadku przedsiębiorstwa, siedzibę; ponownie potępia zgłaszane systemowe dyskryminujące, nieprzejrzyste i nieuczciwe praktyki wobec przedsiębiorstw w niektórych państwach członkowskich oraz wykorzystywanie unijnych środków finansowych do wzbogacania sojuszników politycznych rządu, co jest sprzeczne z unijnymi przepisami dotyczącymi konkurencji i zamówień publicznych;</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485</w:t>
      </w:r>
      <w:r>
        <w:rPr>
          <w:rStyle w:val="HideTWBExt"/>
        </w:rPr>
        <w:t>&lt;/NumAm&gt;</w:t>
      </w:r>
    </w:p>
    <w:p w:rsidR="007A0039" w:rsidRPr="00EA7539" w:rsidRDefault="007A0039" w:rsidP="007A0039">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19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19a.</w:t>
            </w:r>
            <w:r>
              <w:tab/>
            </w:r>
            <w:r>
              <w:rPr>
                <w:b/>
                <w:i/>
              </w:rPr>
              <w:t>z zadowoleniem przyjmuje przyjęcie 24 maja 2024 r. dyrektywy w sprawie należytej staranności przedsiębiorstw w zakresie zrównoważonego rozwoju, w której ustanowiono normy w zakresie praw człowieka dla dużych przedsiębiorstw działających w UE; popiera dalsze wykorzystywanie jednolitego rynku w celu promowania odpowiedzialnego prowadzenia działalności gospodarczej, z myślą o zapewnieniu, by przedsiębiorstwa przestrzegały norm środowiskowych, społecznych i w zakresie zarządzania zgodnie z zasadą praworządności;</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486</w:t>
      </w:r>
      <w:r>
        <w:rPr>
          <w:rStyle w:val="HideTWBExt"/>
        </w:rPr>
        <w:t>&lt;/NumAm&gt;</w:t>
      </w:r>
    </w:p>
    <w:p w:rsidR="007A0039" w:rsidRPr="00EA7539" w:rsidRDefault="007A0039" w:rsidP="007A0039">
      <w:pPr>
        <w:pStyle w:val="NormalBold"/>
      </w:pPr>
      <w:r>
        <w:rPr>
          <w:rStyle w:val="HideTWBExt"/>
          <w:b w:val="0"/>
        </w:rPr>
        <w:t>&lt;RepeatBlock-By&gt;&lt;Members&gt;</w:t>
      </w:r>
      <w:r>
        <w:t>Jorge Buxadé Villalba, Malika Sorel, Fabrice Leggeri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19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19a.</w:t>
            </w:r>
            <w:r>
              <w:tab/>
            </w:r>
            <w:r>
              <w:rPr>
                <w:b/>
                <w:i/>
              </w:rPr>
              <w:t>wzywa Komisję do zwiększenia kontroli przywozu, aby zagwarantować, że produkty przemysłowe i rolne przywożone do UE z państw trzecich spełniają te same wymogi w zakresie jakości i produkcji, co produkty wytwarzane lokalnie, aby uniknąć nieuczciwej konkurencji;</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487</w:t>
      </w:r>
      <w:r>
        <w:rPr>
          <w:rStyle w:val="HideTWBExt"/>
        </w:rPr>
        <w:t>&lt;/NumAm&gt;</w:t>
      </w:r>
    </w:p>
    <w:p w:rsidR="007A0039" w:rsidRPr="00EA7539" w:rsidRDefault="007A0039" w:rsidP="007A0039">
      <w:pPr>
        <w:pStyle w:val="NormalBold"/>
      </w:pPr>
      <w:r>
        <w:rPr>
          <w:rStyle w:val="HideTWBExt"/>
          <w:b w:val="0"/>
        </w:rPr>
        <w:t>&lt;RepeatBlock-By&gt;&lt;Members&gt;</w:t>
      </w:r>
      <w:r>
        <w:t>Krzysztof Śmiszek, Matjaž Nemec, Robert Biedroń, Katarina Barley, Cecilia Strada, Klára Dobrev, Csaba Molnár, Birgit Sippel</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19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19a.</w:t>
            </w:r>
            <w:r>
              <w:tab/>
            </w:r>
            <w:r>
              <w:rPr>
                <w:b/>
                <w:i/>
              </w:rPr>
              <w:t>podkreśla znaczenie zajęcia się nierównościami gospodarczymi i wykluczeniem społecznym, gdyż zagrażają one demokratycznemu uczestnictwu i praworządności; wzywa państwa członkowskie do wdrożenia opodatkowania progresywnego i solidnych siatek bezpieczeństwa socjalnego;</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488</w:t>
      </w:r>
      <w:r>
        <w:rPr>
          <w:rStyle w:val="HideTWBExt"/>
        </w:rPr>
        <w:t>&lt;/NumAm&gt;</w:t>
      </w:r>
    </w:p>
    <w:p w:rsidR="007A0039" w:rsidRPr="00EA7539" w:rsidRDefault="007A0039" w:rsidP="007A0039">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 Michał Wawrykiewicz</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19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19a.</w:t>
            </w:r>
            <w:r>
              <w:tab/>
            </w:r>
            <w:r>
              <w:rPr>
                <w:b/>
                <w:i/>
              </w:rPr>
              <w:t>podkreśla negatywny wpływ gospodarczy korupcji i słabych systemów sądownictwa na zaufanie inwestorów i współpracę transgraniczną;</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489</w:t>
      </w:r>
      <w:r>
        <w:rPr>
          <w:rStyle w:val="HideTWBExt"/>
        </w:rPr>
        <w:t>&lt;/NumAm&gt;</w:t>
      </w:r>
    </w:p>
    <w:p w:rsidR="007A0039" w:rsidRPr="00EA7539" w:rsidRDefault="007A0039" w:rsidP="007A0039">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19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19b.</w:t>
            </w:r>
            <w:r>
              <w:tab/>
            </w:r>
            <w:r>
              <w:rPr>
                <w:b/>
                <w:i/>
              </w:rPr>
              <w:t>wyraża zaniepokojenie, że rządy i instytucje krajowe, które nie przestrzegają praworządności, mogą pozwolić na rozprzestrzenianie się zachowań antykonkurencyjnych, a nawet aktywnie do nich zachęcać w celu osiągania korzyści politycznych lub gospodarczych, a tym samym mogą potencjalnie szkodzić gospodarce UE i podważać uczciwość jej rynku wewnętrznego (np. w sektorze mediów, handlu detalicznego lub nieruchomości);</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490</w:t>
      </w:r>
      <w:r>
        <w:rPr>
          <w:rStyle w:val="HideTWBExt"/>
        </w:rPr>
        <w:t>&lt;/NumAm&gt;</w:t>
      </w:r>
    </w:p>
    <w:p w:rsidR="007A0039" w:rsidRPr="00EA7539" w:rsidRDefault="007A0039" w:rsidP="007A0039">
      <w:pPr>
        <w:pStyle w:val="NormalBold"/>
      </w:pPr>
      <w:r>
        <w:rPr>
          <w:rStyle w:val="HideTWBExt"/>
          <w:b w:val="0"/>
        </w:rPr>
        <w:t>&lt;RepeatBlock-By&gt;&lt;Members&gt;</w:t>
      </w:r>
      <w:r>
        <w:t>Krzysztof Śmiszek, Matjaž Nemec, Robert Biedroń, Katarina Barley, Cecilia Strada, Klára Dobrev, Csaba Molnár, Alessandro Zan</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19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19b.</w:t>
            </w:r>
            <w:r>
              <w:tab/>
            </w:r>
            <w:r>
              <w:rPr>
                <w:b/>
                <w:i/>
              </w:rPr>
              <w:t>wzywa państwa członkowskie do wzmocnienia ochrony praw pracowniczych, rokowań zbiorowych i wolności związkowych jako podstawowych elementów demokratycznych mechanizmów kontroli i równowagi; z zaniepokojeniem odnotowuje erozję praw pracowniczych w kilku państwach członkowskich;</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491</w:t>
      </w:r>
      <w:r>
        <w:rPr>
          <w:rStyle w:val="HideTWBExt"/>
        </w:rPr>
        <w:t>&lt;/NumAm&gt;</w:t>
      </w:r>
    </w:p>
    <w:p w:rsidR="007A0039" w:rsidRPr="00EA7539" w:rsidRDefault="007A0039" w:rsidP="007A0039">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 Ana Catarina Mendes, Michał Wawrykiewicz</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19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19c.</w:t>
            </w:r>
            <w:r>
              <w:tab/>
            </w:r>
            <w:r>
              <w:rPr>
                <w:b/>
                <w:i/>
              </w:rPr>
              <w:t>wzywa Komisję do wzmocnienia monitorowania gospodarczego aspektu praworządności pod kątem tego, w jaki sposób systemowe braki w zakresie praworządności mogą zakłócać jednolity rynek poprzez nieuczciwą konkurencję, praktyki dyskryminacyjne lub korupcję w zamówieniach publicznych;</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492</w:t>
      </w:r>
      <w:r>
        <w:rPr>
          <w:rStyle w:val="HideTWBExt"/>
        </w:rPr>
        <w:t>&lt;/NumAm&gt;</w:t>
      </w:r>
    </w:p>
    <w:p w:rsidR="007A0039" w:rsidRPr="00EA7539" w:rsidRDefault="007A0039" w:rsidP="007A0039">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 Michał Wawrykiewicz</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19 d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19d.</w:t>
            </w:r>
            <w:r>
              <w:tab/>
            </w:r>
            <w:r>
              <w:rPr>
                <w:b/>
                <w:i/>
              </w:rPr>
              <w:t>zwraca się do Komisji o włączenie do sprawozdania na temat praworządności z 2025 r. specjalnego rozdziału poświęconego aspektowi jednolitego rynku, w którym szczegółowo opisane zostanie, w jaki sposób naruszenia praworządności wpływają na uczciwą konkurencję i funkcjonowanie rynku wewnętrznego we wszystkich państwach członkowskich;</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493</w:t>
      </w:r>
      <w:r>
        <w:rPr>
          <w:rStyle w:val="HideTWBExt"/>
        </w:rPr>
        <w:t>&lt;/NumAm&gt;</w:t>
      </w:r>
    </w:p>
    <w:p w:rsidR="007A0039" w:rsidRPr="00EA7539" w:rsidRDefault="007A0039" w:rsidP="007A0039">
      <w:pPr>
        <w:pStyle w:val="NormalBold"/>
      </w:pPr>
      <w:r>
        <w:rPr>
          <w:rStyle w:val="HideTWBExt"/>
          <w:b w:val="0"/>
        </w:rPr>
        <w:t>&lt;RepeatBlock-By&gt;&lt;Members&gt;</w:t>
      </w:r>
      <w:r>
        <w:t>Moritz Körner, Malik Azmani, Dainius Žalimas, Lucia Yar, Fabienne Keller, Raquel García Hermida-Van Der Walle, Abir Al-Sahlani, Veronika Cifrová Ostrihoňová</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19 e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19e.</w:t>
            </w:r>
            <w:r>
              <w:tab/>
            </w:r>
            <w:r>
              <w:rPr>
                <w:b/>
                <w:i/>
              </w:rPr>
              <w:t>oczekuje, że egzekwowanie prawa konkurencji zostanie włączone do unijnych ram monitorowania praworządności dzięki ustanowieniu wspólnego zespołu Dyrekcji Generalnej ds. Konkurencji i Dyrekcji Generalnej ds. Sprawiedliwości, którego zadaniem będzie skuteczne egzekwowanie środków służących usunięciu zakłócających konkurencję niedociągnięć w zakresie praworządności;</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494</w:t>
      </w:r>
      <w:r>
        <w:rPr>
          <w:rStyle w:val="HideTWBExt"/>
        </w:rPr>
        <w:t>&lt;/NumAm&gt;</w:t>
      </w:r>
    </w:p>
    <w:p w:rsidR="007A0039" w:rsidRPr="00EA7539" w:rsidRDefault="007A0039" w:rsidP="007A0039">
      <w:pPr>
        <w:pStyle w:val="NormalBold"/>
      </w:pPr>
      <w:r>
        <w:rPr>
          <w:rStyle w:val="HideTWBExt"/>
          <w:b w:val="0"/>
        </w:rPr>
        <w:t>&lt;RepeatBlock-By&gt;&lt;Members&gt;</w:t>
      </w:r>
      <w:r>
        <w:t>Lukas Mandl</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Śródtytuł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Narzędzia służące przestrzeganiu praworządności i wymiar gospodarczy</w:t>
            </w:r>
          </w:p>
        </w:tc>
        <w:tc>
          <w:tcPr>
            <w:tcW w:w="4876" w:type="dxa"/>
            <w:tcBorders>
              <w:top w:val="nil"/>
              <w:left w:val="nil"/>
              <w:bottom w:val="nil"/>
              <w:right w:val="nil"/>
            </w:tcBorders>
          </w:tcPr>
          <w:p w:rsidR="007A0039" w:rsidRPr="00EA7539" w:rsidRDefault="007A0039" w:rsidP="008F6778">
            <w:pPr>
              <w:pStyle w:val="Normal6a"/>
            </w:pPr>
            <w:r>
              <w:rPr>
                <w:b/>
                <w:i/>
              </w:rPr>
              <w:t>skreśla się</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495</w:t>
      </w:r>
      <w:r>
        <w:rPr>
          <w:rStyle w:val="HideTWBExt"/>
        </w:rPr>
        <w:t>&lt;/NumAm&gt;</w:t>
      </w:r>
    </w:p>
    <w:p w:rsidR="007A0039" w:rsidRPr="00EA7539" w:rsidRDefault="007A0039" w:rsidP="007A0039">
      <w:pPr>
        <w:pStyle w:val="NormalBold"/>
      </w:pPr>
      <w:r>
        <w:rPr>
          <w:rStyle w:val="HideTWBExt"/>
          <w:b w:val="0"/>
        </w:rPr>
        <w:t>&lt;RepeatBlock-By&gt;&lt;Members&gt;</w:t>
      </w:r>
      <w:r>
        <w:t>Moritz Körner, Hilde Vautmans, Nikola Minchev, Veronika Cifrová Ostrihoňová, Abir Al-Sahlani, Fabienne Keller, Lucia Yar, Irena Joveva</w:t>
      </w:r>
      <w:r>
        <w:rPr>
          <w:rStyle w:val="HideTWBExt"/>
          <w:b w:val="0"/>
        </w:rPr>
        <w:t>&lt;/Members&gt;</w:t>
      </w:r>
    </w:p>
    <w:p w:rsidR="007A0039" w:rsidRPr="00EA7539" w:rsidRDefault="007A0039" w:rsidP="007A0039">
      <w:r>
        <w:rPr>
          <w:rStyle w:val="HideTWBExt"/>
        </w:rPr>
        <w:t>&lt;AuNomDe&gt;</w:t>
      </w:r>
      <w:r>
        <w:rPr>
          <w:rStyle w:val="HideTWBInt"/>
        </w:rPr>
        <w:t>{LIBE}</w:t>
      </w:r>
      <w:r>
        <w:t>w imieniu Komisji Wolności Obywatelskich, Sprawiedliwości i Spraw Wewnętrznych</w:t>
      </w:r>
      <w:r>
        <w:rPr>
          <w:rStyle w:val="HideTWBExt"/>
        </w:rPr>
        <w:t>&lt;/AuNomDe&gt;</w:t>
      </w:r>
    </w:p>
    <w:p w:rsidR="007A0039" w:rsidRPr="00EA7539" w:rsidRDefault="007A0039" w:rsidP="007A0039">
      <w:pPr>
        <w:pStyle w:val="NormalBold"/>
      </w:pPr>
      <w:r>
        <w:rPr>
          <w:rStyle w:val="HideTWBExt"/>
          <w:b w:val="0"/>
        </w:rPr>
        <w:t>&lt;Members&gt;</w:t>
      </w:r>
      <w:r>
        <w:t>Sophie Wilmès</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19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19a.</w:t>
            </w:r>
            <w:r>
              <w:tab/>
            </w:r>
            <w:r>
              <w:rPr>
                <w:b/>
                <w:i/>
              </w:rPr>
              <w:t>wzywa Komisję do włączenia do tego nowego wymiaru wszystkich kwestii związanych z praworządnością, które mają wpływ na przedsiębiorstwa, w szczególności MŚP prowadzące działalność transgraniczną;</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496</w:t>
      </w:r>
      <w:r>
        <w:rPr>
          <w:rStyle w:val="HideTWBExt"/>
        </w:rPr>
        <w:t>&lt;/NumAm&gt;</w:t>
      </w:r>
    </w:p>
    <w:p w:rsidR="007A0039" w:rsidRPr="00EA7539" w:rsidRDefault="007A0039" w:rsidP="007A0039">
      <w:pPr>
        <w:pStyle w:val="NormalBold"/>
      </w:pPr>
      <w:r>
        <w:rPr>
          <w:rStyle w:val="HideTWBExt"/>
          <w:b w:val="0"/>
        </w:rPr>
        <w:t>&lt;RepeatBlock-By&gt;&lt;Members&gt;</w:t>
      </w:r>
      <w:r>
        <w:t>Lukas Mandl</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19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19a.</w:t>
            </w:r>
            <w:r>
              <w:tab/>
            </w:r>
            <w:r>
              <w:rPr>
                <w:b/>
                <w:i/>
              </w:rPr>
              <w:t>podkreśla, że nieprzestrzeganie i obchodzenie przepisów europejskich prowadzi do ogromnych zakłóceń konkurencji na rynku wewnętrznym; wzywa do położenia większego nacisku na jednolite i szybkie stosowanie, wdrażanie i egzekwowanie obowiązującego prawodawstwa;</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497</w:t>
      </w:r>
      <w:r>
        <w:rPr>
          <w:rStyle w:val="HideTWBExt"/>
        </w:rPr>
        <w:t>&lt;/NumAm&gt;</w:t>
      </w:r>
    </w:p>
    <w:p w:rsidR="007A0039" w:rsidRPr="00EA7539" w:rsidRDefault="007A0039" w:rsidP="007A0039">
      <w:pPr>
        <w:pStyle w:val="NormalBold"/>
      </w:pPr>
      <w:r>
        <w:rPr>
          <w:rStyle w:val="HideTWBExt"/>
          <w:b w:val="0"/>
        </w:rPr>
        <w:t>&lt;RepeatBlock-By&gt;&lt;Members&gt;</w:t>
      </w:r>
      <w:r>
        <w:t>Nicolas Bay</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20.</w:t>
            </w:r>
            <w:r>
              <w:tab/>
            </w:r>
            <w:r>
              <w:rPr>
                <w:b/>
                <w:i/>
              </w:rPr>
              <w:t>wzywa Komisję, by dalej tworzyła bezpośrednie powiązania między instrumentami zapobiegawczymi i instrumentami reagowania oraz by wszczynała postępowania w sprawie uchybienia zobowiązaniom państwa członkowskiego przez stosowanie art. 7 TUE, ogólnego mechanizmu warunkowości i horyzontalnych warunków podstawowych określonych w Karcie;</w:t>
            </w:r>
          </w:p>
        </w:tc>
        <w:tc>
          <w:tcPr>
            <w:tcW w:w="4876" w:type="dxa"/>
            <w:tcBorders>
              <w:top w:val="nil"/>
              <w:left w:val="nil"/>
              <w:bottom w:val="nil"/>
              <w:right w:val="nil"/>
            </w:tcBorders>
          </w:tcPr>
          <w:p w:rsidR="007A0039" w:rsidRPr="00EA7539" w:rsidRDefault="007A0039" w:rsidP="008F6778">
            <w:pPr>
              <w:pStyle w:val="Normal6a"/>
            </w:pPr>
            <w:r>
              <w:rPr>
                <w:b/>
                <w:i/>
              </w:rPr>
              <w:t>skreśla się</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{FR}</w:t>
      </w:r>
      <w:r w:rsidRPr="00EA7539">
        <w:t>fr</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498</w:t>
      </w:r>
      <w:r>
        <w:rPr>
          <w:rStyle w:val="HideTWBExt"/>
        </w:rPr>
        <w:t>&lt;/NumAm&gt;</w:t>
      </w:r>
    </w:p>
    <w:p w:rsidR="007A0039" w:rsidRPr="00EA7539" w:rsidRDefault="007A0039" w:rsidP="007A0039">
      <w:pPr>
        <w:pStyle w:val="NormalBold"/>
      </w:pPr>
      <w:r>
        <w:rPr>
          <w:rStyle w:val="HideTWBExt"/>
          <w:b w:val="0"/>
        </w:rPr>
        <w:t>&lt;RepeatBlock-By&gt;&lt;Members&gt;</w:t>
      </w:r>
      <w:r>
        <w:t>Alessandro Ciriani, Paolo Inselvini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20.</w:t>
            </w:r>
            <w:r>
              <w:tab/>
            </w:r>
            <w:r>
              <w:rPr>
                <w:b/>
                <w:i/>
              </w:rPr>
              <w:t>wzywa Komisję, by dalej tworzyła bezpośrednie powiązania między instrumentami zapobiegawczymi i instrumentami reagowania oraz by wszczynała postępowania w sprawie uchybienia zobowiązaniom państwa członkowskiego przez stosowanie art. 7 TUE, ogólnego mechanizmu warunkowości i horyzontalnych warunków podstawowych określonych w Karcie;</w:t>
            </w:r>
          </w:p>
        </w:tc>
        <w:tc>
          <w:tcPr>
            <w:tcW w:w="4876" w:type="dxa"/>
            <w:tcBorders>
              <w:top w:val="nil"/>
              <w:left w:val="nil"/>
              <w:bottom w:val="nil"/>
              <w:right w:val="nil"/>
            </w:tcBorders>
          </w:tcPr>
          <w:p w:rsidR="007A0039" w:rsidRPr="00EA7539" w:rsidRDefault="007A0039" w:rsidP="008F6778">
            <w:pPr>
              <w:pStyle w:val="Normal6a"/>
            </w:pPr>
            <w:r>
              <w:rPr>
                <w:b/>
                <w:i/>
              </w:rPr>
              <w:t>skreśla się</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{IT}</w:t>
      </w:r>
      <w:r w:rsidRPr="00EA7539">
        <w:t>it</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499</w:t>
      </w:r>
      <w:r>
        <w:rPr>
          <w:rStyle w:val="HideTWBExt"/>
        </w:rPr>
        <w:t>&lt;/NumAm&gt;</w:t>
      </w:r>
    </w:p>
    <w:p w:rsidR="007A0039" w:rsidRPr="00EA7539" w:rsidRDefault="007A0039" w:rsidP="007A0039">
      <w:pPr>
        <w:pStyle w:val="NormalBold"/>
      </w:pPr>
      <w:r>
        <w:rPr>
          <w:rStyle w:val="HideTWBExt"/>
          <w:b w:val="0"/>
        </w:rPr>
        <w:t>&lt;RepeatBlock-By&gt;&lt;Members&gt;</w:t>
      </w:r>
      <w:r>
        <w:t>Jorge Buxadé Villalba, Marieke Ehlers, Malika Sorel, Fabrice Leggeri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20.</w:t>
            </w:r>
            <w:r>
              <w:tab/>
            </w:r>
            <w:r>
              <w:rPr>
                <w:b/>
                <w:i/>
              </w:rPr>
              <w:t>wzywa Komisję, by dalej tworzyła bezpośrednie powiązania między instrumentami zapobiegawczymi i instrumentami reagowania oraz by wszczynała postępowania w sprawie uchybienia zobowiązaniom państwa członkowskiego przez stosowanie art. 7 TUE, ogólnego mechanizmu warunkowości i horyzontalnych warunków podstawowych określonych w Karcie;</w:t>
            </w:r>
          </w:p>
        </w:tc>
        <w:tc>
          <w:tcPr>
            <w:tcW w:w="4876" w:type="dxa"/>
            <w:tcBorders>
              <w:top w:val="nil"/>
              <w:left w:val="nil"/>
              <w:bottom w:val="nil"/>
              <w:right w:val="nil"/>
            </w:tcBorders>
          </w:tcPr>
          <w:p w:rsidR="007A0039" w:rsidRPr="00EA7539" w:rsidRDefault="007A0039" w:rsidP="008F6778">
            <w:pPr>
              <w:pStyle w:val="Normal6a"/>
            </w:pPr>
            <w:r>
              <w:rPr>
                <w:b/>
                <w:i/>
              </w:rPr>
              <w:t>skreśla się</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500</w:t>
      </w:r>
      <w:r>
        <w:rPr>
          <w:rStyle w:val="HideTWBExt"/>
        </w:rPr>
        <w:t>&lt;/NumAm&gt;</w:t>
      </w:r>
    </w:p>
    <w:p w:rsidR="007A0039" w:rsidRPr="00EA7539" w:rsidRDefault="007A0039" w:rsidP="007A0039">
      <w:pPr>
        <w:pStyle w:val="NormalBold"/>
      </w:pPr>
      <w:r>
        <w:rPr>
          <w:rStyle w:val="HideTWBExt"/>
          <w:b w:val="0"/>
        </w:rPr>
        <w:t>&lt;RepeatBlock-By&gt;&lt;Members&gt;</w:t>
      </w:r>
      <w:r>
        <w:t>Daniel Freund</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20.</w:t>
            </w:r>
            <w:r>
              <w:tab/>
              <w:t>wzywa Komisję, by dalej tworzyła bezpośrednie powiązania między instrumentami zapobiegawczymi i instrumentami reagowania oraz by wszczynała postępowania w sprawie uchybienia zobowiązaniom państwa członkowskiego</w:t>
            </w:r>
            <w:r>
              <w:rPr>
                <w:b/>
                <w:i/>
              </w:rPr>
              <w:t xml:space="preserve"> przez stosowanie</w:t>
            </w:r>
            <w:r>
              <w:t xml:space="preserve"> art. 7 TUE, ogólnego </w:t>
            </w:r>
            <w:r>
              <w:rPr>
                <w:b/>
                <w:i/>
              </w:rPr>
              <w:t>mechanizmu</w:t>
            </w:r>
            <w:r>
              <w:t xml:space="preserve"> warunkowości i </w:t>
            </w:r>
            <w:r>
              <w:rPr>
                <w:b/>
                <w:i/>
              </w:rPr>
              <w:t>horyzontalnych warunków podstawowych określonych</w:t>
            </w:r>
            <w:r>
              <w:t xml:space="preserve"> w </w:t>
            </w:r>
            <w:r>
              <w:rPr>
                <w:b/>
                <w:i/>
              </w:rPr>
              <w:t>Karcie</w:t>
            </w:r>
            <w:r>
              <w:t>;</w:t>
            </w:r>
          </w:p>
        </w:tc>
        <w:tc>
          <w:tcPr>
            <w:tcW w:w="4876" w:type="dxa"/>
            <w:tcBorders>
              <w:top w:val="nil"/>
              <w:left w:val="nil"/>
              <w:bottom w:val="nil"/>
              <w:right w:val="nil"/>
            </w:tcBorders>
          </w:tcPr>
          <w:p w:rsidR="007A0039" w:rsidRPr="00EA7539" w:rsidRDefault="007A0039" w:rsidP="008F6778">
            <w:pPr>
              <w:pStyle w:val="Normal6a"/>
            </w:pPr>
            <w:r>
              <w:t>20.</w:t>
            </w:r>
            <w:r>
              <w:tab/>
              <w:t xml:space="preserve">wzywa Komisję, by dalej tworzyła bezpośrednie powiązania między instrumentami zapobiegawczymi i instrumentami reagowania oraz by </w:t>
            </w:r>
            <w:r>
              <w:rPr>
                <w:b/>
                <w:i/>
              </w:rPr>
              <w:t xml:space="preserve">szybko, zdecydowanie i w sposób skoordynowany </w:t>
            </w:r>
            <w:r>
              <w:t>wszczynała postępowania w sprawie uchybienia zobowiązaniom państwa członkowskiego</w:t>
            </w:r>
            <w:r>
              <w:rPr>
                <w:b/>
                <w:i/>
              </w:rPr>
              <w:t>, stosowała</w:t>
            </w:r>
            <w:r>
              <w:t xml:space="preserve"> art. 7 TUE, </w:t>
            </w:r>
            <w:r>
              <w:rPr>
                <w:b/>
                <w:i/>
              </w:rPr>
              <w:t xml:space="preserve">rozporządzenie w sprawie </w:t>
            </w:r>
            <w:r>
              <w:t xml:space="preserve">ogólnego </w:t>
            </w:r>
            <w:r>
              <w:rPr>
                <w:b/>
                <w:i/>
              </w:rPr>
              <w:t>systemu</w:t>
            </w:r>
            <w:r>
              <w:t xml:space="preserve"> warunkowości </w:t>
            </w:r>
            <w:r>
              <w:rPr>
                <w:b/>
                <w:i/>
              </w:rPr>
              <w:t xml:space="preserve">oraz odpowiednie przepisy rozporządzenia finansowego </w:t>
            </w:r>
            <w:r>
              <w:t xml:space="preserve">i </w:t>
            </w:r>
            <w:r>
              <w:rPr>
                <w:b/>
                <w:i/>
              </w:rPr>
              <w:t>rozporządzenia w sprawie wspólnych przepisów,</w:t>
            </w:r>
            <w:r>
              <w:t xml:space="preserve"> w </w:t>
            </w:r>
            <w:r>
              <w:rPr>
                <w:b/>
                <w:i/>
              </w:rPr>
              <w:t>przypadku gdy roczne sprawozdanie na temat praworządności wskazuje na naruszenia praworządności;</w:t>
            </w:r>
            <w:r>
              <w:t xml:space="preserve"> </w:t>
            </w:r>
            <w:r>
              <w:rPr>
                <w:b/>
                <w:i/>
              </w:rPr>
              <w:t>podkreśla, że zarówno uruchomienie instrumentów reagowania, jak i zamknięcie odpowiednich procedur musi opierać się na obiektywnych kryteriach dotyczących zgodności z zasadami praworządności oraz z prawem UE i prawem międzynarodowym interpretowanym przez właściwe organy, a nie na względach politycznych lub wyniku negocjacji;</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sidRPr="00EA7539">
        <w:rPr>
          <w:rStyle w:val="HideTWBExt"/>
        </w:rPr>
        <w:t>&lt;Amend&gt;</w:t>
      </w:r>
      <w:r w:rsidRPr="00EA7539">
        <w:t>Poprawka</w:t>
      </w:r>
      <w:r w:rsidRPr="00EA7539">
        <w:tab/>
      </w:r>
      <w:r w:rsidRPr="00EA7539">
        <w:tab/>
      </w:r>
      <w:r w:rsidRPr="00EA7539">
        <w:rPr>
          <w:rStyle w:val="HideTWBExt"/>
        </w:rPr>
        <w:t>&lt;NumAm&gt;</w:t>
      </w:r>
      <w:r w:rsidRPr="00EA7539">
        <w:t>501</w:t>
      </w:r>
      <w:r w:rsidRPr="00EA7539">
        <w:rPr>
          <w:rStyle w:val="HideTWBExt"/>
        </w:rPr>
        <w:t>&lt;/NumAm&gt;</w:t>
      </w:r>
    </w:p>
    <w:p w:rsidR="007A0039" w:rsidRPr="00EA7539" w:rsidRDefault="007A0039" w:rsidP="007A0039">
      <w:pPr>
        <w:pStyle w:val="NormalBold"/>
      </w:pPr>
      <w:r w:rsidRPr="00EA7539">
        <w:rPr>
          <w:rStyle w:val="HideTWBExt"/>
          <w:b w:val="0"/>
        </w:rPr>
        <w:t>&lt;RepeatBlock-By&gt;&lt;Members&gt;</w:t>
      </w:r>
      <w:r w:rsidRPr="00EA7539">
        <w:t>Mariusz Kamiński, Joachim Stanisław Brudziński, Jadwiga Wiśniewska, Maciej Wąsik, Jacek Ozdoba</w:t>
      </w:r>
      <w:r w:rsidRPr="00EA7539">
        <w:rPr>
          <w:rStyle w:val="HideTWBExt"/>
          <w:b w:val="0"/>
        </w:rPr>
        <w:t>&lt;/Members&gt;</w:t>
      </w:r>
    </w:p>
    <w:p w:rsidR="007A0039" w:rsidRPr="00EA7539" w:rsidRDefault="007A0039" w:rsidP="007A0039">
      <w:pPr>
        <w:pStyle w:val="NormalBold"/>
      </w:pPr>
      <w:r w:rsidRPr="00EA7539">
        <w:rPr>
          <w:rStyle w:val="HideTWBExt"/>
          <w:b w:val="0"/>
        </w:rPr>
        <w:t>&lt;/RepeatBlock-By&gt;</w:t>
      </w:r>
    </w:p>
    <w:p w:rsidR="007A0039" w:rsidRPr="00EA7539" w:rsidRDefault="007A0039" w:rsidP="007A0039">
      <w:pPr>
        <w:pStyle w:val="NormalBold"/>
      </w:pPr>
      <w:r w:rsidRPr="00EA7539">
        <w:rPr>
          <w:rStyle w:val="HideTWBExt"/>
        </w:rPr>
        <w:t>&lt;DocAmend&gt;</w:t>
      </w:r>
      <w:r w:rsidRPr="00EA7539">
        <w:t>Projekt rezolucji</w:t>
      </w:r>
      <w:r w:rsidRPr="00EA7539">
        <w:rPr>
          <w:rStyle w:val="HideTWBExt"/>
        </w:rPr>
        <w:t>&lt;/DocAmend&gt;</w:t>
      </w:r>
    </w:p>
    <w:p w:rsidR="007A0039" w:rsidRPr="00EA7539" w:rsidRDefault="007A0039" w:rsidP="007A0039">
      <w:pPr>
        <w:pStyle w:val="NormalBold"/>
      </w:pPr>
      <w:r w:rsidRPr="00EA7539">
        <w:rPr>
          <w:rStyle w:val="HideTWBExt"/>
        </w:rPr>
        <w:t>&lt;Article&gt;</w:t>
      </w:r>
      <w:r w:rsidRPr="00EA7539">
        <w:t>Ustęp 20</w:t>
      </w:r>
      <w:r w:rsidRPr="00EA7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RPr="00EA75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RPr="00EA75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rsidRPr="00EA7539">
              <w:t>Projekt rezolucji</w:t>
            </w:r>
          </w:p>
        </w:tc>
        <w:tc>
          <w:tcPr>
            <w:tcW w:w="4876" w:type="dxa"/>
            <w:tcBorders>
              <w:top w:val="nil"/>
              <w:left w:val="nil"/>
              <w:bottom w:val="nil"/>
              <w:right w:val="nil"/>
            </w:tcBorders>
          </w:tcPr>
          <w:p w:rsidR="007A0039" w:rsidRPr="00EA7539" w:rsidRDefault="007A0039" w:rsidP="008F6778">
            <w:pPr>
              <w:pStyle w:val="AmColumnHeading"/>
            </w:pPr>
            <w:r w:rsidRPr="00EA7539">
              <w:t>Poprawka</w:t>
            </w:r>
          </w:p>
        </w:tc>
      </w:tr>
      <w:tr w:rsidR="007A0039" w:rsidRPr="00EA7539" w:rsidTr="008F6778">
        <w:trPr>
          <w:jc w:val="center"/>
        </w:trPr>
        <w:tc>
          <w:tcPr>
            <w:tcW w:w="4876" w:type="dxa"/>
            <w:tcBorders>
              <w:top w:val="nil"/>
              <w:left w:val="nil"/>
              <w:bottom w:val="nil"/>
              <w:right w:val="nil"/>
            </w:tcBorders>
          </w:tcPr>
          <w:p w:rsidR="007A0039" w:rsidRPr="00EA7539" w:rsidRDefault="007A0039" w:rsidP="008F6778">
            <w:pPr>
              <w:pStyle w:val="Normal6a"/>
            </w:pPr>
            <w:r w:rsidRPr="00EA7539">
              <w:t>20.</w:t>
            </w:r>
            <w:r w:rsidRPr="00EA7539">
              <w:tab/>
              <w:t xml:space="preserve">wzywa Komisję, by </w:t>
            </w:r>
            <w:r w:rsidRPr="00EA7539">
              <w:rPr>
                <w:b/>
                <w:i/>
              </w:rPr>
              <w:t>dalej tworzyła bezpośrednie</w:t>
            </w:r>
            <w:r w:rsidRPr="00EA7539">
              <w:t xml:space="preserve"> powiązania między instrumentami zapobiegawczymi </w:t>
            </w:r>
            <w:r w:rsidRPr="00EA7539">
              <w:rPr>
                <w:b/>
                <w:i/>
              </w:rPr>
              <w:t>i</w:t>
            </w:r>
            <w:r w:rsidRPr="00EA7539">
              <w:t xml:space="preserve"> instrumentami reagowania oraz by </w:t>
            </w:r>
            <w:r w:rsidRPr="00EA7539">
              <w:rPr>
                <w:b/>
                <w:i/>
              </w:rPr>
              <w:t>wszczynała</w:t>
            </w:r>
            <w:r w:rsidRPr="00EA7539">
              <w:t xml:space="preserve"> postępowania w sprawie uchybienia zobowiązaniom państwa członkowskiego przez stosowanie art. 7 TUE, </w:t>
            </w:r>
            <w:r w:rsidRPr="00EA7539">
              <w:rPr>
                <w:b/>
                <w:i/>
              </w:rPr>
              <w:t>ogólnego</w:t>
            </w:r>
            <w:r w:rsidRPr="00EA7539">
              <w:t xml:space="preserve"> mechanizmu </w:t>
            </w:r>
            <w:r w:rsidRPr="00EA7539">
              <w:rPr>
                <w:b/>
                <w:i/>
              </w:rPr>
              <w:t>warunkowości i horyzontalnych warunków podstawowych określonych w Karcie</w:t>
            </w:r>
            <w:r w:rsidRPr="00EA7539">
              <w:t>;</w:t>
            </w:r>
          </w:p>
        </w:tc>
        <w:tc>
          <w:tcPr>
            <w:tcW w:w="4876" w:type="dxa"/>
            <w:tcBorders>
              <w:top w:val="nil"/>
              <w:left w:val="nil"/>
              <w:bottom w:val="nil"/>
              <w:right w:val="nil"/>
            </w:tcBorders>
          </w:tcPr>
          <w:p w:rsidR="007A0039" w:rsidRPr="00EA7539" w:rsidRDefault="007A0039" w:rsidP="008F6778">
            <w:pPr>
              <w:pStyle w:val="Normal6a"/>
            </w:pPr>
            <w:r w:rsidRPr="00EA7539">
              <w:t>20.</w:t>
            </w:r>
            <w:r w:rsidRPr="00EA7539">
              <w:tab/>
              <w:t xml:space="preserve">wzywa Komisję, by </w:t>
            </w:r>
            <w:r w:rsidRPr="00EA7539">
              <w:rPr>
                <w:b/>
                <w:i/>
              </w:rPr>
              <w:t>przeanalizowała podstawy traktatowe bezpośredniego</w:t>
            </w:r>
            <w:r w:rsidRPr="00EA7539">
              <w:t xml:space="preserve"> powiązania między instrumentami zapobiegawczymi </w:t>
            </w:r>
            <w:r w:rsidRPr="00EA7539">
              <w:rPr>
                <w:b/>
                <w:i/>
              </w:rPr>
              <w:t>a</w:t>
            </w:r>
            <w:r w:rsidRPr="00EA7539">
              <w:t xml:space="preserve"> instrumentami reagowania</w:t>
            </w:r>
            <w:r w:rsidRPr="00EA7539">
              <w:rPr>
                <w:b/>
                <w:i/>
              </w:rPr>
              <w:t>, i zaprzestała pozatraktatowego rozszerzania kompetencji UE na nigdy nie przekazane jej przez państwa członkowskie obszary, takie jak organizacja wymiaru sprawiedliwości,</w:t>
            </w:r>
            <w:r w:rsidRPr="00EA7539">
              <w:t xml:space="preserve"> oraz by </w:t>
            </w:r>
            <w:r w:rsidRPr="00EA7539">
              <w:rPr>
                <w:b/>
                <w:i/>
              </w:rPr>
              <w:t>nie nadużywała i nie upolityczniała procedury wszczynania</w:t>
            </w:r>
            <w:r w:rsidRPr="00EA7539">
              <w:t xml:space="preserve"> postępowania w sprawie uchybienia zobowiązaniom państwa członkowskiego przez stosowanie art. 7 TUE, </w:t>
            </w:r>
            <w:r w:rsidRPr="00EA7539">
              <w:rPr>
                <w:b/>
                <w:i/>
              </w:rPr>
              <w:t>będącego jedynym traktatowym mechanizmem ochrony wartości; podkreśla, że Traktaty nie zapewniają żadnej podstawy prawnej, która uprawniałaby instytucje do stworzenia nowego</w:t>
            </w:r>
            <w:r w:rsidRPr="00EA7539">
              <w:t xml:space="preserve"> mechanizmu </w:t>
            </w:r>
            <w:r w:rsidRPr="00EA7539">
              <w:rPr>
                <w:b/>
                <w:i/>
              </w:rPr>
              <w:t>nadzoru nad poszanowaniem praworządności przez państwa członkowskie</w:t>
            </w:r>
            <w:r w:rsidRPr="00EA7539">
              <w:t>;</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{PL}</w:t>
      </w:r>
      <w:r w:rsidRPr="00EA7539">
        <w:t>pl</w:t>
      </w:r>
      <w:r w:rsidRPr="00EA7539">
        <w:rPr>
          <w:rStyle w:val="HideTWBExt"/>
        </w:rPr>
        <w:t>&lt;/Original&gt;</w:t>
      </w:r>
    </w:p>
    <w:p w:rsidR="007A0039" w:rsidRPr="00EA7539" w:rsidRDefault="007A0039" w:rsidP="007A0039">
      <w:r w:rsidRPr="00EA7539">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502</w:t>
      </w:r>
      <w:r>
        <w:rPr>
          <w:rStyle w:val="HideTWBExt"/>
        </w:rPr>
        <w:t>&lt;/NumAm&gt;</w:t>
      </w:r>
    </w:p>
    <w:p w:rsidR="007A0039" w:rsidRPr="00EA7539" w:rsidRDefault="007A0039" w:rsidP="007A0039">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Moritz Körner, Michał Wawrykiewicz, Cecilia Strada</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20.</w:t>
            </w:r>
            <w:r>
              <w:tab/>
              <w:t>wzywa Komisję, by dalej tworzyła bezpośrednie powiązania między instrumentami zapobiegawczymi i instrumentami reagowania oraz by wszczynała postępowania w sprawie uchybienia zobowiązaniom państwa członkowskiego przez stosowanie art. 7 TUE, ogólnego mechanizmu warunkowości i horyzontalnych warunków podstawowych określonych w Karcie;</w:t>
            </w:r>
          </w:p>
        </w:tc>
        <w:tc>
          <w:tcPr>
            <w:tcW w:w="4876" w:type="dxa"/>
            <w:tcBorders>
              <w:top w:val="nil"/>
              <w:left w:val="nil"/>
              <w:bottom w:val="nil"/>
              <w:right w:val="nil"/>
            </w:tcBorders>
          </w:tcPr>
          <w:p w:rsidR="007A0039" w:rsidRPr="00EA7539" w:rsidRDefault="007A0039" w:rsidP="008F6778">
            <w:pPr>
              <w:pStyle w:val="Normal6a"/>
            </w:pPr>
            <w:r>
              <w:t>20.</w:t>
            </w:r>
            <w:r>
              <w:tab/>
            </w:r>
            <w:r>
              <w:rPr>
                <w:b/>
                <w:i/>
              </w:rPr>
              <w:t>z zadowoleniem przyjmuje narzędzia zapobiegawcze w zestawie narzędzi praworządności, takie jak roczny cykl praworządności, unijna tablica wyników wymiaru sprawiedliwości, europejski semestr, fundusze UE wspierające społeczeństwo obywatelskie, sieci sądowe, pluralizm i wolność mediów oraz wprowadzenie kamieni milowych związanych z praworządnością do Instrumentu na rzecz Odbudowy i Zwiększania Odporności;</w:t>
            </w:r>
            <w:r>
              <w:t xml:space="preserve"> wzywa Komisję, by dalej tworzyła bezpośrednie powiązania między instrumentami zapobiegawczymi i instrumentami reagowania oraz by wszczynała postępowania w sprawie uchybienia zobowiązaniom państwa członkowskiego przez stosowanie art. 7 TUE, ogólnego mechanizmu warunkowości i horyzontalnych warunków podstawowych określonych w Karcie;</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503</w:t>
      </w:r>
      <w:r>
        <w:rPr>
          <w:rStyle w:val="HideTWBExt"/>
        </w:rPr>
        <w:t>&lt;/NumAm&gt;</w:t>
      </w:r>
    </w:p>
    <w:p w:rsidR="007A0039" w:rsidRPr="00EA7539" w:rsidRDefault="007A0039" w:rsidP="007A0039">
      <w:pPr>
        <w:pStyle w:val="NormalBold"/>
      </w:pPr>
      <w:r>
        <w:rPr>
          <w:rStyle w:val="HideTWBExt"/>
          <w:b w:val="0"/>
        </w:rPr>
        <w:t>&lt;RepeatBlock-By&gt;&lt;Members&gt;</w:t>
      </w:r>
      <w:r>
        <w:t>András László</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20.</w:t>
            </w:r>
            <w:r>
              <w:tab/>
            </w:r>
            <w:r>
              <w:rPr>
                <w:b/>
                <w:i/>
              </w:rPr>
              <w:t>wzywa Komisję</w:t>
            </w:r>
            <w:r>
              <w:t xml:space="preserve">, </w:t>
            </w:r>
            <w:r>
              <w:rPr>
                <w:b/>
                <w:i/>
              </w:rPr>
              <w:t>by dalej tworzyła bezpośrednie powiązania między instrumentami zapobiegawczymi i instrumentami reagowania oraz by wszczynała postępowania w sprawie uchybienia zobowiązaniom państwa członkowskiego przez stosowanie art. 7 TUE, ogólnego mechanizmu warunkowości i horyzontalnych warunków podstawowych określonych w Karcie</w:t>
            </w:r>
            <w:r>
              <w:t>;</w:t>
            </w:r>
          </w:p>
        </w:tc>
        <w:tc>
          <w:tcPr>
            <w:tcW w:w="4876" w:type="dxa"/>
            <w:tcBorders>
              <w:top w:val="nil"/>
              <w:left w:val="nil"/>
              <w:bottom w:val="nil"/>
              <w:right w:val="nil"/>
            </w:tcBorders>
          </w:tcPr>
          <w:p w:rsidR="007A0039" w:rsidRPr="00EA7539" w:rsidRDefault="007A0039" w:rsidP="008F6778">
            <w:pPr>
              <w:pStyle w:val="Normal6a"/>
            </w:pPr>
            <w:r>
              <w:t>20.</w:t>
            </w:r>
            <w:r>
              <w:tab/>
            </w:r>
            <w:r>
              <w:rPr>
                <w:b/>
                <w:i/>
              </w:rPr>
              <w:t>podkreśla</w:t>
            </w:r>
            <w:r>
              <w:t xml:space="preserve">, </w:t>
            </w:r>
            <w:r>
              <w:rPr>
                <w:b/>
                <w:i/>
              </w:rPr>
              <w:t>że sprawozdanie to nie może być podstawą do jakichkolwiek dalszych mechanizmów ani procedur unijnych</w:t>
            </w:r>
            <w:r>
              <w:t>;</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504</w:t>
      </w:r>
      <w:r>
        <w:rPr>
          <w:rStyle w:val="HideTWBExt"/>
        </w:rPr>
        <w:t>&lt;/NumAm&gt;</w:t>
      </w:r>
    </w:p>
    <w:p w:rsidR="007A0039" w:rsidRPr="00EA7539" w:rsidRDefault="007A0039" w:rsidP="007A0039">
      <w:pPr>
        <w:pStyle w:val="NormalBold"/>
      </w:pPr>
      <w:r>
        <w:rPr>
          <w:rStyle w:val="HideTWBExt"/>
          <w:b w:val="0"/>
        </w:rPr>
        <w:t>&lt;RepeatBlock-By&gt;&lt;Members&gt;</w:t>
      </w:r>
      <w:r>
        <w:t>Erik Kaliňák</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20.</w:t>
            </w:r>
            <w:r>
              <w:tab/>
              <w:t xml:space="preserve">wzywa Komisję, by </w:t>
            </w:r>
            <w:r>
              <w:rPr>
                <w:b/>
                <w:i/>
              </w:rPr>
              <w:t>dalej tworzyła bezpośrednie powiązania między instrumentami zapobiegawczymi i instrumentami reagowania</w:t>
            </w:r>
            <w:r>
              <w:t xml:space="preserve"> oraz </w:t>
            </w:r>
            <w:r>
              <w:rPr>
                <w:b/>
                <w:i/>
              </w:rPr>
              <w:t>by wszczynała postępowania w sprawie uchybienia zobowiązaniom państwa członkowskiego przez stosowanie art. 7 TUE</w:t>
            </w:r>
            <w:r>
              <w:t xml:space="preserve">, </w:t>
            </w:r>
            <w:r>
              <w:rPr>
                <w:b/>
                <w:i/>
              </w:rPr>
              <w:t>ogólnego mechanizmu warunkowości i horyzontalnych warunków podstawowych określonych w Karcie</w:t>
            </w:r>
            <w:r>
              <w:t>;</w:t>
            </w:r>
          </w:p>
        </w:tc>
        <w:tc>
          <w:tcPr>
            <w:tcW w:w="4876" w:type="dxa"/>
            <w:tcBorders>
              <w:top w:val="nil"/>
              <w:left w:val="nil"/>
              <w:bottom w:val="nil"/>
              <w:right w:val="nil"/>
            </w:tcBorders>
          </w:tcPr>
          <w:p w:rsidR="007A0039" w:rsidRPr="00EA7539" w:rsidRDefault="007A0039" w:rsidP="008F6778">
            <w:pPr>
              <w:pStyle w:val="Normal6a"/>
            </w:pPr>
            <w:r>
              <w:t>20.</w:t>
            </w:r>
            <w:r>
              <w:tab/>
              <w:t xml:space="preserve">wzywa Komisję, by </w:t>
            </w:r>
            <w:r>
              <w:rPr>
                <w:b/>
                <w:i/>
              </w:rPr>
              <w:t>wykorzystywała istniejące narzędzia i mechanizmy ochrony praworządności</w:t>
            </w:r>
            <w:r>
              <w:t xml:space="preserve"> oraz </w:t>
            </w:r>
            <w:r>
              <w:rPr>
                <w:b/>
                <w:i/>
              </w:rPr>
              <w:t>powstrzymała się od tworzenia nowych</w:t>
            </w:r>
            <w:r>
              <w:t xml:space="preserve">, </w:t>
            </w:r>
            <w:r>
              <w:rPr>
                <w:b/>
                <w:i/>
              </w:rPr>
              <w:t>zdublowanych instrumentów</w:t>
            </w:r>
            <w:r>
              <w:t>;</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{SK}</w:t>
      </w:r>
      <w:r w:rsidRPr="00EA7539">
        <w:t>sk</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505</w:t>
      </w:r>
      <w:r>
        <w:rPr>
          <w:rStyle w:val="HideTWBExt"/>
        </w:rPr>
        <w:t>&lt;/NumAm&gt;</w:t>
      </w:r>
    </w:p>
    <w:p w:rsidR="007A0039" w:rsidRPr="00EA7539" w:rsidRDefault="007A0039" w:rsidP="007A0039">
      <w:pPr>
        <w:pStyle w:val="NormalBold"/>
      </w:pPr>
      <w:r>
        <w:rPr>
          <w:rStyle w:val="HideTWBExt"/>
          <w:b w:val="0"/>
        </w:rPr>
        <w:t>&lt;RepeatBlock-By&gt;&lt;Members&gt;</w:t>
      </w:r>
      <w:r>
        <w:t>Chloé Ridel, Jean-Marc Germain, Emma Rafowicz</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20.</w:t>
            </w:r>
            <w:r>
              <w:tab/>
              <w:t>wzywa Komisję, by dalej tworzyła bezpośrednie powiązania między instrumentami zapobiegawczymi i instrumentami reagowania oraz by wszczynała postępowania w sprawie uchybienia zobowiązaniom państwa członkowskiego przez stosowanie art. 7 TUE, ogólnego mechanizmu warunkowości i horyzontalnych warunków podstawowych określonych w Karcie;</w:t>
            </w:r>
          </w:p>
        </w:tc>
        <w:tc>
          <w:tcPr>
            <w:tcW w:w="4876" w:type="dxa"/>
            <w:tcBorders>
              <w:top w:val="nil"/>
              <w:left w:val="nil"/>
              <w:bottom w:val="nil"/>
              <w:right w:val="nil"/>
            </w:tcBorders>
          </w:tcPr>
          <w:p w:rsidR="007A0039" w:rsidRPr="00EA7539" w:rsidRDefault="007A0039" w:rsidP="008F6778">
            <w:pPr>
              <w:pStyle w:val="Normal6a"/>
            </w:pPr>
            <w:r>
              <w:t>20.</w:t>
            </w:r>
            <w:r>
              <w:tab/>
              <w:t xml:space="preserve">wzywa Komisję, by dalej tworzyła bezpośrednie powiązania między instrumentami zapobiegawczymi i instrumentami reagowania oraz by wszczynała postępowania w sprawie uchybienia zobowiązaniom państwa członkowskiego przez stosowanie art. 7 TUE, ogólnego mechanizmu warunkowości i </w:t>
            </w:r>
            <w:r>
              <w:rPr>
                <w:b/>
                <w:i/>
              </w:rPr>
              <w:t xml:space="preserve">innych warstw ochrony budżetu UE, w tym </w:t>
            </w:r>
            <w:r>
              <w:t>horyzontalnych warunków podstawowych określonych w Karcie;</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506</w:t>
      </w:r>
      <w:r>
        <w:rPr>
          <w:rStyle w:val="HideTWBExt"/>
        </w:rPr>
        <w:t>&lt;/NumAm&gt;</w:t>
      </w:r>
    </w:p>
    <w:p w:rsidR="007A0039" w:rsidRPr="00EA7539" w:rsidRDefault="007A0039" w:rsidP="007A0039">
      <w:pPr>
        <w:pStyle w:val="NormalBold"/>
      </w:pPr>
      <w:r>
        <w:rPr>
          <w:rStyle w:val="HideTWBExt"/>
          <w:b w:val="0"/>
        </w:rPr>
        <w:t>&lt;RepeatBlock-By&gt;&lt;Members&gt;</w:t>
      </w:r>
      <w:r>
        <w:t>Tomáš Zdechovský</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20.</w:t>
            </w:r>
            <w:r>
              <w:tab/>
              <w:t>wzywa Komisję, by dalej tworzyła bezpośrednie powiązania między instrumentami zapobiegawczymi i instrumentami reagowania oraz by wszczynała postępowania w sprawie uchybienia zobowiązaniom państwa członkowskiego przez stosowanie art. 7 TUE, ogólnego mechanizmu warunkowości i horyzontalnych warunków podstawowych określonych w Karcie;</w:t>
            </w:r>
          </w:p>
        </w:tc>
        <w:tc>
          <w:tcPr>
            <w:tcW w:w="4876" w:type="dxa"/>
            <w:tcBorders>
              <w:top w:val="nil"/>
              <w:left w:val="nil"/>
              <w:bottom w:val="nil"/>
              <w:right w:val="nil"/>
            </w:tcBorders>
          </w:tcPr>
          <w:p w:rsidR="007A0039" w:rsidRPr="00EA7539" w:rsidRDefault="007A0039" w:rsidP="008F6778">
            <w:pPr>
              <w:pStyle w:val="Normal6a"/>
            </w:pPr>
            <w:r>
              <w:t>20.</w:t>
            </w:r>
            <w:r>
              <w:tab/>
              <w:t xml:space="preserve">wzywa Komisję, by dalej tworzyła bezpośrednie powiązania między instrumentami zapobiegawczymi i instrumentami reagowania oraz by wszczynała postępowania w sprawie uchybienia zobowiązaniom państwa członkowskiego przez </w:t>
            </w:r>
            <w:r>
              <w:rPr>
                <w:b/>
                <w:i/>
              </w:rPr>
              <w:t xml:space="preserve">bezpośrednie </w:t>
            </w:r>
            <w:r>
              <w:t>stosowanie art. 7 TUE, ogólnego mechanizmu warunkowości i horyzontalnych warunków podstawowych określonych w Karcie;</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sidRPr="00EA7539">
        <w:rPr>
          <w:rStyle w:val="HideTWBExt"/>
        </w:rPr>
        <w:t>&lt;Amend&gt;</w:t>
      </w:r>
      <w:r w:rsidRPr="00EA7539">
        <w:t>Poprawka</w:t>
      </w:r>
      <w:r w:rsidRPr="00EA7539">
        <w:tab/>
      </w:r>
      <w:r w:rsidRPr="00EA7539">
        <w:tab/>
      </w:r>
      <w:r w:rsidRPr="00EA7539">
        <w:rPr>
          <w:rStyle w:val="HideTWBExt"/>
        </w:rPr>
        <w:t>&lt;NumAm&gt;</w:t>
      </w:r>
      <w:r w:rsidRPr="00EA7539">
        <w:t>507</w:t>
      </w:r>
      <w:r w:rsidRPr="00EA7539">
        <w:rPr>
          <w:rStyle w:val="HideTWBExt"/>
        </w:rPr>
        <w:t>&lt;/NumAm&gt;</w:t>
      </w:r>
    </w:p>
    <w:p w:rsidR="007A0039" w:rsidRPr="00EA7539" w:rsidRDefault="007A0039" w:rsidP="007A0039">
      <w:pPr>
        <w:pStyle w:val="NormalBold"/>
      </w:pPr>
      <w:r w:rsidRPr="00EA7539">
        <w:rPr>
          <w:rStyle w:val="HideTWBExt"/>
          <w:b w:val="0"/>
        </w:rPr>
        <w:t>&lt;RepeatBlock-By&gt;&lt;Members&gt;</w:t>
      </w:r>
      <w:r w:rsidRPr="00EA7539">
        <w:t>Mariusz Kamiński, Joachim Stanisław Brudziński, Jadwiga Wiśniewska, Maciej Wąsik, Jacek Ozdoba</w:t>
      </w:r>
      <w:r w:rsidRPr="00EA7539">
        <w:rPr>
          <w:rStyle w:val="HideTWBExt"/>
          <w:b w:val="0"/>
        </w:rPr>
        <w:t>&lt;/Members&gt;</w:t>
      </w:r>
    </w:p>
    <w:p w:rsidR="007A0039" w:rsidRPr="00EA7539" w:rsidRDefault="007A0039" w:rsidP="007A0039">
      <w:pPr>
        <w:pStyle w:val="NormalBold"/>
      </w:pPr>
      <w:r w:rsidRPr="00EA7539">
        <w:rPr>
          <w:rStyle w:val="HideTWBExt"/>
          <w:b w:val="0"/>
        </w:rPr>
        <w:t>&lt;/RepeatBlock-By&gt;</w:t>
      </w:r>
    </w:p>
    <w:p w:rsidR="007A0039" w:rsidRPr="00EA7539" w:rsidRDefault="007A0039" w:rsidP="007A0039">
      <w:pPr>
        <w:pStyle w:val="NormalBold"/>
      </w:pPr>
      <w:r w:rsidRPr="00EA7539">
        <w:rPr>
          <w:rStyle w:val="HideTWBExt"/>
        </w:rPr>
        <w:t>&lt;DocAmend&gt;</w:t>
      </w:r>
      <w:r w:rsidRPr="00EA7539">
        <w:t>Projekt rezolucji</w:t>
      </w:r>
      <w:r w:rsidRPr="00EA7539">
        <w:rPr>
          <w:rStyle w:val="HideTWBExt"/>
        </w:rPr>
        <w:t>&lt;/DocAmend&gt;</w:t>
      </w:r>
    </w:p>
    <w:p w:rsidR="007A0039" w:rsidRPr="00EA7539" w:rsidRDefault="007A0039" w:rsidP="007A0039">
      <w:pPr>
        <w:pStyle w:val="NormalBold"/>
      </w:pPr>
      <w:r w:rsidRPr="00EA7539">
        <w:rPr>
          <w:rStyle w:val="HideTWBExt"/>
        </w:rPr>
        <w:t>&lt;Article&gt;</w:t>
      </w:r>
      <w:r w:rsidRPr="00EA7539">
        <w:t>Ustęp 20 a (nowy)</w:t>
      </w:r>
      <w:r w:rsidRPr="00EA7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RPr="00EA75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RPr="00EA75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rsidRPr="00EA7539">
              <w:t>Projekt rezolucji</w:t>
            </w:r>
          </w:p>
        </w:tc>
        <w:tc>
          <w:tcPr>
            <w:tcW w:w="4876" w:type="dxa"/>
            <w:tcBorders>
              <w:top w:val="nil"/>
              <w:left w:val="nil"/>
              <w:bottom w:val="nil"/>
              <w:right w:val="nil"/>
            </w:tcBorders>
          </w:tcPr>
          <w:p w:rsidR="007A0039" w:rsidRPr="00EA7539" w:rsidRDefault="007A0039" w:rsidP="008F6778">
            <w:pPr>
              <w:pStyle w:val="AmColumnHeading"/>
            </w:pPr>
            <w:r w:rsidRPr="00EA7539">
              <w:t>Poprawka</w:t>
            </w:r>
          </w:p>
        </w:tc>
      </w:tr>
      <w:tr w:rsidR="007A0039" w:rsidRPr="00EA75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20</w:t>
            </w:r>
            <w:r w:rsidRPr="00EA7539">
              <w:rPr>
                <w:b/>
                <w:i/>
              </w:rPr>
              <w:t>a.</w:t>
            </w:r>
            <w:r w:rsidRPr="00EA7539">
              <w:tab/>
            </w:r>
            <w:r w:rsidRPr="00EA7539">
              <w:rPr>
                <w:b/>
                <w:i/>
              </w:rPr>
              <w:t>potępia zdecydowanie polityczny sposób wykorzystywania art. 7 TUE do szantażowania państw członkowskich oraz realizowania w ten sposób politycznych celów niektórych innych państw członkowskich i sił politycznych oraz pozatraktatowego poszerzania kompetencji UE; ubolewa nad nieuzasadnionym wszczęciem postępowania z art. 7 TUE wobec Polski i następnie wykorzystywanie go do gry politycznej; zauważa z niesmakiem, że zakończenie procedury wobec Polski miało miejsce zaraz po wyborach parlamentarnych w Polsce, a tuż przed wyborami do Parlamentu Europejskiego i wbrew szantażowi wobec poprzedniego rządu, nie zostało poprzedzone przez wprowadzenie jakichkolwiek zmian legislacyjnych, co jednoznacznie pokazuje polityczny aspekt wykorzystywania rzekomych naruszeń praworządności;</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{PL}</w:t>
      </w:r>
      <w:r w:rsidRPr="00EA7539">
        <w:t>pl</w:t>
      </w:r>
      <w:r w:rsidRPr="00EA7539">
        <w:rPr>
          <w:rStyle w:val="HideTWBExt"/>
        </w:rPr>
        <w:t>&lt;/Original&gt;</w:t>
      </w:r>
    </w:p>
    <w:p w:rsidR="007A0039" w:rsidRPr="00EA7539" w:rsidRDefault="007A0039" w:rsidP="007A0039">
      <w:r w:rsidRPr="00EA7539">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508</w:t>
      </w:r>
      <w:r>
        <w:rPr>
          <w:rStyle w:val="HideTWBExt"/>
        </w:rPr>
        <w:t>&lt;/NumAm&gt;</w:t>
      </w:r>
    </w:p>
    <w:p w:rsidR="007A0039" w:rsidRPr="00EA7539" w:rsidRDefault="007A0039" w:rsidP="007A0039">
      <w:pPr>
        <w:pStyle w:val="NormalBold"/>
      </w:pPr>
      <w:r>
        <w:rPr>
          <w:rStyle w:val="HideTWBExt"/>
          <w:b w:val="0"/>
        </w:rPr>
        <w:t>&lt;RepeatBlock-By&gt;&lt;Members&gt;</w:t>
      </w:r>
      <w:r>
        <w:t>Jorge Buxadé Villalba, Marieke Ehlers, Malika Sorel, Fabrice Leggeri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20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20a.</w:t>
            </w:r>
            <w:r>
              <w:tab/>
            </w:r>
            <w:r>
              <w:rPr>
                <w:b/>
                <w:i/>
              </w:rPr>
              <w:t>wzywa Komisję do powstrzymania się od posługiwania się wypłatami funduszy UE jako bronią polityczną służącą ingerowaniu w procesy demokratyczne państw członkowskich; podkreśla w związku z tym znaczenie silnych ram prawnych w celu zapobiegania korupcji i sprzeniewierzaniu funduszy UE oraz znaczenie jednakowego stosowania tych ram prawnych we wszystkich państwach członkowskich;</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509</w:t>
      </w:r>
      <w:r>
        <w:rPr>
          <w:rStyle w:val="HideTWBExt"/>
        </w:rPr>
        <w:t>&lt;/NumAm&gt;</w:t>
      </w:r>
    </w:p>
    <w:p w:rsidR="007A0039" w:rsidRPr="00EA7539" w:rsidRDefault="007A0039" w:rsidP="007A0039">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Michał Wawrykiewicz, Cecilia Strada</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20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20a.</w:t>
            </w:r>
            <w:r>
              <w:tab/>
            </w:r>
            <w:r>
              <w:rPr>
                <w:b/>
                <w:i/>
              </w:rPr>
              <w:t>ubolewa nad brakiem brak postępów w toczących się procedurach na podstawie art. 7 ust. 1 TUE; nalega, aby we wszystkich postępowaniach związanych z art. 7 TUE Parlament mógł przedstawiać Radzie uzasadniony wniosek, uczestniczyć w wysłuchaniach na podstawie art. 7 TUE oraz niezwłocznie otrzymywać pełne informacje na każdym etapie procedury;</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510</w:t>
      </w:r>
      <w:r>
        <w:rPr>
          <w:rStyle w:val="HideTWBExt"/>
        </w:rPr>
        <w:t>&lt;/NumAm&gt;</w:t>
      </w:r>
    </w:p>
    <w:p w:rsidR="007A0039" w:rsidRPr="00EA7539" w:rsidRDefault="007A0039" w:rsidP="007A0039">
      <w:pPr>
        <w:pStyle w:val="NormalBold"/>
      </w:pPr>
      <w:r>
        <w:rPr>
          <w:rStyle w:val="HideTWBExt"/>
          <w:b w:val="0"/>
        </w:rPr>
        <w:t>&lt;RepeatBlock-By&gt;&lt;Members&gt;</w:t>
      </w:r>
      <w:r>
        <w:t>Moritz Körner, Malik Azmani, Dainius Žalimas, Lucia Yar, Fabienne Keller, Sophie Wilmès, Raquel García Hermida-Van Der Walle, Abir Al-Sahlani, Michał Wawrykiewicz</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20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20a.</w:t>
            </w:r>
            <w:r>
              <w:tab/>
            </w:r>
            <w:r>
              <w:rPr>
                <w:b/>
                <w:i/>
              </w:rPr>
              <w:t>ubolewa nad tym, że Rada nie poczyniła postępów w związku z toczącymi się procedurami wszczętymi na podstawie art. 7 TUE z myślą o zapewnieniu właściwego stosowania Traktatów, co osłabiło wiarygodność UE, jeżeli chodzi o jej zdolność do utrzymania praworządności;</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511</w:t>
      </w:r>
      <w:r>
        <w:rPr>
          <w:rStyle w:val="HideTWBExt"/>
        </w:rPr>
        <w:t>&lt;/NumAm&gt;</w:t>
      </w:r>
    </w:p>
    <w:p w:rsidR="007A0039" w:rsidRPr="00EA7539" w:rsidRDefault="007A0039" w:rsidP="007A0039">
      <w:pPr>
        <w:pStyle w:val="NormalBold"/>
      </w:pPr>
      <w:r>
        <w:rPr>
          <w:rStyle w:val="HideTWBExt"/>
          <w:b w:val="0"/>
        </w:rPr>
        <w:t>&lt;RepeatBlock-By&gt;&lt;Members&gt;</w:t>
      </w:r>
      <w:r>
        <w:t>Alessandro Ciriani, Paolo Inselvini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20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20a.</w:t>
            </w:r>
            <w:r>
              <w:tab/>
            </w:r>
            <w:r>
              <w:rPr>
                <w:b/>
                <w:i/>
              </w:rPr>
              <w:t>podkreśla, że procedury określone w art. 7 TUE mają na celu ochronę wartości UE; wzywa Komisję do stosowania mechanizmu warunkowości w sposób sprawiedliwy, przejrzysty i bezstronny;</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{IT}</w:t>
      </w:r>
      <w:r w:rsidRPr="00EA7539">
        <w:t>it</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512</w:t>
      </w:r>
      <w:r>
        <w:rPr>
          <w:rStyle w:val="HideTWBExt"/>
        </w:rPr>
        <w:t>&lt;/NumAm&gt;</w:t>
      </w:r>
    </w:p>
    <w:p w:rsidR="007A0039" w:rsidRPr="00EA7539" w:rsidRDefault="007A0039" w:rsidP="007A0039">
      <w:pPr>
        <w:pStyle w:val="NormalBold"/>
      </w:pPr>
      <w:r>
        <w:rPr>
          <w:rStyle w:val="HideTWBExt"/>
          <w:b w:val="0"/>
        </w:rPr>
        <w:t>&lt;RepeatBlock-By&gt;&lt;Members&gt;</w:t>
      </w:r>
      <w:r>
        <w:t>Lukas Mandl</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20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20a.</w:t>
            </w:r>
            <w:r>
              <w:tab/>
            </w:r>
            <w:r>
              <w:rPr>
                <w:b/>
                <w:i/>
              </w:rPr>
              <w:t xml:space="preserve">wzywa Komisję do „dodania aspektu jednolitego rynku do sprawozdania na temat praworządności w celu uwzględnienia kwestii związanych z praworządnością, które mają wpływ na przedsiębiorstwa, zwłaszcza MŚP, prowadzące działalność transgraniczną”. </w:t>
            </w:r>
            <w:r>
              <w:rPr>
                <w:b/>
                <w:i/>
                <w:vertAlign w:val="superscript"/>
              </w:rPr>
              <w:t>1b</w:t>
            </w:r>
          </w:p>
        </w:tc>
      </w:tr>
      <w:tr w:rsidR="007A0039" w:rsidTr="008F6778">
        <w:trPr>
          <w:jc w:val="center"/>
        </w:trPr>
        <w:tc>
          <w:tcPr>
            <w:tcW w:w="4876" w:type="dxa"/>
            <w:tcBorders>
              <w:top w:val="nil"/>
              <w:left w:val="nil"/>
              <w:bottom w:val="nil"/>
              <w:right w:val="nil"/>
            </w:tcBorders>
          </w:tcPr>
          <w:p w:rsidR="007A0039" w:rsidRPr="00EA7539" w:rsidRDefault="007A0039" w:rsidP="008F6778"/>
        </w:tc>
        <w:tc>
          <w:tcPr>
            <w:tcW w:w="4876" w:type="dxa"/>
            <w:tcBorders>
              <w:top w:val="nil"/>
              <w:left w:val="nil"/>
              <w:bottom w:val="nil"/>
              <w:right w:val="nil"/>
            </w:tcBorders>
          </w:tcPr>
          <w:p w:rsidR="007A0039" w:rsidRPr="00EA7539" w:rsidRDefault="007A0039" w:rsidP="008F6778">
            <w:pPr>
              <w:pStyle w:val="Normal6a"/>
            </w:pPr>
            <w:r>
              <w:rPr>
                <w:b/>
                <w:i/>
              </w:rPr>
              <w:t>_________________</w:t>
            </w:r>
          </w:p>
        </w:tc>
      </w:tr>
      <w:tr w:rsidR="007A0039" w:rsidTr="008F6778">
        <w:trPr>
          <w:jc w:val="center"/>
        </w:trPr>
        <w:tc>
          <w:tcPr>
            <w:tcW w:w="4876" w:type="dxa"/>
            <w:tcBorders>
              <w:top w:val="nil"/>
              <w:left w:val="nil"/>
              <w:bottom w:val="nil"/>
              <w:right w:val="nil"/>
            </w:tcBorders>
          </w:tcPr>
          <w:p w:rsidR="007A0039" w:rsidRPr="00EA7539" w:rsidRDefault="007A0039" w:rsidP="008F6778"/>
        </w:tc>
        <w:tc>
          <w:tcPr>
            <w:tcW w:w="4876" w:type="dxa"/>
            <w:tcBorders>
              <w:top w:val="nil"/>
              <w:left w:val="nil"/>
              <w:bottom w:val="nil"/>
              <w:right w:val="nil"/>
            </w:tcBorders>
          </w:tcPr>
          <w:p w:rsidR="007A0039" w:rsidRPr="00EA7539" w:rsidRDefault="007A0039" w:rsidP="008F6778">
            <w:pPr>
              <w:pStyle w:val="Normal6a"/>
            </w:pPr>
            <w:r>
              <w:rPr>
                <w:b/>
                <w:i/>
                <w:vertAlign w:val="superscript"/>
              </w:rPr>
              <w:t>1b</w:t>
            </w:r>
            <w:r>
              <w:t xml:space="preserve"> </w:t>
            </w:r>
            <w:r>
              <w:rPr>
                <w:b/>
                <w:i/>
              </w:rPr>
              <w:t>Z pisma określającego zadania skierowanego do komisarza McGrath</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513</w:t>
      </w:r>
      <w:r>
        <w:rPr>
          <w:rStyle w:val="HideTWBExt"/>
        </w:rPr>
        <w:t>&lt;/NumAm&gt;</w:t>
      </w:r>
    </w:p>
    <w:p w:rsidR="007A0039" w:rsidRPr="00EA7539" w:rsidRDefault="007A0039" w:rsidP="007A0039">
      <w:pPr>
        <w:pStyle w:val="NormalBold"/>
      </w:pPr>
      <w:r>
        <w:rPr>
          <w:rStyle w:val="HideTWBExt"/>
          <w:b w:val="0"/>
        </w:rPr>
        <w:t>&lt;RepeatBlock-By&gt;&lt;Members&gt;</w:t>
      </w:r>
      <w:r>
        <w:t>Chloé Ridel, Jean-Marc Germain, Emma Rafowicz</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20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20a.</w:t>
            </w:r>
            <w:r>
              <w:tab/>
            </w:r>
            <w:r>
              <w:rPr>
                <w:b/>
                <w:i/>
              </w:rPr>
              <w:t>apeluje do Komisji, aby począwszy od 2025 r. w rocznym sprawozdaniu na temat praworządności przedstawiała zakres, w jakim zidentyfikowane niedociągnięcia w systemach praworządności mogą stanowić zagrożenie dla budżetu Unii;</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514</w:t>
      </w:r>
      <w:r>
        <w:rPr>
          <w:rStyle w:val="HideTWBExt"/>
        </w:rPr>
        <w:t>&lt;/NumAm&gt;</w:t>
      </w:r>
    </w:p>
    <w:p w:rsidR="007A0039" w:rsidRPr="00EA7539" w:rsidRDefault="007A0039" w:rsidP="007A0039">
      <w:pPr>
        <w:pStyle w:val="NormalBold"/>
      </w:pPr>
      <w:r>
        <w:rPr>
          <w:rStyle w:val="HideTWBExt"/>
          <w:b w:val="0"/>
        </w:rPr>
        <w:t>&lt;RepeatBlock-By&gt;&lt;Members&gt;</w:t>
      </w:r>
      <w:r>
        <w:t>Lukas Mandl</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20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20b.</w:t>
            </w:r>
            <w:r>
              <w:tab/>
            </w:r>
            <w:r>
              <w:rPr>
                <w:b/>
                <w:i/>
              </w:rPr>
              <w:t>ponownie potępia zgłaszane i nadal mające miejsce systemowe dyskryminujące, nieprzejrzyste i nieuczciwe praktyki wobec przedsiębiorstw w niektórych sektorach na Węgrzech oraz wykorzystywanie unijnych środków finansowych do wzbogacania sojuszników politycznych rządu, co jest sprzeczne z unijnymi przepisami dotyczącymi konkurencji i zamówień publicznych; wyraża głębokie zaniepokojenie coraz większą koncentracją przedsiębiorstw w rękach oligarchów posiadających powiązania z obecnym rządem, którzy publicznie zasygnalizowali chęć dokonania zakupów w tych kluczowych sektorach, a także działaniami ukierunkowanymi na konkurentów tych przedsiębiorstw;</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515</w:t>
      </w:r>
      <w:r>
        <w:rPr>
          <w:rStyle w:val="HideTWBExt"/>
        </w:rPr>
        <w:t>&lt;/NumAm&gt;</w:t>
      </w:r>
    </w:p>
    <w:p w:rsidR="007A0039" w:rsidRPr="00EA7539" w:rsidRDefault="007A0039" w:rsidP="007A0039">
      <w:pPr>
        <w:pStyle w:val="NormalBold"/>
      </w:pPr>
      <w:r>
        <w:rPr>
          <w:rStyle w:val="HideTWBExt"/>
          <w:b w:val="0"/>
        </w:rPr>
        <w:t>&lt;RepeatBlock-By&gt;&lt;Members&gt;</w:t>
      </w:r>
      <w:r>
        <w:t>Alessandro Ciriani, Paolo Inselvini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21.</w:t>
            </w:r>
            <w:r>
              <w:tab/>
            </w:r>
            <w:r>
              <w:rPr>
                <w:b/>
                <w:i/>
              </w:rPr>
              <w:t>podkreśla, że potrzebny jest kompleksowy mechanizm warunkowości gwarantujący zgodność z zasadami praworządności całego prawodawstwa UE, a nie tylko jego wymiaru budżetowego; wzywa Komisję do przedstawienia wniosku rozszerzającego zakres tego mechanizmu;</w:t>
            </w:r>
          </w:p>
        </w:tc>
        <w:tc>
          <w:tcPr>
            <w:tcW w:w="4876" w:type="dxa"/>
            <w:tcBorders>
              <w:top w:val="nil"/>
              <w:left w:val="nil"/>
              <w:bottom w:val="nil"/>
              <w:right w:val="nil"/>
            </w:tcBorders>
          </w:tcPr>
          <w:p w:rsidR="007A0039" w:rsidRPr="00EA7539" w:rsidRDefault="007A0039" w:rsidP="008F6778">
            <w:pPr>
              <w:pStyle w:val="Normal6a"/>
            </w:pPr>
            <w:r>
              <w:rPr>
                <w:b/>
                <w:i/>
              </w:rPr>
              <w:t>skreśla się</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{IT}</w:t>
      </w:r>
      <w:r w:rsidRPr="00EA7539">
        <w:t>it</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516</w:t>
      </w:r>
      <w:r>
        <w:rPr>
          <w:rStyle w:val="HideTWBExt"/>
        </w:rPr>
        <w:t>&lt;/NumAm&gt;</w:t>
      </w:r>
    </w:p>
    <w:p w:rsidR="007A0039" w:rsidRPr="00EA7539" w:rsidRDefault="007A0039" w:rsidP="007A0039">
      <w:pPr>
        <w:pStyle w:val="NormalBold"/>
      </w:pPr>
      <w:r>
        <w:rPr>
          <w:rStyle w:val="HideTWBExt"/>
          <w:b w:val="0"/>
        </w:rPr>
        <w:t>&lt;RepeatBlock-By&gt;&lt;Members&gt;</w:t>
      </w:r>
      <w:r>
        <w:t>Nicolas Bay</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21.</w:t>
            </w:r>
            <w:r>
              <w:tab/>
            </w:r>
            <w:r>
              <w:rPr>
                <w:b/>
                <w:i/>
              </w:rPr>
              <w:t>podkreśla, że potrzebny jest kompleksowy mechanizm warunkowości gwarantujący zgodność z zasadami praworządności całego prawodawstwa UE, a nie tylko jego wymiaru budżetowego; wzywa Komisję do przedstawienia wniosku rozszerzającego zakres tego mechanizmu;</w:t>
            </w:r>
          </w:p>
        </w:tc>
        <w:tc>
          <w:tcPr>
            <w:tcW w:w="4876" w:type="dxa"/>
            <w:tcBorders>
              <w:top w:val="nil"/>
              <w:left w:val="nil"/>
              <w:bottom w:val="nil"/>
              <w:right w:val="nil"/>
            </w:tcBorders>
          </w:tcPr>
          <w:p w:rsidR="007A0039" w:rsidRPr="00EA7539" w:rsidRDefault="007A0039" w:rsidP="008F6778">
            <w:pPr>
              <w:pStyle w:val="Normal6a"/>
            </w:pPr>
            <w:r>
              <w:rPr>
                <w:b/>
                <w:i/>
              </w:rPr>
              <w:t>skreśla się</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{FR}</w:t>
      </w:r>
      <w:r w:rsidRPr="00EA7539">
        <w:t>fr</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517</w:t>
      </w:r>
      <w:r>
        <w:rPr>
          <w:rStyle w:val="HideTWBExt"/>
        </w:rPr>
        <w:t>&lt;/NumAm&gt;</w:t>
      </w:r>
    </w:p>
    <w:p w:rsidR="007A0039" w:rsidRPr="00EA7539" w:rsidRDefault="007A0039" w:rsidP="007A0039">
      <w:pPr>
        <w:pStyle w:val="NormalBold"/>
      </w:pPr>
      <w:r>
        <w:rPr>
          <w:rStyle w:val="HideTWBExt"/>
          <w:b w:val="0"/>
        </w:rPr>
        <w:t>&lt;RepeatBlock-By&gt;&lt;Members&gt;</w:t>
      </w:r>
      <w:r>
        <w:t>Jorge Buxadé Villalba, Marieke Ehlers, Malika Sorel, Fabrice Leggeri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21.</w:t>
            </w:r>
            <w:r>
              <w:tab/>
            </w:r>
            <w:r>
              <w:rPr>
                <w:b/>
                <w:i/>
              </w:rPr>
              <w:t>podkreśla, że potrzebny jest kompleksowy mechanizm warunkowości gwarantujący zgodność z zasadami praworządności całego prawodawstwa UE, a nie tylko jego wymiaru budżetowego; wzywa Komisję do przedstawienia wniosku rozszerzającego zakres tego mechanizmu;</w:t>
            </w:r>
          </w:p>
        </w:tc>
        <w:tc>
          <w:tcPr>
            <w:tcW w:w="4876" w:type="dxa"/>
            <w:tcBorders>
              <w:top w:val="nil"/>
              <w:left w:val="nil"/>
              <w:bottom w:val="nil"/>
              <w:right w:val="nil"/>
            </w:tcBorders>
          </w:tcPr>
          <w:p w:rsidR="007A0039" w:rsidRPr="00EA7539" w:rsidRDefault="007A0039" w:rsidP="008F6778">
            <w:pPr>
              <w:pStyle w:val="Normal6a"/>
            </w:pPr>
            <w:r>
              <w:rPr>
                <w:b/>
                <w:i/>
              </w:rPr>
              <w:t>skreśla się</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518</w:t>
      </w:r>
      <w:r>
        <w:rPr>
          <w:rStyle w:val="HideTWBExt"/>
        </w:rPr>
        <w:t>&lt;/NumAm&gt;</w:t>
      </w:r>
    </w:p>
    <w:p w:rsidR="007A0039" w:rsidRPr="00EA7539" w:rsidRDefault="007A0039" w:rsidP="007A0039">
      <w:pPr>
        <w:pStyle w:val="NormalBold"/>
      </w:pPr>
      <w:r>
        <w:rPr>
          <w:rStyle w:val="HideTWBExt"/>
          <w:b w:val="0"/>
        </w:rPr>
        <w:t>&lt;RepeatBlock-By&gt;&lt;Members&gt;</w:t>
      </w:r>
      <w:r>
        <w:t>Daniel Freund</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21.</w:t>
            </w:r>
            <w:r>
              <w:tab/>
              <w:t xml:space="preserve">podkreśla, że potrzebny jest kompleksowy </w:t>
            </w:r>
            <w:r>
              <w:rPr>
                <w:b/>
                <w:i/>
              </w:rPr>
              <w:t>mechanizm warunkowości</w:t>
            </w:r>
            <w:r>
              <w:t xml:space="preserve"> gwarantujący zgodność</w:t>
            </w:r>
            <w:r>
              <w:rPr>
                <w:b/>
                <w:i/>
              </w:rPr>
              <w:t xml:space="preserve"> z zasadami praworządności</w:t>
            </w:r>
            <w:r>
              <w:t xml:space="preserve"> całego prawodawstwa UE, a nie tylko jego wymiaru budżetowego; wzywa Komisję do przedstawienia wniosku rozszerzającego zakres tego </w:t>
            </w:r>
            <w:r>
              <w:rPr>
                <w:b/>
                <w:i/>
              </w:rPr>
              <w:t>mechanizmu</w:t>
            </w:r>
            <w:r>
              <w:t>;</w:t>
            </w:r>
          </w:p>
        </w:tc>
        <w:tc>
          <w:tcPr>
            <w:tcW w:w="4876" w:type="dxa"/>
            <w:tcBorders>
              <w:top w:val="nil"/>
              <w:left w:val="nil"/>
              <w:bottom w:val="nil"/>
              <w:right w:val="nil"/>
            </w:tcBorders>
          </w:tcPr>
          <w:p w:rsidR="007A0039" w:rsidRPr="00EA7539" w:rsidRDefault="007A0039" w:rsidP="008F6778">
            <w:pPr>
              <w:pStyle w:val="Normal6a"/>
            </w:pPr>
            <w:r>
              <w:t>21.</w:t>
            </w:r>
            <w:r>
              <w:tab/>
              <w:t xml:space="preserve">podkreśla, że potrzebny jest kompleksowy </w:t>
            </w:r>
            <w:r>
              <w:rPr>
                <w:b/>
                <w:i/>
              </w:rPr>
              <w:t>zestaw narzędzi</w:t>
            </w:r>
            <w:r>
              <w:t xml:space="preserve"> gwarantujący zgodność całego prawodawstwa UE, a nie tylko jego wymiaru budżetowego</w:t>
            </w:r>
            <w:r>
              <w:rPr>
                <w:b/>
                <w:i/>
              </w:rPr>
              <w:t>, z zasadami praworządności i innymi zasadami zapisanymi w art. 2 TUE;</w:t>
            </w:r>
            <w:r>
              <w:t xml:space="preserve"> </w:t>
            </w:r>
            <w:r>
              <w:rPr>
                <w:b/>
                <w:i/>
              </w:rPr>
              <w:t>nalega, aby zestaw narzędzi obejmował wszystkie wartości Unii, cały budżet UE i nie powodował erozji we wszystkich instrumentach; podkreśla potrzebę znacznie większej przejrzystości i spójności w odniesieniu do stosowania narzędzi ochrony wartości Unii oraz potrzebę wzmocnienia roli Parlamentu w stosowaniu i kontroli takich środków; podkreśla ponadto potrzebę spójności między instrumentami przy ocenie naruszeń praworządności i innych wartości w państwach członkowskich;</w:t>
            </w:r>
            <w:r>
              <w:t xml:space="preserve"> wzywa Komisję do</w:t>
            </w:r>
            <w:r>
              <w:rPr>
                <w:b/>
                <w:i/>
              </w:rPr>
              <w:t xml:space="preserve"> zidentyfikowania luk</w:t>
            </w:r>
            <w:r>
              <w:t xml:space="preserve"> przedstawienia wniosku rozszerzającego zakres tego </w:t>
            </w:r>
            <w:r>
              <w:rPr>
                <w:b/>
                <w:i/>
              </w:rPr>
              <w:t>zestawu narzędzi;</w:t>
            </w:r>
            <w:r>
              <w:t xml:space="preserve"> </w:t>
            </w:r>
            <w:r>
              <w:rPr>
                <w:b/>
                <w:i/>
              </w:rPr>
              <w:t>wskazuje, że zasada wzajemnego uznawania powinna zostać zawieszona w przypadku systemowych naruszeń;</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519</w:t>
      </w:r>
      <w:r>
        <w:rPr>
          <w:rStyle w:val="HideTWBExt"/>
        </w:rPr>
        <w:t>&lt;/NumAm&gt;</w:t>
      </w:r>
    </w:p>
    <w:p w:rsidR="007A0039" w:rsidRPr="00EA7539" w:rsidRDefault="007A0039" w:rsidP="007A0039">
      <w:pPr>
        <w:pStyle w:val="NormalBold"/>
      </w:pPr>
      <w:r>
        <w:rPr>
          <w:rStyle w:val="HideTWBExt"/>
          <w:b w:val="0"/>
        </w:rPr>
        <w:t>&lt;RepeatBlock-By&gt;&lt;Members&gt;</w:t>
      </w:r>
      <w:r>
        <w:t>Tomas Tobé, Mika Aaltola, Pekka Toveri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21.</w:t>
            </w:r>
            <w:r>
              <w:tab/>
              <w:t>podkreśla, że potrzebny jest kompleksowy mechanizm warunkowości gwarantujący zgodność z zasadami praworządności całego prawodawstwa UE, a nie tylko jego wymiaru budżetowego; wzywa Komisję do przedstawienia wniosku rozszerzającego zakres tego mechanizmu;</w:t>
            </w:r>
          </w:p>
        </w:tc>
        <w:tc>
          <w:tcPr>
            <w:tcW w:w="4876" w:type="dxa"/>
            <w:tcBorders>
              <w:top w:val="nil"/>
              <w:left w:val="nil"/>
              <w:bottom w:val="nil"/>
              <w:right w:val="nil"/>
            </w:tcBorders>
          </w:tcPr>
          <w:p w:rsidR="007A0039" w:rsidRPr="00EA7539" w:rsidRDefault="007A0039" w:rsidP="008F6778">
            <w:pPr>
              <w:pStyle w:val="Normal6a"/>
            </w:pPr>
            <w:r>
              <w:t>21.</w:t>
            </w:r>
            <w:r>
              <w:tab/>
              <w:t xml:space="preserve">podkreśla, że potrzebny jest kompleksowy mechanizm warunkowości gwarantujący zgodność z zasadami praworządności całego prawodawstwa UE, a nie tylko jego wymiaru budżetowego; wzywa Komisję do przedstawienia wniosku rozszerzającego zakres tego mechanizmu; </w:t>
            </w:r>
            <w:r>
              <w:rPr>
                <w:b/>
                <w:i/>
              </w:rPr>
              <w:t>w związku z tym popiera sugestie przedstawione 16 września 2024 r. przez rządy Finlandii i Szwecji, wzywające Komisję do stosowania kompleksowego podejścia do poszanowania praworządności, w szczególności poprzez wzmocnione stosowanie rozporządzenia w sprawie ogólnego systemu warunkowości, przekrojowej warunkowości o powiązanej z praworządnością w unijnych programach i instrumentach finansowania oraz szerszej ochrony naszych wspólnych wartości w unijnych programach i instrumentach finansowania; apeluje do Komisji o nadanie biegu tym propozycjom;</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sidRPr="00EA7539">
        <w:rPr>
          <w:rStyle w:val="HideTWBExt"/>
        </w:rPr>
        <w:t>&lt;Amend&gt;</w:t>
      </w:r>
      <w:r w:rsidRPr="00EA7539">
        <w:t>Poprawka</w:t>
      </w:r>
      <w:r w:rsidRPr="00EA7539">
        <w:tab/>
      </w:r>
      <w:r w:rsidRPr="00EA7539">
        <w:tab/>
      </w:r>
      <w:r w:rsidRPr="00EA7539">
        <w:rPr>
          <w:rStyle w:val="HideTWBExt"/>
        </w:rPr>
        <w:t>&lt;NumAm&gt;</w:t>
      </w:r>
      <w:r w:rsidRPr="00EA7539">
        <w:t>520</w:t>
      </w:r>
      <w:r w:rsidRPr="00EA7539">
        <w:rPr>
          <w:rStyle w:val="HideTWBExt"/>
        </w:rPr>
        <w:t>&lt;/NumAm&gt;</w:t>
      </w:r>
    </w:p>
    <w:p w:rsidR="007A0039" w:rsidRPr="00EA7539" w:rsidRDefault="007A0039" w:rsidP="007A0039">
      <w:pPr>
        <w:pStyle w:val="NormalBold"/>
      </w:pPr>
      <w:r w:rsidRPr="00EA7539">
        <w:rPr>
          <w:rStyle w:val="HideTWBExt"/>
          <w:b w:val="0"/>
        </w:rPr>
        <w:t>&lt;RepeatBlock-By&gt;&lt;Members&gt;</w:t>
      </w:r>
      <w:r w:rsidRPr="00EA7539">
        <w:t>Mariusz Kamiński, Joachim Stanisław Brudziński, Jadwiga Wiśniewska, Maciej Wąsik, Jacek Ozdoba</w:t>
      </w:r>
      <w:r w:rsidRPr="00EA7539">
        <w:rPr>
          <w:rStyle w:val="HideTWBExt"/>
          <w:b w:val="0"/>
        </w:rPr>
        <w:t>&lt;/Members&gt;</w:t>
      </w:r>
    </w:p>
    <w:p w:rsidR="007A0039" w:rsidRPr="00EA7539" w:rsidRDefault="007A0039" w:rsidP="007A0039">
      <w:pPr>
        <w:pStyle w:val="NormalBold"/>
      </w:pPr>
      <w:r w:rsidRPr="00EA7539">
        <w:rPr>
          <w:rStyle w:val="HideTWBExt"/>
          <w:b w:val="0"/>
        </w:rPr>
        <w:t>&lt;/RepeatBlock-By&gt;</w:t>
      </w:r>
    </w:p>
    <w:p w:rsidR="007A0039" w:rsidRPr="00EA7539" w:rsidRDefault="007A0039" w:rsidP="007A0039">
      <w:pPr>
        <w:pStyle w:val="NormalBold"/>
      </w:pPr>
      <w:r w:rsidRPr="00EA7539">
        <w:rPr>
          <w:rStyle w:val="HideTWBExt"/>
        </w:rPr>
        <w:t>&lt;DocAmend&gt;</w:t>
      </w:r>
      <w:r w:rsidRPr="00EA7539">
        <w:t>Projekt rezolucji</w:t>
      </w:r>
      <w:r w:rsidRPr="00EA7539">
        <w:rPr>
          <w:rStyle w:val="HideTWBExt"/>
        </w:rPr>
        <w:t>&lt;/DocAmend&gt;</w:t>
      </w:r>
    </w:p>
    <w:p w:rsidR="007A0039" w:rsidRPr="00EA7539" w:rsidRDefault="007A0039" w:rsidP="007A0039">
      <w:pPr>
        <w:pStyle w:val="NormalBold"/>
      </w:pPr>
      <w:r w:rsidRPr="00EA7539">
        <w:rPr>
          <w:rStyle w:val="HideTWBExt"/>
        </w:rPr>
        <w:t>&lt;Article&gt;</w:t>
      </w:r>
      <w:r w:rsidRPr="00EA7539">
        <w:t>Ustęp 21</w:t>
      </w:r>
      <w:r w:rsidRPr="00EA7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RPr="00EA75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RPr="00EA75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rsidRPr="00EA7539">
              <w:t>Projekt rezolucji</w:t>
            </w:r>
          </w:p>
        </w:tc>
        <w:tc>
          <w:tcPr>
            <w:tcW w:w="4876" w:type="dxa"/>
            <w:tcBorders>
              <w:top w:val="nil"/>
              <w:left w:val="nil"/>
              <w:bottom w:val="nil"/>
              <w:right w:val="nil"/>
            </w:tcBorders>
          </w:tcPr>
          <w:p w:rsidR="007A0039" w:rsidRPr="00EA7539" w:rsidRDefault="007A0039" w:rsidP="008F6778">
            <w:pPr>
              <w:pStyle w:val="AmColumnHeading"/>
            </w:pPr>
            <w:r w:rsidRPr="00EA7539">
              <w:t>Poprawka</w:t>
            </w:r>
          </w:p>
        </w:tc>
      </w:tr>
      <w:tr w:rsidR="007A0039" w:rsidRPr="00EA7539" w:rsidTr="008F6778">
        <w:trPr>
          <w:jc w:val="center"/>
        </w:trPr>
        <w:tc>
          <w:tcPr>
            <w:tcW w:w="4876" w:type="dxa"/>
            <w:tcBorders>
              <w:top w:val="nil"/>
              <w:left w:val="nil"/>
              <w:bottom w:val="nil"/>
              <w:right w:val="nil"/>
            </w:tcBorders>
          </w:tcPr>
          <w:p w:rsidR="007A0039" w:rsidRPr="00EA7539" w:rsidRDefault="007A0039" w:rsidP="008F6778">
            <w:pPr>
              <w:pStyle w:val="Normal6a"/>
            </w:pPr>
            <w:r w:rsidRPr="00EA7539">
              <w:t>21.</w:t>
            </w:r>
            <w:r w:rsidRPr="00EA7539">
              <w:tab/>
              <w:t xml:space="preserve">podkreśla, że </w:t>
            </w:r>
            <w:r w:rsidRPr="00EA7539">
              <w:rPr>
                <w:b/>
                <w:i/>
              </w:rPr>
              <w:t>potrzebny jest kompleksowy</w:t>
            </w:r>
            <w:r w:rsidRPr="00EA7539">
              <w:t xml:space="preserve"> mechanizm warunkowości </w:t>
            </w:r>
            <w:r w:rsidRPr="00EA7539">
              <w:rPr>
                <w:b/>
                <w:i/>
              </w:rPr>
              <w:t>gwarantujący zgodność</w:t>
            </w:r>
            <w:r w:rsidRPr="00EA7539">
              <w:t xml:space="preserve"> z zasadami praworządności całego prawodawstwa UE, a nie tylko jego wymiaru budżetowego; wzywa Komisję do </w:t>
            </w:r>
            <w:r w:rsidRPr="00EA7539">
              <w:rPr>
                <w:b/>
                <w:i/>
              </w:rPr>
              <w:t>przedstawienia wniosku rozszerzającego zakres</w:t>
            </w:r>
            <w:r w:rsidRPr="00EA7539">
              <w:t xml:space="preserve"> tego mechanizmu;</w:t>
            </w:r>
          </w:p>
        </w:tc>
        <w:tc>
          <w:tcPr>
            <w:tcW w:w="4876" w:type="dxa"/>
            <w:tcBorders>
              <w:top w:val="nil"/>
              <w:left w:val="nil"/>
              <w:bottom w:val="nil"/>
              <w:right w:val="nil"/>
            </w:tcBorders>
          </w:tcPr>
          <w:p w:rsidR="007A0039" w:rsidRPr="00EA7539" w:rsidRDefault="007A0039" w:rsidP="008F6778">
            <w:pPr>
              <w:pStyle w:val="Normal6a"/>
            </w:pPr>
            <w:r w:rsidRPr="00EA7539">
              <w:t>21.</w:t>
            </w:r>
            <w:r w:rsidRPr="00EA7539">
              <w:tab/>
              <w:t xml:space="preserve">podkreśla, że mechanizm warunkowości </w:t>
            </w:r>
            <w:r w:rsidRPr="00EA7539">
              <w:rPr>
                <w:b/>
                <w:i/>
              </w:rPr>
              <w:t>zgodnie z wyjasnieniami TSUE ma na celu nie ochronę praworządności, a jedynie ochronę budżetu UE; przypomina, iz Unia nie jest federacją i przestrzega przed narzucaniem kompleksowego mechanizmu warunkowości, który pod pretekstem rzekomej gwarancji zgodności</w:t>
            </w:r>
            <w:r w:rsidRPr="00EA7539">
              <w:t xml:space="preserve"> z zasadami praworządności całego prawodawstwa UE, a nie tylko jego wymiaru budżetowego</w:t>
            </w:r>
            <w:r w:rsidRPr="00EA7539">
              <w:rPr>
                <w:b/>
                <w:i/>
              </w:rPr>
              <w:t>, może ostatecznie wypaczyć założenia Wspólnoty i zagrozić przyszłości Unii</w:t>
            </w:r>
            <w:r w:rsidRPr="00EA7539">
              <w:t xml:space="preserve">; wzywa Komisję do </w:t>
            </w:r>
            <w:r w:rsidRPr="00EA7539">
              <w:rPr>
                <w:b/>
                <w:i/>
              </w:rPr>
              <w:t>uczciwego stosowania</w:t>
            </w:r>
            <w:r w:rsidRPr="00EA7539">
              <w:t xml:space="preserve"> tego mechanizmu </w:t>
            </w:r>
            <w:r w:rsidRPr="00EA7539">
              <w:rPr>
                <w:b/>
                <w:i/>
              </w:rPr>
              <w:t>jedynie w przypadkach rzeczywistego zaistnienia wymaganych przesłanek oraz do nieuciekania się do podwójnych standardów przy wykorzystywaniu tego mechanizmu, ktorego zasadność pozostaje wątpliwa</w:t>
            </w:r>
            <w:r w:rsidRPr="00EA7539">
              <w:t>;</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{PL}</w:t>
      </w:r>
      <w:r w:rsidRPr="00EA7539">
        <w:t>pl</w:t>
      </w:r>
      <w:r w:rsidRPr="00EA7539">
        <w:rPr>
          <w:rStyle w:val="HideTWBExt"/>
        </w:rPr>
        <w:t>&lt;/Original&gt;</w:t>
      </w:r>
    </w:p>
    <w:p w:rsidR="007A0039" w:rsidRPr="00EA7539" w:rsidRDefault="007A0039" w:rsidP="007A0039">
      <w:r w:rsidRPr="00EA7539">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521</w:t>
      </w:r>
      <w:r>
        <w:rPr>
          <w:rStyle w:val="HideTWBExt"/>
        </w:rPr>
        <w:t>&lt;/NumAm&gt;</w:t>
      </w:r>
    </w:p>
    <w:p w:rsidR="007A0039" w:rsidRPr="00EA7539" w:rsidRDefault="007A0039" w:rsidP="007A0039">
      <w:pPr>
        <w:pStyle w:val="NormalBold"/>
      </w:pPr>
      <w:r>
        <w:rPr>
          <w:rStyle w:val="HideTWBExt"/>
          <w:b w:val="0"/>
        </w:rPr>
        <w:t>&lt;RepeatBlock-By&gt;&lt;Members&gt;</w:t>
      </w:r>
      <w:r>
        <w:t>Pekka Toveri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21.</w:t>
            </w:r>
            <w:r>
              <w:tab/>
              <w:t>podkreśla, że potrzebny jest kompleksowy mechanizm warunkowości gwarantujący zgodność z zasadami praworządności całego prawodawstwa UE, a nie tylko jego wymiaru budżetowego; wzywa Komisję do przedstawienia wniosku rozszerzającego zakres tego mechanizmu;</w:t>
            </w:r>
          </w:p>
        </w:tc>
        <w:tc>
          <w:tcPr>
            <w:tcW w:w="4876" w:type="dxa"/>
            <w:tcBorders>
              <w:top w:val="nil"/>
              <w:left w:val="nil"/>
              <w:bottom w:val="nil"/>
              <w:right w:val="nil"/>
            </w:tcBorders>
          </w:tcPr>
          <w:p w:rsidR="007A0039" w:rsidRPr="00EA7539" w:rsidRDefault="007A0039" w:rsidP="008F6778">
            <w:pPr>
              <w:pStyle w:val="Normal6a"/>
            </w:pPr>
            <w:r>
              <w:t>21.</w:t>
            </w:r>
            <w:r>
              <w:tab/>
            </w:r>
            <w:r>
              <w:rPr>
                <w:b/>
                <w:i/>
              </w:rPr>
              <w:t>z zadowoleniem przyjmuje cel Komisji, jakim jest zacieśnienie związku między zaleceniami zawartymi w sprawozdaniu na temat praworządności a środkami przyznawanymi z budżetu UE;</w:t>
            </w:r>
            <w:r>
              <w:t xml:space="preserve"> podkreśla, że potrzebny jest kompleksowy mechanizm warunkowości gwarantujący zgodność z zasadami praworządności całego prawodawstwa UE, a nie tylko jego wymiaru budżetowego; wzywa Komisję do przedstawienia wniosku rozszerzającego zakres tego mechanizmu;</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522</w:t>
      </w:r>
      <w:r>
        <w:rPr>
          <w:rStyle w:val="HideTWBExt"/>
        </w:rPr>
        <w:t>&lt;/NumAm&gt;</w:t>
      </w:r>
    </w:p>
    <w:p w:rsidR="007A0039" w:rsidRPr="00EA7539" w:rsidRDefault="007A0039" w:rsidP="007A0039">
      <w:pPr>
        <w:pStyle w:val="NormalBold"/>
      </w:pPr>
      <w:r>
        <w:rPr>
          <w:rStyle w:val="HideTWBExt"/>
          <w:b w:val="0"/>
        </w:rPr>
        <w:t>&lt;RepeatBlock-By&gt;&lt;Members&gt;</w:t>
      </w:r>
      <w:r>
        <w:t>András László</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21.</w:t>
            </w:r>
            <w:r>
              <w:tab/>
            </w:r>
            <w:r>
              <w:rPr>
                <w:b/>
                <w:i/>
              </w:rPr>
              <w:t>podkreśla, że potrzebny jest kompleksowy mechanizm warunkowości gwarantujący zgodność z zasadami praworządności całego prawodawstwa UE, a nie tylko jego wymiaru budżetowego; wzywa Komisję</w:t>
            </w:r>
            <w:r>
              <w:t xml:space="preserve"> do </w:t>
            </w:r>
            <w:r>
              <w:rPr>
                <w:b/>
                <w:i/>
              </w:rPr>
              <w:t>przedstawienia wniosku rozszerzającego zakres tego mechanizmu</w:t>
            </w:r>
            <w:r>
              <w:t>;</w:t>
            </w:r>
          </w:p>
        </w:tc>
        <w:tc>
          <w:tcPr>
            <w:tcW w:w="4876" w:type="dxa"/>
            <w:tcBorders>
              <w:top w:val="nil"/>
              <w:left w:val="nil"/>
              <w:bottom w:val="nil"/>
              <w:right w:val="nil"/>
            </w:tcBorders>
          </w:tcPr>
          <w:p w:rsidR="007A0039" w:rsidRPr="00EA7539" w:rsidRDefault="007A0039" w:rsidP="008F6778">
            <w:pPr>
              <w:pStyle w:val="Normal6a"/>
            </w:pPr>
            <w:r>
              <w:t>21.</w:t>
            </w:r>
            <w:r>
              <w:tab/>
            </w:r>
            <w:r>
              <w:rPr>
                <w:b/>
                <w:i/>
              </w:rPr>
              <w:t>przypomina</w:t>
            </w:r>
            <w:r>
              <w:t xml:space="preserve">, że </w:t>
            </w:r>
            <w:r>
              <w:rPr>
                <w:b/>
                <w:i/>
              </w:rPr>
              <w:t>sprawozdanie to</w:t>
            </w:r>
            <w:r>
              <w:t xml:space="preserve"> nie </w:t>
            </w:r>
            <w:r>
              <w:rPr>
                <w:b/>
                <w:i/>
              </w:rPr>
              <w:t>może być podstawą</w:t>
            </w:r>
            <w:r>
              <w:t xml:space="preserve"> do </w:t>
            </w:r>
            <w:r>
              <w:rPr>
                <w:b/>
                <w:i/>
              </w:rPr>
              <w:t>jakichkolwiek dalszych mechanizmów ani procedur unijnych</w:t>
            </w:r>
            <w:r>
              <w:t>;</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523</w:t>
      </w:r>
      <w:r>
        <w:rPr>
          <w:rStyle w:val="HideTWBExt"/>
        </w:rPr>
        <w:t>&lt;/NumAm&gt;</w:t>
      </w:r>
    </w:p>
    <w:p w:rsidR="007A0039" w:rsidRPr="00EA7539" w:rsidRDefault="007A0039" w:rsidP="007A0039">
      <w:pPr>
        <w:pStyle w:val="NormalBold"/>
      </w:pPr>
      <w:r>
        <w:rPr>
          <w:rStyle w:val="HideTWBExt"/>
          <w:b w:val="0"/>
        </w:rPr>
        <w:t>&lt;RepeatBlock-By&gt;&lt;Members&gt;</w:t>
      </w:r>
      <w:r>
        <w:t>Erik Kaliňák</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21.</w:t>
            </w:r>
            <w:r>
              <w:tab/>
              <w:t xml:space="preserve">podkreśla, że </w:t>
            </w:r>
            <w:r>
              <w:rPr>
                <w:b/>
                <w:i/>
              </w:rPr>
              <w:t>potrzebny jest kompleksowy mechanizm warunkowości gwarantujący</w:t>
            </w:r>
            <w:r>
              <w:t xml:space="preserve"> zgodność z zasadami praworządności</w:t>
            </w:r>
            <w:r>
              <w:rPr>
                <w:b/>
                <w:i/>
              </w:rPr>
              <w:t xml:space="preserve"> całego prawodawstwa UE</w:t>
            </w:r>
            <w:r>
              <w:t xml:space="preserve">, </w:t>
            </w:r>
            <w:r>
              <w:rPr>
                <w:b/>
                <w:i/>
              </w:rPr>
              <w:t>a nie tylko jego wymiaru budżetowego; wzywa Komisję do przedstawienia wniosku rozszerzającego zakres tego mechanizmu;</w:t>
            </w:r>
          </w:p>
        </w:tc>
        <w:tc>
          <w:tcPr>
            <w:tcW w:w="4876" w:type="dxa"/>
            <w:tcBorders>
              <w:top w:val="nil"/>
              <w:left w:val="nil"/>
              <w:bottom w:val="nil"/>
              <w:right w:val="nil"/>
            </w:tcBorders>
          </w:tcPr>
          <w:p w:rsidR="007A0039" w:rsidRPr="00EA7539" w:rsidRDefault="007A0039" w:rsidP="008F6778">
            <w:pPr>
              <w:pStyle w:val="Normal6a"/>
            </w:pPr>
            <w:r>
              <w:t>21.</w:t>
            </w:r>
            <w:r>
              <w:tab/>
              <w:t xml:space="preserve">podkreśla, że </w:t>
            </w:r>
            <w:r>
              <w:rPr>
                <w:b/>
                <w:i/>
              </w:rPr>
              <w:t>nie ma potrzeby tworzenia kolejnego mechanizmu gwarantującego</w:t>
            </w:r>
            <w:r>
              <w:t xml:space="preserve"> zgodność z zasadami praworządności, </w:t>
            </w:r>
            <w:r>
              <w:rPr>
                <w:b/>
                <w:i/>
              </w:rPr>
              <w:t>ponieważ istniejące mechanizmy są wystarczające</w:t>
            </w:r>
            <w:r>
              <w:t>;</w:t>
            </w:r>
            <w:r>
              <w:rPr>
                <w:b/>
                <w:i/>
              </w:rPr>
              <w:t> </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{SK}</w:t>
      </w:r>
      <w:r w:rsidRPr="00EA7539">
        <w:t>sk</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524</w:t>
      </w:r>
      <w:r>
        <w:rPr>
          <w:rStyle w:val="HideTWBExt"/>
        </w:rPr>
        <w:t>&lt;/NumAm&gt;</w:t>
      </w:r>
    </w:p>
    <w:p w:rsidR="007A0039" w:rsidRPr="00EA7539" w:rsidRDefault="007A0039" w:rsidP="007A0039">
      <w:pPr>
        <w:pStyle w:val="NormalBold"/>
      </w:pPr>
      <w:r>
        <w:rPr>
          <w:rStyle w:val="HideTWBExt"/>
          <w:b w:val="0"/>
        </w:rPr>
        <w:t>&lt;RepeatBlock-By&gt;&lt;Members&gt;</w:t>
      </w:r>
      <w:r>
        <w:t>Chloé Ridel, Jean-Marc Germain, Emma Rafowicz</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21.</w:t>
            </w:r>
            <w:r>
              <w:tab/>
              <w:t xml:space="preserve">podkreśla, że potrzebny jest kompleksowy mechanizm warunkowości gwarantujący zgodność z zasadami praworządności całego prawodawstwa UE, a nie tylko jego wymiaru budżetowego; </w:t>
            </w:r>
            <w:r>
              <w:rPr>
                <w:b/>
                <w:i/>
              </w:rPr>
              <w:t>wzywa Komisję do przedstawienia wniosku rozszerzającego zakres tego mechanizmu;</w:t>
            </w:r>
          </w:p>
        </w:tc>
        <w:tc>
          <w:tcPr>
            <w:tcW w:w="4876" w:type="dxa"/>
            <w:tcBorders>
              <w:top w:val="nil"/>
              <w:left w:val="nil"/>
              <w:bottom w:val="nil"/>
              <w:right w:val="nil"/>
            </w:tcBorders>
          </w:tcPr>
          <w:p w:rsidR="007A0039" w:rsidRPr="00EA7539" w:rsidRDefault="007A0039" w:rsidP="008F6778">
            <w:pPr>
              <w:pStyle w:val="Normal6a"/>
            </w:pPr>
            <w:r>
              <w:t>21.</w:t>
            </w:r>
            <w:r>
              <w:tab/>
              <w:t>podkreśla, że potrzebny jest kompleksowy mechanizm warunkowości gwarantujący zgodność z zasadami praworządności całego prawodawstwa UE;</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525</w:t>
      </w:r>
      <w:r>
        <w:rPr>
          <w:rStyle w:val="HideTWBExt"/>
        </w:rPr>
        <w:t>&lt;/NumAm&gt;</w:t>
      </w:r>
    </w:p>
    <w:p w:rsidR="007A0039" w:rsidRPr="00EA7539" w:rsidRDefault="007A0039" w:rsidP="007A0039">
      <w:pPr>
        <w:pStyle w:val="NormalBold"/>
      </w:pPr>
      <w:r>
        <w:rPr>
          <w:rStyle w:val="HideTWBExt"/>
          <w:b w:val="0"/>
        </w:rPr>
        <w:t>&lt;RepeatBlock-By&gt;&lt;Members&gt;</w:t>
      </w:r>
      <w:r>
        <w:t>Romana Tomc</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21.</w:t>
            </w:r>
            <w:r>
              <w:tab/>
              <w:t xml:space="preserve">podkreśla, że potrzebny jest kompleksowy mechanizm </w:t>
            </w:r>
            <w:r>
              <w:rPr>
                <w:b/>
                <w:i/>
              </w:rPr>
              <w:t xml:space="preserve">warunkowości </w:t>
            </w:r>
            <w:r>
              <w:t>gwarantujący zgodność z zasadami praworządności całego prawodawstwa UE, a nie tylko jego wymiaru budżetowego; wzywa Komisję do przedstawienia wniosku rozszerzającego zakres tego mechanizmu;</w:t>
            </w:r>
          </w:p>
        </w:tc>
        <w:tc>
          <w:tcPr>
            <w:tcW w:w="4876" w:type="dxa"/>
            <w:tcBorders>
              <w:top w:val="nil"/>
              <w:left w:val="nil"/>
              <w:bottom w:val="nil"/>
              <w:right w:val="nil"/>
            </w:tcBorders>
          </w:tcPr>
          <w:p w:rsidR="007A0039" w:rsidRPr="00EA7539" w:rsidRDefault="007A0039" w:rsidP="008F6778">
            <w:pPr>
              <w:pStyle w:val="Normal6a"/>
            </w:pPr>
            <w:r>
              <w:t>21.</w:t>
            </w:r>
            <w:r>
              <w:tab/>
              <w:t>podkreśla, że potrzebny jest kompleksowy mechanizm gwarantujący zgodność z zasadami praworządności całego prawodawstwa UE, a nie tylko jego wymiaru budżetowego; wzywa Komisję do przedstawienia wniosku rozszerzającego zakres tego mechanizmu;</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526</w:t>
      </w:r>
      <w:r>
        <w:rPr>
          <w:rStyle w:val="HideTWBExt"/>
        </w:rPr>
        <w:t>&lt;/NumAm&gt;</w:t>
      </w:r>
    </w:p>
    <w:p w:rsidR="007A0039" w:rsidRPr="00EA7539" w:rsidRDefault="007A0039" w:rsidP="007A0039">
      <w:pPr>
        <w:pStyle w:val="NormalBold"/>
      </w:pPr>
      <w:r>
        <w:rPr>
          <w:rStyle w:val="HideTWBExt"/>
          <w:b w:val="0"/>
        </w:rPr>
        <w:t>&lt;RepeatBlock-By&gt;&lt;Members&gt;</w:t>
      </w:r>
      <w:r>
        <w:t>Moritz Körner, Malik Azmani, Dainius Žalimas, Lucia Yar, Fabienne Keller, Raquel García Hermida-Van Der Walle, Abir Al-Sahlani, Veronika Cifrová Ostrihoňová</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21a.</w:t>
            </w:r>
            <w:r>
              <w:tab/>
            </w:r>
            <w:r>
              <w:rPr>
                <w:b/>
                <w:i/>
              </w:rPr>
              <w:t>przypomina, że rozporządzenie dotyczące warunkowości w zakresie praworządności gwarantuje, że odbiorcy końcowi nie powinni być pozbawiani korzyści płynących z funduszy UE w przypadku nałożenia sankcji na ich rząd; uważa, że do tej pory ten ochronny przepis nie był skuteczny;</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527</w:t>
      </w:r>
      <w:r>
        <w:rPr>
          <w:rStyle w:val="HideTWBExt"/>
        </w:rPr>
        <w:t>&lt;/NumAm&gt;</w:t>
      </w:r>
    </w:p>
    <w:p w:rsidR="007A0039" w:rsidRPr="00EA7539" w:rsidRDefault="007A0039" w:rsidP="007A0039">
      <w:pPr>
        <w:pStyle w:val="NormalBold"/>
      </w:pPr>
      <w:r>
        <w:rPr>
          <w:rStyle w:val="HideTWBExt"/>
          <w:b w:val="0"/>
        </w:rPr>
        <w:t>&lt;RepeatBlock-By&gt;&lt;Members&gt;</w:t>
      </w:r>
      <w:r>
        <w:t>Moritz Körner, Malik Azmani, Dainius Žalimas, Lucia Yar, Fabienne Keller, Raquel García Hermida-Van Der Walle, Abir Al-Sahlani, Veronika Cifrová Ostrihoňová</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21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21b.</w:t>
            </w:r>
            <w:r>
              <w:tab/>
            </w:r>
            <w:r>
              <w:rPr>
                <w:b/>
                <w:i/>
              </w:rPr>
              <w:t>wyraża zaniepokojenie, że zawieszenie funduszy UE może być nadużywane przez rządy krajowe objęte sankcjami jako broń polityczna w celu pozbawienia praw społeczeństwa obywatelskiego, a także władz lokalnych i regionalnych;</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528</w:t>
      </w:r>
      <w:r>
        <w:rPr>
          <w:rStyle w:val="HideTWBExt"/>
        </w:rPr>
        <w:t>&lt;/NumAm&gt;</w:t>
      </w:r>
    </w:p>
    <w:p w:rsidR="007A0039" w:rsidRPr="00EA7539" w:rsidRDefault="007A0039" w:rsidP="007A0039">
      <w:pPr>
        <w:pStyle w:val="NormalBold"/>
      </w:pPr>
      <w:r>
        <w:rPr>
          <w:rStyle w:val="HideTWBExt"/>
          <w:b w:val="0"/>
        </w:rPr>
        <w:t>&lt;RepeatBlock-By&gt;&lt;Members&gt;</w:t>
      </w:r>
      <w:r>
        <w:t>Nicolas Bay</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22.</w:t>
            </w:r>
            <w:r>
              <w:tab/>
            </w:r>
            <w:r>
              <w:rPr>
                <w:b/>
                <w:i/>
              </w:rPr>
              <w:t>apeluje o wprowadzenie inteligentnej warunkowości, która umożliwiłaby omijanie rządów krajowych naruszających zasady praworządności i przekazywanie funduszy unijnych bezpośrednio gminom, organizacjom pozarządowym i innym podmiotom, które przestrzegają wartości UE;</w:t>
            </w:r>
          </w:p>
        </w:tc>
        <w:tc>
          <w:tcPr>
            <w:tcW w:w="4876" w:type="dxa"/>
            <w:tcBorders>
              <w:top w:val="nil"/>
              <w:left w:val="nil"/>
              <w:bottom w:val="nil"/>
              <w:right w:val="nil"/>
            </w:tcBorders>
          </w:tcPr>
          <w:p w:rsidR="007A0039" w:rsidRPr="00EA7539" w:rsidRDefault="007A0039" w:rsidP="008F6778">
            <w:pPr>
              <w:pStyle w:val="Normal6a"/>
            </w:pPr>
            <w:r>
              <w:rPr>
                <w:b/>
                <w:i/>
              </w:rPr>
              <w:t>skreśla się</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{FR}</w:t>
      </w:r>
      <w:r w:rsidRPr="00EA7539">
        <w:t>fr</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529</w:t>
      </w:r>
      <w:r>
        <w:rPr>
          <w:rStyle w:val="HideTWBExt"/>
        </w:rPr>
        <w:t>&lt;/NumAm&gt;</w:t>
      </w:r>
    </w:p>
    <w:p w:rsidR="007A0039" w:rsidRPr="00EA7539" w:rsidRDefault="007A0039" w:rsidP="007A0039">
      <w:pPr>
        <w:pStyle w:val="NormalBold"/>
      </w:pPr>
      <w:r>
        <w:rPr>
          <w:rStyle w:val="HideTWBExt"/>
          <w:b w:val="0"/>
        </w:rPr>
        <w:t>&lt;RepeatBlock-By&gt;&lt;Members&gt;</w:t>
      </w:r>
      <w:r>
        <w:t>Alessandro Ciriani, Paolo Inselvini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22.</w:t>
            </w:r>
            <w:r>
              <w:tab/>
            </w:r>
            <w:r>
              <w:rPr>
                <w:b/>
                <w:i/>
              </w:rPr>
              <w:t>apeluje o wprowadzenie inteligentnej warunkowości, która umożliwiłaby omijanie rządów krajowych naruszających zasady praworządności i przekazywanie funduszy unijnych bezpośrednio gminom, organizacjom pozarządowym i innym podmiotom, które przestrzegają wartości UE;</w:t>
            </w:r>
          </w:p>
        </w:tc>
        <w:tc>
          <w:tcPr>
            <w:tcW w:w="4876" w:type="dxa"/>
            <w:tcBorders>
              <w:top w:val="nil"/>
              <w:left w:val="nil"/>
              <w:bottom w:val="nil"/>
              <w:right w:val="nil"/>
            </w:tcBorders>
          </w:tcPr>
          <w:p w:rsidR="007A0039" w:rsidRPr="00EA7539" w:rsidRDefault="007A0039" w:rsidP="008F6778">
            <w:pPr>
              <w:pStyle w:val="Normal6a"/>
            </w:pPr>
            <w:r>
              <w:rPr>
                <w:b/>
                <w:i/>
              </w:rPr>
              <w:t>skreśla się</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{IT}</w:t>
      </w:r>
      <w:r w:rsidRPr="00EA7539">
        <w:t>it</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530</w:t>
      </w:r>
      <w:r>
        <w:rPr>
          <w:rStyle w:val="HideTWBExt"/>
        </w:rPr>
        <w:t>&lt;/NumAm&gt;</w:t>
      </w:r>
    </w:p>
    <w:p w:rsidR="007A0039" w:rsidRPr="00EA7539" w:rsidRDefault="007A0039" w:rsidP="007A0039">
      <w:pPr>
        <w:pStyle w:val="NormalBold"/>
      </w:pPr>
      <w:r>
        <w:rPr>
          <w:rStyle w:val="HideTWBExt"/>
          <w:b w:val="0"/>
        </w:rPr>
        <w:t>&lt;RepeatBlock-By&gt;&lt;Members&gt;</w:t>
      </w:r>
      <w:r>
        <w:t>Lukas Mandl</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22.</w:t>
            </w:r>
            <w:r>
              <w:tab/>
            </w:r>
            <w:r>
              <w:rPr>
                <w:b/>
                <w:i/>
              </w:rPr>
              <w:t>apeluje o wprowadzenie inteligentnej warunkowości, która umożliwiłaby omijanie rządów krajowych naruszających zasady praworządności i przekazywanie funduszy unijnych bezpośrednio gminom, organizacjom pozarządowym i innym podmiotom, które przestrzegają wartości UE;</w:t>
            </w:r>
          </w:p>
        </w:tc>
        <w:tc>
          <w:tcPr>
            <w:tcW w:w="4876" w:type="dxa"/>
            <w:tcBorders>
              <w:top w:val="nil"/>
              <w:left w:val="nil"/>
              <w:bottom w:val="nil"/>
              <w:right w:val="nil"/>
            </w:tcBorders>
          </w:tcPr>
          <w:p w:rsidR="007A0039" w:rsidRPr="00EA7539" w:rsidRDefault="007A0039" w:rsidP="008F6778">
            <w:pPr>
              <w:pStyle w:val="Normal6a"/>
            </w:pPr>
            <w:r>
              <w:rPr>
                <w:b/>
                <w:i/>
              </w:rPr>
              <w:t>skreśla się</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531</w:t>
      </w:r>
      <w:r>
        <w:rPr>
          <w:rStyle w:val="HideTWBExt"/>
        </w:rPr>
        <w:t>&lt;/NumAm&gt;</w:t>
      </w:r>
    </w:p>
    <w:p w:rsidR="007A0039" w:rsidRPr="00EA7539" w:rsidRDefault="007A0039" w:rsidP="007A0039">
      <w:pPr>
        <w:pStyle w:val="NormalBold"/>
      </w:pPr>
      <w:r>
        <w:rPr>
          <w:rStyle w:val="HideTWBExt"/>
          <w:b w:val="0"/>
        </w:rPr>
        <w:t>&lt;RepeatBlock-By&gt;&lt;Members&gt;</w:t>
      </w:r>
      <w:r>
        <w:t>Jorge Buxadé Villalba, Marieke Ehlers, Malika Sorel, Fabrice Leggeri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22.</w:t>
            </w:r>
            <w:r>
              <w:tab/>
            </w:r>
            <w:r>
              <w:rPr>
                <w:b/>
                <w:i/>
              </w:rPr>
              <w:t>apeluje o wprowadzenie inteligentnej warunkowości, która umożliwiłaby omijanie rządów krajowych naruszających zasady praworządności i przekazywanie funduszy unijnych bezpośrednio gminom, organizacjom pozarządowym i innym podmiotom, które przestrzegają wartości UE;</w:t>
            </w:r>
          </w:p>
        </w:tc>
        <w:tc>
          <w:tcPr>
            <w:tcW w:w="4876" w:type="dxa"/>
            <w:tcBorders>
              <w:top w:val="nil"/>
              <w:left w:val="nil"/>
              <w:bottom w:val="nil"/>
              <w:right w:val="nil"/>
            </w:tcBorders>
          </w:tcPr>
          <w:p w:rsidR="007A0039" w:rsidRPr="00EA7539" w:rsidRDefault="007A0039" w:rsidP="008F6778">
            <w:pPr>
              <w:pStyle w:val="Normal6a"/>
            </w:pPr>
            <w:r>
              <w:rPr>
                <w:b/>
                <w:i/>
              </w:rPr>
              <w:t>skreśla się</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532</w:t>
      </w:r>
      <w:r>
        <w:rPr>
          <w:rStyle w:val="HideTWBExt"/>
        </w:rPr>
        <w:t>&lt;/NumAm&gt;</w:t>
      </w:r>
    </w:p>
    <w:p w:rsidR="007A0039" w:rsidRPr="00EA7539" w:rsidRDefault="007A0039" w:rsidP="007A0039">
      <w:pPr>
        <w:pStyle w:val="NormalBold"/>
      </w:pPr>
      <w:r>
        <w:rPr>
          <w:rStyle w:val="HideTWBExt"/>
          <w:b w:val="0"/>
        </w:rPr>
        <w:t>&lt;RepeatBlock-By&gt;&lt;Members&gt;</w:t>
      </w:r>
      <w:r>
        <w:t>Erik Kaliňák</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22.</w:t>
            </w:r>
            <w:r>
              <w:tab/>
            </w:r>
            <w:r>
              <w:rPr>
                <w:b/>
                <w:i/>
              </w:rPr>
              <w:t>apeluje o wprowadzenie inteligentnej warunkowości, która umożliwiłaby omijanie rządów krajowych naruszających zasady praworządności i przekazywanie funduszy unijnych bezpośrednio gminom, organizacjom pozarządowym i innym podmiotom, które przestrzegają wartości UE;</w:t>
            </w:r>
          </w:p>
        </w:tc>
        <w:tc>
          <w:tcPr>
            <w:tcW w:w="4876" w:type="dxa"/>
            <w:tcBorders>
              <w:top w:val="nil"/>
              <w:left w:val="nil"/>
              <w:bottom w:val="nil"/>
              <w:right w:val="nil"/>
            </w:tcBorders>
          </w:tcPr>
          <w:p w:rsidR="007A0039" w:rsidRPr="00EA7539" w:rsidRDefault="007A0039" w:rsidP="008F6778">
            <w:pPr>
              <w:pStyle w:val="Normal6a"/>
            </w:pPr>
            <w:r>
              <w:rPr>
                <w:b/>
                <w:i/>
              </w:rPr>
              <w:t>skreśla się</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{SK}</w:t>
      </w:r>
      <w:r w:rsidRPr="00EA7539">
        <w:t>sk</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533</w:t>
      </w:r>
      <w:r>
        <w:rPr>
          <w:rStyle w:val="HideTWBExt"/>
        </w:rPr>
        <w:t>&lt;/NumAm&gt;</w:t>
      </w:r>
    </w:p>
    <w:p w:rsidR="007A0039" w:rsidRPr="00EA7539" w:rsidRDefault="007A0039" w:rsidP="007A0039">
      <w:pPr>
        <w:pStyle w:val="NormalBold"/>
      </w:pPr>
      <w:r>
        <w:rPr>
          <w:rStyle w:val="HideTWBExt"/>
          <w:b w:val="0"/>
        </w:rPr>
        <w:t>&lt;RepeatBlock-By&gt;&lt;Members&gt;</w:t>
      </w:r>
      <w:r>
        <w:t>Moritz Körner, Dainius Žalimas, Lucia Yar, Fabienne Keller, Raquel García Hermida-Van Der Walle, Abir Al-Sahlani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22.</w:t>
            </w:r>
            <w:r>
              <w:tab/>
            </w:r>
            <w:r>
              <w:rPr>
                <w:b/>
                <w:i/>
              </w:rPr>
              <w:t>apeluje o wprowadzenie inteligentnej</w:t>
            </w:r>
            <w:r>
              <w:t xml:space="preserve"> warunkowości, </w:t>
            </w:r>
            <w:r>
              <w:rPr>
                <w:b/>
                <w:i/>
              </w:rPr>
              <w:t>która umożliwiłaby omijanie rządów krajowych naruszających zasady</w:t>
            </w:r>
            <w:r>
              <w:t xml:space="preserve"> praworządności </w:t>
            </w:r>
            <w:r>
              <w:rPr>
                <w:b/>
                <w:i/>
              </w:rPr>
              <w:t>i przekazywanie funduszy unijnych</w:t>
            </w:r>
            <w:r>
              <w:t xml:space="preserve"> bezpośrednio </w:t>
            </w:r>
            <w:r>
              <w:rPr>
                <w:b/>
                <w:i/>
              </w:rPr>
              <w:t>gminom</w:t>
            </w:r>
            <w:r>
              <w:t xml:space="preserve">, </w:t>
            </w:r>
            <w:r>
              <w:rPr>
                <w:b/>
                <w:i/>
              </w:rPr>
              <w:t>organizacjom pozarządowym</w:t>
            </w:r>
            <w:r>
              <w:t xml:space="preserve"> i </w:t>
            </w:r>
            <w:r>
              <w:rPr>
                <w:b/>
                <w:i/>
              </w:rPr>
              <w:t>innym podmiotom</w:t>
            </w:r>
            <w:r>
              <w:t xml:space="preserve">, </w:t>
            </w:r>
            <w:r>
              <w:rPr>
                <w:b/>
                <w:i/>
              </w:rPr>
              <w:t>które przestrzegają wartości UE</w:t>
            </w:r>
            <w:r>
              <w:t>;</w:t>
            </w:r>
          </w:p>
        </w:tc>
        <w:tc>
          <w:tcPr>
            <w:tcW w:w="4876" w:type="dxa"/>
            <w:tcBorders>
              <w:top w:val="nil"/>
              <w:left w:val="nil"/>
              <w:bottom w:val="nil"/>
              <w:right w:val="nil"/>
            </w:tcBorders>
          </w:tcPr>
          <w:p w:rsidR="007A0039" w:rsidRPr="00EA7539" w:rsidRDefault="007A0039" w:rsidP="008F6778">
            <w:pPr>
              <w:pStyle w:val="Normal6a"/>
            </w:pPr>
            <w:r>
              <w:t>22.</w:t>
            </w:r>
            <w:r>
              <w:tab/>
            </w:r>
            <w:r>
              <w:rPr>
                <w:b/>
                <w:i/>
              </w:rPr>
              <w:t>podkreśla, jak ważne jest stosowanie inteligentnego podejścia opartego na</w:t>
            </w:r>
            <w:r>
              <w:t xml:space="preserve"> warunkowości, </w:t>
            </w:r>
            <w:r>
              <w:rPr>
                <w:b/>
                <w:i/>
              </w:rPr>
              <w:t>tak aby beneficjenci nie byli karani za działania rządu; wzywa Komisję do przyjęcia dodatkowych środków zapewnienia władzom lokalnym i regionalnym, społeczeństwu obywatelskiemu i innym beneficjentom możliwości dalszego korzystania z finansowania unijnego w przypadku naruszeń</w:t>
            </w:r>
            <w:r>
              <w:t xml:space="preserve"> praworządności </w:t>
            </w:r>
            <w:r>
              <w:rPr>
                <w:b/>
                <w:i/>
              </w:rPr>
              <w:t>przez rządy krajowe bez uszczerbku dla stosowania rozporządzenia w sprawie ogólnego systemu warunkowości; uważa, że te dodatkowe środki powinny obejmować realokację umorzonych środków do systemów finansowania zarządzanych</w:t>
            </w:r>
            <w:r>
              <w:t xml:space="preserve"> bezpośrednio </w:t>
            </w:r>
            <w:r>
              <w:rPr>
                <w:b/>
                <w:i/>
              </w:rPr>
              <w:t>przez Komisję; podkreśla, że aby uniknąć nadmiernego obciążenia administracyjnego Komisji</w:t>
            </w:r>
            <w:r>
              <w:t xml:space="preserve">, </w:t>
            </w:r>
            <w:r>
              <w:rPr>
                <w:b/>
                <w:i/>
              </w:rPr>
              <w:t>rolę instytucji zarządzających powinny odgrywać właściwe władze regionalne</w:t>
            </w:r>
            <w:r>
              <w:t xml:space="preserve"> i </w:t>
            </w:r>
            <w:r>
              <w:rPr>
                <w:b/>
                <w:i/>
              </w:rPr>
              <w:t>lokalne, częściowo niezależne organy</w:t>
            </w:r>
            <w:r>
              <w:t xml:space="preserve">, </w:t>
            </w:r>
            <w:r>
              <w:rPr>
                <w:b/>
                <w:i/>
              </w:rPr>
              <w:t>takie jak JASPERS lub Europejski Bank Inwestycyjny, lub niezależni profesjonalni operatorzy funduszy posiadający niezbędne zdolności organizacyjne, wybrani w drodze konkurencyjnych przetargów publicznych, jak firmy zapewniające doradztwo i wsparcie techniczne dla międzynarodowych projektów rozwojowych</w:t>
            </w:r>
            <w:r>
              <w:t>;</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534</w:t>
      </w:r>
      <w:r>
        <w:rPr>
          <w:rStyle w:val="HideTWBExt"/>
        </w:rPr>
        <w:t>&lt;/NumAm&gt;</w:t>
      </w:r>
    </w:p>
    <w:p w:rsidR="007A0039" w:rsidRPr="00EA7539" w:rsidRDefault="007A0039" w:rsidP="007A0039">
      <w:pPr>
        <w:pStyle w:val="NormalBold"/>
      </w:pPr>
      <w:r>
        <w:rPr>
          <w:rStyle w:val="HideTWBExt"/>
          <w:b w:val="0"/>
        </w:rPr>
        <w:t>&lt;RepeatBlock-By&gt;&lt;Members&gt;</w:t>
      </w:r>
      <w:r>
        <w:t>Daniel Freund</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22.</w:t>
            </w:r>
            <w:r>
              <w:tab/>
              <w:t>apeluje o wprowadzenie inteligentnej warunkowości, która umożliwiłaby omijanie rządów krajowych naruszających zasady praworządności i przekazywanie funduszy unijnych bezpośrednio gminom, organizacjom pozarządowym i innym podmiotom, które przestrzegają wartości UE;</w:t>
            </w:r>
          </w:p>
        </w:tc>
        <w:tc>
          <w:tcPr>
            <w:tcW w:w="4876" w:type="dxa"/>
            <w:tcBorders>
              <w:top w:val="nil"/>
              <w:left w:val="nil"/>
              <w:bottom w:val="nil"/>
              <w:right w:val="nil"/>
            </w:tcBorders>
          </w:tcPr>
          <w:p w:rsidR="007A0039" w:rsidRPr="00EA7539" w:rsidRDefault="007A0039" w:rsidP="008F6778">
            <w:pPr>
              <w:pStyle w:val="Normal6a"/>
            </w:pPr>
            <w:r>
              <w:t>22.</w:t>
            </w:r>
            <w:r>
              <w:tab/>
              <w:t>apeluje o wprowadzenie inteligentnej warunkowości, która umożliwiłaby omijanie rządów krajowych naruszających zasady praworządności i przekazywanie funduszy unijnych bezpośrednio gminom, organizacjom pozarządowym i innym podmiotom, które przestrzegają wartości UE</w:t>
            </w:r>
            <w:r>
              <w:rPr>
                <w:b/>
                <w:i/>
              </w:rPr>
              <w:t>, przy jednoczesnym utrzymaniu pełnych skutków przyjętych środków;</w:t>
            </w:r>
            <w:r>
              <w:t xml:space="preserve"> </w:t>
            </w:r>
            <w:r>
              <w:rPr>
                <w:b/>
                <w:i/>
              </w:rPr>
              <w:t>podkreśla, że ta inteligentna warunkowość może również obejmować – wraz z zamrożeniem funduszy, przy jednoczesnym zobowiązaniu państwa członkowskiego do dokonywania płatności na mocy prawa Unii – możliwość zastąpienia zwykłych procedur zarządzania dzielonego specjalną procedurą z udziałem niezależnej strony trzeciej zamiast odpowiednich organów państwa członkowskiego, a także uproszczoną realokację środków przeznaczonych na rzecz danego państwa członkowskiego do programów obejmujących zarządzanie bezpośrednie i pośrednie, takich jak program „Obywatele, Równość, Prawa i Wartości”, program „Kreatywna Europa” lub wszelkie programy będące ich kontynuacją;</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535</w:t>
      </w:r>
      <w:r>
        <w:rPr>
          <w:rStyle w:val="HideTWBExt"/>
        </w:rPr>
        <w:t>&lt;/NumAm&gt;</w:t>
      </w:r>
    </w:p>
    <w:p w:rsidR="007A0039" w:rsidRPr="00EA7539" w:rsidRDefault="007A0039" w:rsidP="007A0039">
      <w:pPr>
        <w:pStyle w:val="NormalBold"/>
      </w:pPr>
      <w:r>
        <w:rPr>
          <w:rStyle w:val="HideTWBExt"/>
          <w:b w:val="0"/>
        </w:rPr>
        <w:t>&lt;RepeatBlock-By&gt;&lt;Members&gt;</w:t>
      </w:r>
      <w:r>
        <w:t>Chloé Ridel, Jean-Marc Germain, Emma Rafowicz</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22.</w:t>
            </w:r>
            <w:r>
              <w:tab/>
            </w:r>
            <w:r>
              <w:rPr>
                <w:b/>
                <w:i/>
              </w:rPr>
              <w:t>apeluje o wprowadzenie inteligentnej</w:t>
            </w:r>
            <w:r>
              <w:t xml:space="preserve"> warunkowości, </w:t>
            </w:r>
            <w:r>
              <w:rPr>
                <w:b/>
                <w:i/>
              </w:rPr>
              <w:t>która umożliwiłaby omijanie rządów krajowych naruszających zasady praworządności i przekazywanie</w:t>
            </w:r>
            <w:r>
              <w:t xml:space="preserve"> funduszy </w:t>
            </w:r>
            <w:r>
              <w:rPr>
                <w:b/>
                <w:i/>
              </w:rPr>
              <w:t>unijnych bezpośrednio gminom</w:t>
            </w:r>
            <w:r>
              <w:t xml:space="preserve">, </w:t>
            </w:r>
            <w:r>
              <w:rPr>
                <w:b/>
                <w:i/>
              </w:rPr>
              <w:t>organizacjom pozarządowym</w:t>
            </w:r>
            <w:r>
              <w:t xml:space="preserve"> i </w:t>
            </w:r>
            <w:r>
              <w:rPr>
                <w:b/>
                <w:i/>
              </w:rPr>
              <w:t>innym podmiotom</w:t>
            </w:r>
            <w:r>
              <w:t xml:space="preserve">, </w:t>
            </w:r>
            <w:r>
              <w:rPr>
                <w:b/>
                <w:i/>
              </w:rPr>
              <w:t>które przestrzegają wartości UE</w:t>
            </w:r>
            <w:r>
              <w:t>;</w:t>
            </w:r>
          </w:p>
        </w:tc>
        <w:tc>
          <w:tcPr>
            <w:tcW w:w="4876" w:type="dxa"/>
            <w:tcBorders>
              <w:top w:val="nil"/>
              <w:left w:val="nil"/>
              <w:bottom w:val="nil"/>
              <w:right w:val="nil"/>
            </w:tcBorders>
          </w:tcPr>
          <w:p w:rsidR="007A0039" w:rsidRPr="00EA7539" w:rsidRDefault="007A0039" w:rsidP="008F6778">
            <w:pPr>
              <w:pStyle w:val="Normal6a"/>
            </w:pPr>
            <w:r>
              <w:t>22.</w:t>
            </w:r>
            <w:r>
              <w:tab/>
            </w:r>
            <w:r>
              <w:rPr>
                <w:b/>
                <w:i/>
              </w:rPr>
              <w:t>przypomina, że rozporządzenie dotyczące warunkowości w zakresie praworządności stanowi, że odbiorcy końcowi nie powinni być pozbawiani korzyści płynących z funduszy UE w przypadku nałożenia sankcji na ich rząd; uważa</w:t>
            </w:r>
            <w:r>
              <w:t xml:space="preserve">, </w:t>
            </w:r>
            <w:r>
              <w:rPr>
                <w:b/>
                <w:i/>
              </w:rPr>
              <w:t>że do tej pory przepis ten nie był skuteczny,</w:t>
            </w:r>
            <w:r>
              <w:t xml:space="preserve"> i </w:t>
            </w:r>
            <w:r>
              <w:rPr>
                <w:b/>
                <w:i/>
              </w:rPr>
              <w:t>podkreśla, jak ważne jest stosowanie inteligentnego podejścia opartego na warunkowości</w:t>
            </w:r>
            <w:r>
              <w:t xml:space="preserve">, </w:t>
            </w:r>
            <w:r>
              <w:rPr>
                <w:b/>
                <w:i/>
              </w:rPr>
              <w:t>tak aby beneficjenci nie byli karani za działania rządu; wzywa Komisję do zbadania dodatkowych sposobów zapewnienia władzom lokalnym i regionalnym, społeczeństwu obywatelskiemu i innym beneficjentom możliwości dalszego korzystania z finansowania unijnego w przypadku naruszeń praworządności przez rządy krajowe bez uszczerbku dla stosowania rozporządzenia</w:t>
            </w:r>
            <w:r>
              <w:t>;</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536</w:t>
      </w:r>
      <w:r>
        <w:rPr>
          <w:rStyle w:val="HideTWBExt"/>
        </w:rPr>
        <w:t>&lt;/NumAm&gt;</w:t>
      </w:r>
    </w:p>
    <w:p w:rsidR="007A0039" w:rsidRPr="00EA7539" w:rsidRDefault="007A0039" w:rsidP="007A0039">
      <w:pPr>
        <w:pStyle w:val="NormalBold"/>
      </w:pPr>
      <w:r>
        <w:rPr>
          <w:rStyle w:val="HideTWBExt"/>
          <w:b w:val="0"/>
        </w:rPr>
        <w:t>&lt;RepeatBlock-By&gt;&lt;Members&gt;</w:t>
      </w:r>
      <w:r>
        <w:t>Marieke Ehlers, Jorge Buxadé Villalba, Tom Vandendriessche, Fabrice Leggeri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22.</w:t>
            </w:r>
            <w:r>
              <w:tab/>
            </w:r>
            <w:r>
              <w:rPr>
                <w:b/>
                <w:i/>
              </w:rPr>
              <w:t>apeluje o wprowadzenie inteligentnej warunkowości</w:t>
            </w:r>
            <w:r>
              <w:t xml:space="preserve">, </w:t>
            </w:r>
            <w:r>
              <w:rPr>
                <w:b/>
                <w:i/>
              </w:rPr>
              <w:t>która umożliwiłaby omijanie rządów krajowych naruszających zasady</w:t>
            </w:r>
            <w:r>
              <w:t xml:space="preserve"> praworządności</w:t>
            </w:r>
            <w:r>
              <w:rPr>
                <w:b/>
                <w:i/>
              </w:rPr>
              <w:t xml:space="preserve"> i przekazywanie funduszy unijnych bezpośrednio gminom</w:t>
            </w:r>
            <w:r>
              <w:t xml:space="preserve">, </w:t>
            </w:r>
            <w:r>
              <w:rPr>
                <w:b/>
                <w:i/>
              </w:rPr>
              <w:t>organizacjom pozarządowym i innym podmiotom</w:t>
            </w:r>
            <w:r>
              <w:t xml:space="preserve">, </w:t>
            </w:r>
            <w:r>
              <w:rPr>
                <w:b/>
                <w:i/>
              </w:rPr>
              <w:t>które przestrzegają wartości</w:t>
            </w:r>
            <w:r>
              <w:t xml:space="preserve"> UE;</w:t>
            </w:r>
          </w:p>
        </w:tc>
        <w:tc>
          <w:tcPr>
            <w:tcW w:w="4876" w:type="dxa"/>
            <w:tcBorders>
              <w:top w:val="nil"/>
              <w:left w:val="nil"/>
              <w:bottom w:val="nil"/>
              <w:right w:val="nil"/>
            </w:tcBorders>
          </w:tcPr>
          <w:p w:rsidR="007A0039" w:rsidRPr="00EA7539" w:rsidRDefault="007A0039" w:rsidP="008F6778">
            <w:pPr>
              <w:pStyle w:val="Normal6a"/>
            </w:pPr>
            <w:r>
              <w:t>22.</w:t>
            </w:r>
            <w:r>
              <w:tab/>
            </w:r>
            <w:r>
              <w:rPr>
                <w:b/>
                <w:i/>
              </w:rPr>
              <w:t>przypomina, że UE działała ultra vires</w:t>
            </w:r>
            <w:r>
              <w:t xml:space="preserve">, </w:t>
            </w:r>
            <w:r>
              <w:rPr>
                <w:b/>
                <w:i/>
              </w:rPr>
              <w:t>przyjmując rozporządzenie w sprawie warunkowości w zakresie</w:t>
            </w:r>
            <w:r>
              <w:t xml:space="preserve"> praworządności</w:t>
            </w:r>
            <w:r>
              <w:rPr>
                <w:b/>
                <w:i/>
              </w:rPr>
              <w:t>, ponieważ wykroczyła poza uprawnienia powierzone jej przez państwa członkowskie; podkreśla ponadto, że rozporządzenie narusza zasadę pewności prawa; odrzuca zatem w całości rozporządzenie w sprawie warunkowości w zakresie praworządności; uważa ponadto</w:t>
            </w:r>
            <w:r>
              <w:t xml:space="preserve">, </w:t>
            </w:r>
            <w:r>
              <w:rPr>
                <w:b/>
                <w:i/>
              </w:rPr>
              <w:t>że rozporządzenie w sprawie warunkowości w zakresie praworządności narusza zasadę jednomyślności określoną w art. 7 TUE i w związku z tym stanowi naruszenie prawa</w:t>
            </w:r>
            <w:r>
              <w:t xml:space="preserve"> UE;</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537</w:t>
      </w:r>
      <w:r>
        <w:rPr>
          <w:rStyle w:val="HideTWBExt"/>
        </w:rPr>
        <w:t>&lt;/NumAm&gt;</w:t>
      </w:r>
    </w:p>
    <w:p w:rsidR="007A0039" w:rsidRPr="00EA7539" w:rsidRDefault="007A0039" w:rsidP="007A0039">
      <w:pPr>
        <w:pStyle w:val="NormalBold"/>
      </w:pPr>
      <w:r>
        <w:rPr>
          <w:rStyle w:val="HideTWBExt"/>
          <w:b w:val="0"/>
        </w:rPr>
        <w:t>&lt;RepeatBlock-By&gt;&lt;Members&gt;</w:t>
      </w:r>
      <w:r>
        <w:t>Javier Zarzalejos</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22.</w:t>
            </w:r>
            <w:r>
              <w:tab/>
              <w:t xml:space="preserve">apeluje o wprowadzenie </w:t>
            </w:r>
            <w:r>
              <w:rPr>
                <w:b/>
                <w:i/>
              </w:rPr>
              <w:t>inteligentnej warunkowości, która umożliwiłaby omijanie rządów krajowych naruszających zasady</w:t>
            </w:r>
            <w:r>
              <w:t xml:space="preserve"> praworządności</w:t>
            </w:r>
            <w:r>
              <w:rPr>
                <w:b/>
                <w:i/>
              </w:rPr>
              <w:t xml:space="preserve"> i przekazywanie</w:t>
            </w:r>
            <w:r>
              <w:t xml:space="preserve"> funduszy </w:t>
            </w:r>
            <w:r>
              <w:rPr>
                <w:b/>
                <w:i/>
              </w:rPr>
              <w:t>unijnych bezpośrednio gminom, organizacjom pozarządowym i innym podmiotom</w:t>
            </w:r>
            <w:r>
              <w:t xml:space="preserve">, </w:t>
            </w:r>
            <w:r>
              <w:rPr>
                <w:b/>
                <w:i/>
              </w:rPr>
              <w:t>które przestrzegają wartości UE</w:t>
            </w:r>
            <w:r>
              <w:t>;</w:t>
            </w:r>
          </w:p>
        </w:tc>
        <w:tc>
          <w:tcPr>
            <w:tcW w:w="4876" w:type="dxa"/>
            <w:tcBorders>
              <w:top w:val="nil"/>
              <w:left w:val="nil"/>
              <w:bottom w:val="nil"/>
              <w:right w:val="nil"/>
            </w:tcBorders>
          </w:tcPr>
          <w:p w:rsidR="007A0039" w:rsidRPr="00EA7539" w:rsidRDefault="007A0039" w:rsidP="008F6778">
            <w:pPr>
              <w:pStyle w:val="Normal6a"/>
            </w:pPr>
            <w:r>
              <w:t>22.</w:t>
            </w:r>
            <w:r>
              <w:tab/>
              <w:t xml:space="preserve">apeluje o wprowadzenie </w:t>
            </w:r>
            <w:r>
              <w:rPr>
                <w:b/>
                <w:i/>
              </w:rPr>
              <w:t>wzmocnionych mechanizmów monitorowania dystrybucji funduszy UE w celu zapewnienia zgodności ze standardami w zakresie</w:t>
            </w:r>
            <w:r>
              <w:t xml:space="preserve"> praworządności</w:t>
            </w:r>
            <w:r>
              <w:rPr>
                <w:b/>
                <w:i/>
              </w:rPr>
              <w:t>; podkreśla potrzebę ścisłej kontroli pod kątem potencjalnych konfliktów interesów, instrumentalizacji politycznej lub nieprzejrzystości w przydziale funduszy na szczeblu krajowym; wzywa Komisję do przeprowadzania systematycznych audytów w celu zapobiegania nadużyciom</w:t>
            </w:r>
            <w:r>
              <w:t xml:space="preserve">, </w:t>
            </w:r>
            <w:r>
              <w:rPr>
                <w:b/>
                <w:i/>
              </w:rPr>
              <w:t>zgodnie z rozporządzeniem w sprawie ogólnego systemu warunkowości</w:t>
            </w:r>
            <w:r>
              <w:t>;</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538</w:t>
      </w:r>
      <w:r>
        <w:rPr>
          <w:rStyle w:val="HideTWBExt"/>
        </w:rPr>
        <w:t>&lt;/NumAm&gt;</w:t>
      </w:r>
    </w:p>
    <w:p w:rsidR="007A0039" w:rsidRPr="00EA7539" w:rsidRDefault="007A0039" w:rsidP="007A0039">
      <w:pPr>
        <w:pStyle w:val="NormalBold"/>
      </w:pPr>
      <w:r>
        <w:rPr>
          <w:rStyle w:val="HideTWBExt"/>
          <w:b w:val="0"/>
        </w:rPr>
        <w:t>&lt;RepeatBlock-By&gt;&lt;Members&gt;</w:t>
      </w:r>
      <w:r>
        <w:t>Emma Rafowicz, Chloé Ridel, Birgit Sippel, Krzysztof Śmiszek, Hannes Heide</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22.</w:t>
            </w:r>
            <w:r>
              <w:tab/>
              <w:t>apeluje o wprowadzenie inteligentnej warunkowości, która umożliwiłaby omijanie rządów krajowych naruszających zasady praworządności i przekazywanie funduszy unijnych bezpośrednio gminom, organizacjom pozarządowym</w:t>
            </w:r>
            <w:r>
              <w:rPr>
                <w:b/>
                <w:i/>
              </w:rPr>
              <w:t xml:space="preserve"> i</w:t>
            </w:r>
            <w:r>
              <w:t xml:space="preserve"> innym podmiotom, które przestrzegają wartości </w:t>
            </w:r>
            <w:r>
              <w:rPr>
                <w:b/>
                <w:i/>
              </w:rPr>
              <w:t>UE</w:t>
            </w:r>
            <w:r>
              <w:t>;</w:t>
            </w:r>
          </w:p>
        </w:tc>
        <w:tc>
          <w:tcPr>
            <w:tcW w:w="4876" w:type="dxa"/>
            <w:tcBorders>
              <w:top w:val="nil"/>
              <w:left w:val="nil"/>
              <w:bottom w:val="nil"/>
              <w:right w:val="nil"/>
            </w:tcBorders>
          </w:tcPr>
          <w:p w:rsidR="007A0039" w:rsidRPr="00EA7539" w:rsidRDefault="007A0039" w:rsidP="008F6778">
            <w:pPr>
              <w:pStyle w:val="Normal6a"/>
            </w:pPr>
            <w:r>
              <w:t>22.</w:t>
            </w:r>
            <w:r>
              <w:tab/>
              <w:t>apeluje o wprowadzenie inteligentnej warunkowości, która umożliwiłaby omijanie rządów krajowych naruszających zasady praworządności i przekazywanie funduszy unijnych bezpośrednio gminom, organizacjom pozarządowym, innym podmiotom, które przestrzegają wartości UE</w:t>
            </w:r>
            <w:r>
              <w:rPr>
                <w:b/>
                <w:bCs/>
                <w:i/>
                <w:iCs/>
              </w:rPr>
              <w:t>, a także innym podmiotom, które przestrzegają wartości</w:t>
            </w:r>
            <w:r>
              <w:t xml:space="preserve"> </w:t>
            </w:r>
            <w:r>
              <w:rPr>
                <w:b/>
                <w:i/>
              </w:rPr>
              <w:t>Unii i są wystarczająco niezależne od władz danego państwa członkowskiego</w:t>
            </w:r>
            <w:r>
              <w:t>;</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sidRPr="00EA7539">
        <w:rPr>
          <w:rStyle w:val="HideTWBExt"/>
        </w:rPr>
        <w:t>&lt;Amend&gt;</w:t>
      </w:r>
      <w:r w:rsidRPr="00EA7539">
        <w:t>Poprawka</w:t>
      </w:r>
      <w:r w:rsidRPr="00EA7539">
        <w:tab/>
      </w:r>
      <w:r w:rsidRPr="00EA7539">
        <w:tab/>
      </w:r>
      <w:r w:rsidRPr="00EA7539">
        <w:rPr>
          <w:rStyle w:val="HideTWBExt"/>
        </w:rPr>
        <w:t>&lt;NumAm&gt;</w:t>
      </w:r>
      <w:r w:rsidRPr="00EA7539">
        <w:t>539</w:t>
      </w:r>
      <w:r w:rsidRPr="00EA7539">
        <w:rPr>
          <w:rStyle w:val="HideTWBExt"/>
        </w:rPr>
        <w:t>&lt;/NumAm&gt;</w:t>
      </w:r>
    </w:p>
    <w:p w:rsidR="007A0039" w:rsidRPr="00EA7539" w:rsidRDefault="007A0039" w:rsidP="007A0039">
      <w:pPr>
        <w:pStyle w:val="NormalBold"/>
      </w:pPr>
      <w:r w:rsidRPr="00EA7539">
        <w:rPr>
          <w:rStyle w:val="HideTWBExt"/>
          <w:b w:val="0"/>
        </w:rPr>
        <w:t>&lt;RepeatBlock-By&gt;&lt;Members&gt;</w:t>
      </w:r>
      <w:r w:rsidRPr="00EA7539">
        <w:t>Mariusz Kamiński, Joachim Stanisław Brudziński, Jadwiga Wiśniewska, Maciej Wąsik, Jacek Ozdoba</w:t>
      </w:r>
      <w:r w:rsidRPr="00EA7539">
        <w:rPr>
          <w:rStyle w:val="HideTWBExt"/>
          <w:b w:val="0"/>
        </w:rPr>
        <w:t>&lt;/Members&gt;</w:t>
      </w:r>
    </w:p>
    <w:p w:rsidR="007A0039" w:rsidRPr="00EA7539" w:rsidRDefault="007A0039" w:rsidP="007A0039">
      <w:pPr>
        <w:pStyle w:val="NormalBold"/>
      </w:pPr>
      <w:r w:rsidRPr="00EA7539">
        <w:rPr>
          <w:rStyle w:val="HideTWBExt"/>
          <w:b w:val="0"/>
        </w:rPr>
        <w:t>&lt;/RepeatBlock-By&gt;</w:t>
      </w:r>
    </w:p>
    <w:p w:rsidR="007A0039" w:rsidRPr="00EA7539" w:rsidRDefault="007A0039" w:rsidP="007A0039">
      <w:pPr>
        <w:pStyle w:val="NormalBold"/>
      </w:pPr>
      <w:r w:rsidRPr="00EA7539">
        <w:rPr>
          <w:rStyle w:val="HideTWBExt"/>
        </w:rPr>
        <w:t>&lt;DocAmend&gt;</w:t>
      </w:r>
      <w:r w:rsidRPr="00EA7539">
        <w:t>Projekt rezolucji</w:t>
      </w:r>
      <w:r w:rsidRPr="00EA7539">
        <w:rPr>
          <w:rStyle w:val="HideTWBExt"/>
        </w:rPr>
        <w:t>&lt;/DocAmend&gt;</w:t>
      </w:r>
    </w:p>
    <w:p w:rsidR="007A0039" w:rsidRPr="00EA7539" w:rsidRDefault="007A0039" w:rsidP="007A0039">
      <w:pPr>
        <w:pStyle w:val="NormalBold"/>
      </w:pPr>
      <w:r w:rsidRPr="00EA7539">
        <w:rPr>
          <w:rStyle w:val="HideTWBExt"/>
        </w:rPr>
        <w:t>&lt;Article&gt;</w:t>
      </w:r>
      <w:r w:rsidRPr="00EA7539">
        <w:t>Ustęp 22</w:t>
      </w:r>
      <w:r w:rsidRPr="00EA7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RPr="00EA75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RPr="00EA75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rsidRPr="00EA7539">
              <w:t>Projekt rezolucji</w:t>
            </w:r>
          </w:p>
        </w:tc>
        <w:tc>
          <w:tcPr>
            <w:tcW w:w="4876" w:type="dxa"/>
            <w:tcBorders>
              <w:top w:val="nil"/>
              <w:left w:val="nil"/>
              <w:bottom w:val="nil"/>
              <w:right w:val="nil"/>
            </w:tcBorders>
          </w:tcPr>
          <w:p w:rsidR="007A0039" w:rsidRPr="00EA7539" w:rsidRDefault="007A0039" w:rsidP="008F6778">
            <w:pPr>
              <w:pStyle w:val="AmColumnHeading"/>
            </w:pPr>
            <w:r w:rsidRPr="00EA7539">
              <w:t>Poprawka</w:t>
            </w:r>
          </w:p>
        </w:tc>
      </w:tr>
      <w:tr w:rsidR="007A0039" w:rsidRPr="00EA7539" w:rsidTr="008F6778">
        <w:trPr>
          <w:jc w:val="center"/>
        </w:trPr>
        <w:tc>
          <w:tcPr>
            <w:tcW w:w="4876" w:type="dxa"/>
            <w:tcBorders>
              <w:top w:val="nil"/>
              <w:left w:val="nil"/>
              <w:bottom w:val="nil"/>
              <w:right w:val="nil"/>
            </w:tcBorders>
          </w:tcPr>
          <w:p w:rsidR="007A0039" w:rsidRPr="00EA7539" w:rsidRDefault="007A0039" w:rsidP="008F6778">
            <w:pPr>
              <w:pStyle w:val="Normal6a"/>
            </w:pPr>
            <w:r w:rsidRPr="00EA7539">
              <w:t>22.</w:t>
            </w:r>
            <w:r w:rsidRPr="00EA7539">
              <w:tab/>
            </w:r>
            <w:r w:rsidRPr="00EA7539">
              <w:rPr>
                <w:b/>
                <w:i/>
              </w:rPr>
              <w:t>apeluje o</w:t>
            </w:r>
            <w:r w:rsidRPr="00EA7539">
              <w:t xml:space="preserve"> wprowadzenie inteligentnej warunkowości, która umożliwiłaby omijanie rządów krajowych naruszających zasady praworządności i przekazywanie funduszy unijnych bezpośrednio gminom, organizacjom pozarządowym i innym podmiotom, </w:t>
            </w:r>
            <w:r w:rsidRPr="00EA7539">
              <w:rPr>
                <w:b/>
                <w:i/>
              </w:rPr>
              <w:t>które przestrzegają</w:t>
            </w:r>
            <w:r w:rsidRPr="00EA7539">
              <w:t xml:space="preserve"> wartości UE;</w:t>
            </w:r>
          </w:p>
        </w:tc>
        <w:tc>
          <w:tcPr>
            <w:tcW w:w="4876" w:type="dxa"/>
            <w:tcBorders>
              <w:top w:val="nil"/>
              <w:left w:val="nil"/>
              <w:bottom w:val="nil"/>
              <w:right w:val="nil"/>
            </w:tcBorders>
          </w:tcPr>
          <w:p w:rsidR="007A0039" w:rsidRPr="00EA7539" w:rsidRDefault="007A0039" w:rsidP="008F6778">
            <w:pPr>
              <w:pStyle w:val="Normal6a"/>
            </w:pPr>
            <w:r w:rsidRPr="00EA7539">
              <w:t>22.</w:t>
            </w:r>
            <w:r w:rsidRPr="00EA7539">
              <w:tab/>
            </w:r>
            <w:r w:rsidRPr="00EA7539">
              <w:rPr>
                <w:b/>
                <w:i/>
              </w:rPr>
              <w:t>podkreśla, iż wszelkie inicjatywy, takie jak</w:t>
            </w:r>
            <w:r w:rsidRPr="00EA7539">
              <w:t xml:space="preserve"> wprowadzenie inteligentnej warunkowości, która umożliwiłaby omijanie rządów krajowych naruszających zasady praworządności i przekazywanie funduszy unijnych bezpośrednio gminom, organizacjom pozarządowym i innym podmiotom, </w:t>
            </w:r>
            <w:r w:rsidRPr="00EA7539">
              <w:rPr>
                <w:b/>
                <w:i/>
              </w:rPr>
              <w:t>są niezgodne z traktatami i naruszają</w:t>
            </w:r>
            <w:r w:rsidRPr="00EA7539">
              <w:t xml:space="preserve"> wartości </w:t>
            </w:r>
            <w:r w:rsidRPr="00EA7539">
              <w:rPr>
                <w:b/>
                <w:i/>
              </w:rPr>
              <w:t>i prawo</w:t>
            </w:r>
            <w:r w:rsidRPr="00EA7539">
              <w:t xml:space="preserve"> UE;</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{PL}</w:t>
      </w:r>
      <w:r w:rsidRPr="00EA7539">
        <w:t>pl</w:t>
      </w:r>
      <w:r w:rsidRPr="00EA7539">
        <w:rPr>
          <w:rStyle w:val="HideTWBExt"/>
        </w:rPr>
        <w:t>&lt;/Original&gt;</w:t>
      </w:r>
    </w:p>
    <w:p w:rsidR="007A0039" w:rsidRPr="00EA7539" w:rsidRDefault="007A0039" w:rsidP="007A0039">
      <w:r w:rsidRPr="00EA7539">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540</w:t>
      </w:r>
      <w:r>
        <w:rPr>
          <w:rStyle w:val="HideTWBExt"/>
        </w:rPr>
        <w:t>&lt;/NumAm&gt;</w:t>
      </w:r>
    </w:p>
    <w:p w:rsidR="007A0039" w:rsidRPr="00EA7539" w:rsidRDefault="007A0039" w:rsidP="007A0039">
      <w:pPr>
        <w:pStyle w:val="NormalBold"/>
      </w:pPr>
      <w:r>
        <w:rPr>
          <w:rStyle w:val="HideTWBExt"/>
          <w:b w:val="0"/>
        </w:rPr>
        <w:t>&lt;RepeatBlock-By&gt;&lt;Members&gt;</w:t>
      </w:r>
      <w:r>
        <w:t>Sebastian Tynkkynen</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22.</w:t>
            </w:r>
            <w:r>
              <w:tab/>
              <w:t xml:space="preserve">apeluje o wprowadzenie inteligentnej warunkowości, która umożliwiłaby omijanie rządów krajowych naruszających zasady praworządności i </w:t>
            </w:r>
            <w:r>
              <w:rPr>
                <w:b/>
                <w:i/>
              </w:rPr>
              <w:t>przekazywanie</w:t>
            </w:r>
            <w:r>
              <w:t xml:space="preserve"> funduszy unijnych bezpośrednio </w:t>
            </w:r>
            <w:r>
              <w:rPr>
                <w:b/>
                <w:i/>
              </w:rPr>
              <w:t>gminom</w:t>
            </w:r>
            <w:r>
              <w:t xml:space="preserve">, </w:t>
            </w:r>
            <w:r>
              <w:rPr>
                <w:b/>
                <w:i/>
              </w:rPr>
              <w:t>organizacjom pozarządowym</w:t>
            </w:r>
            <w:r>
              <w:t xml:space="preserve"> i </w:t>
            </w:r>
            <w:r>
              <w:rPr>
                <w:b/>
                <w:i/>
              </w:rPr>
              <w:t>innym podmiotom, które przestrzegają wartości UE</w:t>
            </w:r>
            <w:r>
              <w:t>;</w:t>
            </w:r>
          </w:p>
        </w:tc>
        <w:tc>
          <w:tcPr>
            <w:tcW w:w="4876" w:type="dxa"/>
            <w:tcBorders>
              <w:top w:val="nil"/>
              <w:left w:val="nil"/>
              <w:bottom w:val="nil"/>
              <w:right w:val="nil"/>
            </w:tcBorders>
          </w:tcPr>
          <w:p w:rsidR="007A0039" w:rsidRPr="00EA7539" w:rsidRDefault="007A0039" w:rsidP="008F6778">
            <w:pPr>
              <w:pStyle w:val="Normal6a"/>
            </w:pPr>
            <w:r>
              <w:t>22.</w:t>
            </w:r>
            <w:r>
              <w:tab/>
              <w:t xml:space="preserve">apeluje o wprowadzenie inteligentnej warunkowości, która umożliwiłaby omijanie rządów krajowych naruszających zasady praworządności i </w:t>
            </w:r>
            <w:r>
              <w:rPr>
                <w:b/>
                <w:i/>
              </w:rPr>
              <w:t>przeznaczanie</w:t>
            </w:r>
            <w:r>
              <w:t xml:space="preserve"> funduszy unijnych bezpośrednio </w:t>
            </w:r>
            <w:r>
              <w:rPr>
                <w:b/>
                <w:i/>
              </w:rPr>
              <w:t>na wsparcie dla Ukrainy</w:t>
            </w:r>
            <w:r>
              <w:t xml:space="preserve">, </w:t>
            </w:r>
            <w:r>
              <w:rPr>
                <w:b/>
                <w:i/>
              </w:rPr>
              <w:t>która w najbardziej konkretny sposób broni całej Europy</w:t>
            </w:r>
            <w:r>
              <w:t xml:space="preserve"> i </w:t>
            </w:r>
            <w:r>
              <w:rPr>
                <w:b/>
                <w:i/>
              </w:rPr>
              <w:t>jej podstawowych wartości w walce z rosyjską agresją</w:t>
            </w:r>
            <w:r>
              <w:t>;</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{FI}</w:t>
      </w:r>
      <w:r w:rsidRPr="00EA7539">
        <w:t>fi</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541</w:t>
      </w:r>
      <w:r>
        <w:rPr>
          <w:rStyle w:val="HideTWBExt"/>
        </w:rPr>
        <w:t>&lt;/NumAm&gt;</w:t>
      </w:r>
    </w:p>
    <w:p w:rsidR="007A0039" w:rsidRPr="00EA7539" w:rsidRDefault="007A0039" w:rsidP="007A0039">
      <w:pPr>
        <w:pStyle w:val="NormalBold"/>
      </w:pPr>
      <w:r>
        <w:rPr>
          <w:rStyle w:val="HideTWBExt"/>
          <w:b w:val="0"/>
        </w:rPr>
        <w:t>&lt;RepeatBlock-By&gt;&lt;Members&gt;</w:t>
      </w:r>
      <w:r>
        <w:t>Romana Tomc</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22.</w:t>
            </w:r>
            <w:r>
              <w:tab/>
              <w:t xml:space="preserve">apeluje o wprowadzenie </w:t>
            </w:r>
            <w:r>
              <w:rPr>
                <w:b/>
                <w:i/>
              </w:rPr>
              <w:t>inteligentnej warunkowości</w:t>
            </w:r>
            <w:r>
              <w:t xml:space="preserve">, </w:t>
            </w:r>
            <w:r>
              <w:rPr>
                <w:b/>
                <w:i/>
              </w:rPr>
              <w:t>która umożliwiłaby</w:t>
            </w:r>
            <w:r>
              <w:t xml:space="preserve"> omijanie rządów krajowych naruszających zasady praworządności i przekazywanie funduszy unijnych bezpośrednio gminom</w:t>
            </w:r>
            <w:r>
              <w:rPr>
                <w:b/>
                <w:i/>
              </w:rPr>
              <w:t>, organizacjom pozarządowym i innym podmiotom, które przestrzegają wartości UE</w:t>
            </w:r>
            <w:r>
              <w:t>;</w:t>
            </w:r>
          </w:p>
        </w:tc>
        <w:tc>
          <w:tcPr>
            <w:tcW w:w="4876" w:type="dxa"/>
            <w:tcBorders>
              <w:top w:val="nil"/>
              <w:left w:val="nil"/>
              <w:bottom w:val="nil"/>
              <w:right w:val="nil"/>
            </w:tcBorders>
          </w:tcPr>
          <w:p w:rsidR="007A0039" w:rsidRPr="00EA7539" w:rsidRDefault="007A0039" w:rsidP="008F6778">
            <w:pPr>
              <w:pStyle w:val="Normal6a"/>
            </w:pPr>
            <w:r>
              <w:t>22.</w:t>
            </w:r>
            <w:r>
              <w:tab/>
              <w:t xml:space="preserve">apeluje o wprowadzenie </w:t>
            </w:r>
            <w:r>
              <w:rPr>
                <w:b/>
                <w:i/>
              </w:rPr>
              <w:t>mechanizmu</w:t>
            </w:r>
            <w:r>
              <w:t xml:space="preserve">, </w:t>
            </w:r>
            <w:r>
              <w:rPr>
                <w:b/>
                <w:i/>
              </w:rPr>
              <w:t>który umożliwiłby</w:t>
            </w:r>
            <w:r>
              <w:t xml:space="preserve"> omijanie rządów krajowych naruszających zasady praworządności i przekazywanie funduszy unijnych bezpośrednio gminom;</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542</w:t>
      </w:r>
      <w:r>
        <w:rPr>
          <w:rStyle w:val="HideTWBExt"/>
        </w:rPr>
        <w:t>&lt;/NumAm&gt;</w:t>
      </w:r>
    </w:p>
    <w:p w:rsidR="007A0039" w:rsidRPr="00EA7539" w:rsidRDefault="007A0039" w:rsidP="007A0039">
      <w:pPr>
        <w:pStyle w:val="NormalBold"/>
      </w:pPr>
      <w:r>
        <w:rPr>
          <w:rStyle w:val="HideTWBExt"/>
          <w:b w:val="0"/>
        </w:rPr>
        <w:t>&lt;RepeatBlock-By&gt;&lt;Members&gt;</w:t>
      </w:r>
      <w:r>
        <w:t>Mary Khan, Ewa Zajączkowska-Hernik, Milan Uhrík</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22.</w:t>
            </w:r>
            <w:r>
              <w:tab/>
            </w:r>
            <w:r>
              <w:rPr>
                <w:b/>
                <w:i/>
              </w:rPr>
              <w:t>apeluje o wprowadzenie</w:t>
            </w:r>
            <w:r>
              <w:t xml:space="preserve"> inteligentnej warunkowości, która umożliwiłaby omijanie rządów krajowych</w:t>
            </w:r>
            <w:r>
              <w:rPr>
                <w:b/>
                <w:i/>
              </w:rPr>
              <w:t xml:space="preserve"> naruszających</w:t>
            </w:r>
            <w:r>
              <w:t xml:space="preserve"> zasady praworządności i przekazywanie funduszy unijnych bezpośrednio gminom, organizacjom pozarządowym i innym podmiotom, które przestrzegają wartości UE;</w:t>
            </w:r>
          </w:p>
        </w:tc>
        <w:tc>
          <w:tcPr>
            <w:tcW w:w="4876" w:type="dxa"/>
            <w:tcBorders>
              <w:top w:val="nil"/>
              <w:left w:val="nil"/>
              <w:bottom w:val="nil"/>
              <w:right w:val="nil"/>
            </w:tcBorders>
          </w:tcPr>
          <w:p w:rsidR="007A0039" w:rsidRPr="00EA7539" w:rsidRDefault="007A0039" w:rsidP="008F6778">
            <w:pPr>
              <w:pStyle w:val="Normal6a"/>
            </w:pPr>
            <w:r>
              <w:t>22.</w:t>
            </w:r>
            <w:r>
              <w:tab/>
            </w:r>
            <w:r>
              <w:rPr>
                <w:b/>
                <w:i/>
              </w:rPr>
              <w:t>ubolewa z powodu wprowadzenia</w:t>
            </w:r>
            <w:r>
              <w:t xml:space="preserve"> inteligentnej warunkowości, która umożliwiłaby omijanie rządów krajowych</w:t>
            </w:r>
            <w:r>
              <w:rPr>
                <w:b/>
                <w:i/>
              </w:rPr>
              <w:t>, które rzekomo naruszają</w:t>
            </w:r>
            <w:r>
              <w:t xml:space="preserve"> zasady praworządności</w:t>
            </w:r>
            <w:r>
              <w:rPr>
                <w:b/>
                <w:i/>
              </w:rPr>
              <w:t>,</w:t>
            </w:r>
            <w:r>
              <w:t xml:space="preserve"> i przekazywanie funduszy unijnych bezpośrednio gminom, organizacjom pozarządowym i innym podmiotom, które przestrzegają wartości</w:t>
            </w:r>
            <w:r>
              <w:rPr>
                <w:b/>
                <w:i/>
              </w:rPr>
              <w:t xml:space="preserve"> będących rzekomo wartościami</w:t>
            </w:r>
            <w:r>
              <w:t xml:space="preserve"> UE;</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543</w:t>
      </w:r>
      <w:r>
        <w:rPr>
          <w:rStyle w:val="HideTWBExt"/>
        </w:rPr>
        <w:t>&lt;/NumAm&gt;</w:t>
      </w:r>
    </w:p>
    <w:p w:rsidR="007A0039" w:rsidRPr="00EA7539" w:rsidRDefault="007A0039" w:rsidP="007A0039">
      <w:pPr>
        <w:pStyle w:val="NormalBold"/>
      </w:pPr>
      <w:r>
        <w:rPr>
          <w:rStyle w:val="HideTWBExt"/>
          <w:b w:val="0"/>
        </w:rPr>
        <w:t>&lt;RepeatBlock-By&gt;&lt;Members&gt;</w:t>
      </w:r>
      <w:r>
        <w:t>András László</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22.</w:t>
            </w:r>
            <w:r>
              <w:tab/>
            </w:r>
            <w:r>
              <w:rPr>
                <w:b/>
                <w:i/>
              </w:rPr>
              <w:t>apeluje o wprowadzenie inteligentnej warunkowości, która umożliwiłaby omijanie</w:t>
            </w:r>
            <w:r>
              <w:t xml:space="preserve"> rządów krajowych </w:t>
            </w:r>
            <w:r>
              <w:rPr>
                <w:b/>
                <w:i/>
              </w:rPr>
              <w:t>naruszających zasady praworządności i przekazywanie funduszy unijnych bezpośrednio gminom</w:t>
            </w:r>
            <w:r>
              <w:t xml:space="preserve">, </w:t>
            </w:r>
            <w:r>
              <w:rPr>
                <w:b/>
                <w:i/>
              </w:rPr>
              <w:t>organizacjom pozarządowym i innym podmiotom, które przestrzegają wartości UE</w:t>
            </w:r>
            <w:r>
              <w:t>;</w:t>
            </w:r>
          </w:p>
        </w:tc>
        <w:tc>
          <w:tcPr>
            <w:tcW w:w="4876" w:type="dxa"/>
            <w:tcBorders>
              <w:top w:val="nil"/>
              <w:left w:val="nil"/>
              <w:bottom w:val="nil"/>
              <w:right w:val="nil"/>
            </w:tcBorders>
          </w:tcPr>
          <w:p w:rsidR="007A0039" w:rsidRPr="00EA7539" w:rsidRDefault="007A0039" w:rsidP="008F6778">
            <w:pPr>
              <w:pStyle w:val="Normal6a"/>
            </w:pPr>
            <w:r>
              <w:t>22.</w:t>
            </w:r>
            <w:r>
              <w:tab/>
            </w:r>
            <w:r>
              <w:rPr>
                <w:b/>
                <w:i/>
              </w:rPr>
              <w:t>ubolewa nad podjętą przez europejską lewicę próbą doprowadzenia do ominięcia</w:t>
            </w:r>
            <w:r>
              <w:t xml:space="preserve"> rządów krajowych </w:t>
            </w:r>
            <w:r>
              <w:rPr>
                <w:b/>
                <w:i/>
              </w:rPr>
              <w:t>poprzez wprowadzenie tzw. „inteligentnej warunkowości”</w:t>
            </w:r>
            <w:r>
              <w:t xml:space="preserve">, </w:t>
            </w:r>
            <w:r>
              <w:rPr>
                <w:b/>
                <w:i/>
              </w:rPr>
              <w:t>która w rzeczywistości byłaby ingerencją w suwerenność państw członkowskich</w:t>
            </w:r>
            <w:r>
              <w:t>;</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544</w:t>
      </w:r>
      <w:r>
        <w:rPr>
          <w:rStyle w:val="HideTWBExt"/>
        </w:rPr>
        <w:t>&lt;/NumAm&gt;</w:t>
      </w:r>
    </w:p>
    <w:p w:rsidR="007A0039" w:rsidRPr="00EA7539" w:rsidRDefault="007A0039" w:rsidP="007A0039">
      <w:pPr>
        <w:pStyle w:val="NormalBold"/>
      </w:pPr>
      <w:r>
        <w:rPr>
          <w:rStyle w:val="HideTWBExt"/>
          <w:b w:val="0"/>
        </w:rPr>
        <w:t>&lt;RepeatBlock-By&gt;&lt;Members&gt;</w:t>
      </w:r>
      <w:r>
        <w:t>Michał Wawrykiewicz</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22a.</w:t>
            </w:r>
            <w:r>
              <w:tab/>
            </w:r>
            <w:r>
              <w:rPr>
                <w:b/>
                <w:i/>
              </w:rPr>
              <w:t>proponuje utworzenie stałej grupy wybitnych osobistości („grupa mędrców”) składającej się z niezależnych ekspertów prawych, akademickich i w dziedzinie praw człowieka, której zadaniem byłoby systematyczne monitorowanie zmian w zakresie praworządności w państwach członkowskich oraz dostarczanie Komisji Europejskiej regularnych ocen, zaleceń i wczesnych ostrzeżeń; podkreśla potrzebę zapewnienia pełnej niezależności i obiektywności zarówno w odniesieniu do składu, jaki funkcjonowania tego organu, przy czym inspiracją może być komitet niezależnych wybitnych osobistości ustanowiony rozporządzeniem nr 1141/2014, a mandat dostosowany zostałby w sposób szczególny do rozwiązywania problemów związanych z praworządnością;</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545</w:t>
      </w:r>
      <w:r>
        <w:rPr>
          <w:rStyle w:val="HideTWBExt"/>
        </w:rPr>
        <w:t>&lt;/NumAm&gt;</w:t>
      </w:r>
    </w:p>
    <w:p w:rsidR="007A0039" w:rsidRPr="00EA7539" w:rsidRDefault="007A0039" w:rsidP="007A0039">
      <w:pPr>
        <w:pStyle w:val="NormalBold"/>
      </w:pPr>
      <w:r>
        <w:rPr>
          <w:rStyle w:val="HideTWBExt"/>
          <w:b w:val="0"/>
        </w:rPr>
        <w:t>&lt;RepeatBlock-By&gt;&lt;Members&gt;</w:t>
      </w:r>
      <w:r>
        <w:t>Moritz Körner, Dainius Žalimas, Lucia Yar, Fabienne Keller, Raquel García Hermida-Van Der Walle, Abir Al-Sahlani, Veronika Cifrová Ostrihoňová, Michał Wawrykiewicz</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22a.</w:t>
            </w:r>
            <w:r>
              <w:tab/>
            </w:r>
            <w:r>
              <w:rPr>
                <w:b/>
                <w:i/>
              </w:rPr>
              <w:t>wzywa do ustanowienia przejrzystego systemu bezpośredniego zwracania się przez władze lokalne o fundusze UE w przypadku, gdy fundusze UE są blokowane lub niewłaściwie wykorzystywane przez rządy krajowe;</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546</w:t>
      </w:r>
      <w:r>
        <w:rPr>
          <w:rStyle w:val="HideTWBExt"/>
        </w:rPr>
        <w:t>&lt;/NumAm&gt;</w:t>
      </w:r>
    </w:p>
    <w:p w:rsidR="007A0039" w:rsidRPr="00EA7539" w:rsidRDefault="007A0039" w:rsidP="007A0039">
      <w:pPr>
        <w:pStyle w:val="NormalBold"/>
      </w:pPr>
      <w:r>
        <w:rPr>
          <w:rStyle w:val="HideTWBExt"/>
          <w:b w:val="0"/>
        </w:rPr>
        <w:t>&lt;RepeatBlock-By&gt;&lt;Members&gt;</w:t>
      </w:r>
      <w:r>
        <w:t>Moritz Körner, Dainius Žalimas, Lucia Yar, Fabienne Keller, Raquel García Hermida-Van Der Walle, Abir Al-Sahlani, Veronika Cifrová Ostrihoňová</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22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22b.</w:t>
            </w:r>
            <w:r>
              <w:tab/>
            </w:r>
            <w:r>
              <w:rPr>
                <w:b/>
                <w:i/>
              </w:rPr>
              <w:t>podkreśla, że decyzje o zawieszeniu lub ograniczeniu finansowania unijnego w związku z naruszeniami praworządności muszą opierać się na obiektywnych kryteriach i nie mogą być motywowane innymi przesłankami ani nie mogą być wynikiem negocjacji;</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547</w:t>
      </w:r>
      <w:r>
        <w:rPr>
          <w:rStyle w:val="HideTWBExt"/>
        </w:rPr>
        <w:t>&lt;/NumAm&gt;</w:t>
      </w:r>
    </w:p>
    <w:p w:rsidR="007A0039" w:rsidRPr="00EA7539" w:rsidRDefault="007A0039" w:rsidP="007A0039">
      <w:pPr>
        <w:pStyle w:val="NormalBold"/>
      </w:pPr>
      <w:r>
        <w:rPr>
          <w:rStyle w:val="HideTWBExt"/>
          <w:b w:val="0"/>
        </w:rPr>
        <w:t>&lt;RepeatBlock-By&gt;&lt;Members&gt;</w:t>
      </w:r>
      <w:r>
        <w:t>Moritz Körner, Dainius Žalimas, Lucia Yar, Fabienne Keller, Sophie Wilmès, Raquel García Hermida-Van Der Walle, Abir Al-Sahlani, Veronika Cifrová Ostrihoňová</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22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22c.</w:t>
            </w:r>
            <w:r>
              <w:tab/>
            </w:r>
            <w:r>
              <w:rPr>
                <w:b/>
                <w:i/>
              </w:rPr>
              <w:t>przypomina, że żadne państwo członkowskie nie powinno być zwolnione ze stałej i bieżącej kontroli, niezależnie od politycznego ukierunkowana partii rządzącej;</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548</w:t>
      </w:r>
      <w:r>
        <w:rPr>
          <w:rStyle w:val="HideTWBExt"/>
        </w:rPr>
        <w:t>&lt;/NumAm&gt;</w:t>
      </w:r>
    </w:p>
    <w:p w:rsidR="007A0039" w:rsidRPr="00EA7539" w:rsidRDefault="007A0039" w:rsidP="007A0039">
      <w:pPr>
        <w:pStyle w:val="NormalBold"/>
      </w:pPr>
      <w:r>
        <w:rPr>
          <w:rStyle w:val="HideTWBExt"/>
          <w:b w:val="0"/>
        </w:rPr>
        <w:t>&lt;RepeatBlock-By&gt;&lt;Members&gt;</w:t>
      </w:r>
      <w:r>
        <w:t>Moritz Körner, Dainius Žalimas, Lucia Yar, Fabienne Keller, Sophie Wilmès, Raquel García Hermida-Van Der Walle, Abir Al-Sahlani, Veronika Cifrová Ostrihoňová, Michał Wawrykiewicz</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22 d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22d.</w:t>
            </w:r>
            <w:r>
              <w:tab/>
            </w:r>
            <w:r>
              <w:rPr>
                <w:b/>
                <w:i/>
              </w:rPr>
              <w:t>uznaje Prokuraturę Europejską (EPPO) za kluczowego obrońcę interesów finansowych Unii; wzywa wszystkie państwa członkowskie do przystąpienia do EPPO i wzywa do rozszerzenia jej mandatu w celu skuteczniejszego zwalczania korupcji i przestępstw finansowych w całej UE;</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549</w:t>
      </w:r>
      <w:r>
        <w:rPr>
          <w:rStyle w:val="HideTWBExt"/>
        </w:rPr>
        <w:t>&lt;/NumAm&gt;</w:t>
      </w:r>
    </w:p>
    <w:p w:rsidR="007A0039" w:rsidRPr="00EA7539" w:rsidRDefault="007A0039" w:rsidP="007A0039">
      <w:pPr>
        <w:pStyle w:val="NormalBold"/>
      </w:pPr>
      <w:r>
        <w:rPr>
          <w:rStyle w:val="HideTWBExt"/>
          <w:b w:val="0"/>
        </w:rPr>
        <w:t>&lt;RepeatBlock-By&gt;&lt;Members&gt;</w:t>
      </w:r>
      <w:r>
        <w:t>Moritz Körner, Dainius Žalimas, Lucia Yar, Fabienne Keller, Sophie Wilmès, Raquel García Hermida-Van Der Walle, Abir Al-Sahlani, Veronika Cifrová Ostrihoňová</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22 e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22e.</w:t>
            </w:r>
            <w:r>
              <w:tab/>
            </w:r>
            <w:r>
              <w:rPr>
                <w:b/>
                <w:i/>
              </w:rPr>
              <w:t>zachęca do ściślejszej współpracy operacyjnej między Europolem, Eurojustem, Europejskim Trybunałem Obrachunkowym, OLAF-em i EPPO w celu stworzenia sprawnej sieci służącej zapobieganiu korupcji i nadużyciom finansowym naruszającym interesy finansowe Unii oraz prowadzeniu dochodzeń w ich sprawie i ich ścigania;</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550</w:t>
      </w:r>
      <w:r>
        <w:rPr>
          <w:rStyle w:val="HideTWBExt"/>
        </w:rPr>
        <w:t>&lt;/NumAm&gt;</w:t>
      </w:r>
    </w:p>
    <w:p w:rsidR="007A0039" w:rsidRPr="00EA7539" w:rsidRDefault="007A0039" w:rsidP="007A0039">
      <w:pPr>
        <w:pStyle w:val="NormalBold"/>
      </w:pPr>
      <w:r>
        <w:rPr>
          <w:rStyle w:val="HideTWBExt"/>
          <w:b w:val="0"/>
        </w:rPr>
        <w:t>&lt;RepeatBlock-By&gt;&lt;Members&gt;</w:t>
      </w:r>
      <w:r>
        <w:t>Moritz Körner, Hilde Vautmans, Nikola Minchev, Veronika Cifrová Ostrihoňová, Chloé Ridel, Abir Al-Sahlani, Fabienne Keller, Lucia Yar, Irena Joveva, Isabel Wiseler-Lima</w:t>
      </w:r>
      <w:r>
        <w:rPr>
          <w:rStyle w:val="HideTWBExt"/>
          <w:b w:val="0"/>
        </w:rPr>
        <w:t>&lt;/Members&gt;</w:t>
      </w:r>
    </w:p>
    <w:p w:rsidR="007A0039" w:rsidRPr="00EA7539" w:rsidRDefault="007A0039" w:rsidP="007A0039">
      <w:r>
        <w:rPr>
          <w:rStyle w:val="HideTWBExt"/>
        </w:rPr>
        <w:t>&lt;AuNomDe&gt;</w:t>
      </w:r>
      <w:r>
        <w:rPr>
          <w:rStyle w:val="HideTWBInt"/>
        </w:rPr>
        <w:t>{LIBE}</w:t>
      </w:r>
      <w:r>
        <w:t>w imieniu Komisji Wolności Obywatelskich, Sprawiedliwości i Spraw Wewnętrznych</w:t>
      </w:r>
      <w:r>
        <w:rPr>
          <w:rStyle w:val="HideTWBExt"/>
        </w:rPr>
        <w:t>&lt;/AuNomDe&gt;</w:t>
      </w:r>
    </w:p>
    <w:p w:rsidR="007A0039" w:rsidRPr="00EA7539" w:rsidRDefault="007A0039" w:rsidP="007A0039">
      <w:pPr>
        <w:pStyle w:val="NormalBold"/>
      </w:pPr>
      <w:r>
        <w:rPr>
          <w:rStyle w:val="HideTWBExt"/>
          <w:b w:val="0"/>
        </w:rPr>
        <w:t>&lt;Members&gt;</w:t>
      </w:r>
      <w:r>
        <w:t>Sophie Wilmès</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22a.</w:t>
            </w:r>
            <w:r>
              <w:tab/>
            </w:r>
            <w:r>
              <w:rPr>
                <w:b/>
                <w:i/>
              </w:rPr>
              <w:t>wzywa Komisję do oceny zasobów ludzkich niezbędnych do konsekwentnego i skutecznego wypełniania jej zadań i stosowania rozporządzenia w sprawie warunkowości, a także do wyjaśnienia, co stanowi wystarczająco bezpośredni związek między naruszeniami zasad praworządności a interesami finansowymi UE, a także do ustanowienia kryteriów oceny skuteczności środków budżetowych i naprawczych, zgodnie z wnioskiem Europejskiego Trybunału Obrachunkowego; wzywa Komisję do systematycznego określania, oceniania i dokumentowania, w jaki sposób kwestię praworządności uwzględnia się w oparciu o rozporządzenie w sprawie warunkowości, w odniesieniu do wszystkich państw członkowskich; przypomina, że wszelkie wnioski dotyczące zniesienia środków budżetowych powinny opierać się na solidnych, kompleksowych i aktualnych informacjach;</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sidRPr="00EA7539">
        <w:rPr>
          <w:rStyle w:val="HideTWBExt"/>
        </w:rPr>
        <w:t>&lt;Amend&gt;</w:t>
      </w:r>
      <w:r w:rsidRPr="00EA7539">
        <w:t>Poprawka</w:t>
      </w:r>
      <w:r w:rsidRPr="00EA7539">
        <w:tab/>
      </w:r>
      <w:r w:rsidRPr="00EA7539">
        <w:tab/>
      </w:r>
      <w:r w:rsidRPr="00EA7539">
        <w:rPr>
          <w:rStyle w:val="HideTWBExt"/>
        </w:rPr>
        <w:t>&lt;NumAm&gt;</w:t>
      </w:r>
      <w:r w:rsidRPr="00EA7539">
        <w:t>551</w:t>
      </w:r>
      <w:r w:rsidRPr="00EA7539">
        <w:rPr>
          <w:rStyle w:val="HideTWBExt"/>
        </w:rPr>
        <w:t>&lt;/NumAm&gt;</w:t>
      </w:r>
    </w:p>
    <w:p w:rsidR="007A0039" w:rsidRPr="00EA7539" w:rsidRDefault="007A0039" w:rsidP="007A0039">
      <w:pPr>
        <w:pStyle w:val="NormalBold"/>
      </w:pPr>
      <w:r w:rsidRPr="00EA7539">
        <w:rPr>
          <w:rStyle w:val="HideTWBExt"/>
          <w:b w:val="0"/>
        </w:rPr>
        <w:t>&lt;RepeatBlock-By&gt;&lt;Members&gt;</w:t>
      </w:r>
      <w:r w:rsidRPr="00EA7539">
        <w:t>Mariusz Kamiński, Joachim Stanisław Brudziński, Jadwiga Wiśniewska, Maciej Wąsik, Jacek Ozdoba</w:t>
      </w:r>
      <w:r w:rsidRPr="00EA7539">
        <w:rPr>
          <w:rStyle w:val="HideTWBExt"/>
          <w:b w:val="0"/>
        </w:rPr>
        <w:t>&lt;/Members&gt;</w:t>
      </w:r>
    </w:p>
    <w:p w:rsidR="007A0039" w:rsidRPr="00EA7539" w:rsidRDefault="007A0039" w:rsidP="007A0039">
      <w:pPr>
        <w:pStyle w:val="NormalBold"/>
      </w:pPr>
      <w:r w:rsidRPr="00EA7539">
        <w:rPr>
          <w:rStyle w:val="HideTWBExt"/>
          <w:b w:val="0"/>
        </w:rPr>
        <w:t>&lt;/RepeatBlock-By&gt;</w:t>
      </w:r>
    </w:p>
    <w:p w:rsidR="007A0039" w:rsidRPr="00EA7539" w:rsidRDefault="007A0039" w:rsidP="007A0039">
      <w:pPr>
        <w:pStyle w:val="NormalBold"/>
      </w:pPr>
      <w:r w:rsidRPr="00EA7539">
        <w:rPr>
          <w:rStyle w:val="HideTWBExt"/>
        </w:rPr>
        <w:t>&lt;DocAmend&gt;</w:t>
      </w:r>
      <w:r w:rsidRPr="00EA7539">
        <w:t>Projekt rezolucji</w:t>
      </w:r>
      <w:r w:rsidRPr="00EA7539">
        <w:rPr>
          <w:rStyle w:val="HideTWBExt"/>
        </w:rPr>
        <w:t>&lt;/DocAmend&gt;</w:t>
      </w:r>
    </w:p>
    <w:p w:rsidR="007A0039" w:rsidRPr="00EA7539" w:rsidRDefault="007A0039" w:rsidP="007A0039">
      <w:pPr>
        <w:pStyle w:val="NormalBold"/>
      </w:pPr>
      <w:r w:rsidRPr="00EA7539">
        <w:rPr>
          <w:rStyle w:val="HideTWBExt"/>
        </w:rPr>
        <w:t>&lt;Article&gt;</w:t>
      </w:r>
      <w:r w:rsidRPr="00EA7539">
        <w:t>Ustęp 23</w:t>
      </w:r>
      <w:r w:rsidRPr="00EA7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RPr="00EA75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RPr="00EA75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rsidRPr="00EA7539">
              <w:t>Projekt rezolucji</w:t>
            </w:r>
          </w:p>
        </w:tc>
        <w:tc>
          <w:tcPr>
            <w:tcW w:w="4876" w:type="dxa"/>
            <w:tcBorders>
              <w:top w:val="nil"/>
              <w:left w:val="nil"/>
              <w:bottom w:val="nil"/>
              <w:right w:val="nil"/>
            </w:tcBorders>
          </w:tcPr>
          <w:p w:rsidR="007A0039" w:rsidRPr="00EA7539" w:rsidRDefault="007A0039" w:rsidP="008F6778">
            <w:pPr>
              <w:pStyle w:val="AmColumnHeading"/>
            </w:pPr>
            <w:r w:rsidRPr="00EA7539">
              <w:t>Poprawka</w:t>
            </w:r>
          </w:p>
        </w:tc>
      </w:tr>
      <w:tr w:rsidR="007A0039" w:rsidRPr="00EA7539" w:rsidTr="008F6778">
        <w:trPr>
          <w:jc w:val="center"/>
        </w:trPr>
        <w:tc>
          <w:tcPr>
            <w:tcW w:w="4876" w:type="dxa"/>
            <w:tcBorders>
              <w:top w:val="nil"/>
              <w:left w:val="nil"/>
              <w:bottom w:val="nil"/>
              <w:right w:val="nil"/>
            </w:tcBorders>
          </w:tcPr>
          <w:p w:rsidR="007A0039" w:rsidRPr="00EA7539" w:rsidRDefault="007A0039" w:rsidP="008F6778">
            <w:pPr>
              <w:pStyle w:val="Normal6a"/>
            </w:pPr>
            <w:r w:rsidRPr="00EA7539">
              <w:t>23.</w:t>
            </w:r>
            <w:r w:rsidRPr="00EA7539">
              <w:tab/>
            </w:r>
            <w:r w:rsidRPr="00EA7539">
              <w:rPr>
                <w:b/>
                <w:i/>
              </w:rPr>
              <w:t>wzywa</w:t>
            </w:r>
            <w:r w:rsidRPr="00EA7539">
              <w:t xml:space="preserve"> państwa członkowskie do </w:t>
            </w:r>
            <w:r w:rsidRPr="00EA7539">
              <w:rPr>
                <w:b/>
                <w:i/>
              </w:rPr>
              <w:t>powstrzymania się od nadmiernego</w:t>
            </w:r>
            <w:r w:rsidRPr="00EA7539">
              <w:t xml:space="preserve"> stosowania przyspieszonych procedur, ponieważ </w:t>
            </w:r>
            <w:r w:rsidRPr="00EA7539">
              <w:rPr>
                <w:b/>
                <w:i/>
              </w:rPr>
              <w:t>mają one</w:t>
            </w:r>
            <w:r w:rsidRPr="00EA7539">
              <w:t xml:space="preserve"> negatywny wpływ na jakość stanowienia prawa i demokrację; wzywa państwa członkowskie do ustanowienia przejrzystych procesów stanowienia prawa, co powinny poprzedzić systematyczne konsultacje z różnymi zainteresowanymi stronami;</w:t>
            </w:r>
          </w:p>
        </w:tc>
        <w:tc>
          <w:tcPr>
            <w:tcW w:w="4876" w:type="dxa"/>
            <w:tcBorders>
              <w:top w:val="nil"/>
              <w:left w:val="nil"/>
              <w:bottom w:val="nil"/>
              <w:right w:val="nil"/>
            </w:tcBorders>
          </w:tcPr>
          <w:p w:rsidR="007A0039" w:rsidRPr="00EA7539" w:rsidRDefault="007A0039" w:rsidP="008F6778">
            <w:pPr>
              <w:pStyle w:val="Normal6a"/>
            </w:pPr>
            <w:r w:rsidRPr="00EA7539">
              <w:t>23.</w:t>
            </w:r>
            <w:r w:rsidRPr="00EA7539">
              <w:tab/>
            </w:r>
            <w:r w:rsidRPr="00EA7539">
              <w:rPr>
                <w:b/>
                <w:i/>
              </w:rPr>
              <w:t>w obliczu ogromnej skali wyzwań i zagrozeń, zachęca</w:t>
            </w:r>
            <w:r w:rsidRPr="00EA7539">
              <w:t xml:space="preserve"> państwa członkowskie do </w:t>
            </w:r>
            <w:r w:rsidRPr="00EA7539">
              <w:rPr>
                <w:b/>
                <w:i/>
              </w:rPr>
              <w:t>racjonalnego</w:t>
            </w:r>
            <w:r w:rsidRPr="00EA7539">
              <w:t xml:space="preserve"> stosowania przyspieszonych procedur, ponieważ </w:t>
            </w:r>
            <w:r w:rsidRPr="00EA7539">
              <w:rPr>
                <w:b/>
                <w:i/>
              </w:rPr>
              <w:t>mogą one mieć</w:t>
            </w:r>
            <w:r w:rsidRPr="00EA7539">
              <w:t xml:space="preserve"> negatywny wpływ na jakość stanowienia prawa i demokrację; wzywa państwa członkowskie do ustanowienia przejrzystych procesów stanowienia prawa, co powinny poprzedzić systematyczne konsultacje z różnymi zainteresowanymi stronami</w:t>
            </w:r>
            <w:r w:rsidRPr="00EA7539">
              <w:rPr>
                <w:b/>
                <w:i/>
              </w:rPr>
              <w:t>, z pełnym zachowaniem zasady transparentności oraz biorąc pod uwagę interesy państwa i dobro wspólne</w:t>
            </w:r>
            <w:r w:rsidRPr="00EA7539">
              <w:t xml:space="preserve"> ;</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{PL}</w:t>
      </w:r>
      <w:r w:rsidRPr="00EA7539">
        <w:t>pl</w:t>
      </w:r>
      <w:r w:rsidRPr="00EA7539">
        <w:rPr>
          <w:rStyle w:val="HideTWBExt"/>
        </w:rPr>
        <w:t>&lt;/Original&gt;</w:t>
      </w:r>
    </w:p>
    <w:p w:rsidR="007A0039" w:rsidRPr="00EA7539" w:rsidRDefault="007A0039" w:rsidP="007A0039">
      <w:r w:rsidRPr="00EA7539">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552</w:t>
      </w:r>
      <w:r>
        <w:rPr>
          <w:rStyle w:val="HideTWBExt"/>
        </w:rPr>
        <w:t>&lt;/NumAm&gt;</w:t>
      </w:r>
    </w:p>
    <w:p w:rsidR="007A0039" w:rsidRPr="00EA7539" w:rsidRDefault="007A0039" w:rsidP="007A0039">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23.</w:t>
            </w:r>
            <w:r>
              <w:tab/>
              <w:t>wzywa państwa członkowskie do powstrzymania się od nadmiernego stosowania przyspieszonych procedur, ponieważ mają one negatywny wpływ na jakość stanowienia prawa i demokrację; wzywa państwa członkowskie do ustanowienia przejrzystych procesów stanowienia prawa, co powinny poprzedzić systematyczne konsultacje z różnymi zainteresowanymi stronami;</w:t>
            </w:r>
          </w:p>
        </w:tc>
        <w:tc>
          <w:tcPr>
            <w:tcW w:w="4876" w:type="dxa"/>
            <w:tcBorders>
              <w:top w:val="nil"/>
              <w:left w:val="nil"/>
              <w:bottom w:val="nil"/>
              <w:right w:val="nil"/>
            </w:tcBorders>
          </w:tcPr>
          <w:p w:rsidR="007A0039" w:rsidRPr="00EA7539" w:rsidRDefault="007A0039" w:rsidP="008F6778">
            <w:pPr>
              <w:pStyle w:val="Normal6a"/>
            </w:pPr>
            <w:r>
              <w:t>23.</w:t>
            </w:r>
            <w:r>
              <w:tab/>
              <w:t xml:space="preserve">wzywa państwa członkowskie do powstrzymania się od nadmiernego stosowania przyspieszonych procedur, </w:t>
            </w:r>
            <w:r>
              <w:rPr>
                <w:b/>
                <w:i/>
              </w:rPr>
              <w:t xml:space="preserve">w których pomijane są konsultacje z zainteresowanymi stronami, w tym kontrola parlamentarna i kontrola ze strony społeczeństwa obywatelskiego, </w:t>
            </w:r>
            <w:r>
              <w:t>ponieważ mają one negatywny wpływ na jakość stanowienia prawa i demokrację; wzywa państwa członkowskie do ustanowienia przejrzystych procesów stanowienia prawa, co powinny poprzedzić systematyczne konsultacje z różnymi zainteresowanymi stronami;</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553</w:t>
      </w:r>
      <w:r>
        <w:rPr>
          <w:rStyle w:val="HideTWBExt"/>
        </w:rPr>
        <w:t>&lt;/NumAm&gt;</w:t>
      </w:r>
    </w:p>
    <w:p w:rsidR="007A0039" w:rsidRPr="00EA7539" w:rsidRDefault="007A0039" w:rsidP="007A0039">
      <w:pPr>
        <w:pStyle w:val="NormalBold"/>
      </w:pPr>
      <w:r>
        <w:rPr>
          <w:rStyle w:val="HideTWBExt"/>
          <w:b w:val="0"/>
        </w:rPr>
        <w:t>&lt;RepeatBlock-By&gt;&lt;Members&gt;</w:t>
      </w:r>
      <w:r>
        <w:t>Erik Kaliňák</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23.</w:t>
            </w:r>
            <w:r>
              <w:tab/>
              <w:t>wzywa państwa członkowskie</w:t>
            </w:r>
            <w:r>
              <w:rPr>
                <w:b/>
                <w:i/>
              </w:rPr>
              <w:t xml:space="preserve"> do powstrzymania się od nadmiernego stosowania przyspieszonych procedur, ponieważ mają one negatywny wpływ na jakość stanowienia prawa i demokrację;</w:t>
            </w:r>
            <w:r>
              <w:t xml:space="preserve"> </w:t>
            </w:r>
            <w:r>
              <w:rPr>
                <w:b/>
                <w:i/>
              </w:rPr>
              <w:t>wzywa państwa członkowskie do ustanowienia przejrzystych procesów stanowienia prawa, co powinny poprzedzić systematyczne konsultacje z różnymi zainteresowanymi stronami;</w:t>
            </w:r>
          </w:p>
        </w:tc>
        <w:tc>
          <w:tcPr>
            <w:tcW w:w="4876" w:type="dxa"/>
            <w:tcBorders>
              <w:top w:val="nil"/>
              <w:left w:val="nil"/>
              <w:bottom w:val="nil"/>
              <w:right w:val="nil"/>
            </w:tcBorders>
          </w:tcPr>
          <w:p w:rsidR="007A0039" w:rsidRPr="00EA7539" w:rsidRDefault="007A0039" w:rsidP="008F6778">
            <w:pPr>
              <w:pStyle w:val="Normal6a"/>
            </w:pPr>
            <w:r>
              <w:t>23.</w:t>
            </w:r>
            <w:r>
              <w:tab/>
              <w:t>wzywa państwa członkowskie</w:t>
            </w:r>
            <w:r>
              <w:rPr>
                <w:b/>
                <w:i/>
              </w:rPr>
              <w:t>, by w stanowieniu prawa co do zasady nie stosowały procedur przyspieszonych; w pełni szanuje uprawnienia państw członkowskich do swobodnego regulowania ich własnych procedur</w:t>
            </w:r>
            <w:r>
              <w:t xml:space="preserve"> stanowienia prawa;</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{SK}</w:t>
      </w:r>
      <w:r w:rsidRPr="00EA7539">
        <w:t>sk</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554</w:t>
      </w:r>
      <w:r>
        <w:rPr>
          <w:rStyle w:val="HideTWBExt"/>
        </w:rPr>
        <w:t>&lt;/NumAm&gt;</w:t>
      </w:r>
    </w:p>
    <w:p w:rsidR="007A0039" w:rsidRPr="00EA7539" w:rsidRDefault="007A0039" w:rsidP="007A0039">
      <w:pPr>
        <w:pStyle w:val="NormalBold"/>
      </w:pPr>
      <w:r>
        <w:rPr>
          <w:rStyle w:val="HideTWBExt"/>
          <w:b w:val="0"/>
        </w:rPr>
        <w:t>&lt;RepeatBlock-By&gt;&lt;Members&gt;</w:t>
      </w:r>
      <w:r>
        <w:t>Javier Zarzalejos</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23.</w:t>
            </w:r>
            <w:r>
              <w:tab/>
              <w:t>wzywa państwa członkowskie do powstrzymania się od nadmiernego stosowania przyspieszonych procedur, ponieważ mają one negatywny wpływ na jakość stanowienia prawa i demokrację; wzywa państwa członkowskie do ustanowienia przejrzystych procesów stanowienia prawa, co powinny poprzedzić systematyczne konsultacje z różnymi zainteresowanymi stronami;</w:t>
            </w:r>
          </w:p>
        </w:tc>
        <w:tc>
          <w:tcPr>
            <w:tcW w:w="4876" w:type="dxa"/>
            <w:tcBorders>
              <w:top w:val="nil"/>
              <w:left w:val="nil"/>
              <w:bottom w:val="nil"/>
              <w:right w:val="nil"/>
            </w:tcBorders>
          </w:tcPr>
          <w:p w:rsidR="007A0039" w:rsidRPr="00EA7539" w:rsidRDefault="007A0039" w:rsidP="008F6778">
            <w:pPr>
              <w:pStyle w:val="Normal6a"/>
            </w:pPr>
            <w:r>
              <w:t>23.</w:t>
            </w:r>
            <w:r>
              <w:tab/>
              <w:t>wzywa państwa członkowskie do powstrzymania się od nadmiernego stosowania przyspieszonych procedur, ponieważ mają one negatywny wpływ na jakość stanowienia prawa i demokrację; wzywa państwa członkowskie do ustanowienia przejrzystych procesów stanowienia prawa, co powinny poprzedzić systematyczne konsultacje z różnymi zainteresowanymi stronami</w:t>
            </w:r>
            <w:r>
              <w:rPr>
                <w:b/>
                <w:i/>
              </w:rPr>
              <w:t xml:space="preserve"> i organami doradczymi</w:t>
            </w:r>
            <w:r>
              <w:t>;</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555</w:t>
      </w:r>
      <w:r>
        <w:rPr>
          <w:rStyle w:val="HideTWBExt"/>
        </w:rPr>
        <w:t>&lt;/NumAm&gt;</w:t>
      </w:r>
    </w:p>
    <w:p w:rsidR="007A0039" w:rsidRPr="00EA7539" w:rsidRDefault="007A0039" w:rsidP="007A0039">
      <w:pPr>
        <w:pStyle w:val="NormalBold"/>
      </w:pPr>
      <w:r>
        <w:rPr>
          <w:rStyle w:val="HideTWBExt"/>
          <w:b w:val="0"/>
        </w:rPr>
        <w:t>&lt;RepeatBlock-By&gt;&lt;Members&gt;</w:t>
      </w:r>
      <w:r>
        <w:t>Moritz Körner, Hilde Vautmans, Nikola Minchev, Veronika Cifrová Ostrihoňová, Chloé Ridel, Abir Al-Sahlani, Fabienne Keller, Lucia Yar, Irena Joveva, Daniel Freund</w:t>
      </w:r>
      <w:r>
        <w:rPr>
          <w:rStyle w:val="HideTWBExt"/>
          <w:b w:val="0"/>
        </w:rPr>
        <w:t>&lt;/Members&gt;</w:t>
      </w:r>
    </w:p>
    <w:p w:rsidR="007A0039" w:rsidRPr="00EA7539" w:rsidRDefault="007A0039" w:rsidP="007A0039">
      <w:r>
        <w:rPr>
          <w:rStyle w:val="HideTWBExt"/>
        </w:rPr>
        <w:t>&lt;AuNomDe&gt;</w:t>
      </w:r>
      <w:r>
        <w:rPr>
          <w:rStyle w:val="HideTWBInt"/>
        </w:rPr>
        <w:t>{LIBE}</w:t>
      </w:r>
      <w:r>
        <w:t>w imieniu Komisji Wolności Obywatelskich, Sprawiedliwości i Spraw Wewnętrznych</w:t>
      </w:r>
      <w:r>
        <w:rPr>
          <w:rStyle w:val="HideTWBExt"/>
        </w:rPr>
        <w:t>&lt;/AuNomDe&gt;</w:t>
      </w:r>
    </w:p>
    <w:p w:rsidR="007A0039" w:rsidRPr="00EA7539" w:rsidRDefault="007A0039" w:rsidP="007A0039">
      <w:pPr>
        <w:pStyle w:val="NormalBold"/>
      </w:pPr>
      <w:r>
        <w:rPr>
          <w:rStyle w:val="HideTWBExt"/>
          <w:b w:val="0"/>
        </w:rPr>
        <w:t>&lt;Members&gt;</w:t>
      </w:r>
      <w:r>
        <w:t>Sophie Wilmès</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23.</w:t>
            </w:r>
            <w:r>
              <w:tab/>
              <w:t>wzywa państwa członkowskie do powstrzymania się od nadmiernego stosowania przyspieszonych procedur, ponieważ mają one negatywny wpływ na jakość stanowienia prawa i demokrację; wzywa państwa członkowskie do ustanowienia przejrzystych procesów stanowienia prawa, co powinny poprzedzić systematyczne konsultacje z różnymi zainteresowanymi stronami;</w:t>
            </w:r>
          </w:p>
        </w:tc>
        <w:tc>
          <w:tcPr>
            <w:tcW w:w="4876" w:type="dxa"/>
            <w:tcBorders>
              <w:top w:val="nil"/>
              <w:left w:val="nil"/>
              <w:bottom w:val="nil"/>
              <w:right w:val="nil"/>
            </w:tcBorders>
          </w:tcPr>
          <w:p w:rsidR="007A0039" w:rsidRPr="00EA7539" w:rsidRDefault="007A0039" w:rsidP="008F6778">
            <w:pPr>
              <w:pStyle w:val="Normal6a"/>
            </w:pPr>
            <w:r>
              <w:t>23.</w:t>
            </w:r>
            <w:r>
              <w:tab/>
              <w:t>wzywa państwa członkowskie do powstrzymania się od nadmiernego stosowania przyspieszonych procedur</w:t>
            </w:r>
            <w:r>
              <w:rPr>
                <w:b/>
                <w:i/>
              </w:rPr>
              <w:t xml:space="preserve"> lub dekretów nadzwyczajnych</w:t>
            </w:r>
            <w:r>
              <w:t>, ponieważ mają one negatywny wpływ na</w:t>
            </w:r>
            <w:r>
              <w:rPr>
                <w:b/>
                <w:i/>
              </w:rPr>
              <w:t xml:space="preserve"> stabilność i</w:t>
            </w:r>
            <w:r>
              <w:t xml:space="preserve"> jakość stanowienia prawa i demokrację; wzywa państwa członkowskie do ustanowienia przejrzystych procesów stanowienia prawa, co powinny poprzedzić systematyczne konsultacje z różnymi zainteresowanymi stronami;</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556</w:t>
      </w:r>
      <w:r>
        <w:rPr>
          <w:rStyle w:val="HideTWBExt"/>
        </w:rPr>
        <w:t>&lt;/NumAm&gt;</w:t>
      </w:r>
    </w:p>
    <w:p w:rsidR="007A0039" w:rsidRPr="00EA7539" w:rsidRDefault="007A0039" w:rsidP="007A0039">
      <w:pPr>
        <w:pStyle w:val="NormalBold"/>
      </w:pPr>
      <w:r>
        <w:rPr>
          <w:rStyle w:val="HideTWBExt"/>
          <w:b w:val="0"/>
        </w:rPr>
        <w:t>&lt;RepeatBlock-By&gt;&lt;Members&gt;</w:t>
      </w:r>
      <w:r>
        <w:t>Marieke Ehlers, Jorge Buxadé Villalba, Tom Vandendriessche, Fabrice Leggeri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23.</w:t>
            </w:r>
            <w:r>
              <w:tab/>
              <w:t>wzywa państwa członkowskie do powstrzymania się od nadmiernego stosowania przyspieszonych procedur, ponieważ mają one negatywny wpływ na jakość stanowienia prawa i demokrację; wzywa państwa członkowskie do ustanowienia przejrzystych procesów stanowienia prawa, co powinny poprzedzić systematyczne konsultacje z różnymi zainteresowanymi stronami;</w:t>
            </w:r>
          </w:p>
        </w:tc>
        <w:tc>
          <w:tcPr>
            <w:tcW w:w="4876" w:type="dxa"/>
            <w:tcBorders>
              <w:top w:val="nil"/>
              <w:left w:val="nil"/>
              <w:bottom w:val="nil"/>
              <w:right w:val="nil"/>
            </w:tcBorders>
          </w:tcPr>
          <w:p w:rsidR="007A0039" w:rsidRPr="00EA7539" w:rsidRDefault="007A0039" w:rsidP="008F6778">
            <w:pPr>
              <w:pStyle w:val="Normal6a"/>
            </w:pPr>
            <w:r>
              <w:t>23.</w:t>
            </w:r>
            <w:r>
              <w:tab/>
              <w:t xml:space="preserve">wzywa </w:t>
            </w:r>
            <w:r>
              <w:rPr>
                <w:b/>
                <w:i/>
              </w:rPr>
              <w:t xml:space="preserve">Komisję i </w:t>
            </w:r>
            <w:r>
              <w:t>państwa członkowskie do powstrzymania się od nadmiernego stosowania przyspieszonych procedur, ponieważ mają one negatywny wpływ na jakość stanowienia prawa i demokrację; wzywa</w:t>
            </w:r>
            <w:r>
              <w:rPr>
                <w:b/>
                <w:i/>
              </w:rPr>
              <w:t xml:space="preserve"> Komisję i</w:t>
            </w:r>
            <w:r>
              <w:t xml:space="preserve"> państwa członkowskie do ustanowienia przejrzystych procesów stanowienia prawa, co powinny poprzedzić systematyczne konsultacje z różnymi zainteresowanymi stronami;</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557</w:t>
      </w:r>
      <w:r>
        <w:rPr>
          <w:rStyle w:val="HideTWBExt"/>
        </w:rPr>
        <w:t>&lt;/NumAm&gt;</w:t>
      </w:r>
    </w:p>
    <w:p w:rsidR="007A0039" w:rsidRPr="00EA7539" w:rsidRDefault="007A0039" w:rsidP="007A0039">
      <w:pPr>
        <w:pStyle w:val="NormalBold"/>
      </w:pPr>
      <w:r>
        <w:rPr>
          <w:rStyle w:val="HideTWBExt"/>
          <w:b w:val="0"/>
        </w:rPr>
        <w:t>&lt;RepeatBlock-By&gt;&lt;Members&gt;</w:t>
      </w:r>
      <w:r>
        <w:t>Nicolas Bay</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23.</w:t>
            </w:r>
            <w:r>
              <w:tab/>
              <w:t>wzywa państwa członkowskie do powstrzymania się od nadmiernego stosowania przyspieszonych procedur, ponieważ mają one negatywny wpływ na jakość stanowienia prawa i demokrację; wzywa państwa członkowskie do ustanowienia przejrzystych procesów stanowienia prawa</w:t>
            </w:r>
            <w:r>
              <w:rPr>
                <w:b/>
                <w:i/>
              </w:rPr>
              <w:t>, co powinny poprzedzić systematyczne konsultacje z różnymi zainteresowanymi stronami</w:t>
            </w:r>
            <w:r>
              <w:t>;</w:t>
            </w:r>
          </w:p>
        </w:tc>
        <w:tc>
          <w:tcPr>
            <w:tcW w:w="4876" w:type="dxa"/>
            <w:tcBorders>
              <w:top w:val="nil"/>
              <w:left w:val="nil"/>
              <w:bottom w:val="nil"/>
              <w:right w:val="nil"/>
            </w:tcBorders>
          </w:tcPr>
          <w:p w:rsidR="007A0039" w:rsidRPr="00EA7539" w:rsidRDefault="007A0039" w:rsidP="008F6778">
            <w:pPr>
              <w:pStyle w:val="Normal6a"/>
            </w:pPr>
            <w:r>
              <w:t>23.</w:t>
            </w:r>
            <w:r>
              <w:tab/>
              <w:t>wzywa państwa członkowskie do powstrzymania się od nadmiernego stosowania przyspieszonych procedur, ponieważ mają one negatywny wpływ na jakość stanowienia prawa i demokrację; wzywa państwa członkowskie do ustanowienia przejrzystych procesów stanowienia prawa;</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{FR}</w:t>
      </w:r>
      <w:r w:rsidRPr="00EA7539">
        <w:t>fr</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558</w:t>
      </w:r>
      <w:r>
        <w:rPr>
          <w:rStyle w:val="HideTWBExt"/>
        </w:rPr>
        <w:t>&lt;/NumAm&gt;</w:t>
      </w:r>
    </w:p>
    <w:p w:rsidR="007A0039" w:rsidRPr="00EA7539" w:rsidRDefault="007A0039" w:rsidP="007A0039">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23.</w:t>
            </w:r>
            <w:r>
              <w:tab/>
              <w:t>wzywa państwa członkowskie do powstrzymania się od nadmiernego stosowania przyspieszonych procedur, ponieważ mają one negatywny wpływ na jakość stanowienia prawa i demokrację; wzywa państwa członkowskie do ustanowienia przejrzystych procesów stanowienia prawa, co powinny poprzedzić systematyczne konsultacje z różnymi zainteresowanymi stronami;</w:t>
            </w:r>
          </w:p>
        </w:tc>
        <w:tc>
          <w:tcPr>
            <w:tcW w:w="4876" w:type="dxa"/>
            <w:tcBorders>
              <w:top w:val="nil"/>
              <w:left w:val="nil"/>
              <w:bottom w:val="nil"/>
              <w:right w:val="nil"/>
            </w:tcBorders>
          </w:tcPr>
          <w:p w:rsidR="007A0039" w:rsidRPr="00EA7539" w:rsidRDefault="007A0039" w:rsidP="008F6778">
            <w:pPr>
              <w:pStyle w:val="Normal6a"/>
            </w:pPr>
            <w:r>
              <w:t>23.</w:t>
            </w:r>
            <w:r>
              <w:tab/>
              <w:t>wzywa państwa członkowskie do powstrzymania się od nadmiernego stosowania przyspieszonych procedur</w:t>
            </w:r>
            <w:r>
              <w:rPr>
                <w:b/>
                <w:i/>
              </w:rPr>
              <w:t xml:space="preserve"> i uprawnień nadzwyczajnych</w:t>
            </w:r>
            <w:r>
              <w:t>, ponieważ mają one negatywny wpływ na jakość stanowienia prawa i demokrację; wzywa państwa członkowskie do ustanowienia przejrzystych procesów stanowienia prawa, co powinny poprzedzić systematyczne konsultacje z różnymi zainteresowanymi stronami;</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559</w:t>
      </w:r>
      <w:r>
        <w:rPr>
          <w:rStyle w:val="HideTWBExt"/>
        </w:rPr>
        <w:t>&lt;/NumAm&gt;</w:t>
      </w:r>
    </w:p>
    <w:p w:rsidR="007A0039" w:rsidRPr="00EA7539" w:rsidRDefault="007A0039" w:rsidP="007A0039">
      <w:pPr>
        <w:pStyle w:val="NormalBold"/>
      </w:pPr>
      <w:r>
        <w:rPr>
          <w:rStyle w:val="HideTWBExt"/>
          <w:b w:val="0"/>
        </w:rPr>
        <w:t>&lt;RepeatBlock-By&gt;&lt;Members&gt;</w:t>
      </w:r>
      <w:r>
        <w:t>Daniel Freund</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23.</w:t>
            </w:r>
            <w:r>
              <w:tab/>
              <w:t>wzywa państwa członkowskie do powstrzymania się od nadmiernego stosowania przyspieszonych procedur, ponieważ mają one negatywny wpływ na jakość stanowienia prawa i demokrację; wzywa państwa członkowskie do ustanowienia przejrzystych procesów stanowienia prawa, co powinny poprzedzić systematyczne konsultacje z różnymi zainteresowanymi stronami;</w:t>
            </w:r>
          </w:p>
        </w:tc>
        <w:tc>
          <w:tcPr>
            <w:tcW w:w="4876" w:type="dxa"/>
            <w:tcBorders>
              <w:top w:val="nil"/>
              <w:left w:val="nil"/>
              <w:bottom w:val="nil"/>
              <w:right w:val="nil"/>
            </w:tcBorders>
          </w:tcPr>
          <w:p w:rsidR="007A0039" w:rsidRPr="00EA7539" w:rsidRDefault="007A0039" w:rsidP="008F6778">
            <w:pPr>
              <w:pStyle w:val="Normal6a"/>
            </w:pPr>
            <w:r>
              <w:t>23.</w:t>
            </w:r>
            <w:r>
              <w:tab/>
              <w:t xml:space="preserve">wzywa państwa członkowskie do powstrzymania się od nadmiernego stosowania przyspieszonych procedur, ponieważ mają one negatywny wpływ na jakość stanowienia prawa i demokrację; wzywa państwa członkowskie do ustanowienia przejrzystych procesów stanowienia prawa, co powinny poprzedzić systematyczne </w:t>
            </w:r>
            <w:r>
              <w:rPr>
                <w:b/>
                <w:i/>
              </w:rPr>
              <w:t xml:space="preserve">i publiczne </w:t>
            </w:r>
            <w:r>
              <w:t>konsultacje z różnymi zainteresowanymi stronami;</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560</w:t>
      </w:r>
      <w:r>
        <w:rPr>
          <w:rStyle w:val="HideTWBExt"/>
        </w:rPr>
        <w:t>&lt;/NumAm&gt;</w:t>
      </w:r>
    </w:p>
    <w:p w:rsidR="007A0039" w:rsidRPr="00EA7539" w:rsidRDefault="007A0039" w:rsidP="007A0039">
      <w:pPr>
        <w:pStyle w:val="NormalBold"/>
      </w:pPr>
      <w:r>
        <w:rPr>
          <w:rStyle w:val="HideTWBExt"/>
          <w:b w:val="0"/>
        </w:rPr>
        <w:t>&lt;RepeatBlock-By&gt;&lt;Members&gt;</w:t>
      </w:r>
      <w:r>
        <w:t>Marieke Ehlers, Jorge Buxadé Villalba, Tom Vandendriessche, Fabrice Leggeri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23a.</w:t>
            </w:r>
            <w:r>
              <w:tab/>
            </w:r>
            <w:r>
              <w:rPr>
                <w:b/>
                <w:i/>
              </w:rPr>
              <w:t>przypomina, że zasady dobrego zarządzania wymagają od Komisji przeprowadzenia oceny skutków przed podjęciem inicjatywy ustawodawczej w celu oceny potencjalnych skutków gospodarczych, społecznych i środowiskowych proponowanych przepisów; ubolewa w związku z tym, że pod pretekstem pilnego charakteru lub ze względu na „charakter wniosku” Komisja coraz częściej postanawia nie przeprowadzać oceny skutków, o czym świadczą niedawne przykłady, takie jak Instrument na rzecz Odbudowy i Zwiększania Odporności, tymczasowe ramy pomocy państwa, niektóre środki dotyczące kontroli celnych i granicznych w związku z brexitem, rozporządzenie w sprawie europejskiej tożsamości cyfrowej oraz Instrument Wsparcia Reform i Wzrostu Gospodarczego w Republice Mołdawii; potępia coraz częstsze pomijanie przez Komisję ocen skutków w odniesieniu do wniosków ustawodawczych;</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561</w:t>
      </w:r>
      <w:r>
        <w:rPr>
          <w:rStyle w:val="HideTWBExt"/>
        </w:rPr>
        <w:t>&lt;/NumAm&gt;</w:t>
      </w:r>
    </w:p>
    <w:p w:rsidR="007A0039" w:rsidRPr="00EA7539" w:rsidRDefault="007A0039" w:rsidP="007A0039">
      <w:pPr>
        <w:pStyle w:val="NormalBold"/>
      </w:pPr>
      <w:r>
        <w:rPr>
          <w:rStyle w:val="HideTWBExt"/>
          <w:b w:val="0"/>
        </w:rPr>
        <w:t>&lt;RepeatBlock-By&gt;&lt;Members&gt;</w:t>
      </w:r>
      <w:r>
        <w:t>Isabel Serra Sánchez</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23a.</w:t>
            </w:r>
            <w:r>
              <w:tab/>
            </w:r>
            <w:r>
              <w:rPr>
                <w:b/>
                <w:i/>
              </w:rPr>
              <w:t>uważa, że kontrola sądowa i parlamentarna rządu i jego przedstawicieli ma zasadnicze znaczenie dla praworządności i demokracji, zwłaszcza w przypadku tzw. służb specjalnych, których działalność jest zazwyczaj tajna; podkreśla, że nie można kwestionować zapotrzebowania na państwowe służby bezpieczeństwa i wywiadu, lecz nie mogą one stać się „państwem w państwie” zwolnionym z odpowiedzialności za swoje działania, ponieważ taki brak rozliczalności prowadzi do niebezpiecznej kultury bezkarności, która podważa fundamenty instytucji demokratycznych; w związku z tym potępia fakt, że w Hiszpanii nadal obowiązuje ustawa o tajemnicy urzędowej z czasów sprzed uchwalenia konstytucji;</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562</w:t>
      </w:r>
      <w:r>
        <w:rPr>
          <w:rStyle w:val="HideTWBExt"/>
        </w:rPr>
        <w:t>&lt;/NumAm&gt;</w:t>
      </w:r>
    </w:p>
    <w:p w:rsidR="007A0039" w:rsidRPr="00EA7539" w:rsidRDefault="007A0039" w:rsidP="007A0039">
      <w:pPr>
        <w:pStyle w:val="NormalBold"/>
      </w:pPr>
      <w:r>
        <w:rPr>
          <w:rStyle w:val="HideTWBExt"/>
          <w:b w:val="0"/>
        </w:rPr>
        <w:t>&lt;RepeatBlock-By&gt;&lt;Members&gt;</w:t>
      </w:r>
      <w:r>
        <w:t>Krzysztof Śmiszek, Matjaž Nemec, Robert Biedroń, Katarina Barley, Cecilia Strada, Klára Dobrev, Csaba Molnár, Emma Rafowicz, Alessandro Zan, Birgit Sippel</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23a.</w:t>
            </w:r>
            <w:r>
              <w:tab/>
            </w:r>
            <w:r>
              <w:rPr>
                <w:b/>
                <w:i/>
              </w:rPr>
              <w:t>wyraża zaniepokojenie faktem, że rządy państw członkowskich coraz częściej wykorzystują technologię inwigilacyjną wobec dziennikarzy, działaczy, przedstawicieli opozycji i pracowników instytucji UE; wzywa do wprowadzenia rygorystycznych ogólnounijnych przepisów dotyczących stosowania oprogramowania szpiegowskiego i innych narzędzi do inwazyjnej inwigilacji;</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563</w:t>
      </w:r>
      <w:r>
        <w:rPr>
          <w:rStyle w:val="HideTWBExt"/>
        </w:rPr>
        <w:t>&lt;/NumAm&gt;</w:t>
      </w:r>
    </w:p>
    <w:p w:rsidR="007A0039" w:rsidRPr="00EA7539" w:rsidRDefault="007A0039" w:rsidP="007A0039">
      <w:pPr>
        <w:pStyle w:val="NormalBold"/>
      </w:pPr>
      <w:r>
        <w:rPr>
          <w:rStyle w:val="HideTWBExt"/>
          <w:b w:val="0"/>
        </w:rPr>
        <w:t>&lt;RepeatBlock-By&gt;&lt;Members&gt;</w:t>
      </w:r>
      <w:r>
        <w:t>David Casa, Chloé Ridel</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23a.</w:t>
            </w:r>
            <w:r>
              <w:tab/>
            </w:r>
            <w:r>
              <w:rPr>
                <w:b/>
                <w:i/>
              </w:rPr>
              <w:t>wzywa Komisję do proaktywnego monitorowania ryzyka regresu w zakresie praworządności w obszarach niezależności sądów i dostępu do wymiaru sprawiedliwości oraz do szybkiego reagowania na nie, zgodnie z zasadą nieobniżania poziomu ochrony, jak wyjaśniono w niedawnym orzecznictwie TSUE;</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564</w:t>
      </w:r>
      <w:r>
        <w:rPr>
          <w:rStyle w:val="HideTWBExt"/>
        </w:rPr>
        <w:t>&lt;/NumAm&gt;</w:t>
      </w:r>
    </w:p>
    <w:p w:rsidR="007A0039" w:rsidRPr="00EA7539" w:rsidRDefault="007A0039" w:rsidP="007A0039">
      <w:pPr>
        <w:pStyle w:val="NormalBold"/>
      </w:pPr>
      <w:r>
        <w:rPr>
          <w:rStyle w:val="HideTWBExt"/>
          <w:b w:val="0"/>
        </w:rPr>
        <w:t>&lt;RepeatBlock-By&gt;&lt;Members&gt;</w:t>
      </w:r>
      <w:r>
        <w:t>Moritz Körner, Malik Azmani, Dainius Žalimas, Lucia Yar, Fabienne Keller, Raquel García Hermida-Van Der Walle, Abir Al-Sahlani, Veronika Cifrová Ostrihoňová</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23a.</w:t>
            </w:r>
            <w:r>
              <w:tab/>
            </w:r>
            <w:r>
              <w:rPr>
                <w:b/>
                <w:i/>
              </w:rPr>
              <w:t>zachęca rządy i parlamenty krajowe do publikowania publicznie dostępnych ocen skutków i wyników konsultacji w odniesieniu do każdego istotnego wniosku ustawodawczego;</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565</w:t>
      </w:r>
      <w:r>
        <w:rPr>
          <w:rStyle w:val="HideTWBExt"/>
        </w:rPr>
        <w:t>&lt;/NumAm&gt;</w:t>
      </w:r>
    </w:p>
    <w:p w:rsidR="007A0039" w:rsidRPr="00EA7539" w:rsidRDefault="007A0039" w:rsidP="007A0039">
      <w:pPr>
        <w:pStyle w:val="NormalBold"/>
      </w:pPr>
      <w:r>
        <w:rPr>
          <w:rStyle w:val="HideTWBExt"/>
          <w:b w:val="0"/>
        </w:rPr>
        <w:t>&lt;RepeatBlock-By&gt;&lt;Members&gt;</w:t>
      </w:r>
      <w:r>
        <w:t>Erik Kaliňák</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24.</w:t>
            </w:r>
            <w:r>
              <w:tab/>
            </w:r>
            <w:r>
              <w:rPr>
                <w:b/>
                <w:i/>
              </w:rPr>
              <w:t>wzywa państwa członkowskie do wzmocnienia niezależności krajowych organów nadzoru, aby zapewnić im zasoby i zagwarantować wolność od ingerencji politycznych; podkreśla znaczenie społeczeństwa obywatelskiego i obrońców praw człowieka, jeśli chodzi o propagowanie rozliczalności i ochronę praw podstawowych; ubolewa nad ograniczeniami działalności społeczeństwa obywatelskiego;</w:t>
            </w:r>
          </w:p>
        </w:tc>
        <w:tc>
          <w:tcPr>
            <w:tcW w:w="4876" w:type="dxa"/>
            <w:tcBorders>
              <w:top w:val="nil"/>
              <w:left w:val="nil"/>
              <w:bottom w:val="nil"/>
              <w:right w:val="nil"/>
            </w:tcBorders>
          </w:tcPr>
          <w:p w:rsidR="007A0039" w:rsidRPr="00EA7539" w:rsidRDefault="007A0039" w:rsidP="008F6778">
            <w:pPr>
              <w:pStyle w:val="Normal6a"/>
            </w:pPr>
            <w:r>
              <w:rPr>
                <w:b/>
                <w:i/>
              </w:rPr>
              <w:t>skreśla się</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{SK}</w:t>
      </w:r>
      <w:r w:rsidRPr="00EA7539">
        <w:t>sk</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566</w:t>
      </w:r>
      <w:r>
        <w:rPr>
          <w:rStyle w:val="HideTWBExt"/>
        </w:rPr>
        <w:t>&lt;/NumAm&gt;</w:t>
      </w:r>
    </w:p>
    <w:p w:rsidR="007A0039" w:rsidRPr="00EA7539" w:rsidRDefault="007A0039" w:rsidP="007A0039">
      <w:pPr>
        <w:pStyle w:val="NormalBold"/>
      </w:pPr>
      <w:r>
        <w:rPr>
          <w:rStyle w:val="HideTWBExt"/>
          <w:b w:val="0"/>
        </w:rPr>
        <w:t>&lt;RepeatBlock-By&gt;&lt;Members&gt;</w:t>
      </w:r>
      <w:r>
        <w:t>Moritz Körner, Hilde Vautmans, Nikola Minchev, Veronika Cifrová Ostrihoňová, Chloé Ridel, Abir Al-Sahlani, Fabienne Keller, Lucia Yar, Irena Joveva</w:t>
      </w:r>
      <w:r>
        <w:rPr>
          <w:rStyle w:val="HideTWBExt"/>
          <w:b w:val="0"/>
        </w:rPr>
        <w:t>&lt;/Members&gt;</w:t>
      </w:r>
    </w:p>
    <w:p w:rsidR="007A0039" w:rsidRPr="00EA7539" w:rsidRDefault="007A0039" w:rsidP="007A0039">
      <w:r>
        <w:rPr>
          <w:rStyle w:val="HideTWBExt"/>
        </w:rPr>
        <w:t>&lt;AuNomDe&gt;</w:t>
      </w:r>
      <w:r>
        <w:rPr>
          <w:rStyle w:val="HideTWBInt"/>
        </w:rPr>
        <w:t>{LIBE}</w:t>
      </w:r>
      <w:r>
        <w:t>w imieniu Komisji Wolności Obywatelskich, Sprawiedliwości i Spraw Wewnętrznych</w:t>
      </w:r>
      <w:r>
        <w:rPr>
          <w:rStyle w:val="HideTWBExt"/>
        </w:rPr>
        <w:t>&lt;/AuNomDe&gt;</w:t>
      </w:r>
    </w:p>
    <w:p w:rsidR="007A0039" w:rsidRPr="00EA7539" w:rsidRDefault="007A0039" w:rsidP="007A0039">
      <w:pPr>
        <w:pStyle w:val="NormalBold"/>
      </w:pPr>
      <w:r>
        <w:rPr>
          <w:rStyle w:val="HideTWBExt"/>
          <w:b w:val="0"/>
        </w:rPr>
        <w:t>&lt;Members&gt;</w:t>
      </w:r>
      <w:r>
        <w:t>Sophie Wilmès</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24.</w:t>
            </w:r>
            <w:r>
              <w:tab/>
            </w:r>
            <w:r>
              <w:rPr>
                <w:b/>
                <w:i/>
              </w:rPr>
              <w:t>wzywa państwa członkowskie do wzmocnienia niezależności krajowych organów nadzoru, aby zapewnić im zasoby i zagwarantować wolność od ingerencji politycznych; podkreśla znaczenie społeczeństwa obywatelskiego i obrońców praw człowieka, jeśli chodzi o propagowanie rozliczalności i ochronę praw podstawowych; ubolewa nad ograniczeniami działalności społeczeństwa obywatelskiego;</w:t>
            </w:r>
          </w:p>
        </w:tc>
        <w:tc>
          <w:tcPr>
            <w:tcW w:w="4876" w:type="dxa"/>
            <w:tcBorders>
              <w:top w:val="nil"/>
              <w:left w:val="nil"/>
              <w:bottom w:val="nil"/>
              <w:right w:val="nil"/>
            </w:tcBorders>
          </w:tcPr>
          <w:p w:rsidR="007A0039" w:rsidRPr="00EA7539" w:rsidRDefault="007A0039" w:rsidP="008F6778">
            <w:pPr>
              <w:pStyle w:val="Normal6a"/>
            </w:pPr>
            <w:r>
              <w:rPr>
                <w:b/>
                <w:i/>
              </w:rPr>
              <w:t>skreśla się</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567</w:t>
      </w:r>
      <w:r>
        <w:rPr>
          <w:rStyle w:val="HideTWBExt"/>
        </w:rPr>
        <w:t>&lt;/NumAm&gt;</w:t>
      </w:r>
    </w:p>
    <w:p w:rsidR="007A0039" w:rsidRPr="00EA7539" w:rsidRDefault="007A0039" w:rsidP="007A0039">
      <w:pPr>
        <w:pStyle w:val="NormalBold"/>
      </w:pPr>
      <w:r>
        <w:rPr>
          <w:rStyle w:val="HideTWBExt"/>
          <w:b w:val="0"/>
        </w:rPr>
        <w:t>&lt;RepeatBlock-By&gt;&lt;Members&gt;</w:t>
      </w:r>
      <w:r>
        <w:t>Nicolas Bay</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24.</w:t>
            </w:r>
            <w:r>
              <w:tab/>
              <w:t xml:space="preserve">wzywa państwa członkowskie do wzmocnienia niezależności krajowych organów nadzoru, aby zapewnić im zasoby i zagwarantować wolność od ingerencji politycznych; </w:t>
            </w:r>
            <w:r>
              <w:rPr>
                <w:b/>
                <w:i/>
              </w:rPr>
              <w:t>podkreśla znaczenie społeczeństwa obywatelskiego i obrońców praw człowieka, jeśli chodzi o propagowanie rozliczalności i ochronę praw podstawowych; ubolewa nad ograniczeniami działalności społeczeństwa obywatelskiego;</w:t>
            </w:r>
          </w:p>
        </w:tc>
        <w:tc>
          <w:tcPr>
            <w:tcW w:w="4876" w:type="dxa"/>
            <w:tcBorders>
              <w:top w:val="nil"/>
              <w:left w:val="nil"/>
              <w:bottom w:val="nil"/>
              <w:right w:val="nil"/>
            </w:tcBorders>
          </w:tcPr>
          <w:p w:rsidR="007A0039" w:rsidRPr="00EA7539" w:rsidRDefault="007A0039" w:rsidP="008F6778">
            <w:pPr>
              <w:pStyle w:val="Normal6a"/>
            </w:pPr>
            <w:r>
              <w:t>24.</w:t>
            </w:r>
            <w:r>
              <w:tab/>
              <w:t>wzywa państwa członkowskie do wzmocnienia niezależności krajowych organów nadzoru, aby zapewnić im zasoby i zagwarantować wolność od ingerencji politycznych;</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{FR}</w:t>
      </w:r>
      <w:r w:rsidRPr="00EA7539">
        <w:t>fr</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568</w:t>
      </w:r>
      <w:r>
        <w:rPr>
          <w:rStyle w:val="HideTWBExt"/>
        </w:rPr>
        <w:t>&lt;/NumAm&gt;</w:t>
      </w:r>
    </w:p>
    <w:p w:rsidR="007A0039" w:rsidRPr="00EA7539" w:rsidRDefault="007A0039" w:rsidP="007A0039">
      <w:pPr>
        <w:pStyle w:val="NormalBold"/>
      </w:pPr>
      <w:r>
        <w:rPr>
          <w:rStyle w:val="HideTWBExt"/>
          <w:b w:val="0"/>
        </w:rPr>
        <w:t>&lt;RepeatBlock-By&gt;&lt;Members&gt;</w:t>
      </w:r>
      <w:r>
        <w:t>Marieke Ehlers, Tom Vandendriessche</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24.</w:t>
            </w:r>
            <w:r>
              <w:tab/>
              <w:t xml:space="preserve">wzywa państwa członkowskie do wzmocnienia niezależności krajowych organów nadzoru, aby zapewnić im zasoby i zagwarantować wolność od ingerencji politycznych; podkreśla znaczenie społeczeństwa obywatelskiego i obrońców praw człowieka, jeśli chodzi o propagowanie rozliczalności i ochronę praw podstawowych; </w:t>
            </w:r>
            <w:r>
              <w:rPr>
                <w:b/>
                <w:i/>
              </w:rPr>
              <w:t>ubolewa nad ograniczeniami</w:t>
            </w:r>
            <w:r>
              <w:t xml:space="preserve"> działalności społeczeństwa obywatelskiego;</w:t>
            </w:r>
          </w:p>
        </w:tc>
        <w:tc>
          <w:tcPr>
            <w:tcW w:w="4876" w:type="dxa"/>
            <w:tcBorders>
              <w:top w:val="nil"/>
              <w:left w:val="nil"/>
              <w:bottom w:val="nil"/>
              <w:right w:val="nil"/>
            </w:tcBorders>
          </w:tcPr>
          <w:p w:rsidR="007A0039" w:rsidRPr="00EA7539" w:rsidRDefault="007A0039" w:rsidP="008F6778">
            <w:pPr>
              <w:pStyle w:val="Normal6a"/>
            </w:pPr>
            <w:r>
              <w:t>24.</w:t>
            </w:r>
            <w:r>
              <w:tab/>
              <w:t xml:space="preserve">wzywa </w:t>
            </w:r>
            <w:r>
              <w:rPr>
                <w:b/>
                <w:i/>
              </w:rPr>
              <w:t xml:space="preserve">Komisję i </w:t>
            </w:r>
            <w:r>
              <w:t>państwa członkowskie do wzmocnienia niezależności krajowych</w:t>
            </w:r>
            <w:r>
              <w:rPr>
                <w:b/>
                <w:i/>
              </w:rPr>
              <w:t xml:space="preserve"> i unijnych</w:t>
            </w:r>
            <w:r>
              <w:t xml:space="preserve"> organów nadzoru, aby zapewnić im zasoby i zagwarantować wolność od ingerencji politycznych; podkreśla znaczenie społeczeństwa obywatelskiego i obrońców praw człowieka, jeśli chodzi o propagowanie rozliczalności i ochronę praw podstawowych; </w:t>
            </w:r>
            <w:r>
              <w:rPr>
                <w:b/>
                <w:i/>
              </w:rPr>
              <w:t>wzywa państwa członkowskie do znalezienia odpowiedniej równowagi między uzasadnionymi regulacjami dotyczącymi</w:t>
            </w:r>
            <w:r>
              <w:t xml:space="preserve"> działalności społeczeństwa obywatelskiego</w:t>
            </w:r>
            <w:r>
              <w:rPr>
                <w:b/>
                <w:i/>
              </w:rPr>
              <w:t>, takimi jak wymogi przejrzystości finansowej, a zdolnością tych organizacji do swobodnego działania w demokratycznej debacie</w:t>
            </w:r>
            <w:r>
              <w:t>;</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569</w:t>
      </w:r>
      <w:r>
        <w:rPr>
          <w:rStyle w:val="HideTWBExt"/>
        </w:rPr>
        <w:t>&lt;/NumAm&gt;</w:t>
      </w:r>
    </w:p>
    <w:p w:rsidR="007A0039" w:rsidRPr="00EA7539" w:rsidRDefault="007A0039" w:rsidP="007A0039">
      <w:pPr>
        <w:pStyle w:val="NormalBold"/>
      </w:pPr>
      <w:r>
        <w:rPr>
          <w:rStyle w:val="HideTWBExt"/>
          <w:b w:val="0"/>
        </w:rPr>
        <w:t>&lt;RepeatBlock-By&gt;&lt;Members&gt;</w:t>
      </w:r>
      <w:r>
        <w:t>András László</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24.</w:t>
            </w:r>
            <w:r>
              <w:tab/>
              <w:t xml:space="preserve">wzywa </w:t>
            </w:r>
            <w:r>
              <w:rPr>
                <w:b/>
                <w:i/>
              </w:rPr>
              <w:t>państwa członkowskie</w:t>
            </w:r>
            <w:r>
              <w:t xml:space="preserve"> do wzmocnienia niezależności </w:t>
            </w:r>
            <w:r>
              <w:rPr>
                <w:b/>
                <w:i/>
              </w:rPr>
              <w:t>krajowych</w:t>
            </w:r>
            <w:r>
              <w:t xml:space="preserve"> organów nadzoru, aby zapewnić im zasoby i zagwarantować wolność od ingerencji politycznych; </w:t>
            </w:r>
            <w:r>
              <w:rPr>
                <w:b/>
                <w:i/>
              </w:rPr>
              <w:t>podkreśla znaczenie społeczeństwa obywatelskiego i obrońców praw człowieka, jeśli chodzi o propagowanie rozliczalności i ochronę praw podstawowych; ubolewa nad ograniczeniami działalności społeczeństwa obywatelskiego;</w:t>
            </w:r>
          </w:p>
        </w:tc>
        <w:tc>
          <w:tcPr>
            <w:tcW w:w="4876" w:type="dxa"/>
            <w:tcBorders>
              <w:top w:val="nil"/>
              <w:left w:val="nil"/>
              <w:bottom w:val="nil"/>
              <w:right w:val="nil"/>
            </w:tcBorders>
          </w:tcPr>
          <w:p w:rsidR="007A0039" w:rsidRPr="00EA7539" w:rsidRDefault="007A0039" w:rsidP="008F6778">
            <w:pPr>
              <w:pStyle w:val="Normal6a"/>
            </w:pPr>
            <w:r>
              <w:t>24.</w:t>
            </w:r>
            <w:r>
              <w:tab/>
              <w:t xml:space="preserve">wzywa </w:t>
            </w:r>
            <w:r>
              <w:rPr>
                <w:b/>
                <w:i/>
              </w:rPr>
              <w:t>Komisję</w:t>
            </w:r>
            <w:r>
              <w:t xml:space="preserve"> do wzmocnienia niezależności </w:t>
            </w:r>
            <w:r>
              <w:rPr>
                <w:b/>
                <w:i/>
              </w:rPr>
              <w:t>jej</w:t>
            </w:r>
            <w:r>
              <w:t xml:space="preserve"> organów nadzoru, aby zapewnić im zasoby i zagwarantować wolność od ingerencji politycznych; </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570</w:t>
      </w:r>
      <w:r>
        <w:rPr>
          <w:rStyle w:val="HideTWBExt"/>
        </w:rPr>
        <w:t>&lt;/NumAm&gt;</w:t>
      </w:r>
    </w:p>
    <w:p w:rsidR="007A0039" w:rsidRPr="00EA7539" w:rsidRDefault="007A0039" w:rsidP="007A0039">
      <w:pPr>
        <w:pStyle w:val="NormalBold"/>
      </w:pPr>
      <w:r>
        <w:rPr>
          <w:rStyle w:val="HideTWBExt"/>
          <w:b w:val="0"/>
        </w:rPr>
        <w:t>&lt;RepeatBlock-By&gt;&lt;Members&gt;</w:t>
      </w:r>
      <w:r>
        <w:t>Romana Tomc</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24.</w:t>
            </w:r>
            <w:r>
              <w:tab/>
              <w:t xml:space="preserve">wzywa państwa członkowskie do wzmocnienia niezależności krajowych organów nadzoru, aby zapewnić im zasoby i zagwarantować wolność od ingerencji politycznych; </w:t>
            </w:r>
            <w:r>
              <w:rPr>
                <w:b/>
                <w:i/>
              </w:rPr>
              <w:t>podkreśla znaczenie społeczeństwa obywatelskiego i obrońców praw człowieka, jeśli chodzi o propagowanie rozliczalności i ochronę praw podstawowych; ubolewa nad ograniczeniami działalności społeczeństwa obywatelskiego;</w:t>
            </w:r>
          </w:p>
        </w:tc>
        <w:tc>
          <w:tcPr>
            <w:tcW w:w="4876" w:type="dxa"/>
            <w:tcBorders>
              <w:top w:val="nil"/>
              <w:left w:val="nil"/>
              <w:bottom w:val="nil"/>
              <w:right w:val="nil"/>
            </w:tcBorders>
          </w:tcPr>
          <w:p w:rsidR="007A0039" w:rsidRPr="00EA7539" w:rsidRDefault="007A0039" w:rsidP="008F6778">
            <w:pPr>
              <w:pStyle w:val="Normal6a"/>
            </w:pPr>
            <w:r>
              <w:t>24.</w:t>
            </w:r>
            <w:r>
              <w:tab/>
              <w:t>wzywa państwa członkowskie do wzmocnienia niezależności krajowych organów nadzoru, aby zapewnić im zasoby i zagwarantować wolność od ingerencji politycznych;</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571</w:t>
      </w:r>
      <w:r>
        <w:rPr>
          <w:rStyle w:val="HideTWBExt"/>
        </w:rPr>
        <w:t>&lt;/NumAm&gt;</w:t>
      </w:r>
    </w:p>
    <w:p w:rsidR="007A0039" w:rsidRPr="00EA7539" w:rsidRDefault="007A0039" w:rsidP="007A0039">
      <w:pPr>
        <w:pStyle w:val="NormalBold"/>
      </w:pPr>
      <w:r>
        <w:rPr>
          <w:rStyle w:val="HideTWBExt"/>
          <w:b w:val="0"/>
        </w:rPr>
        <w:t>&lt;RepeatBlock-By&gt;&lt;Members&gt;</w:t>
      </w:r>
      <w:r>
        <w:t>Jorge Buxadé Villalba, Marieke Ehlers, Malika Sorel, Fabrice Leggeri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24.</w:t>
            </w:r>
            <w:r>
              <w:tab/>
              <w:t xml:space="preserve">wzywa państwa członkowskie do wzmocnienia niezależności krajowych organów nadzoru, aby zapewnić im zasoby i zagwarantować wolność od ingerencji politycznych; </w:t>
            </w:r>
            <w:r>
              <w:rPr>
                <w:b/>
                <w:i/>
              </w:rPr>
              <w:t>podkreśla znaczenie społeczeństwa obywatelskiego i obrońców praw człowieka, jeśli chodzi o propagowanie rozliczalności i ochronę praw podstawowych; ubolewa nad ograniczeniami działalności społeczeństwa obywatelskiego;</w:t>
            </w:r>
          </w:p>
        </w:tc>
        <w:tc>
          <w:tcPr>
            <w:tcW w:w="4876" w:type="dxa"/>
            <w:tcBorders>
              <w:top w:val="nil"/>
              <w:left w:val="nil"/>
              <w:bottom w:val="nil"/>
              <w:right w:val="nil"/>
            </w:tcBorders>
          </w:tcPr>
          <w:p w:rsidR="007A0039" w:rsidRPr="00EA7539" w:rsidRDefault="007A0039" w:rsidP="008F6778">
            <w:pPr>
              <w:pStyle w:val="Normal6a"/>
            </w:pPr>
            <w:r>
              <w:t>24.</w:t>
            </w:r>
            <w:r>
              <w:tab/>
              <w:t>wzywa państwa członkowskie do wzmocnienia niezależności krajowych organów nadzoru, aby zapewnić im zasoby i zagwarantować wolność od ingerencji politycznych;</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sidRPr="00EA7539">
        <w:rPr>
          <w:rStyle w:val="HideTWBExt"/>
        </w:rPr>
        <w:t>&lt;Amend&gt;</w:t>
      </w:r>
      <w:r w:rsidRPr="00EA7539">
        <w:t>Poprawka</w:t>
      </w:r>
      <w:r w:rsidRPr="00EA7539">
        <w:tab/>
      </w:r>
      <w:r w:rsidRPr="00EA7539">
        <w:tab/>
      </w:r>
      <w:r w:rsidRPr="00EA7539">
        <w:rPr>
          <w:rStyle w:val="HideTWBExt"/>
        </w:rPr>
        <w:t>&lt;NumAm&gt;</w:t>
      </w:r>
      <w:r w:rsidRPr="00EA7539">
        <w:t>572</w:t>
      </w:r>
      <w:r w:rsidRPr="00EA7539">
        <w:rPr>
          <w:rStyle w:val="HideTWBExt"/>
        </w:rPr>
        <w:t>&lt;/NumAm&gt;</w:t>
      </w:r>
    </w:p>
    <w:p w:rsidR="007A0039" w:rsidRPr="00EA7539" w:rsidRDefault="007A0039" w:rsidP="007A0039">
      <w:pPr>
        <w:pStyle w:val="NormalBold"/>
      </w:pPr>
      <w:r w:rsidRPr="00EA7539">
        <w:rPr>
          <w:rStyle w:val="HideTWBExt"/>
          <w:b w:val="0"/>
        </w:rPr>
        <w:t>&lt;RepeatBlock-By&gt;&lt;Members&gt;</w:t>
      </w:r>
      <w:r w:rsidRPr="00EA7539">
        <w:t>Mariusz Kamiński, Joachim Stanisław Brudziński, Jadwiga Wiśniewska, Maciej Wąsik, Jacek Ozdoba</w:t>
      </w:r>
      <w:r w:rsidRPr="00EA7539">
        <w:rPr>
          <w:rStyle w:val="HideTWBExt"/>
          <w:b w:val="0"/>
        </w:rPr>
        <w:t>&lt;/Members&gt;</w:t>
      </w:r>
    </w:p>
    <w:p w:rsidR="007A0039" w:rsidRPr="00EA7539" w:rsidRDefault="007A0039" w:rsidP="007A0039">
      <w:pPr>
        <w:pStyle w:val="NormalBold"/>
      </w:pPr>
      <w:r w:rsidRPr="00EA7539">
        <w:rPr>
          <w:rStyle w:val="HideTWBExt"/>
          <w:b w:val="0"/>
        </w:rPr>
        <w:t>&lt;/RepeatBlock-By&gt;</w:t>
      </w:r>
    </w:p>
    <w:p w:rsidR="007A0039" w:rsidRPr="00EA7539" w:rsidRDefault="007A0039" w:rsidP="007A0039">
      <w:pPr>
        <w:pStyle w:val="NormalBold"/>
      </w:pPr>
      <w:r w:rsidRPr="00EA7539">
        <w:rPr>
          <w:rStyle w:val="HideTWBExt"/>
        </w:rPr>
        <w:t>&lt;DocAmend&gt;</w:t>
      </w:r>
      <w:r w:rsidRPr="00EA7539">
        <w:t>Projekt rezolucji</w:t>
      </w:r>
      <w:r w:rsidRPr="00EA7539">
        <w:rPr>
          <w:rStyle w:val="HideTWBExt"/>
        </w:rPr>
        <w:t>&lt;/DocAmend&gt;</w:t>
      </w:r>
    </w:p>
    <w:p w:rsidR="007A0039" w:rsidRPr="00EA7539" w:rsidRDefault="007A0039" w:rsidP="007A0039">
      <w:pPr>
        <w:pStyle w:val="NormalBold"/>
      </w:pPr>
      <w:r w:rsidRPr="00EA7539">
        <w:rPr>
          <w:rStyle w:val="HideTWBExt"/>
        </w:rPr>
        <w:t>&lt;Article&gt;</w:t>
      </w:r>
      <w:r w:rsidRPr="00EA7539">
        <w:t>Ustęp 24</w:t>
      </w:r>
      <w:r w:rsidRPr="00EA7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RPr="00EA75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RPr="00EA75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rsidRPr="00EA7539">
              <w:t>Projekt rezolucji</w:t>
            </w:r>
          </w:p>
        </w:tc>
        <w:tc>
          <w:tcPr>
            <w:tcW w:w="4876" w:type="dxa"/>
            <w:tcBorders>
              <w:top w:val="nil"/>
              <w:left w:val="nil"/>
              <w:bottom w:val="nil"/>
              <w:right w:val="nil"/>
            </w:tcBorders>
          </w:tcPr>
          <w:p w:rsidR="007A0039" w:rsidRPr="00EA7539" w:rsidRDefault="007A0039" w:rsidP="008F6778">
            <w:pPr>
              <w:pStyle w:val="AmColumnHeading"/>
            </w:pPr>
            <w:r w:rsidRPr="00EA7539">
              <w:t>Poprawka</w:t>
            </w:r>
          </w:p>
        </w:tc>
      </w:tr>
      <w:tr w:rsidR="007A0039" w:rsidRPr="00EA7539" w:rsidTr="008F6778">
        <w:trPr>
          <w:jc w:val="center"/>
        </w:trPr>
        <w:tc>
          <w:tcPr>
            <w:tcW w:w="4876" w:type="dxa"/>
            <w:tcBorders>
              <w:top w:val="nil"/>
              <w:left w:val="nil"/>
              <w:bottom w:val="nil"/>
              <w:right w:val="nil"/>
            </w:tcBorders>
          </w:tcPr>
          <w:p w:rsidR="007A0039" w:rsidRPr="00EA7539" w:rsidRDefault="007A0039" w:rsidP="008F6778">
            <w:pPr>
              <w:pStyle w:val="Normal6a"/>
            </w:pPr>
            <w:r w:rsidRPr="00EA7539">
              <w:t>24.</w:t>
            </w:r>
            <w:r w:rsidRPr="00EA7539">
              <w:tab/>
              <w:t xml:space="preserve">wzywa państwa członkowskie do wzmocnienia niezależności krajowych organów nadzoru, aby zapewnić im zasoby i zagwarantować wolność od ingerencji politycznych; podkreśla znaczenie społeczeństwa obywatelskiego </w:t>
            </w:r>
            <w:r w:rsidRPr="00EA7539">
              <w:rPr>
                <w:b/>
                <w:i/>
              </w:rPr>
              <w:t>i</w:t>
            </w:r>
            <w:r w:rsidRPr="00EA7539">
              <w:t xml:space="preserve"> obrońców praw człowieka, jeśli chodzi o propagowanie rozliczalności i ochronę praw podstawowych; ubolewa nad ograniczeniami działalności społeczeństwa obywatelskiego;</w:t>
            </w:r>
          </w:p>
        </w:tc>
        <w:tc>
          <w:tcPr>
            <w:tcW w:w="4876" w:type="dxa"/>
            <w:tcBorders>
              <w:top w:val="nil"/>
              <w:left w:val="nil"/>
              <w:bottom w:val="nil"/>
              <w:right w:val="nil"/>
            </w:tcBorders>
          </w:tcPr>
          <w:p w:rsidR="007A0039" w:rsidRPr="00EA7539" w:rsidRDefault="007A0039" w:rsidP="008F6778">
            <w:pPr>
              <w:pStyle w:val="Normal6a"/>
            </w:pPr>
            <w:r w:rsidRPr="00EA7539">
              <w:t>24.</w:t>
            </w:r>
            <w:r w:rsidRPr="00EA7539">
              <w:tab/>
              <w:t>wzywa państwa członkowskie do wzmocnienia niezależności krajowych organów nadzoru, aby zapewnić im zasoby i zagwarantować wolność od ingerencji politycznych; podkreśla znaczenie społeczeństwa obywatelskiego</w:t>
            </w:r>
            <w:r w:rsidRPr="00EA7539">
              <w:rPr>
                <w:b/>
                <w:i/>
              </w:rPr>
              <w:t>, pluralistycznych mediów, a także</w:t>
            </w:r>
            <w:r w:rsidRPr="00EA7539">
              <w:t xml:space="preserve"> obrońców praw człowieka, jeśli chodzi o propagowanie rozliczalności i ochronę praw podstawowych; ubolewa nad ograniczeniami działalności społeczeństwa obywatelskiego </w:t>
            </w:r>
            <w:r w:rsidRPr="00EA7539">
              <w:rPr>
                <w:b/>
                <w:i/>
              </w:rPr>
              <w:t>oraz nad finansowaniem przede wszystkim organizacji o profilu liberalno-lewicowym</w:t>
            </w:r>
            <w:r w:rsidRPr="00EA7539">
              <w:t>;</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{PL}</w:t>
      </w:r>
      <w:r w:rsidRPr="00EA7539">
        <w:t>pl</w:t>
      </w:r>
      <w:r w:rsidRPr="00EA7539">
        <w:rPr>
          <w:rStyle w:val="HideTWBExt"/>
        </w:rPr>
        <w:t>&lt;/Original&gt;</w:t>
      </w:r>
    </w:p>
    <w:p w:rsidR="007A0039" w:rsidRPr="00EA7539" w:rsidRDefault="007A0039" w:rsidP="007A0039">
      <w:r w:rsidRPr="00EA7539">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573</w:t>
      </w:r>
      <w:r>
        <w:rPr>
          <w:rStyle w:val="HideTWBExt"/>
        </w:rPr>
        <w:t>&lt;/NumAm&gt;</w:t>
      </w:r>
    </w:p>
    <w:p w:rsidR="007A0039" w:rsidRPr="00EA7539" w:rsidRDefault="007A0039" w:rsidP="007A0039">
      <w:pPr>
        <w:pStyle w:val="NormalBold"/>
      </w:pPr>
      <w:r>
        <w:rPr>
          <w:rStyle w:val="HideTWBExt"/>
          <w:b w:val="0"/>
        </w:rPr>
        <w:t>&lt;RepeatBlock-By&gt;&lt;Members&gt;</w:t>
      </w:r>
      <w:r>
        <w:t>Alessandro Zan, Cecilia Strada, Sandro Ruotolo, Pina Picierno, Marco Tarquinio</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24a.</w:t>
            </w:r>
            <w:r>
              <w:tab/>
            </w:r>
            <w:r>
              <w:rPr>
                <w:b/>
                <w:i/>
              </w:rPr>
              <w:t>podkreśla znaczenie zagwarantowania rozdziału władzy i stabilnych ram instytucjonalnych w każdym państwie członkowskim; wyraża zaniepokojenie propozycją reformy konstytucyjnej systemu rządów we Włoszech wprowadzającą nową procedurę bezpośredniego wyboru premiera, jak zauważono już w sprawozdaniu Komisji na temat praworządności z 2024 r.;</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574</w:t>
      </w:r>
      <w:r>
        <w:rPr>
          <w:rStyle w:val="HideTWBExt"/>
        </w:rPr>
        <w:t>&lt;/NumAm&gt;</w:t>
      </w:r>
    </w:p>
    <w:p w:rsidR="007A0039" w:rsidRPr="00EA7539" w:rsidRDefault="007A0039" w:rsidP="007A0039">
      <w:pPr>
        <w:pStyle w:val="NormalBold"/>
      </w:pPr>
      <w:r>
        <w:rPr>
          <w:rStyle w:val="HideTWBExt"/>
          <w:b w:val="0"/>
        </w:rPr>
        <w:t>&lt;RepeatBlock-By&gt;&lt;Members&gt;</w:t>
      </w:r>
      <w:r>
        <w:t>Nikola Minchev, Moritz Körner, Hilde Vautmans, Veronika Cifrová Ostrihoňová, Chloé Ridel, Abir Al-Sahlani, Alessandro Zan, Fabienne Keller, Lucia Yar, Irena Joveva, Isabel Wiseler-Lima, Daniel Freund</w:t>
      </w:r>
      <w:r>
        <w:rPr>
          <w:rStyle w:val="HideTWBExt"/>
          <w:b w:val="0"/>
        </w:rPr>
        <w:t>&lt;/Members&gt;</w:t>
      </w:r>
    </w:p>
    <w:p w:rsidR="007A0039" w:rsidRPr="00EA7539" w:rsidRDefault="007A0039" w:rsidP="007A0039">
      <w:r>
        <w:rPr>
          <w:rStyle w:val="HideTWBExt"/>
        </w:rPr>
        <w:t>&lt;AuNomDe&gt;</w:t>
      </w:r>
      <w:r>
        <w:rPr>
          <w:rStyle w:val="HideTWBInt"/>
        </w:rPr>
        <w:t>{LIBE}</w:t>
      </w:r>
      <w:r>
        <w:t>w imieniu Komisji Wolności Obywatelskich, Sprawiedliwości i Spraw Wewnętrznych</w:t>
      </w:r>
      <w:r>
        <w:rPr>
          <w:rStyle w:val="HideTWBExt"/>
        </w:rPr>
        <w:t>&lt;/AuNomDe&gt;</w:t>
      </w:r>
    </w:p>
    <w:p w:rsidR="007A0039" w:rsidRPr="00EA7539" w:rsidRDefault="007A0039" w:rsidP="007A0039">
      <w:pPr>
        <w:pStyle w:val="NormalBold"/>
      </w:pPr>
      <w:r>
        <w:rPr>
          <w:rStyle w:val="HideTWBExt"/>
          <w:b w:val="0"/>
        </w:rPr>
        <w:t>&lt;Members&gt;</w:t>
      </w:r>
      <w:r>
        <w:t>Sophie Wilmès</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24a.</w:t>
            </w:r>
            <w:r>
              <w:tab/>
            </w:r>
            <w:r>
              <w:rPr>
                <w:b/>
                <w:i/>
              </w:rPr>
              <w:t>wzywa Komisję do ustanowienia konkretnego harmonogramu, wskaźników, celów i szczegółowych środków wdrażania zaleceń zawartych w jej sprawozdaniu na temat praworządności oraz do określenia potencjalnych konsekwencji w przypadku niewypełnienia zobowiązań; wzywa do uwzględnienia przeglądu kwestii praworządności w ujęciu wieloletnim;</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575</w:t>
      </w:r>
      <w:r>
        <w:rPr>
          <w:rStyle w:val="HideTWBExt"/>
        </w:rPr>
        <w:t>&lt;/NumAm&gt;</w:t>
      </w:r>
    </w:p>
    <w:p w:rsidR="007A0039" w:rsidRPr="00EA7539" w:rsidRDefault="007A0039" w:rsidP="007A0039">
      <w:pPr>
        <w:pStyle w:val="NormalBold"/>
      </w:pPr>
      <w:r>
        <w:rPr>
          <w:rStyle w:val="HideTWBExt"/>
          <w:b w:val="0"/>
        </w:rPr>
        <w:t>&lt;RepeatBlock-By&gt;&lt;Members&gt;</w:t>
      </w:r>
      <w:r>
        <w:t>Marieke Ehlers, Jorge Buxadé Villalba, Tom Vandendriessche, Fabrice Leggeri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24a.</w:t>
            </w:r>
            <w:r>
              <w:tab/>
            </w:r>
            <w:r>
              <w:rPr>
                <w:b/>
                <w:i/>
              </w:rPr>
              <w:t>z niecierpliwością czeka na wyniki dochodzenia Komisji, ogłoszonego 14 maja 2024 r., w sprawie wsparcia finansowego udzielanego przez nią stowarzyszeniom powiązanym z Bractwem Muzułmańskim, w tym organizacji „Islamic Relief Worldwide” – organizacji, która wyraźnie nie przestrzega zasad zapisanych w art. 2 TUE;</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576</w:t>
      </w:r>
      <w:r>
        <w:rPr>
          <w:rStyle w:val="HideTWBExt"/>
        </w:rPr>
        <w:t>&lt;/NumAm&gt;</w:t>
      </w:r>
    </w:p>
    <w:p w:rsidR="007A0039" w:rsidRPr="00EA7539" w:rsidRDefault="007A0039" w:rsidP="007A0039">
      <w:pPr>
        <w:pStyle w:val="NormalBold"/>
      </w:pPr>
      <w:r>
        <w:rPr>
          <w:rStyle w:val="HideTWBExt"/>
          <w:b w:val="0"/>
        </w:rPr>
        <w:t>&lt;RepeatBlock-By&gt;&lt;Members&gt;</w:t>
      </w:r>
      <w:r>
        <w:t>Raquel García Hermida-Van Der Walle, Fabienne Keller, Sophie Wilmès, Moritz Körner, Abir Al-Sahlani, Sigrid Friis, Lucia Yar</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24a.</w:t>
            </w:r>
            <w:r>
              <w:tab/>
            </w:r>
            <w:r>
              <w:rPr>
                <w:b/>
                <w:i/>
              </w:rPr>
              <w:t>wyraża głębokie zaniepokojenie faktem, że wiele kwestii związanych ze stosowaniem oprogramowania szpiegowskiego przeciwko m.in. dziennikarzom i politykom opozycji nadal nie zostało rozwiązanych, ponieważ dochodzenia nie zostały jeszcze zakończone, niekiedy ponad trzy lata po ich rozpoczęciu;</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577</w:t>
      </w:r>
      <w:r>
        <w:rPr>
          <w:rStyle w:val="HideTWBExt"/>
        </w:rPr>
        <w:t>&lt;/NumAm&gt;</w:t>
      </w:r>
    </w:p>
    <w:p w:rsidR="007A0039" w:rsidRPr="00EA7539" w:rsidRDefault="007A0039" w:rsidP="007A0039">
      <w:pPr>
        <w:pStyle w:val="NormalBold"/>
      </w:pPr>
      <w:r>
        <w:rPr>
          <w:rStyle w:val="HideTWBExt"/>
          <w:b w:val="0"/>
        </w:rPr>
        <w:t>&lt;RepeatBlock-By&gt;&lt;Members&gt;</w:t>
      </w:r>
      <w:r>
        <w:t>Nikola Minchev, Moritz Körner, Hilde Vautmans, Veronika Cifrová Ostrihoňová, Chloé Ridel, Abir Al-Sahlani, Alessandro Zan, Fabienne Keller, Lucia Yar, Irena Joveva, Isabel Wiseler-Lima, Daniel Freund</w:t>
      </w:r>
      <w:r>
        <w:rPr>
          <w:rStyle w:val="HideTWBExt"/>
          <w:b w:val="0"/>
        </w:rPr>
        <w:t>&lt;/Members&gt;</w:t>
      </w:r>
    </w:p>
    <w:p w:rsidR="007A0039" w:rsidRPr="00EA7539" w:rsidRDefault="007A0039" w:rsidP="007A0039">
      <w:r>
        <w:rPr>
          <w:rStyle w:val="HideTWBExt"/>
        </w:rPr>
        <w:t>&lt;AuNomDe&gt;</w:t>
      </w:r>
      <w:r>
        <w:rPr>
          <w:rStyle w:val="HideTWBInt"/>
        </w:rPr>
        <w:t>{LIBE}</w:t>
      </w:r>
      <w:r>
        <w:t>w imieniu Komisji Wolności Obywatelskich, Sprawiedliwości i Spraw Wewnętrznych</w:t>
      </w:r>
      <w:r>
        <w:rPr>
          <w:rStyle w:val="HideTWBExt"/>
        </w:rPr>
        <w:t>&lt;/AuNomDe&gt;</w:t>
      </w:r>
    </w:p>
    <w:p w:rsidR="007A0039" w:rsidRPr="00EA7539" w:rsidRDefault="007A0039" w:rsidP="007A0039">
      <w:pPr>
        <w:pStyle w:val="NormalBold"/>
      </w:pPr>
      <w:r>
        <w:rPr>
          <w:rStyle w:val="HideTWBExt"/>
          <w:b w:val="0"/>
        </w:rPr>
        <w:t>&lt;Members&gt;</w:t>
      </w:r>
      <w:r>
        <w:t>Sophie Wilmès</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24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24b.</w:t>
            </w:r>
            <w:r>
              <w:tab/>
            </w:r>
            <w:r>
              <w:rPr>
                <w:b/>
                <w:i/>
              </w:rPr>
              <w:t>ubolewa, że niektóre zalecenia zawarte w sprawozdaniu na temat praworządności z 2023 r. nie zostały wdrożone, i wzywa Komisję do podjęcia kroków w celu rozwiązania tego problemu;</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578</w:t>
      </w:r>
      <w:r>
        <w:rPr>
          <w:rStyle w:val="HideTWBExt"/>
        </w:rPr>
        <w:t>&lt;/NumAm&gt;</w:t>
      </w:r>
    </w:p>
    <w:p w:rsidR="007A0039" w:rsidRPr="00EA7539" w:rsidRDefault="007A0039" w:rsidP="007A0039">
      <w:pPr>
        <w:pStyle w:val="NormalBold"/>
      </w:pPr>
      <w:r>
        <w:rPr>
          <w:rStyle w:val="HideTWBExt"/>
          <w:b w:val="0"/>
        </w:rPr>
        <w:t>&lt;RepeatBlock-By&gt;&lt;Members&gt;</w:t>
      </w:r>
      <w:r>
        <w:t>Alessandro Ciriani, Paolo Inselvini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25.</w:t>
            </w:r>
            <w:r>
              <w:tab/>
            </w:r>
            <w:r>
              <w:rPr>
                <w:b/>
                <w:i/>
              </w:rPr>
              <w:t>wyraża zaniepokojenie ingerencjami zagranicznymi w państwach członkowskich, w tym manipulacjami w mediach społecznościowych i dezinformacją; odnotowuje niedopuszczalne inicjatywy Elona Muska polegające na wykorzystywaniu platform mediów społecznościowych do manipulowania opinią publiczną w różnych państwach członkowskich; wzywa Komisję i państwa członkowskie do monitorowania tej sytuacji oraz do stosowania aktu o usługach cyfrowych</w:t>
            </w:r>
            <w:r>
              <w:rPr>
                <w:b/>
                <w:i/>
                <w:vertAlign w:val="superscript"/>
              </w:rPr>
              <w:t>44</w:t>
            </w:r>
            <w:r>
              <w:rPr>
                <w:b/>
                <w:i/>
              </w:rPr>
              <w:t xml:space="preserve"> i aktu o rynkach cyfrowych</w:t>
            </w:r>
            <w:r>
              <w:rPr>
                <w:b/>
                <w:i/>
                <w:vertAlign w:val="superscript"/>
              </w:rPr>
              <w:t>45</w:t>
            </w:r>
            <w:r>
              <w:rPr>
                <w:b/>
                <w:i/>
              </w:rPr>
              <w:t>, w tym w odpowiedzi na niedawną decyzję Mety w sprawie mechanizmów weryfikacji faktów;</w:t>
            </w:r>
          </w:p>
        </w:tc>
        <w:tc>
          <w:tcPr>
            <w:tcW w:w="4876" w:type="dxa"/>
            <w:tcBorders>
              <w:top w:val="nil"/>
              <w:left w:val="nil"/>
              <w:bottom w:val="nil"/>
              <w:right w:val="nil"/>
            </w:tcBorders>
          </w:tcPr>
          <w:p w:rsidR="007A0039" w:rsidRPr="00EA7539" w:rsidRDefault="007A0039" w:rsidP="008F6778">
            <w:pPr>
              <w:pStyle w:val="Normal6a"/>
            </w:pPr>
            <w:r>
              <w:rPr>
                <w:b/>
                <w:i/>
              </w:rPr>
              <w:t>skreśla się</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_________________</w:t>
            </w:r>
          </w:p>
        </w:tc>
        <w:tc>
          <w:tcPr>
            <w:tcW w:w="4876" w:type="dxa"/>
            <w:tcBorders>
              <w:top w:val="nil"/>
              <w:left w:val="nil"/>
              <w:bottom w:val="nil"/>
              <w:right w:val="nil"/>
            </w:tcBorders>
          </w:tcPr>
          <w:p w:rsidR="007A0039" w:rsidRPr="00EA7539" w:rsidRDefault="007A0039" w:rsidP="008F6778"/>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vertAlign w:val="superscript"/>
              </w:rPr>
              <w:t>44</w:t>
            </w:r>
            <w:r>
              <w:t xml:space="preserve"> </w:t>
            </w:r>
            <w:r>
              <w:rPr>
                <w:b/>
                <w:i/>
              </w:rPr>
              <w:t>Rozporządzenie Parlamentu Europejskiego i Rady (UE) 2022/2065 z dnia 19 października 2022 r. w sprawie jednolitego rynku usług cyfrowych oraz zmiany dyrektywy 2000/31/WE (akt o usługach cyfrowych) (Dz.U. L 277 z 27.10.2022, s. 1, ELI: http://data.europa.eu/eli/reg/2022/2065/oj).</w:t>
            </w:r>
          </w:p>
        </w:tc>
        <w:tc>
          <w:tcPr>
            <w:tcW w:w="4876" w:type="dxa"/>
            <w:tcBorders>
              <w:top w:val="nil"/>
              <w:left w:val="nil"/>
              <w:bottom w:val="nil"/>
              <w:right w:val="nil"/>
            </w:tcBorders>
          </w:tcPr>
          <w:p w:rsidR="007A0039" w:rsidRPr="00EA7539" w:rsidRDefault="007A0039" w:rsidP="008F6778"/>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vertAlign w:val="superscript"/>
              </w:rPr>
              <w:t>45</w:t>
            </w:r>
            <w:r>
              <w:t xml:space="preserve"> </w:t>
            </w:r>
            <w:r>
              <w:rPr>
                <w:b/>
                <w:i/>
              </w:rPr>
              <w:t>Rozporządzenie Parlamentu Europejskiego i Rady (UE) 2022/1925 z dnia 14 września 2022 r. w sprawie kontestowalnych i uczciwych rynków w sektorze cyfrowym oraz zmiany dyrektyw (UE) 2019/1937 i (UE) 2020/1828 (akt o rynkach cyfrowych) (Dz.U. L 265 z 12.10.2022, s. 1, ELI: https://data.europa.eu/eli/reg/2022/1925/oj).</w:t>
            </w:r>
          </w:p>
        </w:tc>
        <w:tc>
          <w:tcPr>
            <w:tcW w:w="4876" w:type="dxa"/>
            <w:tcBorders>
              <w:top w:val="nil"/>
              <w:left w:val="nil"/>
              <w:bottom w:val="nil"/>
              <w:right w:val="nil"/>
            </w:tcBorders>
          </w:tcPr>
          <w:p w:rsidR="007A0039" w:rsidRPr="00EA7539" w:rsidRDefault="007A0039" w:rsidP="008F6778"/>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{IT}</w:t>
      </w:r>
      <w:r w:rsidRPr="00EA7539">
        <w:t>it</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579</w:t>
      </w:r>
      <w:r>
        <w:rPr>
          <w:rStyle w:val="HideTWBExt"/>
        </w:rPr>
        <w:t>&lt;/NumAm&gt;</w:t>
      </w:r>
    </w:p>
    <w:p w:rsidR="007A0039" w:rsidRPr="00EA7539" w:rsidRDefault="007A0039" w:rsidP="007A0039">
      <w:pPr>
        <w:pStyle w:val="NormalBold"/>
      </w:pPr>
      <w:r>
        <w:rPr>
          <w:rStyle w:val="HideTWBExt"/>
          <w:b w:val="0"/>
        </w:rPr>
        <w:t>&lt;RepeatBlock-By&gt;&lt;Members&gt;</w:t>
      </w:r>
      <w:r>
        <w:t>András László</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25.</w:t>
            </w:r>
            <w:r>
              <w:tab/>
              <w:t xml:space="preserve">wyraża zaniepokojenie ingerencjami </w:t>
            </w:r>
            <w:r>
              <w:rPr>
                <w:b/>
                <w:i/>
              </w:rPr>
              <w:t>zagranicznymi</w:t>
            </w:r>
            <w:r>
              <w:t xml:space="preserve"> w </w:t>
            </w:r>
            <w:r>
              <w:rPr>
                <w:b/>
                <w:i/>
              </w:rPr>
              <w:t>państwach</w:t>
            </w:r>
            <w:r>
              <w:t xml:space="preserve"> członkowskich, </w:t>
            </w:r>
            <w:r>
              <w:rPr>
                <w:b/>
                <w:i/>
              </w:rPr>
              <w:t>w tym manipulacjami w mediach społecznościowych i dezinformacją</w:t>
            </w:r>
            <w:r>
              <w:t>;</w:t>
            </w:r>
            <w:r>
              <w:rPr>
                <w:b/>
                <w:i/>
              </w:rPr>
              <w:t xml:space="preserve"> odnotowuje niedopuszczalne inicjatywy Elona Muska polegające</w:t>
            </w:r>
            <w:r>
              <w:t xml:space="preserve"> na </w:t>
            </w:r>
            <w:r>
              <w:rPr>
                <w:b/>
                <w:i/>
              </w:rPr>
              <w:t>wykorzystywaniu platform</w:t>
            </w:r>
            <w:r>
              <w:t xml:space="preserve"> mediów społecznościowych</w:t>
            </w:r>
            <w:r>
              <w:rPr>
                <w:b/>
                <w:i/>
              </w:rPr>
              <w:t xml:space="preserve"> do manipulowania opinią publiczną w różnych państwach członkowskich</w:t>
            </w:r>
            <w:r>
              <w:t>; wzywa Komisję</w:t>
            </w:r>
            <w:r>
              <w:rPr>
                <w:b/>
                <w:i/>
              </w:rPr>
              <w:t xml:space="preserve"> i państwa członkowskie</w:t>
            </w:r>
            <w:r>
              <w:t xml:space="preserve"> do </w:t>
            </w:r>
            <w:r>
              <w:rPr>
                <w:b/>
                <w:i/>
              </w:rPr>
              <w:t>monitorowania tej sytuacji oraz</w:t>
            </w:r>
            <w:r>
              <w:t xml:space="preserve"> do </w:t>
            </w:r>
            <w:r>
              <w:rPr>
                <w:b/>
                <w:i/>
              </w:rPr>
              <w:t>stosowania aktu</w:t>
            </w:r>
            <w:r>
              <w:t xml:space="preserve"> o </w:t>
            </w:r>
            <w:r>
              <w:rPr>
                <w:b/>
                <w:i/>
              </w:rPr>
              <w:t>usługach cyfrowych</w:t>
            </w:r>
            <w:r>
              <w:rPr>
                <w:b/>
                <w:i/>
                <w:vertAlign w:val="superscript"/>
              </w:rPr>
              <w:t>44</w:t>
            </w:r>
            <w:r>
              <w:t xml:space="preserve"> i </w:t>
            </w:r>
            <w:r>
              <w:rPr>
                <w:b/>
                <w:i/>
              </w:rPr>
              <w:t>aktu o rynkach cyfrowych</w:t>
            </w:r>
            <w:r>
              <w:rPr>
                <w:b/>
                <w:i/>
                <w:vertAlign w:val="superscript"/>
              </w:rPr>
              <w:t>45</w:t>
            </w:r>
            <w:r>
              <w:rPr>
                <w:b/>
                <w:i/>
              </w:rPr>
              <w:t>,</w:t>
            </w:r>
            <w:r>
              <w:t xml:space="preserve"> w </w:t>
            </w:r>
            <w:r>
              <w:rPr>
                <w:b/>
                <w:i/>
              </w:rPr>
              <w:t>tym w odpowiedzi</w:t>
            </w:r>
            <w:r>
              <w:t xml:space="preserve"> na </w:t>
            </w:r>
            <w:r>
              <w:rPr>
                <w:b/>
                <w:i/>
              </w:rPr>
              <w:t>niedawną decyzję Mety</w:t>
            </w:r>
            <w:r>
              <w:t xml:space="preserve"> w </w:t>
            </w:r>
            <w:r>
              <w:rPr>
                <w:b/>
                <w:i/>
              </w:rPr>
              <w:t>sprawie mechanizmów weryfikacji faktów</w:t>
            </w:r>
            <w:r>
              <w:t>;</w:t>
            </w:r>
          </w:p>
        </w:tc>
        <w:tc>
          <w:tcPr>
            <w:tcW w:w="4876" w:type="dxa"/>
            <w:tcBorders>
              <w:top w:val="nil"/>
              <w:left w:val="nil"/>
              <w:bottom w:val="nil"/>
              <w:right w:val="nil"/>
            </w:tcBorders>
          </w:tcPr>
          <w:p w:rsidR="007A0039" w:rsidRPr="00EA7539" w:rsidRDefault="007A0039" w:rsidP="008F6778">
            <w:pPr>
              <w:pStyle w:val="Normal6a"/>
            </w:pPr>
            <w:r>
              <w:t>25.</w:t>
            </w:r>
            <w:r>
              <w:tab/>
              <w:t xml:space="preserve">wyraża zaniepokojenie ingerencjami </w:t>
            </w:r>
            <w:r>
              <w:rPr>
                <w:b/>
                <w:i/>
              </w:rPr>
              <w:t>Parlamentu Europejskiego i Komisji</w:t>
            </w:r>
            <w:r>
              <w:t xml:space="preserve"> w </w:t>
            </w:r>
            <w:r>
              <w:rPr>
                <w:b/>
                <w:i/>
              </w:rPr>
              <w:t>sprawy wewnętrzne państw</w:t>
            </w:r>
            <w:r>
              <w:t xml:space="preserve"> członkowskich</w:t>
            </w:r>
            <w:r>
              <w:rPr>
                <w:b/>
                <w:i/>
              </w:rPr>
              <w:t>; przypomina, że 7 stycznia 2025 r. dyrektor generalny Meta Mark Zuckerberg przyznał, iż Facebook cenzurował treści ze względów politycznych; z zadowoleniem przyjmuje wysiłki Meta na rzecz promowania wolności wypowiedzi</w:t>
            </w:r>
            <w:r>
              <w:t xml:space="preserve"> na </w:t>
            </w:r>
            <w:r>
              <w:rPr>
                <w:b/>
                <w:i/>
              </w:rPr>
              <w:t>jej platformach</w:t>
            </w:r>
            <w:r>
              <w:t xml:space="preserve"> mediów społecznościowych</w:t>
            </w:r>
            <w:r>
              <w:rPr>
                <w:b/>
                <w:i/>
              </w:rPr>
              <w:t>; ubolewa, że politycznie stronnicze weryfikowanie faktów na platformach mediów społecznościowych jest nadal stosowane w Europie</w:t>
            </w:r>
            <w:r>
              <w:t>; wzywa Komisję</w:t>
            </w:r>
            <w:r>
              <w:rPr>
                <w:b/>
                <w:i/>
              </w:rPr>
              <w:t>, aby zrezygnowała z dążenia</w:t>
            </w:r>
            <w:r>
              <w:t xml:space="preserve"> do </w:t>
            </w:r>
            <w:r>
              <w:rPr>
                <w:b/>
                <w:i/>
              </w:rPr>
              <w:t>cenzurowania poglądów politycznych na platformach mediów społecznościowych; wzywa Komisję Europejską i Parlament Europejski</w:t>
            </w:r>
            <w:r>
              <w:t xml:space="preserve"> do </w:t>
            </w:r>
            <w:r>
              <w:rPr>
                <w:b/>
                <w:i/>
              </w:rPr>
              <w:t>opublikowania wszystkich szczegółów umowy</w:t>
            </w:r>
            <w:r>
              <w:t xml:space="preserve"> o </w:t>
            </w:r>
            <w:r>
              <w:rPr>
                <w:b/>
                <w:i/>
              </w:rPr>
              <w:t>wartości 133 mln EUR zawartej z Havas Media France w celu promowania prounijnej narracji</w:t>
            </w:r>
            <w:r>
              <w:t xml:space="preserve"> i </w:t>
            </w:r>
            <w:r>
              <w:rPr>
                <w:b/>
                <w:i/>
              </w:rPr>
              <w:t>kandydatów przed wyborami do Parlamentu Europejskiego</w:t>
            </w:r>
            <w:r>
              <w:t xml:space="preserve"> w </w:t>
            </w:r>
            <w:r>
              <w:rPr>
                <w:b/>
                <w:i/>
              </w:rPr>
              <w:t>2024 r.; wzywa Parlament Europejski do powołania komisji śledczej ds. cenzury</w:t>
            </w:r>
            <w:r>
              <w:t xml:space="preserve"> na </w:t>
            </w:r>
            <w:r>
              <w:rPr>
                <w:b/>
                <w:i/>
              </w:rPr>
              <w:t>Facebooku;</w:t>
            </w:r>
            <w:r>
              <w:t xml:space="preserve"> </w:t>
            </w:r>
            <w:r>
              <w:rPr>
                <w:b/>
                <w:i/>
              </w:rPr>
              <w:t>z zadowoleniem przyjmuje wysiłki Elona Muska w walce o wolność wypowiedzi;</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_________________</w:t>
            </w:r>
          </w:p>
        </w:tc>
        <w:tc>
          <w:tcPr>
            <w:tcW w:w="4876" w:type="dxa"/>
            <w:tcBorders>
              <w:top w:val="nil"/>
              <w:left w:val="nil"/>
              <w:bottom w:val="nil"/>
              <w:right w:val="nil"/>
            </w:tcBorders>
          </w:tcPr>
          <w:p w:rsidR="007A0039" w:rsidRPr="00EA7539" w:rsidRDefault="007A0039" w:rsidP="008F6778"/>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sidRPr="000C292F">
              <w:rPr>
                <w:b/>
                <w:i/>
                <w:vertAlign w:val="superscript"/>
              </w:rPr>
              <w:t>44</w:t>
            </w:r>
            <w:r>
              <w:rPr>
                <w:b/>
                <w:i/>
              </w:rPr>
              <w:t xml:space="preserve"> Rozporządzenie Parlamentu Europejskiego i Rady (UE) 2022/2065 z dnia 19 października 2022 r. w sprawie jednolitego rynku usług cyfrowych oraz zmiany dyrektywy 2000/31/WE (akt o usługach cyfrowych) (Dz.U. L 277 z 27.10.2022, s. 1, ELI: http://data.europa.eu/eli/reg/2022/2065/oj).</w:t>
            </w:r>
          </w:p>
        </w:tc>
        <w:tc>
          <w:tcPr>
            <w:tcW w:w="4876" w:type="dxa"/>
            <w:tcBorders>
              <w:top w:val="nil"/>
              <w:left w:val="nil"/>
              <w:bottom w:val="nil"/>
              <w:right w:val="nil"/>
            </w:tcBorders>
          </w:tcPr>
          <w:p w:rsidR="007A0039" w:rsidRPr="00EA7539" w:rsidRDefault="007A0039" w:rsidP="008F6778"/>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vertAlign w:val="superscript"/>
              </w:rPr>
              <w:t>45</w:t>
            </w:r>
            <w:r>
              <w:rPr>
                <w:b/>
                <w:i/>
              </w:rPr>
              <w:t xml:space="preserve"> Rozporządzenie Parlamentu Europejskiego i Rady (UE) 2022/1925 z dnia 14 września 2022 r. w sprawie kontestowalnych i uczciwych rynków w sektorze cyfrowym oraz zmiany dyrektyw (UE) 2019/1937 i (UE) 2020/1828 (akt o rynkach cyfrowych) (Dz.U. L 265 z 12.10.2022, s. 1, ELI: https://data.europa.eu/eli/reg/2022/1925/oj).</w:t>
            </w:r>
          </w:p>
        </w:tc>
        <w:tc>
          <w:tcPr>
            <w:tcW w:w="4876" w:type="dxa"/>
            <w:tcBorders>
              <w:top w:val="nil"/>
              <w:left w:val="nil"/>
              <w:bottom w:val="nil"/>
              <w:right w:val="nil"/>
            </w:tcBorders>
          </w:tcPr>
          <w:p w:rsidR="007A0039" w:rsidRPr="00EA7539" w:rsidRDefault="007A0039" w:rsidP="008F6778"/>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580</w:t>
      </w:r>
      <w:r>
        <w:rPr>
          <w:rStyle w:val="HideTWBExt"/>
        </w:rPr>
        <w:t>&lt;/NumAm&gt;</w:t>
      </w:r>
    </w:p>
    <w:p w:rsidR="007A0039" w:rsidRPr="00EA7539" w:rsidRDefault="007A0039" w:rsidP="007A0039">
      <w:pPr>
        <w:pStyle w:val="NormalBold"/>
      </w:pPr>
      <w:r>
        <w:rPr>
          <w:rStyle w:val="HideTWBExt"/>
          <w:b w:val="0"/>
        </w:rPr>
        <w:t>&lt;RepeatBlock-By&gt;&lt;Members&gt;</w:t>
      </w:r>
      <w:r>
        <w:t>Krzysztof Śmiszek, Matjaž Nemec, Robert Biedroń, Katarina Barley, Cecilia Strada, Klára Dobrev, Csaba Molnár, Emma Rafowicz, Alessandro Zan, Birgit Sippel</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25.</w:t>
            </w:r>
            <w:r>
              <w:tab/>
              <w:t>wyraża zaniepokojenie ingerencjami zagranicznymi w państwach członkowskich, w tym manipulacjami w mediach społecznościowych i dezinformacją; odnotowuje niedopuszczalne inicjatywy Elona Muska polegające na wykorzystywaniu platform mediów społecznościowych do manipulowania opinią publiczną w różnych państwach członkowskich; wzywa Komisję i państwa członkowskie do monitorowania tej sytuacji oraz do stosowania aktu o usługach cyfrowych</w:t>
            </w:r>
            <w:r>
              <w:rPr>
                <w:vertAlign w:val="superscript"/>
              </w:rPr>
              <w:t>44</w:t>
            </w:r>
            <w:r>
              <w:t xml:space="preserve"> i aktu o rynkach cyfrowych</w:t>
            </w:r>
            <w:r>
              <w:rPr>
                <w:vertAlign w:val="superscript"/>
              </w:rPr>
              <w:t>45</w:t>
            </w:r>
            <w:r>
              <w:t>, w tym w odpowiedzi na niedawną decyzję Mety w sprawie mechanizmów weryfikacji faktów;</w:t>
            </w:r>
          </w:p>
        </w:tc>
        <w:tc>
          <w:tcPr>
            <w:tcW w:w="4876" w:type="dxa"/>
            <w:tcBorders>
              <w:top w:val="nil"/>
              <w:left w:val="nil"/>
              <w:bottom w:val="nil"/>
              <w:right w:val="nil"/>
            </w:tcBorders>
          </w:tcPr>
          <w:p w:rsidR="007A0039" w:rsidRPr="00EA7539" w:rsidRDefault="007A0039" w:rsidP="008F6778">
            <w:pPr>
              <w:pStyle w:val="Normal6a"/>
            </w:pPr>
            <w:r>
              <w:t>25.</w:t>
            </w:r>
            <w:r>
              <w:tab/>
              <w:t>wyraża zaniepokojenie ingerencjami zagranicznymi w państwach członkowskich, w tym manipulacjami w mediach społecznościowych i dezinformacją; odnotowuje niedopuszczalne inicjatywy Elona Muska polegające na wykorzystywaniu platform mediów społecznościowych do manipulowania opinią publiczną w różnych państwach członkowskich; wzywa Komisję i państwa członkowskie do monitorowania tej sytuacji oraz do stosowania aktu o usługach cyfrowych</w:t>
            </w:r>
            <w:r>
              <w:rPr>
                <w:vertAlign w:val="superscript"/>
              </w:rPr>
              <w:t>44</w:t>
            </w:r>
            <w:r>
              <w:t xml:space="preserve"> i aktu o rynkach cyfrowych</w:t>
            </w:r>
            <w:r>
              <w:rPr>
                <w:vertAlign w:val="superscript"/>
              </w:rPr>
              <w:t>45</w:t>
            </w:r>
            <w:r>
              <w:t xml:space="preserve">, w tym w odpowiedzi na niedawną decyzję Mety w sprawie mechanizmów weryfikacji faktów; </w:t>
            </w:r>
            <w:r>
              <w:rPr>
                <w:b/>
                <w:i/>
              </w:rPr>
              <w:t>podkreśla, że akt o usługach cyfrowych zapewnia solidne ramy przeciwdziałania ryzyku systemowemu powodowanemu przez dezinformację, w szczególności na dużych platformach internetowych, i wzywa Komisję do rygorystycznego egzekwowania jego przepisów; podkreśla znaczenie przejrzystości algorytmów platform, niezależnych audytów i solidnych mechanizmów weryfikacji informacji i moderowania treści; podkreśla, że walka z dezinformacją ma zasadnicze znaczenie dla ochrony demokracji, ochrony praw podstawowych i utrzymania zaufania do instytucji publicznych w całej Unii Europejskiej;</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_________________</w:t>
            </w:r>
          </w:p>
        </w:tc>
        <w:tc>
          <w:tcPr>
            <w:tcW w:w="4876" w:type="dxa"/>
            <w:tcBorders>
              <w:top w:val="nil"/>
              <w:left w:val="nil"/>
              <w:bottom w:val="nil"/>
              <w:right w:val="nil"/>
            </w:tcBorders>
          </w:tcPr>
          <w:p w:rsidR="007A0039" w:rsidRPr="00EA7539" w:rsidRDefault="007A0039" w:rsidP="008F6778">
            <w:pPr>
              <w:pStyle w:val="Normal6a"/>
            </w:pPr>
            <w:r>
              <w:rPr>
                <w:b/>
                <w:i/>
              </w:rPr>
              <w:t>_________________</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vertAlign w:val="superscript"/>
              </w:rPr>
              <w:t xml:space="preserve">44 </w:t>
            </w:r>
            <w:r>
              <w:t>Rozporządzenie Parlamentu Europejskiego i Rady (UE) 2022/2065 z dnia 19 października 2022 r. w sprawie jednolitego rynku usług cyfrowych oraz zmiany dyrektywy 2000/31/WE (akt o usługach cyfrowych) (Dz.U. L 277 z 27.10.2022, s. 1, ELI: http://data.europa.eu/eli/reg/2022/2065/oj).</w:t>
            </w:r>
          </w:p>
        </w:tc>
        <w:tc>
          <w:tcPr>
            <w:tcW w:w="4876" w:type="dxa"/>
            <w:tcBorders>
              <w:top w:val="nil"/>
              <w:left w:val="nil"/>
              <w:bottom w:val="nil"/>
              <w:right w:val="nil"/>
            </w:tcBorders>
          </w:tcPr>
          <w:p w:rsidR="007A0039" w:rsidRPr="00EA7539" w:rsidRDefault="007A0039" w:rsidP="008F6778">
            <w:pPr>
              <w:pStyle w:val="Normal6a"/>
            </w:pPr>
            <w:r>
              <w:rPr>
                <w:vertAlign w:val="superscript"/>
              </w:rPr>
              <w:t xml:space="preserve">44 </w:t>
            </w:r>
            <w:r>
              <w:t>Rozporządzenie Parlamentu Europejskiego i Rady (UE) 2022/2065 z dnia 19 października 2022 r. w sprawie jednolitego rynku usług cyfrowych oraz zmiany dyrektywy 2000/31/WE (akt o usługach cyfrowych) (Dz.U. L 277 z 27.10.2022, s. 1, ELI: http://data.europa.eu/eli/reg/2022/2065/oj).</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vertAlign w:val="superscript"/>
              </w:rPr>
              <w:t>45</w:t>
            </w:r>
            <w:r>
              <w:t xml:space="preserve"> Rozporządzenie Parlamentu Europejskiego i Rady (UE) 2022/1925 z dnia 14 września 2022 r. w sprawie kontestowalnych i uczciwych rynków w sektorze cyfrowym oraz zmiany dyrektyw (UE) 2019/1937 i (UE) 2020/1828 (akt o rynkach cyfrowych) (Dz.U. L 265 z 12.10.2022, s. 1, ELI: https://data.europa.eu/eli/reg/2022/1925/oj).</w:t>
            </w:r>
          </w:p>
        </w:tc>
        <w:tc>
          <w:tcPr>
            <w:tcW w:w="4876" w:type="dxa"/>
            <w:tcBorders>
              <w:top w:val="nil"/>
              <w:left w:val="nil"/>
              <w:bottom w:val="nil"/>
              <w:right w:val="nil"/>
            </w:tcBorders>
          </w:tcPr>
          <w:p w:rsidR="007A0039" w:rsidRPr="00EA7539" w:rsidRDefault="007A0039" w:rsidP="008F6778">
            <w:pPr>
              <w:pStyle w:val="Normal6a"/>
            </w:pPr>
            <w:r>
              <w:rPr>
                <w:vertAlign w:val="superscript"/>
              </w:rPr>
              <w:t>45</w:t>
            </w:r>
            <w:r>
              <w:t xml:space="preserve"> Rozporządzenie Parlamentu Europejskiego i Rady (UE) 2022/1925 z dnia 14 września 2022 r. w sprawie kontestowalnych i uczciwych rynków w sektorze cyfrowym oraz zmiany dyrektyw (UE) 2019/1937 i (UE) 2020/1828 (akt o rynkach cyfrowych) (Dz.U. L 265 z 12.10.2022, s. 1, ELI: https://data.europa.eu/eli/reg/2022/1925/oj).</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sidRPr="00EA7539">
        <w:rPr>
          <w:rStyle w:val="HideTWBExt"/>
        </w:rPr>
        <w:t>&lt;Amend&gt;</w:t>
      </w:r>
      <w:r w:rsidRPr="00EA7539">
        <w:t>Poprawka</w:t>
      </w:r>
      <w:r w:rsidRPr="00EA7539">
        <w:tab/>
      </w:r>
      <w:r w:rsidRPr="00EA7539">
        <w:tab/>
      </w:r>
      <w:r w:rsidRPr="00EA7539">
        <w:rPr>
          <w:rStyle w:val="HideTWBExt"/>
        </w:rPr>
        <w:t>&lt;NumAm&gt;</w:t>
      </w:r>
      <w:r w:rsidRPr="00EA7539">
        <w:t>581</w:t>
      </w:r>
      <w:r w:rsidRPr="00EA7539">
        <w:rPr>
          <w:rStyle w:val="HideTWBExt"/>
        </w:rPr>
        <w:t>&lt;/NumAm&gt;</w:t>
      </w:r>
    </w:p>
    <w:p w:rsidR="007A0039" w:rsidRPr="00EA7539" w:rsidRDefault="007A0039" w:rsidP="007A0039">
      <w:pPr>
        <w:pStyle w:val="NormalBold"/>
      </w:pPr>
      <w:r w:rsidRPr="00EA7539">
        <w:rPr>
          <w:rStyle w:val="HideTWBExt"/>
          <w:b w:val="0"/>
        </w:rPr>
        <w:t>&lt;RepeatBlock-By&gt;&lt;Members&gt;</w:t>
      </w:r>
      <w:r w:rsidRPr="00EA7539">
        <w:t>Mariusz Kamiński, Joachim Stanisław Brudziński, Jadwiga Wiśniewska, Maciej Wąsik, Jacek Ozdoba</w:t>
      </w:r>
      <w:r w:rsidRPr="00EA7539">
        <w:rPr>
          <w:rStyle w:val="HideTWBExt"/>
          <w:b w:val="0"/>
        </w:rPr>
        <w:t>&lt;/Members&gt;</w:t>
      </w:r>
    </w:p>
    <w:p w:rsidR="007A0039" w:rsidRPr="00EA7539" w:rsidRDefault="007A0039" w:rsidP="007A0039">
      <w:pPr>
        <w:pStyle w:val="NormalBold"/>
      </w:pPr>
      <w:r w:rsidRPr="00EA7539">
        <w:rPr>
          <w:rStyle w:val="HideTWBExt"/>
          <w:b w:val="0"/>
        </w:rPr>
        <w:t>&lt;/RepeatBlock-By&gt;</w:t>
      </w:r>
    </w:p>
    <w:p w:rsidR="007A0039" w:rsidRPr="00EA7539" w:rsidRDefault="007A0039" w:rsidP="007A0039">
      <w:pPr>
        <w:pStyle w:val="NormalBold"/>
      </w:pPr>
      <w:r w:rsidRPr="00EA7539">
        <w:rPr>
          <w:rStyle w:val="HideTWBExt"/>
        </w:rPr>
        <w:t>&lt;DocAmend&gt;</w:t>
      </w:r>
      <w:r w:rsidRPr="00EA7539">
        <w:t>Projekt rezolucji</w:t>
      </w:r>
      <w:r w:rsidRPr="00EA7539">
        <w:rPr>
          <w:rStyle w:val="HideTWBExt"/>
        </w:rPr>
        <w:t>&lt;/DocAmend&gt;</w:t>
      </w:r>
    </w:p>
    <w:p w:rsidR="007A0039" w:rsidRPr="00EA7539" w:rsidRDefault="007A0039" w:rsidP="007A0039">
      <w:pPr>
        <w:pStyle w:val="NormalBold"/>
      </w:pPr>
      <w:r w:rsidRPr="00EA7539">
        <w:rPr>
          <w:rStyle w:val="HideTWBExt"/>
        </w:rPr>
        <w:t>&lt;Article&gt;</w:t>
      </w:r>
      <w:r w:rsidRPr="00EA7539">
        <w:t>Ustęp 25</w:t>
      </w:r>
      <w:r w:rsidRPr="00EA7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RPr="00EA75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RPr="00EA75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rsidRPr="00EA7539">
              <w:t>Projekt rezolucji</w:t>
            </w:r>
          </w:p>
        </w:tc>
        <w:tc>
          <w:tcPr>
            <w:tcW w:w="4876" w:type="dxa"/>
            <w:tcBorders>
              <w:top w:val="nil"/>
              <w:left w:val="nil"/>
              <w:bottom w:val="nil"/>
              <w:right w:val="nil"/>
            </w:tcBorders>
          </w:tcPr>
          <w:p w:rsidR="007A0039" w:rsidRPr="00EA7539" w:rsidRDefault="007A0039" w:rsidP="008F6778">
            <w:pPr>
              <w:pStyle w:val="AmColumnHeading"/>
            </w:pPr>
            <w:r w:rsidRPr="00EA7539">
              <w:t>Poprawka</w:t>
            </w:r>
          </w:p>
        </w:tc>
      </w:tr>
      <w:tr w:rsidR="007A0039" w:rsidRPr="00EA7539" w:rsidTr="008F6778">
        <w:trPr>
          <w:jc w:val="center"/>
        </w:trPr>
        <w:tc>
          <w:tcPr>
            <w:tcW w:w="4876" w:type="dxa"/>
            <w:tcBorders>
              <w:top w:val="nil"/>
              <w:left w:val="nil"/>
              <w:bottom w:val="nil"/>
              <w:right w:val="nil"/>
            </w:tcBorders>
          </w:tcPr>
          <w:p w:rsidR="007A0039" w:rsidRPr="00EA7539" w:rsidRDefault="007A0039" w:rsidP="008F6778">
            <w:pPr>
              <w:pStyle w:val="Normal6a"/>
            </w:pPr>
            <w:r w:rsidRPr="00EA7539">
              <w:t>25.</w:t>
            </w:r>
            <w:r w:rsidRPr="00EA7539">
              <w:tab/>
              <w:t xml:space="preserve">wyraża zaniepokojenie ingerencjami zagranicznymi w państwach członkowskich, w tym manipulacjami w mediach społecznościowych i dezinformacją; odnotowuje niedopuszczalne inicjatywy </w:t>
            </w:r>
            <w:r w:rsidRPr="00EA7539">
              <w:rPr>
                <w:b/>
                <w:i/>
              </w:rPr>
              <w:t>Elona Muska</w:t>
            </w:r>
            <w:r w:rsidRPr="00EA7539">
              <w:t xml:space="preserve"> polegające na wykorzystywaniu platform mediów społecznościowych do manipulowania opinią publiczną w różnych państwach członkowskich; wzywa </w:t>
            </w:r>
            <w:r w:rsidRPr="00EA7539">
              <w:rPr>
                <w:b/>
                <w:i/>
              </w:rPr>
              <w:t>Komisję i</w:t>
            </w:r>
            <w:r w:rsidRPr="00EA7539">
              <w:t xml:space="preserve"> państwa członkowskie do monitorowania tej sytuacji oraz do stosowania aktu o usługach cyfrowych</w:t>
            </w:r>
            <w:r w:rsidRPr="00EA7539">
              <w:rPr>
                <w:b/>
                <w:i/>
                <w:vertAlign w:val="superscript"/>
              </w:rPr>
              <w:t>44</w:t>
            </w:r>
            <w:r w:rsidRPr="00EA7539">
              <w:t xml:space="preserve"> i aktu o rynkach cyfrowych</w:t>
            </w:r>
            <w:r w:rsidRPr="00EA7539">
              <w:rPr>
                <w:b/>
                <w:i/>
                <w:vertAlign w:val="superscript"/>
              </w:rPr>
              <w:t>45</w:t>
            </w:r>
            <w:r w:rsidRPr="00EA7539">
              <w:t xml:space="preserve"> </w:t>
            </w:r>
            <w:r w:rsidRPr="00EA7539">
              <w:rPr>
                <w:b/>
                <w:i/>
              </w:rPr>
              <w:t>, w tym w odpowiedzi na niedawną decyzję</w:t>
            </w:r>
            <w:r w:rsidRPr="00EA7539">
              <w:t xml:space="preserve"> Mety w sprawie mechanizmów weryfikacji faktów;</w:t>
            </w:r>
          </w:p>
        </w:tc>
        <w:tc>
          <w:tcPr>
            <w:tcW w:w="4876" w:type="dxa"/>
            <w:tcBorders>
              <w:top w:val="nil"/>
              <w:left w:val="nil"/>
              <w:bottom w:val="nil"/>
              <w:right w:val="nil"/>
            </w:tcBorders>
          </w:tcPr>
          <w:p w:rsidR="007A0039" w:rsidRPr="00EA7539" w:rsidRDefault="007A0039" w:rsidP="008F6778">
            <w:pPr>
              <w:pStyle w:val="Normal6a"/>
            </w:pPr>
            <w:r w:rsidRPr="00EA7539">
              <w:t>25.</w:t>
            </w:r>
            <w:r w:rsidRPr="00EA7539">
              <w:tab/>
              <w:t xml:space="preserve">wyraża zaniepokojenie ingerencjami zagranicznymi w państwach członkowskich, </w:t>
            </w:r>
            <w:r w:rsidRPr="00EA7539">
              <w:rPr>
                <w:b/>
                <w:i/>
              </w:rPr>
              <w:t>do których należy zaliczyć także te, których źródła znajdują się w innych państwach członkowskich oraz instytucjach unijnych,</w:t>
            </w:r>
            <w:r w:rsidRPr="00EA7539">
              <w:t xml:space="preserve"> w tym manipulacjami w mediach społecznościowych i dezinformacją; </w:t>
            </w:r>
            <w:r w:rsidRPr="00EA7539">
              <w:rPr>
                <w:b/>
                <w:i/>
              </w:rPr>
              <w:t>wzywa do poszanowania suwerenności państw członkowskich i do powstrzymania się od ingerencji w demokratyczne procesy, co niestety nie było regułą w poprzednich latach i wymaga dokładnego zbadania, nie tylko w zakresie ingerencji ze strony państw i aktorów pozaunijnych, ale także innych państw członkowskich i instytucji;</w:t>
            </w:r>
            <w:r w:rsidRPr="00EA7539">
              <w:t xml:space="preserve"> odnotowuje niedopuszczalne inicjatywy polegające na wykorzystywaniu platform mediów społecznościowych do manipulowania opinią publiczną w różnych państwach członkowskich; wzywa państwa członkowskie do monitorowania tej sytuacji oraz do stosowania aktu o usługach cyfrowych i aktu o rynkach cyfrowych</w:t>
            </w:r>
            <w:r w:rsidRPr="00EA7539">
              <w:rPr>
                <w:b/>
                <w:i/>
              </w:rPr>
              <w:t>; zachęca Komisję do przeanalizowania decyzji</w:t>
            </w:r>
            <w:r w:rsidRPr="00EA7539">
              <w:t xml:space="preserve"> Mety w sprawie mechanizmów weryfikacji faktów </w:t>
            </w:r>
            <w:r w:rsidRPr="00EA7539">
              <w:rPr>
                <w:b/>
                <w:i/>
              </w:rPr>
              <w:t>oraz poważnej analizy zarzutów o stronniczość mechanizmów, w tym ograniczanie zasięgów treści o charakterze konserwatywnym</w:t>
            </w:r>
            <w:r w:rsidRPr="00EA7539">
              <w:t>;</w:t>
            </w:r>
          </w:p>
        </w:tc>
      </w:tr>
      <w:tr w:rsidR="007A0039" w:rsidRPr="00EA7539" w:rsidTr="008F6778">
        <w:trPr>
          <w:jc w:val="center"/>
        </w:trPr>
        <w:tc>
          <w:tcPr>
            <w:tcW w:w="4876" w:type="dxa"/>
            <w:tcBorders>
              <w:top w:val="nil"/>
              <w:left w:val="nil"/>
              <w:bottom w:val="nil"/>
              <w:right w:val="nil"/>
            </w:tcBorders>
          </w:tcPr>
          <w:p w:rsidR="007A0039" w:rsidRPr="00EA7539" w:rsidRDefault="007A0039" w:rsidP="008F6778">
            <w:pPr>
              <w:pStyle w:val="Normal6a"/>
            </w:pPr>
            <w:r w:rsidRPr="00EA7539">
              <w:rPr>
                <w:b/>
                <w:i/>
              </w:rPr>
              <w:t>_________________</w:t>
            </w:r>
          </w:p>
        </w:tc>
        <w:tc>
          <w:tcPr>
            <w:tcW w:w="4876" w:type="dxa"/>
            <w:tcBorders>
              <w:top w:val="nil"/>
              <w:left w:val="nil"/>
              <w:bottom w:val="nil"/>
              <w:right w:val="nil"/>
            </w:tcBorders>
          </w:tcPr>
          <w:p w:rsidR="007A0039" w:rsidRPr="00EA7539" w:rsidRDefault="007A0039" w:rsidP="008F6778"/>
        </w:tc>
      </w:tr>
      <w:tr w:rsidR="007A0039" w:rsidRPr="00EA7539" w:rsidTr="008F6778">
        <w:trPr>
          <w:jc w:val="center"/>
        </w:trPr>
        <w:tc>
          <w:tcPr>
            <w:tcW w:w="4876" w:type="dxa"/>
            <w:tcBorders>
              <w:top w:val="nil"/>
              <w:left w:val="nil"/>
              <w:bottom w:val="nil"/>
              <w:right w:val="nil"/>
            </w:tcBorders>
          </w:tcPr>
          <w:p w:rsidR="007A0039" w:rsidRPr="00EA7539" w:rsidRDefault="007A0039" w:rsidP="008F6778">
            <w:pPr>
              <w:pStyle w:val="Normal6a"/>
            </w:pPr>
            <w:r w:rsidRPr="00EA7539">
              <w:rPr>
                <w:b/>
                <w:i/>
                <w:vertAlign w:val="superscript"/>
              </w:rPr>
              <w:t>44</w:t>
            </w:r>
            <w:r w:rsidRPr="00EA7539">
              <w:t xml:space="preserve"> </w:t>
            </w:r>
            <w:r w:rsidRPr="00EA7539">
              <w:rPr>
                <w:b/>
                <w:i/>
              </w:rPr>
              <w:t>Rozporządzenie Parlamentu Europejskiego i Rady (UE) 2022/2065 z dnia 19 października 2022 r. w sprawie jednolitego rynku usług cyfrowych oraz zmiany dyrektywy 2000/31/WE (akt o usługach cyfrowych) (Dz.U. L 277 z 27.10.2022, s. 1, ELI: http://data.europa.eu/eli/reg/2022/2065/oj).</w:t>
            </w:r>
          </w:p>
        </w:tc>
        <w:tc>
          <w:tcPr>
            <w:tcW w:w="4876" w:type="dxa"/>
            <w:tcBorders>
              <w:top w:val="nil"/>
              <w:left w:val="nil"/>
              <w:bottom w:val="nil"/>
              <w:right w:val="nil"/>
            </w:tcBorders>
          </w:tcPr>
          <w:p w:rsidR="007A0039" w:rsidRPr="00EA7539" w:rsidRDefault="007A0039" w:rsidP="008F6778"/>
        </w:tc>
      </w:tr>
      <w:tr w:rsidR="007A0039" w:rsidRPr="00EA7539" w:rsidTr="008F6778">
        <w:trPr>
          <w:jc w:val="center"/>
        </w:trPr>
        <w:tc>
          <w:tcPr>
            <w:tcW w:w="4876" w:type="dxa"/>
            <w:tcBorders>
              <w:top w:val="nil"/>
              <w:left w:val="nil"/>
              <w:bottom w:val="nil"/>
              <w:right w:val="nil"/>
            </w:tcBorders>
          </w:tcPr>
          <w:p w:rsidR="007A0039" w:rsidRPr="00EA7539" w:rsidRDefault="007A0039" w:rsidP="008F6778">
            <w:pPr>
              <w:pStyle w:val="Normal6a"/>
            </w:pPr>
            <w:r w:rsidRPr="00EA7539">
              <w:rPr>
                <w:b/>
                <w:i/>
                <w:vertAlign w:val="superscript"/>
              </w:rPr>
              <w:t>45</w:t>
            </w:r>
            <w:r w:rsidRPr="00EA7539">
              <w:t xml:space="preserve"> </w:t>
            </w:r>
            <w:r w:rsidRPr="00EA7539">
              <w:rPr>
                <w:b/>
                <w:i/>
              </w:rPr>
              <w:t>Rozporządzenie Parlamentu Europejskiego i Rady (UE) 2022/1925 z dnia 14 września 2022 r. w sprawie kontestowalnych i uczciwych rynków w sektorze cyfrowym oraz zmiany dyrektyw (UE) 2019/1937 i (UE) 2020/1828 (akt o rynkach cyfrowych) (Dz.U. L 265 z 12.10.2022, s. 1, ELI: https://data.europa.eu/eli/reg/2022/1925/oj).</w:t>
            </w:r>
          </w:p>
        </w:tc>
        <w:tc>
          <w:tcPr>
            <w:tcW w:w="4876" w:type="dxa"/>
            <w:tcBorders>
              <w:top w:val="nil"/>
              <w:left w:val="nil"/>
              <w:bottom w:val="nil"/>
              <w:right w:val="nil"/>
            </w:tcBorders>
          </w:tcPr>
          <w:p w:rsidR="007A0039" w:rsidRPr="00EA7539" w:rsidRDefault="007A0039" w:rsidP="008F6778"/>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{PL}</w:t>
      </w:r>
      <w:r w:rsidRPr="00EA7539">
        <w:t>pl</w:t>
      </w:r>
      <w:r w:rsidRPr="00EA7539">
        <w:rPr>
          <w:rStyle w:val="HideTWBExt"/>
        </w:rPr>
        <w:t>&lt;/Original&gt;</w:t>
      </w:r>
    </w:p>
    <w:p w:rsidR="007A0039" w:rsidRPr="00EA7539" w:rsidRDefault="007A0039" w:rsidP="007A0039">
      <w:r w:rsidRPr="00EA7539">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582</w:t>
      </w:r>
      <w:r>
        <w:rPr>
          <w:rStyle w:val="HideTWBExt"/>
        </w:rPr>
        <w:t>&lt;/NumAm&gt;</w:t>
      </w:r>
    </w:p>
    <w:p w:rsidR="007A0039" w:rsidRPr="00EA7539" w:rsidRDefault="007A0039" w:rsidP="007A0039">
      <w:pPr>
        <w:pStyle w:val="NormalBold"/>
      </w:pPr>
      <w:r>
        <w:rPr>
          <w:rStyle w:val="HideTWBExt"/>
          <w:b w:val="0"/>
        </w:rPr>
        <w:t>&lt;RepeatBlock-By&gt;&lt;Members&gt;</w:t>
      </w:r>
      <w:r>
        <w:t>Nicolas Bay</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25.</w:t>
            </w:r>
            <w:r>
              <w:tab/>
              <w:t>wyraża zaniepokojenie ingerencjami zagranicznymi w państwach członkowskich, w tym manipulacjami w mediach społecznościowych</w:t>
            </w:r>
            <w:r>
              <w:rPr>
                <w:b/>
                <w:i/>
              </w:rPr>
              <w:t xml:space="preserve"> i dezinformacją;</w:t>
            </w:r>
            <w:r>
              <w:t xml:space="preserve"> </w:t>
            </w:r>
            <w:r>
              <w:rPr>
                <w:b/>
                <w:i/>
              </w:rPr>
              <w:t>odnotowuje niedopuszczalne inicjatywy Elona Muska polegające na wykorzystywaniu platform mediów społecznościowych do manipulowania opinią publiczną w różnych państwach członkowskich; wzywa Komisję i państwa członkowskie do monitorowania tej sytuacji oraz do stosowania aktu o usługach cyfrowych</w:t>
            </w:r>
            <w:r>
              <w:rPr>
                <w:b/>
                <w:i/>
                <w:vertAlign w:val="superscript"/>
              </w:rPr>
              <w:t>44</w:t>
            </w:r>
            <w:r>
              <w:rPr>
                <w:b/>
                <w:i/>
              </w:rPr>
              <w:t xml:space="preserve"> i aktu o rynkach cyfrowych</w:t>
            </w:r>
            <w:r>
              <w:rPr>
                <w:b/>
                <w:i/>
                <w:vertAlign w:val="superscript"/>
              </w:rPr>
              <w:t>45</w:t>
            </w:r>
            <w:r>
              <w:rPr>
                <w:b/>
                <w:i/>
              </w:rPr>
              <w:t>, w tym w odpowiedzi na niedawną decyzję Mety w sprawie mechanizmów weryfikacji faktów</w:t>
            </w:r>
            <w:r>
              <w:t>;</w:t>
            </w:r>
          </w:p>
        </w:tc>
        <w:tc>
          <w:tcPr>
            <w:tcW w:w="4876" w:type="dxa"/>
            <w:tcBorders>
              <w:top w:val="nil"/>
              <w:left w:val="nil"/>
              <w:bottom w:val="nil"/>
              <w:right w:val="nil"/>
            </w:tcBorders>
          </w:tcPr>
          <w:p w:rsidR="007A0039" w:rsidRPr="00EA7539" w:rsidRDefault="007A0039" w:rsidP="008F6778">
            <w:pPr>
              <w:pStyle w:val="Normal6a"/>
            </w:pPr>
            <w:r>
              <w:t>25.</w:t>
            </w:r>
            <w:r>
              <w:tab/>
              <w:t>wyraża zaniepokojenie ingerencjami zagranicznymi w państwach członkowskich, w tym manipulacjami w mediach społecznościowych;</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_________________</w:t>
            </w:r>
          </w:p>
        </w:tc>
        <w:tc>
          <w:tcPr>
            <w:tcW w:w="4876" w:type="dxa"/>
            <w:tcBorders>
              <w:top w:val="nil"/>
              <w:left w:val="nil"/>
              <w:bottom w:val="nil"/>
              <w:right w:val="nil"/>
            </w:tcBorders>
          </w:tcPr>
          <w:p w:rsidR="007A0039" w:rsidRPr="00EA7539" w:rsidRDefault="007A0039" w:rsidP="008F6778"/>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sidRPr="000C292F">
              <w:rPr>
                <w:b/>
                <w:i/>
                <w:vertAlign w:val="superscript"/>
              </w:rPr>
              <w:t>44</w:t>
            </w:r>
            <w:r>
              <w:rPr>
                <w:b/>
                <w:i/>
              </w:rPr>
              <w:t xml:space="preserve"> Rozporządzenie Parlamentu Europejskiego i Rady (UE) 2022/2065 z dnia 19 października 2022 r. w sprawie jednolitego rynku usług cyfrowych oraz zmiany dyrektywy 2000/31/WE (akt o usługach cyfrowych) (Dz.U. L 277 z 27.10.2022, s. 1, ELI: http://data.europa.eu/eli/reg/2022/2065/oj).</w:t>
            </w:r>
          </w:p>
        </w:tc>
        <w:tc>
          <w:tcPr>
            <w:tcW w:w="4876" w:type="dxa"/>
            <w:tcBorders>
              <w:top w:val="nil"/>
              <w:left w:val="nil"/>
              <w:bottom w:val="nil"/>
              <w:right w:val="nil"/>
            </w:tcBorders>
          </w:tcPr>
          <w:p w:rsidR="007A0039" w:rsidRPr="00EA7539" w:rsidRDefault="007A0039" w:rsidP="008F6778"/>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sidRPr="000C292F">
              <w:rPr>
                <w:b/>
                <w:i/>
                <w:vertAlign w:val="superscript"/>
              </w:rPr>
              <w:t>45</w:t>
            </w:r>
            <w:r>
              <w:rPr>
                <w:b/>
                <w:i/>
              </w:rPr>
              <w:t xml:space="preserve"> Rozporządzenie Parlamentu Europejskiego i Rady (UE) 2022/1925 z dnia 14 września 2022 r. w sprawie kontestowalnych i uczciwych rynków w sektorze cyfrowym oraz zmiany dyrektyw (UE) 2019/1937 i (UE) 2020/1828 (akt o rynkach cyfrowych) (Dz.U. L 265 z 12.10.2022, s. 1, ELI: https://data.europa.eu/eli/reg/2022/1925/oj).</w:t>
            </w:r>
          </w:p>
        </w:tc>
        <w:tc>
          <w:tcPr>
            <w:tcW w:w="4876" w:type="dxa"/>
            <w:tcBorders>
              <w:top w:val="nil"/>
              <w:left w:val="nil"/>
              <w:bottom w:val="nil"/>
              <w:right w:val="nil"/>
            </w:tcBorders>
          </w:tcPr>
          <w:p w:rsidR="007A0039" w:rsidRPr="00EA7539" w:rsidRDefault="007A0039" w:rsidP="008F6778"/>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{FR}</w:t>
      </w:r>
      <w:r w:rsidRPr="00EA7539">
        <w:t>fr</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583</w:t>
      </w:r>
      <w:r>
        <w:rPr>
          <w:rStyle w:val="HideTWBExt"/>
        </w:rPr>
        <w:t>&lt;/NumAm&gt;</w:t>
      </w:r>
    </w:p>
    <w:p w:rsidR="007A0039" w:rsidRPr="00EA7539" w:rsidRDefault="007A0039" w:rsidP="007A0039">
      <w:pPr>
        <w:pStyle w:val="NormalBold"/>
      </w:pPr>
      <w:r>
        <w:rPr>
          <w:rStyle w:val="HideTWBExt"/>
          <w:b w:val="0"/>
        </w:rPr>
        <w:t>&lt;RepeatBlock-By&gt;&lt;Members&gt;</w:t>
      </w:r>
      <w:r>
        <w:t>Ewa Zajączkowska-Hernik</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25.</w:t>
            </w:r>
            <w:r>
              <w:tab/>
              <w:t>wyraża zaniepokojenie ingerencjami zagranicznymi w państwach członkowskich</w:t>
            </w:r>
            <w:r>
              <w:rPr>
                <w:b/>
                <w:i/>
              </w:rPr>
              <w:t>, w tym manipulacjami w mediach społecznościowych i dezinformacją;</w:t>
            </w:r>
            <w:r>
              <w:t xml:space="preserve"> </w:t>
            </w:r>
            <w:r>
              <w:rPr>
                <w:b/>
                <w:i/>
              </w:rPr>
              <w:t>odnotowuje niedopuszczalne inicjatywy Elona Muska polegające na wykorzystywaniu platform mediów społecznościowych do manipulowania opinią publiczną w różnych państwach członkowskich; wzywa Komisję i państwa członkowskie do monitorowania tej sytuacji oraz do stosowania aktu o usługach cyfrowych</w:t>
            </w:r>
            <w:r>
              <w:rPr>
                <w:b/>
                <w:i/>
                <w:vertAlign w:val="superscript"/>
              </w:rPr>
              <w:t>44</w:t>
            </w:r>
            <w:r>
              <w:rPr>
                <w:b/>
                <w:i/>
              </w:rPr>
              <w:t xml:space="preserve"> i aktu o rynkach cyfrowych</w:t>
            </w:r>
            <w:r>
              <w:rPr>
                <w:b/>
                <w:i/>
                <w:vertAlign w:val="superscript"/>
              </w:rPr>
              <w:t>45</w:t>
            </w:r>
            <w:r>
              <w:rPr>
                <w:b/>
                <w:i/>
              </w:rPr>
              <w:t>, w tym w odpowiedzi na niedawną decyzję Mety w sprawie mechanizmów weryfikacji faktów</w:t>
            </w:r>
            <w:r>
              <w:t>;</w:t>
            </w:r>
          </w:p>
        </w:tc>
        <w:tc>
          <w:tcPr>
            <w:tcW w:w="4876" w:type="dxa"/>
            <w:tcBorders>
              <w:top w:val="nil"/>
              <w:left w:val="nil"/>
              <w:bottom w:val="nil"/>
              <w:right w:val="nil"/>
            </w:tcBorders>
          </w:tcPr>
          <w:p w:rsidR="007A0039" w:rsidRPr="00EA7539" w:rsidRDefault="007A0039" w:rsidP="008F6778">
            <w:pPr>
              <w:pStyle w:val="Normal6a"/>
            </w:pPr>
            <w:r>
              <w:t>25.</w:t>
            </w:r>
            <w:r>
              <w:tab/>
              <w:t>wyraża zaniepokojenie ingerencjami zagranicznymi w państwach członkowskich;</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_________________</w:t>
            </w:r>
          </w:p>
        </w:tc>
        <w:tc>
          <w:tcPr>
            <w:tcW w:w="4876" w:type="dxa"/>
            <w:tcBorders>
              <w:top w:val="nil"/>
              <w:left w:val="nil"/>
              <w:bottom w:val="nil"/>
              <w:right w:val="nil"/>
            </w:tcBorders>
          </w:tcPr>
          <w:p w:rsidR="007A0039" w:rsidRPr="00EA7539" w:rsidRDefault="007A0039" w:rsidP="008F6778"/>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sidRPr="000C292F">
              <w:rPr>
                <w:b/>
                <w:i/>
                <w:vertAlign w:val="superscript"/>
              </w:rPr>
              <w:t>44</w:t>
            </w:r>
            <w:r>
              <w:rPr>
                <w:b/>
                <w:i/>
              </w:rPr>
              <w:t xml:space="preserve"> Rozporządzenie Parlamentu Europejskiego i Rady (UE) 2022/2065 z dnia 19 października 2022 r. w sprawie jednolitego rynku usług cyfrowych oraz zmiany dyrektywy 2000/31/WE (akt o usługach cyfrowych) (Dz.U. L 277 z 27.10.2022, s. 1, ELI: http://data.europa.eu/eli/reg/2022/2065/oj).</w:t>
            </w:r>
          </w:p>
        </w:tc>
        <w:tc>
          <w:tcPr>
            <w:tcW w:w="4876" w:type="dxa"/>
            <w:tcBorders>
              <w:top w:val="nil"/>
              <w:left w:val="nil"/>
              <w:bottom w:val="nil"/>
              <w:right w:val="nil"/>
            </w:tcBorders>
          </w:tcPr>
          <w:p w:rsidR="007A0039" w:rsidRPr="00EA7539" w:rsidRDefault="007A0039" w:rsidP="008F6778"/>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sidRPr="000C292F">
              <w:rPr>
                <w:b/>
                <w:i/>
                <w:vertAlign w:val="superscript"/>
              </w:rPr>
              <w:t>45</w:t>
            </w:r>
            <w:r>
              <w:rPr>
                <w:b/>
                <w:i/>
              </w:rPr>
              <w:t xml:space="preserve"> Rozporządzenie Parlamentu Europejskiego i Rady (UE) 2022/1925 z dnia 14 września 2022 r. w sprawie kontestowalnych i uczciwych rynków w sektorze cyfrowym oraz zmiany dyrektyw (UE) 2019/1937 i (UE) 2020/1828 (akt o rynkach cyfrowych) (Dz.U. L 265 z 12.10.2022, s. 1, ELI: https://data.europa.eu/eli/reg/2022/1925/oj).</w:t>
            </w:r>
          </w:p>
        </w:tc>
        <w:tc>
          <w:tcPr>
            <w:tcW w:w="4876" w:type="dxa"/>
            <w:tcBorders>
              <w:top w:val="nil"/>
              <w:left w:val="nil"/>
              <w:bottom w:val="nil"/>
              <w:right w:val="nil"/>
            </w:tcBorders>
          </w:tcPr>
          <w:p w:rsidR="007A0039" w:rsidRPr="00EA7539" w:rsidRDefault="007A0039" w:rsidP="008F6778"/>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584</w:t>
      </w:r>
      <w:r>
        <w:rPr>
          <w:rStyle w:val="HideTWBExt"/>
        </w:rPr>
        <w:t>&lt;/NumAm&gt;</w:t>
      </w:r>
    </w:p>
    <w:p w:rsidR="007A0039" w:rsidRPr="00EA7539" w:rsidRDefault="007A0039" w:rsidP="007A0039">
      <w:pPr>
        <w:pStyle w:val="NormalBold"/>
      </w:pPr>
      <w:r>
        <w:rPr>
          <w:rStyle w:val="HideTWBExt"/>
          <w:b w:val="0"/>
        </w:rPr>
        <w:t>&lt;RepeatBlock-By&gt;&lt;Members&gt;</w:t>
      </w:r>
      <w:r>
        <w:t>Isabel Serra Sánchez</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25.</w:t>
            </w:r>
            <w:r>
              <w:tab/>
              <w:t>wyraża zaniepokojenie ingerencjami zagranicznymi w państwach członkowskich, w tym manipulacjami w mediach społecznościowych i dezinformacją; odnotowuje niedopuszczalne inicjatywy Elona Muska polegające na wykorzystywaniu platform mediów społecznościowych do manipulowania opinią publiczną w różnych państwach członkowskich; wzywa Komisję i państwa członkowskie do monitorowania tej sytuacji oraz do stosowania aktu o usługach cyfrowych</w:t>
            </w:r>
            <w:r>
              <w:rPr>
                <w:vertAlign w:val="superscript"/>
              </w:rPr>
              <w:t>44</w:t>
            </w:r>
            <w:r>
              <w:t xml:space="preserve"> i aktu o rynkach cyfrowych</w:t>
            </w:r>
            <w:r>
              <w:rPr>
                <w:vertAlign w:val="superscript"/>
              </w:rPr>
              <w:t>45</w:t>
            </w:r>
            <w:r>
              <w:t>, w tym w odpowiedzi na niedawną decyzję Mety w sprawie mechanizmów weryfikacji faktów;</w:t>
            </w:r>
          </w:p>
        </w:tc>
        <w:tc>
          <w:tcPr>
            <w:tcW w:w="4876" w:type="dxa"/>
            <w:tcBorders>
              <w:top w:val="nil"/>
              <w:left w:val="nil"/>
              <w:bottom w:val="nil"/>
              <w:right w:val="nil"/>
            </w:tcBorders>
          </w:tcPr>
          <w:p w:rsidR="007A0039" w:rsidRPr="00EA7539" w:rsidRDefault="007A0039" w:rsidP="008F6778">
            <w:pPr>
              <w:pStyle w:val="Normal6a"/>
            </w:pPr>
            <w:r>
              <w:t>25.</w:t>
            </w:r>
            <w:r>
              <w:tab/>
              <w:t xml:space="preserve">wyraża zaniepokojenie ingerencjami zagranicznymi w państwach członkowskich, w tym manipulacjami w mediach społecznościowych i dezinformacją; odnotowuje niedopuszczalne inicjatywy Elona Muska polegające na wykorzystywaniu platform mediów społecznościowych do manipulowania opinią publiczną w różnych państwach członkowskich; </w:t>
            </w:r>
            <w:r>
              <w:rPr>
                <w:b/>
                <w:i/>
              </w:rPr>
              <w:t>potępia fakt, że skrajnie prawicowe siły, zarówno w Unii, jak i poza nią, wspierają obce wpływy, pomagając w rozpowszechnianiu dezinformacji i promując skrajnie prawicowe idee, a także fakt, że potwierdzono, iż amerykańskie fundacje ultrakonserwatywne zapewniają finansowanie i inne formy wsparcia skrajnie prawicowym siłom w całej Europie;</w:t>
            </w:r>
            <w:r>
              <w:t xml:space="preserve"> wzywa Komisję i państwa członkowskie do monitorowania tej sytuacji oraz do stosowania aktu o usługach cyfrowych</w:t>
            </w:r>
            <w:r>
              <w:rPr>
                <w:vertAlign w:val="superscript"/>
              </w:rPr>
              <w:t>44</w:t>
            </w:r>
            <w:r>
              <w:t xml:space="preserve"> i aktu o rynkach cyfrowych</w:t>
            </w:r>
            <w:r>
              <w:rPr>
                <w:vertAlign w:val="superscript"/>
              </w:rPr>
              <w:t>45</w:t>
            </w:r>
            <w:r>
              <w:t>, w tym w odpowiedzi na niedawną decyzję Mety w sprawie mechanizmów weryfikacji faktów;</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_________________</w:t>
            </w:r>
          </w:p>
        </w:tc>
        <w:tc>
          <w:tcPr>
            <w:tcW w:w="4876" w:type="dxa"/>
            <w:tcBorders>
              <w:top w:val="nil"/>
              <w:left w:val="nil"/>
              <w:bottom w:val="nil"/>
              <w:right w:val="nil"/>
            </w:tcBorders>
          </w:tcPr>
          <w:p w:rsidR="007A0039" w:rsidRPr="00EA7539" w:rsidRDefault="007A0039" w:rsidP="008F6778">
            <w:pPr>
              <w:pStyle w:val="Normal6a"/>
            </w:pPr>
            <w:r>
              <w:rPr>
                <w:b/>
                <w:i/>
              </w:rPr>
              <w:t>_________________</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vertAlign w:val="superscript"/>
              </w:rPr>
              <w:t xml:space="preserve">44 </w:t>
            </w:r>
            <w:r>
              <w:t>Rozporządzenie Parlamentu Europejskiego i Rady (UE) 2022/2065 z dnia 19 października 2022 r. w sprawie jednolitego rynku usług cyfrowych oraz zmiany dyrektywy 2000/31/WE (akt o usługach cyfrowych) (Dz.U. L 277 z 27.10.2022, s. 1, ELI: http://data.europa.eu/eli/reg/2022/2065/oj).</w:t>
            </w:r>
          </w:p>
        </w:tc>
        <w:tc>
          <w:tcPr>
            <w:tcW w:w="4876" w:type="dxa"/>
            <w:tcBorders>
              <w:top w:val="nil"/>
              <w:left w:val="nil"/>
              <w:bottom w:val="nil"/>
              <w:right w:val="nil"/>
            </w:tcBorders>
          </w:tcPr>
          <w:p w:rsidR="007A0039" w:rsidRPr="00EA7539" w:rsidRDefault="007A0039" w:rsidP="008F6778">
            <w:pPr>
              <w:pStyle w:val="Normal6a"/>
            </w:pPr>
            <w:r>
              <w:rPr>
                <w:vertAlign w:val="superscript"/>
              </w:rPr>
              <w:t xml:space="preserve">44 </w:t>
            </w:r>
            <w:r>
              <w:t>Rozporządzenie Parlamentu Europejskiego i Rady (UE) 2022/2065 z dnia 19 października 2022 r. w sprawie jednolitego rynku usług cyfrowych oraz zmiany dyrektywy 2000/31/WE (akt o usługach cyfrowych) (Dz.U. L 277 z 27.10.2022, s. 1, ELI: http://data.europa.eu/eli/reg/2022/2065/oj).</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vertAlign w:val="superscript"/>
              </w:rPr>
              <w:t>45</w:t>
            </w:r>
            <w:r>
              <w:t xml:space="preserve"> Rozporządzenie Parlamentu Europejskiego i Rady (UE) 2022/1925 z dnia 14 września 2022 r. w sprawie kontestowalnych i uczciwych rynków w sektorze cyfrowym oraz zmiany dyrektyw (UE) 2019/1937 i (UE) 2020/1828 (akt o rynkach cyfrowych) (Dz.U. L 265 z 12.10.2022, s. 1, ELI: https://data.europa.eu/eli/reg/2022/1925/oj).</w:t>
            </w:r>
          </w:p>
        </w:tc>
        <w:tc>
          <w:tcPr>
            <w:tcW w:w="4876" w:type="dxa"/>
            <w:tcBorders>
              <w:top w:val="nil"/>
              <w:left w:val="nil"/>
              <w:bottom w:val="nil"/>
              <w:right w:val="nil"/>
            </w:tcBorders>
          </w:tcPr>
          <w:p w:rsidR="007A0039" w:rsidRPr="00EA7539" w:rsidRDefault="007A0039" w:rsidP="008F6778">
            <w:pPr>
              <w:pStyle w:val="Normal6a"/>
            </w:pPr>
            <w:r>
              <w:rPr>
                <w:vertAlign w:val="superscript"/>
              </w:rPr>
              <w:t>45</w:t>
            </w:r>
            <w:r>
              <w:t xml:space="preserve"> Rozporządzenie Parlamentu Europejskiego i Rady (UE) 2022/1925 z dnia 14 września 2022 r. w sprawie kontestowalnych i uczciwych rynków w sektorze cyfrowym oraz zmiany dyrektyw (UE) 2019/1937 i (UE) 2020/1828 (akt o rynkach cyfrowych) (Dz.U. L 265 z 12.10.2022, s. 1, ELI: https://data.europa.eu/eli/reg/2022/1925/oj).</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585</w:t>
      </w:r>
      <w:r>
        <w:rPr>
          <w:rStyle w:val="HideTWBExt"/>
        </w:rPr>
        <w:t>&lt;/NumAm&gt;</w:t>
      </w:r>
    </w:p>
    <w:p w:rsidR="007A0039" w:rsidRPr="00EA7539" w:rsidRDefault="007A0039" w:rsidP="007A0039">
      <w:pPr>
        <w:pStyle w:val="NormalBold"/>
      </w:pPr>
      <w:r>
        <w:rPr>
          <w:rStyle w:val="HideTWBExt"/>
          <w:b w:val="0"/>
        </w:rPr>
        <w:t>&lt;RepeatBlock-By&gt;&lt;Members&gt;</w:t>
      </w:r>
      <w:r>
        <w:t>Erik Kaliňák</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25.</w:t>
            </w:r>
            <w:r>
              <w:tab/>
              <w:t>wyraża zaniepokojenie ingerencjami zagranicznymi w państwach członkowskich</w:t>
            </w:r>
            <w:r>
              <w:rPr>
                <w:b/>
                <w:i/>
              </w:rPr>
              <w:t>, w tym manipulacjami w mediach społecznościowych i dezinformacją</w:t>
            </w:r>
            <w:r>
              <w:t xml:space="preserve">; odnotowuje niedopuszczalne inicjatywy </w:t>
            </w:r>
            <w:r>
              <w:rPr>
                <w:b/>
                <w:i/>
              </w:rPr>
              <w:t>Elona Muska polegające</w:t>
            </w:r>
            <w:r>
              <w:t xml:space="preserve"> na </w:t>
            </w:r>
            <w:r>
              <w:rPr>
                <w:b/>
                <w:i/>
              </w:rPr>
              <w:t>wykorzystywaniu platform mediów społecznościowych do manipulowania</w:t>
            </w:r>
            <w:r>
              <w:t xml:space="preserve"> opinią publiczną w różnych państwach członkowskich; wzywa Komisję i państwa członkowskie do monitorowania tej sytuacji </w:t>
            </w:r>
            <w:r>
              <w:rPr>
                <w:b/>
                <w:i/>
              </w:rPr>
              <w:t>oraz do stosowania aktu o usługach cyfrowych</w:t>
            </w:r>
            <w:r>
              <w:rPr>
                <w:b/>
                <w:i/>
                <w:vertAlign w:val="superscript"/>
              </w:rPr>
              <w:t>44</w:t>
            </w:r>
            <w:r>
              <w:rPr>
                <w:b/>
                <w:i/>
              </w:rPr>
              <w:t xml:space="preserve"> </w:t>
            </w:r>
            <w:r>
              <w:t xml:space="preserve">i </w:t>
            </w:r>
            <w:r>
              <w:rPr>
                <w:b/>
                <w:i/>
              </w:rPr>
              <w:t>aktu o rynkach cyfrowych</w:t>
            </w:r>
            <w:r>
              <w:rPr>
                <w:b/>
                <w:i/>
                <w:vertAlign w:val="superscript"/>
              </w:rPr>
              <w:t>45</w:t>
            </w:r>
            <w:r>
              <w:rPr>
                <w:b/>
                <w:i/>
              </w:rPr>
              <w:t>, w tym w odpowiedzi na niedawną decyzję Mety w sprawie mechanizmów weryfikacji faktów</w:t>
            </w:r>
            <w:r>
              <w:t>;</w:t>
            </w:r>
          </w:p>
        </w:tc>
        <w:tc>
          <w:tcPr>
            <w:tcW w:w="4876" w:type="dxa"/>
            <w:tcBorders>
              <w:top w:val="nil"/>
              <w:left w:val="nil"/>
              <w:bottom w:val="nil"/>
              <w:right w:val="nil"/>
            </w:tcBorders>
          </w:tcPr>
          <w:p w:rsidR="007A0039" w:rsidRPr="00EA7539" w:rsidRDefault="007A0039" w:rsidP="008F6778">
            <w:pPr>
              <w:pStyle w:val="Normal6a"/>
            </w:pPr>
            <w:r>
              <w:t>25.</w:t>
            </w:r>
            <w:r>
              <w:tab/>
              <w:t xml:space="preserve">wyraża zaniepokojenie ingerencjami zagranicznymi w państwach członkowskich; odnotowuje niedopuszczalne inicjatywy </w:t>
            </w:r>
            <w:r>
              <w:rPr>
                <w:b/>
                <w:i/>
              </w:rPr>
              <w:t>Georga Sorosa mające</w:t>
            </w:r>
            <w:r>
              <w:t xml:space="preserve"> na </w:t>
            </w:r>
            <w:r>
              <w:rPr>
                <w:b/>
                <w:i/>
              </w:rPr>
              <w:t>celu manipulowanie</w:t>
            </w:r>
            <w:r>
              <w:t xml:space="preserve"> opinią publiczną w różnych państwach członkowskich; wzywa Komisję i państwa członkowskie do monitorowania tej sytuacji i </w:t>
            </w:r>
            <w:r>
              <w:rPr>
                <w:b/>
                <w:i/>
              </w:rPr>
              <w:t>przyjęcia odpowiednich środków</w:t>
            </w:r>
            <w:r>
              <w:t>;</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_________________</w:t>
            </w:r>
          </w:p>
        </w:tc>
        <w:tc>
          <w:tcPr>
            <w:tcW w:w="4876" w:type="dxa"/>
            <w:tcBorders>
              <w:top w:val="nil"/>
              <w:left w:val="nil"/>
              <w:bottom w:val="nil"/>
              <w:right w:val="nil"/>
            </w:tcBorders>
          </w:tcPr>
          <w:p w:rsidR="007A0039" w:rsidRPr="00EA7539" w:rsidRDefault="007A0039" w:rsidP="008F6778"/>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sidRPr="000C292F">
              <w:rPr>
                <w:b/>
                <w:i/>
                <w:vertAlign w:val="superscript"/>
              </w:rPr>
              <w:t>44</w:t>
            </w:r>
            <w:r>
              <w:rPr>
                <w:b/>
                <w:i/>
              </w:rPr>
              <w:t xml:space="preserve"> Rozporządzenie Parlamentu Europejskiego i Rady (UE) 2022/2065 z dnia 19 października 2022 r. w sprawie jednolitego rynku usług cyfrowych oraz zmiany dyrektywy 2000/31/WE (akt o usługach cyfrowych) (Dz.U. L 277 z 27.10.2022, s. 1, ELI: http://data.europa.eu/eli/reg/2022/2065/oj).</w:t>
            </w:r>
          </w:p>
        </w:tc>
        <w:tc>
          <w:tcPr>
            <w:tcW w:w="4876" w:type="dxa"/>
            <w:tcBorders>
              <w:top w:val="nil"/>
              <w:left w:val="nil"/>
              <w:bottom w:val="nil"/>
              <w:right w:val="nil"/>
            </w:tcBorders>
          </w:tcPr>
          <w:p w:rsidR="007A0039" w:rsidRPr="00EA7539" w:rsidRDefault="007A0039" w:rsidP="008F6778"/>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sidRPr="000C292F">
              <w:rPr>
                <w:b/>
                <w:i/>
                <w:vertAlign w:val="superscript"/>
              </w:rPr>
              <w:t>45</w:t>
            </w:r>
            <w:r>
              <w:rPr>
                <w:b/>
                <w:i/>
              </w:rPr>
              <w:t xml:space="preserve"> Rozporządzenie Parlamentu Europejskiego i Rady (UE) 2022/1925 z dnia 14 września 2022 r. w sprawie kontestowalnych i uczciwych rynków w sektorze cyfrowym oraz zmiany dyrektyw (UE) 2019/1937 i (UE) 2020/1828 (akt o rynkach cyfrowych) (Dz.U. L 265 z 12.10.2022, s. 1, ELI: https://data.europa.eu/eli/reg/2022/1925/oj).</w:t>
            </w:r>
          </w:p>
        </w:tc>
        <w:tc>
          <w:tcPr>
            <w:tcW w:w="4876" w:type="dxa"/>
            <w:tcBorders>
              <w:top w:val="nil"/>
              <w:left w:val="nil"/>
              <w:bottom w:val="nil"/>
              <w:right w:val="nil"/>
            </w:tcBorders>
          </w:tcPr>
          <w:p w:rsidR="007A0039" w:rsidRPr="00EA7539" w:rsidRDefault="007A0039" w:rsidP="008F6778"/>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{SK}</w:t>
      </w:r>
      <w:r w:rsidRPr="00EA7539">
        <w:t>sk</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586</w:t>
      </w:r>
      <w:r>
        <w:rPr>
          <w:rStyle w:val="HideTWBExt"/>
        </w:rPr>
        <w:t>&lt;/NumAm&gt;</w:t>
      </w:r>
    </w:p>
    <w:p w:rsidR="007A0039" w:rsidRPr="00EA7539" w:rsidRDefault="007A0039" w:rsidP="007A0039">
      <w:pPr>
        <w:pStyle w:val="NormalBold"/>
      </w:pPr>
      <w:r>
        <w:rPr>
          <w:rStyle w:val="HideTWBExt"/>
          <w:b w:val="0"/>
        </w:rPr>
        <w:t>&lt;RepeatBlock-By&gt;&lt;Members&gt;</w:t>
      </w:r>
      <w:r>
        <w:t>Romana Tomc</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25.</w:t>
            </w:r>
            <w:r>
              <w:tab/>
              <w:t xml:space="preserve">wyraża zaniepokojenie ingerencjami zagranicznymi w państwach członkowskich, w tym manipulacjami w mediach społecznościowych i dezinformacją; </w:t>
            </w:r>
            <w:r>
              <w:rPr>
                <w:b/>
                <w:i/>
              </w:rPr>
              <w:t>odnotowuje niedopuszczalne inicjatywy Elona Muska polegające na wykorzystywaniu platform mediów społecznościowych do manipulowania opinią publiczną w różnych państwach członkowskich;</w:t>
            </w:r>
            <w:r>
              <w:t xml:space="preserve"> wzywa Komisję i państwa członkowskie do monitorowania</w:t>
            </w:r>
            <w:r>
              <w:rPr>
                <w:b/>
                <w:i/>
              </w:rPr>
              <w:t xml:space="preserve"> tej</w:t>
            </w:r>
            <w:r>
              <w:t xml:space="preserve"> sytuacji oraz do stosowania aktu o usługach cyfrowych</w:t>
            </w:r>
            <w:r>
              <w:rPr>
                <w:vertAlign w:val="superscript"/>
              </w:rPr>
              <w:t>44</w:t>
            </w:r>
            <w:r>
              <w:t xml:space="preserve"> i aktu o rynkach cyfrowych</w:t>
            </w:r>
            <w:r>
              <w:rPr>
                <w:vertAlign w:val="superscript"/>
              </w:rPr>
              <w:t>45</w:t>
            </w:r>
            <w:r>
              <w:rPr>
                <w:b/>
                <w:i/>
              </w:rPr>
              <w:t>, w tym w odpowiedzi na niedawną decyzję Mety w sprawie mechanizmów weryfikacji faktów</w:t>
            </w:r>
            <w:r>
              <w:t>;</w:t>
            </w:r>
          </w:p>
        </w:tc>
        <w:tc>
          <w:tcPr>
            <w:tcW w:w="4876" w:type="dxa"/>
            <w:tcBorders>
              <w:top w:val="nil"/>
              <w:left w:val="nil"/>
              <w:bottom w:val="nil"/>
              <w:right w:val="nil"/>
            </w:tcBorders>
          </w:tcPr>
          <w:p w:rsidR="007A0039" w:rsidRPr="00EA7539" w:rsidRDefault="007A0039" w:rsidP="008F6778">
            <w:pPr>
              <w:pStyle w:val="Normal6a"/>
            </w:pPr>
            <w:r>
              <w:t>25.</w:t>
            </w:r>
            <w:r>
              <w:tab/>
              <w:t>wyraża zaniepokojenie ingerencjami zagranicznymi w państwach członkowskich, w tym manipulacjami w mediach społecznościowych i dezinformacją; wzywa Komisję i państwa członkowskie do monitorowania sytuacji oraz do stosowania aktu o usługach cyfrowych</w:t>
            </w:r>
            <w:r>
              <w:rPr>
                <w:vertAlign w:val="superscript"/>
              </w:rPr>
              <w:t>44</w:t>
            </w:r>
            <w:r>
              <w:t xml:space="preserve"> i aktu o rynkach cyfrowych</w:t>
            </w:r>
            <w:r>
              <w:rPr>
                <w:vertAlign w:val="superscript"/>
              </w:rPr>
              <w:t>45</w:t>
            </w:r>
            <w:r>
              <w:t>;</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_________________</w:t>
            </w:r>
          </w:p>
        </w:tc>
        <w:tc>
          <w:tcPr>
            <w:tcW w:w="4876" w:type="dxa"/>
            <w:tcBorders>
              <w:top w:val="nil"/>
              <w:left w:val="nil"/>
              <w:bottom w:val="nil"/>
              <w:right w:val="nil"/>
            </w:tcBorders>
          </w:tcPr>
          <w:p w:rsidR="007A0039" w:rsidRPr="00EA7539" w:rsidRDefault="007A0039" w:rsidP="008F6778">
            <w:pPr>
              <w:pStyle w:val="Normal6a"/>
            </w:pPr>
            <w:r>
              <w:rPr>
                <w:b/>
                <w:i/>
              </w:rPr>
              <w:t>_________________</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vertAlign w:val="superscript"/>
              </w:rPr>
              <w:t xml:space="preserve">44 </w:t>
            </w:r>
            <w:r>
              <w:t>Rozporządzenie Parlamentu Europejskiego i Rady (UE) 2022/2065 z dnia 19 października 2022 r. w sprawie jednolitego rynku usług cyfrowych oraz zmiany dyrektywy 2000/31/WE (akt o usługach cyfrowych) (Dz.U. L 277 z 27.10.2022, s. 1, ELI: http://data.europa.eu/eli/reg/2022/2065/oj).</w:t>
            </w:r>
          </w:p>
        </w:tc>
        <w:tc>
          <w:tcPr>
            <w:tcW w:w="4876" w:type="dxa"/>
            <w:tcBorders>
              <w:top w:val="nil"/>
              <w:left w:val="nil"/>
              <w:bottom w:val="nil"/>
              <w:right w:val="nil"/>
            </w:tcBorders>
          </w:tcPr>
          <w:p w:rsidR="007A0039" w:rsidRPr="00EA7539" w:rsidRDefault="007A0039" w:rsidP="008F6778">
            <w:pPr>
              <w:pStyle w:val="Normal6a"/>
            </w:pPr>
            <w:r>
              <w:rPr>
                <w:vertAlign w:val="superscript"/>
              </w:rPr>
              <w:t xml:space="preserve">44 </w:t>
            </w:r>
            <w:r>
              <w:t>Rozporządzenie Parlamentu Europejskiego i Rady (UE) 2022/2065 z dnia 19 października 2022 r. w sprawie jednolitego rynku usług cyfrowych oraz zmiany dyrektywy 2000/31/WE (akt o usługach cyfrowych) (Dz.U. L 277 z 27.10.2022, s. 1, ELI: http://data.europa.eu/eli/reg/2022/2065/oj).</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vertAlign w:val="superscript"/>
              </w:rPr>
              <w:t>45</w:t>
            </w:r>
            <w:r>
              <w:t xml:space="preserve"> Rozporządzenie Parlamentu Europejskiego i Rady (UE) 2022/1925 z dnia 14 września 2022 r. w sprawie kontestowalnych i uczciwych rynków w sektorze cyfrowym oraz zmiany dyrektyw (UE) 2019/1937 i (UE) 2020/1828 (akt o rynkach cyfrowych) (Dz.U. L 265 z 12.10.2022, s. 1, ELI: https://data.europa.eu/eli/reg/2022/1925/oj).</w:t>
            </w:r>
          </w:p>
        </w:tc>
        <w:tc>
          <w:tcPr>
            <w:tcW w:w="4876" w:type="dxa"/>
            <w:tcBorders>
              <w:top w:val="nil"/>
              <w:left w:val="nil"/>
              <w:bottom w:val="nil"/>
              <w:right w:val="nil"/>
            </w:tcBorders>
          </w:tcPr>
          <w:p w:rsidR="007A0039" w:rsidRPr="00EA7539" w:rsidRDefault="007A0039" w:rsidP="008F6778">
            <w:pPr>
              <w:pStyle w:val="Normal6a"/>
            </w:pPr>
            <w:r>
              <w:rPr>
                <w:vertAlign w:val="superscript"/>
              </w:rPr>
              <w:t>45</w:t>
            </w:r>
            <w:r>
              <w:t xml:space="preserve"> Rozporządzenie Parlamentu Europejskiego i Rady (UE) 2022/1925 z dnia 14 września 2022 r. w sprawie kontestowalnych i uczciwych rynków w sektorze cyfrowym oraz zmiany dyrektyw (UE) 2019/1937 i (UE) 2020/1828 (akt o rynkach cyfrowych) (Dz.U. L 265 z 12.10.2022, s. 1, ELI: https://data.europa.eu/eli/reg/2022/1925/oj).</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587</w:t>
      </w:r>
      <w:r>
        <w:rPr>
          <w:rStyle w:val="HideTWBExt"/>
        </w:rPr>
        <w:t>&lt;/NumAm&gt;</w:t>
      </w:r>
    </w:p>
    <w:p w:rsidR="007A0039" w:rsidRPr="00EA7539" w:rsidRDefault="007A0039" w:rsidP="007A0039">
      <w:pPr>
        <w:pStyle w:val="NormalBold"/>
      </w:pPr>
      <w:r>
        <w:rPr>
          <w:rStyle w:val="HideTWBExt"/>
          <w:b w:val="0"/>
        </w:rPr>
        <w:t>&lt;RepeatBlock-By&gt;&lt;Members&gt;</w:t>
      </w:r>
      <w:r>
        <w:t>Moritz Körner, Malik Azmani, Dainius Žalimas, Raquel García Hermida-Van Der Walle</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25.</w:t>
            </w:r>
            <w:r>
              <w:tab/>
              <w:t>wyraża zaniepokojenie ingerencjami zagranicznymi w państwach członkowskich, w tym manipulacjami w mediach społecznościowych i dezinformacją;</w:t>
            </w:r>
            <w:r>
              <w:rPr>
                <w:b/>
                <w:i/>
              </w:rPr>
              <w:t xml:space="preserve"> odnotowuje niedopuszczalne inicjatywy Elona Muska polegające na wykorzystywaniu platform mediów społecznościowych do manipulowania opinią publiczną w różnych państwach członkowskich;</w:t>
            </w:r>
            <w:r>
              <w:t xml:space="preserve"> wzywa Komisję i państwa członkowskie do monitorowania tej sytuacji oraz do stosowania aktu o usługach cyfrowych</w:t>
            </w:r>
            <w:r>
              <w:rPr>
                <w:vertAlign w:val="superscript"/>
              </w:rPr>
              <w:t>44</w:t>
            </w:r>
            <w:r>
              <w:t xml:space="preserve"> i aktu o rynkach cyfrowych</w:t>
            </w:r>
            <w:r>
              <w:rPr>
                <w:vertAlign w:val="superscript"/>
              </w:rPr>
              <w:t>45</w:t>
            </w:r>
            <w:r>
              <w:rPr>
                <w:b/>
                <w:i/>
              </w:rPr>
              <w:t>, w tym w odpowiedzi na niedawną decyzję Mety w sprawie mechanizmów weryfikacji faktów</w:t>
            </w:r>
            <w:r>
              <w:t>;</w:t>
            </w:r>
          </w:p>
        </w:tc>
        <w:tc>
          <w:tcPr>
            <w:tcW w:w="4876" w:type="dxa"/>
            <w:tcBorders>
              <w:top w:val="nil"/>
              <w:left w:val="nil"/>
              <w:bottom w:val="nil"/>
              <w:right w:val="nil"/>
            </w:tcBorders>
          </w:tcPr>
          <w:p w:rsidR="007A0039" w:rsidRPr="00EA7539" w:rsidRDefault="007A0039" w:rsidP="008F6778">
            <w:pPr>
              <w:pStyle w:val="Normal6a"/>
            </w:pPr>
            <w:r>
              <w:t>25.</w:t>
            </w:r>
            <w:r>
              <w:tab/>
              <w:t>wyraża zaniepokojenie ingerencjami zagranicznymi w państwach członkowskich, w tym manipulacjami w mediach społecznościowych i dezinformacją; wzywa Komisję i państwa członkowskie do monitorowania tej sytuacji oraz do stosowania aktu o usługach cyfrowych</w:t>
            </w:r>
            <w:r>
              <w:rPr>
                <w:vertAlign w:val="superscript"/>
              </w:rPr>
              <w:t>44</w:t>
            </w:r>
            <w:r>
              <w:t xml:space="preserve"> i aktu o rynkach cyfrowych</w:t>
            </w:r>
            <w:r>
              <w:rPr>
                <w:vertAlign w:val="superscript"/>
              </w:rPr>
              <w:t>45</w:t>
            </w:r>
            <w:r>
              <w:t>;</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_________________</w:t>
            </w:r>
          </w:p>
        </w:tc>
        <w:tc>
          <w:tcPr>
            <w:tcW w:w="4876" w:type="dxa"/>
            <w:tcBorders>
              <w:top w:val="nil"/>
              <w:left w:val="nil"/>
              <w:bottom w:val="nil"/>
              <w:right w:val="nil"/>
            </w:tcBorders>
          </w:tcPr>
          <w:p w:rsidR="007A0039" w:rsidRPr="00EA7539" w:rsidRDefault="007A0039" w:rsidP="008F6778">
            <w:pPr>
              <w:pStyle w:val="Normal6a"/>
            </w:pPr>
            <w:r>
              <w:rPr>
                <w:b/>
                <w:i/>
              </w:rPr>
              <w:t>_________________</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vertAlign w:val="superscript"/>
              </w:rPr>
              <w:t xml:space="preserve">44 </w:t>
            </w:r>
            <w:r>
              <w:t>Rozporządzenie Parlamentu Europejskiego i Rady (UE) 2022/2065 z dnia 19 października 2022 r. w sprawie jednolitego rynku usług cyfrowych oraz zmiany dyrektywy 2000/31/WE (akt o usługach cyfrowych) (Dz.U. L 277 z 27.10.2022, s. 1, ELI: http://data.europa.eu/eli/reg/2022/2065/oj).</w:t>
            </w:r>
          </w:p>
        </w:tc>
        <w:tc>
          <w:tcPr>
            <w:tcW w:w="4876" w:type="dxa"/>
            <w:tcBorders>
              <w:top w:val="nil"/>
              <w:left w:val="nil"/>
              <w:bottom w:val="nil"/>
              <w:right w:val="nil"/>
            </w:tcBorders>
          </w:tcPr>
          <w:p w:rsidR="007A0039" w:rsidRPr="00EA7539" w:rsidRDefault="007A0039" w:rsidP="008F6778">
            <w:pPr>
              <w:pStyle w:val="Normal6a"/>
            </w:pPr>
            <w:r>
              <w:rPr>
                <w:vertAlign w:val="superscript"/>
              </w:rPr>
              <w:t xml:space="preserve">44 </w:t>
            </w:r>
            <w:r>
              <w:t>Rozporządzenie Parlamentu Europejskiego i Rady (UE) 2022/2065 z dnia 19 października 2022 r. w sprawie jednolitego rynku usług cyfrowych oraz zmiany dyrektywy 2000/31/WE (akt o usługach cyfrowych) (Dz.U. L 277 z 27.10.2022, s. 1, ELI: http://data.europa.eu/eli/reg/2022/2065/oj).</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vertAlign w:val="superscript"/>
              </w:rPr>
              <w:t>45</w:t>
            </w:r>
            <w:r>
              <w:t xml:space="preserve"> Rozporządzenie Parlamentu Europejskiego i Rady (UE) 2022/1925 z dnia 14 września 2022 r. w sprawie kontestowalnych i uczciwych rynków w sektorze cyfrowym oraz zmiany dyrektyw (UE) 2019/1937 i (UE) 2020/1828 (akt o rynkach cyfrowych) (Dz.U. L 265 z 12.10.2022, s. 1, ELI: https://data.europa.eu/eli/reg/2022/1925/oj).</w:t>
            </w:r>
          </w:p>
        </w:tc>
        <w:tc>
          <w:tcPr>
            <w:tcW w:w="4876" w:type="dxa"/>
            <w:tcBorders>
              <w:top w:val="nil"/>
              <w:left w:val="nil"/>
              <w:bottom w:val="nil"/>
              <w:right w:val="nil"/>
            </w:tcBorders>
          </w:tcPr>
          <w:p w:rsidR="007A0039" w:rsidRPr="00EA7539" w:rsidRDefault="007A0039" w:rsidP="008F6778">
            <w:pPr>
              <w:pStyle w:val="Normal6a"/>
            </w:pPr>
            <w:r>
              <w:rPr>
                <w:vertAlign w:val="superscript"/>
              </w:rPr>
              <w:t>45</w:t>
            </w:r>
            <w:r>
              <w:t xml:space="preserve"> Rozporządzenie Parlamentu Europejskiego i Rady (UE) 2022/1925 z dnia 14 września 2022 r. w sprawie kontestowalnych i uczciwych rynków w sektorze cyfrowym oraz zmiany dyrektyw (UE) 2019/1937 i (UE) 2020/1828 (akt o rynkach cyfrowych) (Dz.U. L 265 z 12.10.2022, s. 1, ELI: https://data.europa.eu/eli/reg/2022/1925/oj).</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588</w:t>
      </w:r>
      <w:r>
        <w:rPr>
          <w:rStyle w:val="HideTWBExt"/>
        </w:rPr>
        <w:t>&lt;/NumAm&gt;</w:t>
      </w:r>
    </w:p>
    <w:p w:rsidR="007A0039" w:rsidRPr="00EA7539" w:rsidRDefault="007A0039" w:rsidP="007A0039">
      <w:pPr>
        <w:pStyle w:val="NormalBold"/>
      </w:pPr>
      <w:r>
        <w:rPr>
          <w:rStyle w:val="HideTWBExt"/>
          <w:b w:val="0"/>
        </w:rPr>
        <w:t>&lt;RepeatBlock-By&gt;&lt;Members&gt;</w:t>
      </w:r>
      <w:r>
        <w:t>Javier Zarzalejos</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25.</w:t>
            </w:r>
            <w:r>
              <w:tab/>
              <w:t>wyraża zaniepokojenie ingerencjami zagranicznymi</w:t>
            </w:r>
            <w:r>
              <w:rPr>
                <w:b/>
                <w:i/>
              </w:rPr>
              <w:t xml:space="preserve"> w państwach członkowskich</w:t>
            </w:r>
            <w:r>
              <w:t>, w tym manipulacjami w mediach społecznościowych i dezinformacją;</w:t>
            </w:r>
            <w:r>
              <w:rPr>
                <w:b/>
                <w:i/>
              </w:rPr>
              <w:t xml:space="preserve"> odnotowuje niedopuszczalne inicjatywy Elona Muska polegające na wykorzystywaniu platform mediów społecznościowych do manipulowania opinią publiczną w różnych państwach członkowskich;</w:t>
            </w:r>
            <w:r>
              <w:t xml:space="preserve"> wzywa Komisję i państwa członkowskie do monitorowania tej sytuacji oraz do stosowania aktu o usługach cyfrowych</w:t>
            </w:r>
            <w:r>
              <w:rPr>
                <w:vertAlign w:val="superscript"/>
              </w:rPr>
              <w:t>44</w:t>
            </w:r>
            <w:r>
              <w:t xml:space="preserve"> i aktu o rynkach cyfrowych</w:t>
            </w:r>
            <w:r>
              <w:rPr>
                <w:vertAlign w:val="superscript"/>
              </w:rPr>
              <w:t>45</w:t>
            </w:r>
            <w:r>
              <w:t xml:space="preserve">, w tym </w:t>
            </w:r>
            <w:r>
              <w:rPr>
                <w:b/>
                <w:i/>
              </w:rPr>
              <w:t>w odpowiedzi na niedawną decyzję Mety w sprawie mechanizmów weryfikacji faktów</w:t>
            </w:r>
            <w:r>
              <w:t>;</w:t>
            </w:r>
          </w:p>
        </w:tc>
        <w:tc>
          <w:tcPr>
            <w:tcW w:w="4876" w:type="dxa"/>
            <w:tcBorders>
              <w:top w:val="nil"/>
              <w:left w:val="nil"/>
              <w:bottom w:val="nil"/>
              <w:right w:val="nil"/>
            </w:tcBorders>
          </w:tcPr>
          <w:p w:rsidR="007A0039" w:rsidRPr="00EA7539" w:rsidRDefault="007A0039" w:rsidP="008F6778">
            <w:pPr>
              <w:pStyle w:val="Normal6a"/>
            </w:pPr>
            <w:r>
              <w:t>25.</w:t>
            </w:r>
            <w:r>
              <w:tab/>
              <w:t>wyraża zaniepokojenie ingerencjami zagranicznymi, w tym manipulacjami w mediach społecznościowych i dezinformacją; wzywa Komisję i państwa członkowskie do monitorowania tej sytuacji oraz do stosowania aktu o usługach cyfrowych</w:t>
            </w:r>
            <w:r>
              <w:rPr>
                <w:vertAlign w:val="superscript"/>
              </w:rPr>
              <w:t>44</w:t>
            </w:r>
            <w:r>
              <w:t xml:space="preserve"> i aktu o rynkach cyfrowych</w:t>
            </w:r>
            <w:r>
              <w:rPr>
                <w:vertAlign w:val="superscript"/>
              </w:rPr>
              <w:t>45</w:t>
            </w:r>
            <w:r>
              <w:t xml:space="preserve">, w tym </w:t>
            </w:r>
            <w:r>
              <w:rPr>
                <w:b/>
                <w:i/>
              </w:rPr>
              <w:t>odpowiednich przepisów i obowiązków dotyczących moderowania treści</w:t>
            </w:r>
            <w:r>
              <w:t>;</w:t>
            </w:r>
            <w:r>
              <w:rPr>
                <w:b/>
                <w:i/>
              </w:rPr>
              <w:t> </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_________________</w:t>
            </w:r>
          </w:p>
        </w:tc>
        <w:tc>
          <w:tcPr>
            <w:tcW w:w="4876" w:type="dxa"/>
            <w:tcBorders>
              <w:top w:val="nil"/>
              <w:left w:val="nil"/>
              <w:bottom w:val="nil"/>
              <w:right w:val="nil"/>
            </w:tcBorders>
          </w:tcPr>
          <w:p w:rsidR="007A0039" w:rsidRPr="00EA7539" w:rsidRDefault="007A0039" w:rsidP="008F6778">
            <w:pPr>
              <w:pStyle w:val="Normal6a"/>
            </w:pPr>
            <w:r>
              <w:rPr>
                <w:b/>
                <w:i/>
              </w:rPr>
              <w:t>_________________</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vertAlign w:val="superscript"/>
              </w:rPr>
              <w:t xml:space="preserve">44 </w:t>
            </w:r>
            <w:r>
              <w:t>Rozporządzenie Parlamentu Europejskiego i Rady (UE) 2022/2065 z dnia 19 października 2022 r. w sprawie jednolitego rynku usług cyfrowych oraz zmiany dyrektywy 2000/31/WE (akt o usługach cyfrowych) (Dz.U. L 277 z 27.10.2022, s. 1, ELI: http://data.europa.eu/eli/reg/2022/2065/oj).</w:t>
            </w:r>
          </w:p>
        </w:tc>
        <w:tc>
          <w:tcPr>
            <w:tcW w:w="4876" w:type="dxa"/>
            <w:tcBorders>
              <w:top w:val="nil"/>
              <w:left w:val="nil"/>
              <w:bottom w:val="nil"/>
              <w:right w:val="nil"/>
            </w:tcBorders>
          </w:tcPr>
          <w:p w:rsidR="007A0039" w:rsidRPr="00EA7539" w:rsidRDefault="007A0039" w:rsidP="008F6778">
            <w:pPr>
              <w:pStyle w:val="Normal6a"/>
            </w:pPr>
            <w:r>
              <w:rPr>
                <w:vertAlign w:val="superscript"/>
              </w:rPr>
              <w:t xml:space="preserve">44 </w:t>
            </w:r>
            <w:r>
              <w:t>Rozporządzenie Parlamentu Europejskiego i Rady (UE) 2022/2065 z dnia 19 października 2022 r. w sprawie jednolitego rynku usług cyfrowych oraz zmiany dyrektywy 2000/31/WE (akt o usługach cyfrowych) (Dz.U. L 277 z 27.10.2022, s. 1, ELI: http://data.europa.eu/eli/reg/2022/2065/oj).</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vertAlign w:val="superscript"/>
              </w:rPr>
              <w:t>45</w:t>
            </w:r>
            <w:r>
              <w:t xml:space="preserve"> Rozporządzenie Parlamentu Europejskiego i Rady (UE) 2022/1925 z dnia 14 września 2022 r. w sprawie kontestowalnych i uczciwych rynków w sektorze cyfrowym oraz zmiany dyrektyw (UE) 2019/1937 i (UE) 2020/1828 (akt o rynkach cyfrowych) (Dz.U. L 265 z 12.10.2022, s. 1, ELI: https://data.europa.eu/eli/reg/2022/1925/oj).</w:t>
            </w:r>
          </w:p>
        </w:tc>
        <w:tc>
          <w:tcPr>
            <w:tcW w:w="4876" w:type="dxa"/>
            <w:tcBorders>
              <w:top w:val="nil"/>
              <w:left w:val="nil"/>
              <w:bottom w:val="nil"/>
              <w:right w:val="nil"/>
            </w:tcBorders>
          </w:tcPr>
          <w:p w:rsidR="007A0039" w:rsidRPr="00EA7539" w:rsidRDefault="007A0039" w:rsidP="008F6778">
            <w:pPr>
              <w:pStyle w:val="Normal6a"/>
            </w:pPr>
            <w:r>
              <w:rPr>
                <w:vertAlign w:val="superscript"/>
              </w:rPr>
              <w:t>45</w:t>
            </w:r>
            <w:r>
              <w:t xml:space="preserve"> Rozporządzenie Parlamentu Europejskiego i Rady (UE) 2022/1925 z dnia 14 września 2022 r. w sprawie kontestowalnych i uczciwych rynków w sektorze cyfrowym oraz zmiany dyrektyw (UE) 2019/1937 i (UE) 2020/1828 (akt o rynkach cyfrowych) (Dz.U. L 265 z 12.10.2022, s. 1, ELI: https://data.europa.eu/eli/reg/2022/1925/oj).</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589</w:t>
      </w:r>
      <w:r>
        <w:rPr>
          <w:rStyle w:val="HideTWBExt"/>
        </w:rPr>
        <w:t>&lt;/NumAm&gt;</w:t>
      </w:r>
    </w:p>
    <w:p w:rsidR="007A0039" w:rsidRPr="00EA7539" w:rsidRDefault="007A0039" w:rsidP="007A0039">
      <w:pPr>
        <w:pStyle w:val="NormalBold"/>
      </w:pPr>
      <w:r>
        <w:rPr>
          <w:rStyle w:val="HideTWBExt"/>
          <w:b w:val="0"/>
        </w:rPr>
        <w:t>&lt;RepeatBlock-By&gt;&lt;Members&gt;</w:t>
      </w:r>
      <w:r>
        <w:t>Jorge Buxadé Villalba, Malika Sorel, Fabrice Leggeri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25.</w:t>
            </w:r>
            <w:r>
              <w:tab/>
            </w:r>
            <w:r>
              <w:rPr>
                <w:b/>
                <w:i/>
              </w:rPr>
              <w:t>wyraża zaniepokojenie ingerencjami zagranicznymi</w:t>
            </w:r>
            <w:r>
              <w:t xml:space="preserve"> w państwach członkowskich, w tym </w:t>
            </w:r>
            <w:r>
              <w:rPr>
                <w:b/>
                <w:i/>
              </w:rPr>
              <w:t>manipulacjami</w:t>
            </w:r>
            <w:r>
              <w:t xml:space="preserve"> w mediach społecznościowych i </w:t>
            </w:r>
            <w:r>
              <w:rPr>
                <w:b/>
                <w:i/>
              </w:rPr>
              <w:t>dezinformacją</w:t>
            </w:r>
            <w:r>
              <w:t xml:space="preserve">; odnotowuje niedopuszczalne inicjatywy </w:t>
            </w:r>
            <w:r>
              <w:rPr>
                <w:b/>
                <w:i/>
              </w:rPr>
              <w:t>Elona Muska polegające na wykorzystywaniu platform mediów społecznościowych do manipulowania opinią publiczną w różnych państwach członkowskich; wzywa Komisję</w:t>
            </w:r>
            <w:r>
              <w:t xml:space="preserve"> i </w:t>
            </w:r>
            <w:r>
              <w:rPr>
                <w:b/>
                <w:i/>
              </w:rPr>
              <w:t>państwa członkowskie do monitorowania tej sytuacji oraz do stosowania aktu o usługach cyfrowych</w:t>
            </w:r>
            <w:r>
              <w:rPr>
                <w:b/>
                <w:i/>
                <w:vertAlign w:val="superscript"/>
              </w:rPr>
              <w:t>44</w:t>
            </w:r>
            <w:r>
              <w:rPr>
                <w:b/>
                <w:i/>
              </w:rPr>
              <w:t xml:space="preserve"> i aktu o rynkach cyfrowych</w:t>
            </w:r>
            <w:r>
              <w:rPr>
                <w:b/>
                <w:i/>
                <w:vertAlign w:val="superscript"/>
              </w:rPr>
              <w:t>45</w:t>
            </w:r>
            <w:r>
              <w:rPr>
                <w:b/>
                <w:i/>
              </w:rPr>
              <w:t>, w tym w odpowiedzi</w:t>
            </w:r>
            <w:r>
              <w:t xml:space="preserve"> na </w:t>
            </w:r>
            <w:r>
              <w:rPr>
                <w:b/>
                <w:i/>
              </w:rPr>
              <w:t>niedawną decyzję Mety w sprawie mechanizmów weryfikacji faktów</w:t>
            </w:r>
            <w:r>
              <w:t>;</w:t>
            </w:r>
          </w:p>
        </w:tc>
        <w:tc>
          <w:tcPr>
            <w:tcW w:w="4876" w:type="dxa"/>
            <w:tcBorders>
              <w:top w:val="nil"/>
              <w:left w:val="nil"/>
              <w:bottom w:val="nil"/>
              <w:right w:val="nil"/>
            </w:tcBorders>
          </w:tcPr>
          <w:p w:rsidR="007A0039" w:rsidRPr="00EA7539" w:rsidRDefault="007A0039" w:rsidP="008F6778">
            <w:pPr>
              <w:pStyle w:val="Normal6a"/>
            </w:pPr>
            <w:r>
              <w:t>25.</w:t>
            </w:r>
            <w:r>
              <w:tab/>
            </w:r>
            <w:r>
              <w:rPr>
                <w:b/>
                <w:i/>
              </w:rPr>
              <w:t>zdecydowanie potępia wszelkiego rodzaju ingerencje zagraniczne</w:t>
            </w:r>
            <w:r>
              <w:t xml:space="preserve"> w państwach członkowskich, w tym </w:t>
            </w:r>
            <w:r>
              <w:rPr>
                <w:b/>
                <w:i/>
              </w:rPr>
              <w:t>manipulacje</w:t>
            </w:r>
            <w:r>
              <w:t xml:space="preserve"> w mediach społecznościowych i </w:t>
            </w:r>
            <w:r>
              <w:rPr>
                <w:b/>
                <w:i/>
              </w:rPr>
              <w:t>dezinformację</w:t>
            </w:r>
            <w:r>
              <w:t xml:space="preserve">; odnotowuje niedopuszczalne inicjatywy </w:t>
            </w:r>
            <w:r>
              <w:rPr>
                <w:b/>
                <w:i/>
              </w:rPr>
              <w:t>George’a Sorosa, który przekazuje miliony euro organizacjom społeczeństwa obywatelskiego</w:t>
            </w:r>
            <w:r>
              <w:t xml:space="preserve"> i </w:t>
            </w:r>
            <w:r>
              <w:rPr>
                <w:b/>
                <w:i/>
              </w:rPr>
              <w:t>obrońcom praw człowieka, aby zniszczyć wartości europejskie, a także działania propagandowe państw trzecich mające</w:t>
            </w:r>
            <w:r>
              <w:t xml:space="preserve"> na </w:t>
            </w:r>
            <w:r>
              <w:rPr>
                <w:b/>
                <w:i/>
              </w:rPr>
              <w:t>celu m.in. atakowanie autonomii energetycznej Unii</w:t>
            </w:r>
            <w:r>
              <w:t>;</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_________________</w:t>
            </w:r>
          </w:p>
        </w:tc>
        <w:tc>
          <w:tcPr>
            <w:tcW w:w="4876" w:type="dxa"/>
            <w:tcBorders>
              <w:top w:val="nil"/>
              <w:left w:val="nil"/>
              <w:bottom w:val="nil"/>
              <w:right w:val="nil"/>
            </w:tcBorders>
          </w:tcPr>
          <w:p w:rsidR="007A0039" w:rsidRPr="00EA7539" w:rsidRDefault="007A0039" w:rsidP="008F6778"/>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sidRPr="000C292F">
              <w:rPr>
                <w:b/>
                <w:i/>
                <w:vertAlign w:val="superscript"/>
              </w:rPr>
              <w:t>44</w:t>
            </w:r>
            <w:r>
              <w:rPr>
                <w:b/>
                <w:i/>
              </w:rPr>
              <w:t xml:space="preserve"> Rozporządzenie Parlamentu Europejskiego i Rady (UE) 2022/2065 z dnia 19 października 2022 r. w sprawie jednolitego rynku usług cyfrowych oraz zmiany dyrektywy 2000/31/WE (akt o usługach cyfrowych) (Dz.U. L 277 z 27.10.2022, s. 1, ELI: http://data.europa.eu/eli/reg/2022/2065/oj).</w:t>
            </w:r>
          </w:p>
        </w:tc>
        <w:tc>
          <w:tcPr>
            <w:tcW w:w="4876" w:type="dxa"/>
            <w:tcBorders>
              <w:top w:val="nil"/>
              <w:left w:val="nil"/>
              <w:bottom w:val="nil"/>
              <w:right w:val="nil"/>
            </w:tcBorders>
          </w:tcPr>
          <w:p w:rsidR="007A0039" w:rsidRPr="00EA7539" w:rsidRDefault="007A0039" w:rsidP="008F6778"/>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vertAlign w:val="superscript"/>
              </w:rPr>
              <w:t>45</w:t>
            </w:r>
            <w:r>
              <w:rPr>
                <w:b/>
                <w:i/>
              </w:rPr>
              <w:t xml:space="preserve"> Rozporządzenie Parlamentu Europejskiego i Rady (UE) 2022/1925 z dnia 14 września 2022 r. w sprawie kontestowalnych i uczciwych rynków w sektorze cyfrowym oraz zmiany dyrektyw (UE) 2019/1937 i (UE) 2020/1828 (akt o rynkach cyfrowych) (Dz.U. L 265 z 12.10.2022, s. 1, ELI: https://data.europa.eu/eli/reg/2022/1925/oj).</w:t>
            </w:r>
          </w:p>
        </w:tc>
        <w:tc>
          <w:tcPr>
            <w:tcW w:w="4876" w:type="dxa"/>
            <w:tcBorders>
              <w:top w:val="nil"/>
              <w:left w:val="nil"/>
              <w:bottom w:val="nil"/>
              <w:right w:val="nil"/>
            </w:tcBorders>
          </w:tcPr>
          <w:p w:rsidR="007A0039" w:rsidRPr="00EA7539" w:rsidRDefault="007A0039" w:rsidP="008F6778"/>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590</w:t>
      </w:r>
      <w:r>
        <w:rPr>
          <w:rStyle w:val="HideTWBExt"/>
        </w:rPr>
        <w:t>&lt;/NumAm&gt;</w:t>
      </w:r>
    </w:p>
    <w:p w:rsidR="007A0039" w:rsidRPr="00EA7539" w:rsidRDefault="007A0039" w:rsidP="007A0039">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Cecilia Strada</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25.</w:t>
            </w:r>
            <w:r>
              <w:tab/>
              <w:t>wyraża zaniepokojenie ingerencjami zagranicznymi w państwach członkowskich, w tym manipulacjami w mediach społecznościowych i dezinformacją; odnotowuje niedopuszczalne inicjatywy Elona Muska polegające na wykorzystywaniu platform mediów społecznościowych do manipulowania opinią publiczną w różnych państwach członkowskich; wzywa Komisję i państwa członkowskie do monitorowania tej sytuacji oraz do stosowania aktu o usługach cyfrowych</w:t>
            </w:r>
            <w:r>
              <w:rPr>
                <w:vertAlign w:val="superscript"/>
              </w:rPr>
              <w:t>44</w:t>
            </w:r>
            <w:r>
              <w:t xml:space="preserve"> i aktu o rynkach cyfrowych</w:t>
            </w:r>
            <w:r>
              <w:rPr>
                <w:vertAlign w:val="superscript"/>
              </w:rPr>
              <w:t>45</w:t>
            </w:r>
            <w:r>
              <w:t xml:space="preserve">, w tym w odpowiedzi na </w:t>
            </w:r>
            <w:r>
              <w:rPr>
                <w:b/>
                <w:i/>
              </w:rPr>
              <w:t xml:space="preserve">niedawną </w:t>
            </w:r>
            <w:r>
              <w:t xml:space="preserve">decyzję Mety w sprawie mechanizmów weryfikacji </w:t>
            </w:r>
            <w:r>
              <w:rPr>
                <w:b/>
                <w:i/>
              </w:rPr>
              <w:t>faktów</w:t>
            </w:r>
            <w:r>
              <w:t>;</w:t>
            </w:r>
          </w:p>
        </w:tc>
        <w:tc>
          <w:tcPr>
            <w:tcW w:w="4876" w:type="dxa"/>
            <w:tcBorders>
              <w:top w:val="nil"/>
              <w:left w:val="nil"/>
              <w:bottom w:val="nil"/>
              <w:right w:val="nil"/>
            </w:tcBorders>
          </w:tcPr>
          <w:p w:rsidR="007A0039" w:rsidRPr="00EA7539" w:rsidRDefault="007A0039" w:rsidP="008F6778">
            <w:pPr>
              <w:pStyle w:val="Normal6a"/>
            </w:pPr>
            <w:r>
              <w:t>25.</w:t>
            </w:r>
            <w:r>
              <w:tab/>
              <w:t xml:space="preserve">wyraża zaniepokojenie ingerencjami zagranicznymi w państwach członkowskich, w tym manipulacjami w mediach społecznościowych i dezinformacją; odnotowuje niedopuszczalne inicjatywy Elona Muska polegające na wykorzystywaniu platform mediów społecznościowych do manipulowania opinią publiczną w różnych państwach członkowskich; wzywa Komisję i państwa członkowskie do monitorowania tej sytuacji oraz do </w:t>
            </w:r>
            <w:r>
              <w:rPr>
                <w:b/>
                <w:i/>
              </w:rPr>
              <w:t xml:space="preserve">szybkiego </w:t>
            </w:r>
            <w:r>
              <w:t>stosowania aktu o usługach cyfrowych</w:t>
            </w:r>
            <w:r>
              <w:rPr>
                <w:vertAlign w:val="superscript"/>
              </w:rPr>
              <w:t>44</w:t>
            </w:r>
            <w:r>
              <w:t xml:space="preserve"> i aktu o rynkach cyfrowych</w:t>
            </w:r>
            <w:r>
              <w:rPr>
                <w:vertAlign w:val="superscript"/>
              </w:rPr>
              <w:t>45</w:t>
            </w:r>
            <w:r>
              <w:t xml:space="preserve">, w tym w odpowiedzi na decyzję Mety </w:t>
            </w:r>
            <w:r>
              <w:rPr>
                <w:b/>
                <w:i/>
              </w:rPr>
              <w:t xml:space="preserve">i innych bardzo dużych platform internetowych </w:t>
            </w:r>
            <w:r>
              <w:t xml:space="preserve">w sprawie mechanizmów weryfikacji </w:t>
            </w:r>
            <w:r>
              <w:rPr>
                <w:b/>
                <w:i/>
              </w:rPr>
              <w:t>informacji i zmian w polityce dotyczącej zwalczania mowy nienawiści</w:t>
            </w:r>
            <w:r>
              <w:t>;</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_________________</w:t>
            </w:r>
          </w:p>
        </w:tc>
        <w:tc>
          <w:tcPr>
            <w:tcW w:w="4876" w:type="dxa"/>
            <w:tcBorders>
              <w:top w:val="nil"/>
              <w:left w:val="nil"/>
              <w:bottom w:val="nil"/>
              <w:right w:val="nil"/>
            </w:tcBorders>
          </w:tcPr>
          <w:p w:rsidR="007A0039" w:rsidRPr="00EA7539" w:rsidRDefault="007A0039" w:rsidP="008F6778">
            <w:pPr>
              <w:pStyle w:val="Normal6a"/>
            </w:pPr>
            <w:r>
              <w:rPr>
                <w:b/>
                <w:i/>
              </w:rPr>
              <w:t>_________________</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vertAlign w:val="superscript"/>
              </w:rPr>
              <w:t xml:space="preserve">44 </w:t>
            </w:r>
            <w:r>
              <w:t>Rozporządzenie Parlamentu Europejskiego i Rady (UE) 2022/2065 z dnia 19 października 2022 r. w sprawie jednolitego rynku usług cyfrowych oraz zmiany dyrektywy 2000/31/WE (akt o usługach cyfrowych) (Dz.U. L 277 z 27.10.2022, s. 1, ELI: http://data.europa.eu/eli/reg/2022/2065/oj).</w:t>
            </w:r>
          </w:p>
        </w:tc>
        <w:tc>
          <w:tcPr>
            <w:tcW w:w="4876" w:type="dxa"/>
            <w:tcBorders>
              <w:top w:val="nil"/>
              <w:left w:val="nil"/>
              <w:bottom w:val="nil"/>
              <w:right w:val="nil"/>
            </w:tcBorders>
          </w:tcPr>
          <w:p w:rsidR="007A0039" w:rsidRPr="00EA7539" w:rsidRDefault="007A0039" w:rsidP="008F6778">
            <w:pPr>
              <w:pStyle w:val="Normal6a"/>
            </w:pPr>
            <w:r>
              <w:rPr>
                <w:vertAlign w:val="superscript"/>
              </w:rPr>
              <w:t xml:space="preserve">44 </w:t>
            </w:r>
            <w:r>
              <w:t>Rozporządzenie Parlamentu Europejskiego i Rady (UE) 2022/2065 z dnia 19 października 2022 r. w sprawie jednolitego rynku usług cyfrowych oraz zmiany dyrektywy 2000/31/WE (akt o usługach cyfrowych) (Dz.U. L 277 z 27.10.2022, s. 1, ELI: http://data.europa.eu/eli/reg/2022/2065/oj).</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vertAlign w:val="superscript"/>
              </w:rPr>
              <w:t>45</w:t>
            </w:r>
            <w:r>
              <w:t xml:space="preserve"> Rozporządzenie Parlamentu Europejskiego i Rady (UE) 2022/1925 z dnia 14 września 2022 r. w sprawie kontestowalnych i uczciwych rynków w sektorze cyfrowym oraz zmiany dyrektyw (UE) 2019/1937 i (UE) 2020/1828 (akt o rynkach cyfrowych) (Dz.U. L 265 z 12.10.2022, s. 1, ELI: https://data.europa.eu/eli/reg/2022/1925/oj).</w:t>
            </w:r>
          </w:p>
        </w:tc>
        <w:tc>
          <w:tcPr>
            <w:tcW w:w="4876" w:type="dxa"/>
            <w:tcBorders>
              <w:top w:val="nil"/>
              <w:left w:val="nil"/>
              <w:bottom w:val="nil"/>
              <w:right w:val="nil"/>
            </w:tcBorders>
          </w:tcPr>
          <w:p w:rsidR="007A0039" w:rsidRPr="00EA7539" w:rsidRDefault="007A0039" w:rsidP="008F6778">
            <w:pPr>
              <w:pStyle w:val="Normal6a"/>
            </w:pPr>
            <w:r>
              <w:rPr>
                <w:vertAlign w:val="superscript"/>
              </w:rPr>
              <w:t>45</w:t>
            </w:r>
            <w:r>
              <w:t xml:space="preserve"> Rozporządzenie Parlamentu Europejskiego i Rady (UE) 2022/1925 z dnia 14 września 2022 r. w sprawie kontestowalnych i uczciwych rynków w sektorze cyfrowym oraz zmiany dyrektyw (UE) 2019/1937 i (UE) 2020/1828 (akt o rynkach cyfrowych) (Dz.U. L 265 z 12.10.2022, s. 1, ELI: https://data.europa.eu/eli/reg/2022/1925/oj).</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591</w:t>
      </w:r>
      <w:r>
        <w:rPr>
          <w:rStyle w:val="HideTWBExt"/>
        </w:rPr>
        <w:t>&lt;/NumAm&gt;</w:t>
      </w:r>
    </w:p>
    <w:p w:rsidR="007A0039" w:rsidRPr="00EA7539" w:rsidRDefault="007A0039" w:rsidP="007A0039">
      <w:pPr>
        <w:pStyle w:val="NormalBold"/>
      </w:pPr>
      <w:r>
        <w:rPr>
          <w:rStyle w:val="HideTWBExt"/>
          <w:b w:val="0"/>
        </w:rPr>
        <w:t>&lt;RepeatBlock-By&gt;&lt;Members&gt;</w:t>
      </w:r>
      <w:r>
        <w:t>Sebastian Tynkkynen</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25.</w:t>
            </w:r>
            <w:r>
              <w:tab/>
              <w:t xml:space="preserve">wyraża zaniepokojenie ingerencjami zagranicznymi w państwach członkowskich, w tym manipulacjami w mediach społecznościowych i dezinformacją; </w:t>
            </w:r>
            <w:r>
              <w:rPr>
                <w:b/>
                <w:i/>
              </w:rPr>
              <w:t>odnotowuje niedopuszczalne inicjatywy Elona Muska polegające na wykorzystywaniu platform mediów społecznościowych do manipulowania opinią publiczną w różnych państwach członkowskich; wzywa Komisję</w:t>
            </w:r>
            <w:r>
              <w:t xml:space="preserve"> i </w:t>
            </w:r>
            <w:r>
              <w:rPr>
                <w:b/>
                <w:i/>
              </w:rPr>
              <w:t>państwa członkowskie do monitorowania tej sytuacji oraz do stosowania aktu o usługach cyfrowych</w:t>
            </w:r>
            <w:r>
              <w:rPr>
                <w:b/>
                <w:i/>
                <w:vertAlign w:val="superscript"/>
              </w:rPr>
              <w:t>44</w:t>
            </w:r>
            <w:r>
              <w:rPr>
                <w:b/>
                <w:i/>
              </w:rPr>
              <w:t xml:space="preserve"> i aktu o rynkach cyfrowych</w:t>
            </w:r>
            <w:r>
              <w:rPr>
                <w:b/>
                <w:i/>
                <w:vertAlign w:val="superscript"/>
              </w:rPr>
              <w:t>45</w:t>
            </w:r>
            <w:r>
              <w:rPr>
                <w:b/>
                <w:i/>
              </w:rPr>
              <w:t>, w tym w odpowiedzi na niedawną decyzję Mety</w:t>
            </w:r>
            <w:r>
              <w:t xml:space="preserve"> w </w:t>
            </w:r>
            <w:r>
              <w:rPr>
                <w:b/>
                <w:i/>
              </w:rPr>
              <w:t>sprawie mechanizmów weryfikacji faktów</w:t>
            </w:r>
            <w:r>
              <w:t>;</w:t>
            </w:r>
          </w:p>
        </w:tc>
        <w:tc>
          <w:tcPr>
            <w:tcW w:w="4876" w:type="dxa"/>
            <w:tcBorders>
              <w:top w:val="nil"/>
              <w:left w:val="nil"/>
              <w:bottom w:val="nil"/>
              <w:right w:val="nil"/>
            </w:tcBorders>
          </w:tcPr>
          <w:p w:rsidR="007A0039" w:rsidRPr="00EA7539" w:rsidRDefault="007A0039" w:rsidP="008F6778">
            <w:pPr>
              <w:pStyle w:val="Normal6a"/>
            </w:pPr>
            <w:r>
              <w:t>25.</w:t>
            </w:r>
            <w:r>
              <w:tab/>
              <w:t xml:space="preserve">wyraża zaniepokojenie ingerencjami zagranicznymi w państwach członkowskich, w tym manipulacjami w mediach społecznościowych i dezinformacją; </w:t>
            </w:r>
            <w:r>
              <w:rPr>
                <w:b/>
                <w:i/>
              </w:rPr>
              <w:t>w tym kontekście zdecydowanie potępia przede wszystkim próby wywierania przez Rosję wpływu na europejskie procesy wyborcze i na opinię publiczną; uważa, że te próby wywierania wpływu wynikają również z chęci osłabienia jedności krajów europejskich</w:t>
            </w:r>
            <w:r>
              <w:t xml:space="preserve"> w </w:t>
            </w:r>
            <w:r>
              <w:rPr>
                <w:b/>
                <w:i/>
              </w:rPr>
              <w:t>kwestii wspierania Ukrainy</w:t>
            </w:r>
            <w:r>
              <w:t>;</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_________________</w:t>
            </w:r>
          </w:p>
        </w:tc>
        <w:tc>
          <w:tcPr>
            <w:tcW w:w="4876" w:type="dxa"/>
            <w:tcBorders>
              <w:top w:val="nil"/>
              <w:left w:val="nil"/>
              <w:bottom w:val="nil"/>
              <w:right w:val="nil"/>
            </w:tcBorders>
          </w:tcPr>
          <w:p w:rsidR="007A0039" w:rsidRPr="00EA7539" w:rsidRDefault="007A0039" w:rsidP="008F6778"/>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sidRPr="000C292F">
              <w:rPr>
                <w:b/>
                <w:i/>
                <w:vertAlign w:val="superscript"/>
              </w:rPr>
              <w:t>44</w:t>
            </w:r>
            <w:r>
              <w:rPr>
                <w:b/>
                <w:i/>
              </w:rPr>
              <w:t xml:space="preserve"> Rozporządzenie Parlamentu Europejskiego i Rady (UE) 2022/2065 z dnia 19 października 2022 r. w sprawie jednolitego rynku usług cyfrowych oraz zmiany dyrektywy 2000/31/WE (akt o usługach cyfrowych) (Dz.U. L 277 z 27.10.2022, s. 1, ELI: http://data.europa.eu/eli/reg/2022/2065/oj).</w:t>
            </w:r>
          </w:p>
        </w:tc>
        <w:tc>
          <w:tcPr>
            <w:tcW w:w="4876" w:type="dxa"/>
            <w:tcBorders>
              <w:top w:val="nil"/>
              <w:left w:val="nil"/>
              <w:bottom w:val="nil"/>
              <w:right w:val="nil"/>
            </w:tcBorders>
          </w:tcPr>
          <w:p w:rsidR="007A0039" w:rsidRPr="00EA7539" w:rsidRDefault="007A0039" w:rsidP="008F6778"/>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sidRPr="000C292F">
              <w:rPr>
                <w:b/>
                <w:i/>
                <w:vertAlign w:val="superscript"/>
              </w:rPr>
              <w:t>45</w:t>
            </w:r>
            <w:r>
              <w:rPr>
                <w:b/>
                <w:i/>
              </w:rPr>
              <w:t xml:space="preserve"> Rozporządzenie Parlamentu Europejskiego i Rady (UE) 2022/1925 z dnia 14 września 2022 r. w sprawie kontestowalnych i uczciwych rynków w sektorze cyfrowym oraz zmiany dyrektyw (UE) 2019/1937 i (UE) 2020/1828 (akt o rynkach cyfrowych) (Dz.U. L 265 z 12.10.2022, s. 1, ELI: https://data.europa.eu/eli/reg/2022/1925/oj).</w:t>
            </w:r>
          </w:p>
        </w:tc>
        <w:tc>
          <w:tcPr>
            <w:tcW w:w="4876" w:type="dxa"/>
            <w:tcBorders>
              <w:top w:val="nil"/>
              <w:left w:val="nil"/>
              <w:bottom w:val="nil"/>
              <w:right w:val="nil"/>
            </w:tcBorders>
          </w:tcPr>
          <w:p w:rsidR="007A0039" w:rsidRPr="00EA7539" w:rsidRDefault="007A0039" w:rsidP="008F6778"/>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{FI}</w:t>
      </w:r>
      <w:r w:rsidRPr="00EA7539">
        <w:t>fi</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592</w:t>
      </w:r>
      <w:r>
        <w:rPr>
          <w:rStyle w:val="HideTWBExt"/>
        </w:rPr>
        <w:t>&lt;/NumAm&gt;</w:t>
      </w:r>
    </w:p>
    <w:p w:rsidR="007A0039" w:rsidRPr="00EA7539" w:rsidRDefault="007A0039" w:rsidP="007A0039">
      <w:pPr>
        <w:pStyle w:val="NormalBold"/>
      </w:pPr>
      <w:r>
        <w:rPr>
          <w:rStyle w:val="HideTWBExt"/>
          <w:b w:val="0"/>
        </w:rPr>
        <w:t>&lt;RepeatBlock-By&gt;&lt;Members&gt;</w:t>
      </w:r>
      <w:r>
        <w:t>Mary Khan, Christine Anderson, Milan Uhrík</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25.</w:t>
            </w:r>
            <w:r>
              <w:tab/>
              <w:t xml:space="preserve">wyraża zaniepokojenie ingerencjami </w:t>
            </w:r>
            <w:r>
              <w:rPr>
                <w:b/>
                <w:i/>
              </w:rPr>
              <w:t>zagranicznymi w państwach członkowskich, w tym manipulacjami</w:t>
            </w:r>
            <w:r>
              <w:t xml:space="preserve"> w </w:t>
            </w:r>
            <w:r>
              <w:rPr>
                <w:b/>
                <w:i/>
              </w:rPr>
              <w:t>mediach społecznościowych i dezinformacją; odnotowuje niedopuszczalne</w:t>
            </w:r>
            <w:r>
              <w:t xml:space="preserve"> inicjatywy Elona Muska </w:t>
            </w:r>
            <w:r>
              <w:rPr>
                <w:b/>
                <w:i/>
              </w:rPr>
              <w:t>polegające na wykorzystywaniu</w:t>
            </w:r>
            <w:r>
              <w:t xml:space="preserve"> platform mediów społecznościowych </w:t>
            </w:r>
            <w:r>
              <w:rPr>
                <w:b/>
                <w:i/>
              </w:rPr>
              <w:t xml:space="preserve">do manipulowania opinią publiczną </w:t>
            </w:r>
            <w:r>
              <w:t xml:space="preserve">w </w:t>
            </w:r>
            <w:r>
              <w:rPr>
                <w:b/>
                <w:i/>
              </w:rPr>
              <w:t>różnych państwach członkowskich;</w:t>
            </w:r>
            <w:r>
              <w:t xml:space="preserve"> </w:t>
            </w:r>
            <w:r>
              <w:rPr>
                <w:b/>
                <w:i/>
              </w:rPr>
              <w:t>wzywa Komisję</w:t>
            </w:r>
            <w:r>
              <w:t xml:space="preserve"> i </w:t>
            </w:r>
            <w:r>
              <w:rPr>
                <w:b/>
                <w:i/>
              </w:rPr>
              <w:t>państwa członkowskie do monitorowania tej sytuacji oraz</w:t>
            </w:r>
            <w:r>
              <w:t xml:space="preserve"> do </w:t>
            </w:r>
            <w:r>
              <w:rPr>
                <w:b/>
                <w:i/>
              </w:rPr>
              <w:t>stosowania</w:t>
            </w:r>
            <w:r>
              <w:t xml:space="preserve"> aktu o usługach cyfrowych</w:t>
            </w:r>
            <w:r w:rsidRPr="000C292F">
              <w:rPr>
                <w:b/>
                <w:i/>
                <w:vertAlign w:val="superscript"/>
              </w:rPr>
              <w:t>44</w:t>
            </w:r>
            <w:r>
              <w:rPr>
                <w:b/>
                <w:i/>
              </w:rPr>
              <w:t xml:space="preserve"> i aktu o rynkach cyfrowych</w:t>
            </w:r>
            <w:r>
              <w:rPr>
                <w:b/>
                <w:i/>
                <w:vertAlign w:val="superscript"/>
              </w:rPr>
              <w:t>45</w:t>
            </w:r>
            <w:r>
              <w:rPr>
                <w:b/>
                <w:i/>
              </w:rPr>
              <w:t>,</w:t>
            </w:r>
            <w:r>
              <w:t xml:space="preserve"> w </w:t>
            </w:r>
            <w:r>
              <w:rPr>
                <w:b/>
                <w:i/>
              </w:rPr>
              <w:t>tym w odpowiedzi na niedawną decyzję Mety w sprawie mechanizmów weryfikacji faktów</w:t>
            </w:r>
            <w:r>
              <w:t>;</w:t>
            </w:r>
          </w:p>
        </w:tc>
        <w:tc>
          <w:tcPr>
            <w:tcW w:w="4876" w:type="dxa"/>
            <w:tcBorders>
              <w:top w:val="nil"/>
              <w:left w:val="nil"/>
              <w:bottom w:val="nil"/>
              <w:right w:val="nil"/>
            </w:tcBorders>
          </w:tcPr>
          <w:p w:rsidR="007A0039" w:rsidRPr="00EA7539" w:rsidRDefault="007A0039" w:rsidP="008F6778">
            <w:pPr>
              <w:pStyle w:val="Normal6a"/>
            </w:pPr>
            <w:r>
              <w:t>25.</w:t>
            </w:r>
            <w:r>
              <w:tab/>
              <w:t xml:space="preserve">wyraża zaniepokojenie </w:t>
            </w:r>
            <w:r>
              <w:rPr>
                <w:b/>
                <w:i/>
              </w:rPr>
              <w:t xml:space="preserve">politycznymi </w:t>
            </w:r>
            <w:r>
              <w:t xml:space="preserve">ingerencjami </w:t>
            </w:r>
            <w:r>
              <w:rPr>
                <w:b/>
                <w:i/>
              </w:rPr>
              <w:t>Komisji i organizacji korzystających z funduszy UE</w:t>
            </w:r>
            <w:r>
              <w:t xml:space="preserve"> w </w:t>
            </w:r>
            <w:r>
              <w:rPr>
                <w:b/>
                <w:i/>
              </w:rPr>
              <w:t>państwach członkowskich; z zadowoleniem przyjmuje</w:t>
            </w:r>
            <w:r>
              <w:t xml:space="preserve"> inicjatywy Elona Muska </w:t>
            </w:r>
            <w:r>
              <w:rPr>
                <w:b/>
                <w:i/>
              </w:rPr>
              <w:t>dotyczące korzystania z</w:t>
            </w:r>
            <w:r>
              <w:t xml:space="preserve"> platform mediów społecznościowych w </w:t>
            </w:r>
            <w:r>
              <w:rPr>
                <w:b/>
                <w:i/>
              </w:rPr>
              <w:t>celu zachęcania do otwartej debaty</w:t>
            </w:r>
            <w:r>
              <w:t xml:space="preserve"> i </w:t>
            </w:r>
            <w:r>
              <w:rPr>
                <w:b/>
                <w:i/>
              </w:rPr>
              <w:t>angażowania milionów użytkowników w politykę;</w:t>
            </w:r>
            <w:r>
              <w:t xml:space="preserve"> </w:t>
            </w:r>
            <w:r>
              <w:rPr>
                <w:b/>
                <w:i/>
              </w:rPr>
              <w:t>wzywa Komisję</w:t>
            </w:r>
            <w:r>
              <w:t xml:space="preserve"> do </w:t>
            </w:r>
            <w:r>
              <w:rPr>
                <w:b/>
                <w:i/>
              </w:rPr>
              <w:t>uchylenia</w:t>
            </w:r>
            <w:r>
              <w:t xml:space="preserve"> aktu o usługach cyfrowych</w:t>
            </w:r>
            <w:r>
              <w:rPr>
                <w:b/>
                <w:i/>
              </w:rPr>
              <w:t xml:space="preserve"> ze skutkiem natychmiastowym</w:t>
            </w:r>
            <w:r>
              <w:t xml:space="preserve"> w </w:t>
            </w:r>
            <w:r>
              <w:rPr>
                <w:b/>
                <w:i/>
              </w:rPr>
              <w:t>celu ochrony wolności słowa i wolności wypowiedzi</w:t>
            </w:r>
            <w:r>
              <w:t>;</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_________________</w:t>
            </w:r>
          </w:p>
        </w:tc>
        <w:tc>
          <w:tcPr>
            <w:tcW w:w="4876" w:type="dxa"/>
            <w:tcBorders>
              <w:top w:val="nil"/>
              <w:left w:val="nil"/>
              <w:bottom w:val="nil"/>
              <w:right w:val="nil"/>
            </w:tcBorders>
          </w:tcPr>
          <w:p w:rsidR="007A0039" w:rsidRPr="00EA7539" w:rsidRDefault="007A0039" w:rsidP="008F6778"/>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sidRPr="000C292F">
              <w:rPr>
                <w:b/>
                <w:i/>
                <w:vertAlign w:val="superscript"/>
              </w:rPr>
              <w:t>44</w:t>
            </w:r>
            <w:r>
              <w:rPr>
                <w:b/>
                <w:i/>
              </w:rPr>
              <w:t xml:space="preserve"> Rozporządzenie Parlamentu Europejskiego i Rady (UE) 2022/2065 z dnia 19 października 2022 r. w sprawie jednolitego rynku usług cyfrowych oraz zmiany dyrektywy 2000/31/WE (akt o usługach cyfrowych) (Dz.U. L 277 z 27.10.2022, s. 1, ELI: http://data.europa.eu/eli/reg/2022/2065/oj).</w:t>
            </w:r>
          </w:p>
        </w:tc>
        <w:tc>
          <w:tcPr>
            <w:tcW w:w="4876" w:type="dxa"/>
            <w:tcBorders>
              <w:top w:val="nil"/>
              <w:left w:val="nil"/>
              <w:bottom w:val="nil"/>
              <w:right w:val="nil"/>
            </w:tcBorders>
          </w:tcPr>
          <w:p w:rsidR="007A0039" w:rsidRPr="00EA7539" w:rsidRDefault="007A0039" w:rsidP="008F6778"/>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vertAlign w:val="superscript"/>
              </w:rPr>
              <w:t>45</w:t>
            </w:r>
            <w:r>
              <w:rPr>
                <w:b/>
                <w:i/>
              </w:rPr>
              <w:t xml:space="preserve"> Rozporządzenie Parlamentu Europejskiego i Rady (UE) 2022/1925 z dnia 14 września 2022 r. w sprawie kontestowalnych i uczciwych rynków w sektorze cyfrowym oraz zmiany dyrektyw (UE) 2019/1937 i (UE) 2020/1828 (akt o rynkach cyfrowych) (Dz.U. L 265 z 12.10.2022, s. 1, ELI: https://data.europa.eu/eli/reg/2022/1925/oj).</w:t>
            </w:r>
          </w:p>
        </w:tc>
        <w:tc>
          <w:tcPr>
            <w:tcW w:w="4876" w:type="dxa"/>
            <w:tcBorders>
              <w:top w:val="nil"/>
              <w:left w:val="nil"/>
              <w:bottom w:val="nil"/>
              <w:right w:val="nil"/>
            </w:tcBorders>
          </w:tcPr>
          <w:p w:rsidR="007A0039" w:rsidRPr="00EA7539" w:rsidRDefault="007A0039" w:rsidP="008F6778"/>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593</w:t>
      </w:r>
      <w:r>
        <w:rPr>
          <w:rStyle w:val="HideTWBExt"/>
        </w:rPr>
        <w:t>&lt;/NumAm&gt;</w:t>
      </w:r>
    </w:p>
    <w:p w:rsidR="007A0039" w:rsidRPr="00EA7539" w:rsidRDefault="007A0039" w:rsidP="007A0039">
      <w:pPr>
        <w:pStyle w:val="NormalBold"/>
      </w:pPr>
      <w:r>
        <w:rPr>
          <w:rStyle w:val="HideTWBExt"/>
          <w:b w:val="0"/>
        </w:rPr>
        <w:t>&lt;RepeatBlock-By&gt;&lt;Members&gt;</w:t>
      </w:r>
      <w:r>
        <w:t>Moritz Körner, Hilde Vautmans, Nikola Minchev, Veronika Cifrová Ostrihoňová, Chloé Ridel, Abir Al-Sahlani, Fabienne Keller, Lucia Yar, Irena Joveva, Isabel Wiseler-Lima, Daniel Freund</w:t>
      </w:r>
      <w:r>
        <w:rPr>
          <w:rStyle w:val="HideTWBExt"/>
          <w:b w:val="0"/>
        </w:rPr>
        <w:t>&lt;/Members&gt;</w:t>
      </w:r>
    </w:p>
    <w:p w:rsidR="007A0039" w:rsidRPr="00EA7539" w:rsidRDefault="007A0039" w:rsidP="007A0039">
      <w:r>
        <w:rPr>
          <w:rStyle w:val="HideTWBExt"/>
        </w:rPr>
        <w:t>&lt;AuNomDe&gt;</w:t>
      </w:r>
      <w:r>
        <w:rPr>
          <w:rStyle w:val="HideTWBInt"/>
        </w:rPr>
        <w:t>{LIBE}</w:t>
      </w:r>
      <w:r>
        <w:t>w imieniu Komisji Wolności Obywatelskich, Sprawiedliwości i Spraw Wewnętrznych</w:t>
      </w:r>
      <w:r>
        <w:rPr>
          <w:rStyle w:val="HideTWBExt"/>
        </w:rPr>
        <w:t>&lt;/AuNomDe&gt;</w:t>
      </w:r>
    </w:p>
    <w:p w:rsidR="007A0039" w:rsidRPr="00EA7539" w:rsidRDefault="007A0039" w:rsidP="007A0039">
      <w:pPr>
        <w:pStyle w:val="NormalBold"/>
      </w:pPr>
      <w:r>
        <w:rPr>
          <w:rStyle w:val="HideTWBExt"/>
          <w:b w:val="0"/>
        </w:rPr>
        <w:t>&lt;Members&gt;</w:t>
      </w:r>
      <w:r>
        <w:t>Sophie Wilmès</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25 – wprowadzenie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25.</w:t>
            </w:r>
            <w:r>
              <w:tab/>
              <w:t>wyraża zaniepokojenie ingerencjami zagranicznymi w państwach członkowskich, w tym manipulacjami w mediach społecznościowych i dezinformacją; odnotowuje niedopuszczalne inicjatywy Elona Muska polegające na wykorzystywaniu platform mediów społecznościowych do manipulowania opinią publiczną w różnych państwach członkowskich; wzywa Komisję i państwa członkowskie do monitorowania tej sytuacji oraz do stosowania aktu o usługach cyfrowych</w:t>
            </w:r>
            <w:r>
              <w:rPr>
                <w:vertAlign w:val="superscript"/>
              </w:rPr>
              <w:t>44</w:t>
            </w:r>
            <w:r>
              <w:t xml:space="preserve"> i aktu o rynkach cyfrowych</w:t>
            </w:r>
            <w:r>
              <w:rPr>
                <w:vertAlign w:val="superscript"/>
              </w:rPr>
              <w:t>45</w:t>
            </w:r>
            <w:r>
              <w:t>, w tym w odpowiedzi na niedawną decyzję Mety w sprawie mechanizmów weryfikacji faktów;</w:t>
            </w:r>
          </w:p>
        </w:tc>
        <w:tc>
          <w:tcPr>
            <w:tcW w:w="4876" w:type="dxa"/>
            <w:tcBorders>
              <w:top w:val="nil"/>
              <w:left w:val="nil"/>
              <w:bottom w:val="nil"/>
              <w:right w:val="nil"/>
            </w:tcBorders>
          </w:tcPr>
          <w:p w:rsidR="007A0039" w:rsidRPr="00EA7539" w:rsidRDefault="007A0039" w:rsidP="008F6778">
            <w:pPr>
              <w:pStyle w:val="Normal6a"/>
            </w:pPr>
            <w:r>
              <w:t>25.</w:t>
            </w:r>
            <w:r>
              <w:tab/>
              <w:t xml:space="preserve">wyraża zaniepokojenie ingerencjami zagranicznymi w państwach członkowskich, w tym manipulacjami w mediach społecznościowych i dezinformacją; odnotowuje niedopuszczalne inicjatywy Elona Muska polegające na wykorzystywaniu platform mediów społecznościowych do manipulowania opinią publiczną </w:t>
            </w:r>
            <w:r>
              <w:rPr>
                <w:b/>
                <w:i/>
              </w:rPr>
              <w:t xml:space="preserve">i zakłócania debaty politycznej </w:t>
            </w:r>
            <w:r>
              <w:t>w różnych państwach członkowskich; wzywa Komisję i państwa członkowskie do monitorowania tej sytuacji oraz do stosowania aktu o usługach cyfrowych</w:t>
            </w:r>
            <w:r>
              <w:rPr>
                <w:vertAlign w:val="superscript"/>
              </w:rPr>
              <w:t>44</w:t>
            </w:r>
            <w:r>
              <w:t xml:space="preserve"> i aktu o rynkach cyfrowych</w:t>
            </w:r>
            <w:r>
              <w:rPr>
                <w:vertAlign w:val="superscript"/>
              </w:rPr>
              <w:t>45</w:t>
            </w:r>
            <w:r>
              <w:t>, w tym w odpowiedzi na niedawną decyzję Mety w sprawie mechanizmów weryfikacji faktów;</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_________________</w:t>
            </w:r>
          </w:p>
        </w:tc>
        <w:tc>
          <w:tcPr>
            <w:tcW w:w="4876" w:type="dxa"/>
            <w:tcBorders>
              <w:top w:val="nil"/>
              <w:left w:val="nil"/>
              <w:bottom w:val="nil"/>
              <w:right w:val="nil"/>
            </w:tcBorders>
          </w:tcPr>
          <w:p w:rsidR="007A0039" w:rsidRPr="00EA7539" w:rsidRDefault="007A0039" w:rsidP="008F6778">
            <w:pPr>
              <w:pStyle w:val="Normal6a"/>
            </w:pPr>
            <w:r>
              <w:rPr>
                <w:b/>
                <w:i/>
              </w:rPr>
              <w:t>_________________</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vertAlign w:val="superscript"/>
              </w:rPr>
              <w:t xml:space="preserve">44 </w:t>
            </w:r>
            <w:r>
              <w:t>Rozporządzenie Parlamentu Europejskiego i Rady (UE) 2022/2065 z dnia 19 października 2022 r. w sprawie jednolitego rynku usług cyfrowych oraz zmiany dyrektywy 2000/31/WE (akt o usługach cyfrowych) (Dz.U. L 277 z 27.10.2022, s. 1, ELI: http://data.europa.eu/eli/reg/2022/2065/oj).</w:t>
            </w:r>
          </w:p>
        </w:tc>
        <w:tc>
          <w:tcPr>
            <w:tcW w:w="4876" w:type="dxa"/>
            <w:tcBorders>
              <w:top w:val="nil"/>
              <w:left w:val="nil"/>
              <w:bottom w:val="nil"/>
              <w:right w:val="nil"/>
            </w:tcBorders>
          </w:tcPr>
          <w:p w:rsidR="007A0039" w:rsidRPr="00EA7539" w:rsidRDefault="007A0039" w:rsidP="008F6778">
            <w:pPr>
              <w:pStyle w:val="Normal6a"/>
            </w:pPr>
            <w:r>
              <w:rPr>
                <w:vertAlign w:val="superscript"/>
              </w:rPr>
              <w:t xml:space="preserve">44 </w:t>
            </w:r>
            <w:r>
              <w:t>Rozporządzenie Parlamentu Europejskiego i Rady (UE) 2022/2065 z dnia 19 października 2022 r. w sprawie jednolitego rynku usług cyfrowych oraz zmiany dyrektywy 2000/31/WE (akt o usługach cyfrowych) (Dz.U. L 277 z 27.10.2022, s. 1, ELI: http://data.europa.eu/eli/reg/2022/2065/oj).</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vertAlign w:val="superscript"/>
              </w:rPr>
              <w:t>45</w:t>
            </w:r>
            <w:r>
              <w:t xml:space="preserve"> Rozporządzenie Parlamentu Europejskiego i Rady (UE) 2022/1925 z dnia 14 września 2022 r. w sprawie kontestowalnych i uczciwych rynków w sektorze cyfrowym oraz zmiany dyrektyw (UE) 2019/1937 i (UE) 2020/1828 (akt o rynkach cyfrowych) (Dz.U. L 265 z 12.10.2022, s. 1, ELI: https://data.europa.eu/eli/reg/2022/1925/oj).</w:t>
            </w:r>
          </w:p>
        </w:tc>
        <w:tc>
          <w:tcPr>
            <w:tcW w:w="4876" w:type="dxa"/>
            <w:tcBorders>
              <w:top w:val="nil"/>
              <w:left w:val="nil"/>
              <w:bottom w:val="nil"/>
              <w:right w:val="nil"/>
            </w:tcBorders>
          </w:tcPr>
          <w:p w:rsidR="007A0039" w:rsidRPr="00EA7539" w:rsidRDefault="007A0039" w:rsidP="008F6778">
            <w:pPr>
              <w:pStyle w:val="Normal6a"/>
            </w:pPr>
            <w:r>
              <w:rPr>
                <w:vertAlign w:val="superscript"/>
              </w:rPr>
              <w:t>45</w:t>
            </w:r>
            <w:r>
              <w:t xml:space="preserve"> Rozporządzenie Parlamentu Europejskiego i Rady (UE) 2022/1925 z dnia 14 września 2022 r. w sprawie kontestowalnych i uczciwych rynków w sektorze cyfrowym oraz zmiany dyrektyw (UE) 2019/1937 i (UE) 2020/1828 (akt o rynkach cyfrowych) (Dz.U. L 265 z 12.10.2022, s. 1, ELI: https://data.europa.eu/eli/reg/2022/1925/oj).</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594</w:t>
      </w:r>
      <w:r>
        <w:rPr>
          <w:rStyle w:val="HideTWBExt"/>
        </w:rPr>
        <w:t>&lt;/NumAm&gt;</w:t>
      </w:r>
    </w:p>
    <w:p w:rsidR="007A0039" w:rsidRPr="00EA7539" w:rsidRDefault="007A0039" w:rsidP="007A0039">
      <w:pPr>
        <w:pStyle w:val="NormalBold"/>
      </w:pPr>
      <w:r>
        <w:rPr>
          <w:rStyle w:val="HideTWBExt"/>
          <w:b w:val="0"/>
        </w:rPr>
        <w:t>&lt;RepeatBlock-By&gt;&lt;Members&gt;</w:t>
      </w:r>
      <w:r>
        <w:t>Marieke Ehlers, Jorge Buxadé Villalba, Tom Vandendriessche, Fabrice Leggeri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25.</w:t>
            </w:r>
            <w:r>
              <w:tab/>
              <w:t xml:space="preserve">wyraża zaniepokojenie ingerencjami zagranicznymi w państwach członkowskich, w tym manipulacjami w mediach społecznościowych i dezinformacją; </w:t>
            </w:r>
            <w:r>
              <w:rPr>
                <w:b/>
                <w:i/>
              </w:rPr>
              <w:t>odnotowuje niedopuszczalne inicjatywy Elona Muska polegające na wykorzystywaniu platform mediów społecznościowych do manipulowania opinią publiczną</w:t>
            </w:r>
            <w:r>
              <w:t xml:space="preserve"> w </w:t>
            </w:r>
            <w:r>
              <w:rPr>
                <w:b/>
                <w:i/>
              </w:rPr>
              <w:t>różnych państwach członkowskich; wzywa Komisję i państwa członkowskie do monitorowania tej sytuacji oraz do stosowania aktu o usługach cyfrowych</w:t>
            </w:r>
            <w:r>
              <w:rPr>
                <w:b/>
                <w:i/>
                <w:vertAlign w:val="superscript"/>
              </w:rPr>
              <w:t>44</w:t>
            </w:r>
            <w:r>
              <w:rPr>
                <w:b/>
                <w:i/>
              </w:rPr>
              <w:t xml:space="preserve"> i aktu o rynkach cyfrowych</w:t>
            </w:r>
            <w:r>
              <w:rPr>
                <w:b/>
                <w:i/>
                <w:vertAlign w:val="superscript"/>
              </w:rPr>
              <w:t>45</w:t>
            </w:r>
            <w:r>
              <w:rPr>
                <w:b/>
                <w:i/>
              </w:rPr>
              <w:t>, w tym w odpowiedzi na niedawną decyzję Mety</w:t>
            </w:r>
            <w:r>
              <w:t xml:space="preserve"> w </w:t>
            </w:r>
            <w:r>
              <w:rPr>
                <w:b/>
                <w:i/>
              </w:rPr>
              <w:t>sprawie mechanizmów weryfikacji faktów</w:t>
            </w:r>
            <w:r>
              <w:t>;</w:t>
            </w:r>
          </w:p>
        </w:tc>
        <w:tc>
          <w:tcPr>
            <w:tcW w:w="4876" w:type="dxa"/>
            <w:tcBorders>
              <w:top w:val="nil"/>
              <w:left w:val="nil"/>
              <w:bottom w:val="nil"/>
              <w:right w:val="nil"/>
            </w:tcBorders>
          </w:tcPr>
          <w:p w:rsidR="007A0039" w:rsidRPr="00EA7539" w:rsidRDefault="007A0039" w:rsidP="008F6778">
            <w:pPr>
              <w:pStyle w:val="Normal6a"/>
            </w:pPr>
            <w:r>
              <w:t>25.</w:t>
            </w:r>
            <w:r>
              <w:tab/>
              <w:t>wyraża zaniepokojenie ingerencjami zagranicznymi w państwach członkowskich</w:t>
            </w:r>
            <w:r>
              <w:rPr>
                <w:b/>
                <w:i/>
              </w:rPr>
              <w:t xml:space="preserve"> i instytucjach UE</w:t>
            </w:r>
            <w:r>
              <w:t xml:space="preserve">, w tym manipulacjami w mediach społecznościowych i dezinformacją; </w:t>
            </w:r>
            <w:r>
              <w:rPr>
                <w:b/>
                <w:i/>
              </w:rPr>
              <w:t>z zadowoleniem przyjmuje działania amerykańskiego Departamentu ds. Efektywności Zarządzania (DOGE) realizowane</w:t>
            </w:r>
            <w:r>
              <w:t xml:space="preserve"> w </w:t>
            </w:r>
            <w:r>
              <w:rPr>
                <w:b/>
                <w:i/>
              </w:rPr>
              <w:t>celu oczyszczenia budżetu federalnego USA z programów mających na celu wywarcie wpływu na opinię publiczną w państwach trzecich, w szczególności w ramach programu USAID; zwraca się do UE, aby przeprowadziła podobną kontrolę</w:t>
            </w:r>
            <w:r>
              <w:t xml:space="preserve"> w </w:t>
            </w:r>
            <w:r>
              <w:rPr>
                <w:b/>
                <w:i/>
              </w:rPr>
              <w:t>odniesieniu do swojego budżetu</w:t>
            </w:r>
            <w:r>
              <w:t>;</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_________________</w:t>
            </w:r>
          </w:p>
        </w:tc>
        <w:tc>
          <w:tcPr>
            <w:tcW w:w="4876" w:type="dxa"/>
            <w:tcBorders>
              <w:top w:val="nil"/>
              <w:left w:val="nil"/>
              <w:bottom w:val="nil"/>
              <w:right w:val="nil"/>
            </w:tcBorders>
          </w:tcPr>
          <w:p w:rsidR="007A0039" w:rsidRPr="00EA7539" w:rsidRDefault="007A0039" w:rsidP="008F6778"/>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sidRPr="000C292F">
              <w:rPr>
                <w:b/>
                <w:i/>
                <w:vertAlign w:val="superscript"/>
              </w:rPr>
              <w:t>44</w:t>
            </w:r>
            <w:r>
              <w:rPr>
                <w:b/>
                <w:i/>
              </w:rPr>
              <w:t xml:space="preserve"> Rozporządzenie Parlamentu Europejskiego i Rady (UE) 2022/2065 z dnia 19 października 2022 r. w sprawie jednolitego rynku usług cyfrowych oraz zmiany dyrektywy 2000/31/WE (akt o usługach cyfrowych) (Dz.U. L 277 z 27.10.2022, s. 1, ELI: http://data.europa.eu/eli/reg/2022/2065/oj).</w:t>
            </w:r>
          </w:p>
        </w:tc>
        <w:tc>
          <w:tcPr>
            <w:tcW w:w="4876" w:type="dxa"/>
            <w:tcBorders>
              <w:top w:val="nil"/>
              <w:left w:val="nil"/>
              <w:bottom w:val="nil"/>
              <w:right w:val="nil"/>
            </w:tcBorders>
          </w:tcPr>
          <w:p w:rsidR="007A0039" w:rsidRPr="00EA7539" w:rsidRDefault="007A0039" w:rsidP="008F6778"/>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vertAlign w:val="superscript"/>
              </w:rPr>
              <w:t>45</w:t>
            </w:r>
            <w:r>
              <w:rPr>
                <w:b/>
                <w:i/>
              </w:rPr>
              <w:t xml:space="preserve"> Rozporządzenie Parlamentu Europejskiego i Rady (UE) 2022/1925 z dnia 14 września 2022 r. w sprawie kontestowalnych i uczciwych rynków w sektorze cyfrowym oraz zmiany dyrektyw (UE) 2019/1937 i (UE) 2020/1828 (akt o rynkach cyfrowych) (Dz.U. L 265 z 12.10.2022, s. 1, ELI: https://data.europa.eu/eli/reg/2022/1925/oj).</w:t>
            </w:r>
          </w:p>
        </w:tc>
        <w:tc>
          <w:tcPr>
            <w:tcW w:w="4876" w:type="dxa"/>
            <w:tcBorders>
              <w:top w:val="nil"/>
              <w:left w:val="nil"/>
              <w:bottom w:val="nil"/>
              <w:right w:val="nil"/>
            </w:tcBorders>
          </w:tcPr>
          <w:p w:rsidR="007A0039" w:rsidRPr="00EA7539" w:rsidRDefault="007A0039" w:rsidP="008F6778"/>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595</w:t>
      </w:r>
      <w:r>
        <w:rPr>
          <w:rStyle w:val="HideTWBExt"/>
        </w:rPr>
        <w:t>&lt;/NumAm&gt;</w:t>
      </w:r>
    </w:p>
    <w:p w:rsidR="007A0039" w:rsidRPr="00EA7539" w:rsidRDefault="007A0039" w:rsidP="007A0039">
      <w:pPr>
        <w:pStyle w:val="NormalBold"/>
      </w:pPr>
      <w:r>
        <w:rPr>
          <w:rStyle w:val="HideTWBExt"/>
          <w:b w:val="0"/>
        </w:rPr>
        <w:t>&lt;RepeatBlock-By&gt;&lt;Members&gt;</w:t>
      </w:r>
      <w:r>
        <w:t>Raquel García Hermida-Van Der Walle, Fabienne Keller, Sophie Wilmès, Abir Al-Sahlani, Sigrid Friis, Lucia Yar</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25.</w:t>
            </w:r>
            <w:r>
              <w:tab/>
              <w:t>wyraża zaniepokojenie ingerencjami zagranicznymi w państwach członkowskich, w tym manipulacjami w mediach społecznościowych i dezinformacją; odnotowuje niedopuszczalne inicjatywy Elona Muska polegające na wykorzystywaniu platform mediów społecznościowych do manipulowania opinią publiczną w różnych państwach członkowskich; wzywa Komisję i państwa członkowskie do monitorowania tej sytuacji oraz do stosowania aktu o usługach cyfrowych</w:t>
            </w:r>
            <w:r>
              <w:rPr>
                <w:vertAlign w:val="superscript"/>
              </w:rPr>
              <w:t>44</w:t>
            </w:r>
            <w:r>
              <w:t xml:space="preserve"> i aktu o rynkach cyfrowych</w:t>
            </w:r>
            <w:r>
              <w:rPr>
                <w:vertAlign w:val="superscript"/>
              </w:rPr>
              <w:t>45</w:t>
            </w:r>
            <w:r>
              <w:t>, w tym w odpowiedzi na niedawną decyzję Mety w sprawie mechanizmów weryfikacji faktów;</w:t>
            </w:r>
          </w:p>
        </w:tc>
        <w:tc>
          <w:tcPr>
            <w:tcW w:w="4876" w:type="dxa"/>
            <w:tcBorders>
              <w:top w:val="nil"/>
              <w:left w:val="nil"/>
              <w:bottom w:val="nil"/>
              <w:right w:val="nil"/>
            </w:tcBorders>
          </w:tcPr>
          <w:p w:rsidR="007A0039" w:rsidRPr="00EA7539" w:rsidRDefault="007A0039" w:rsidP="008F6778">
            <w:pPr>
              <w:pStyle w:val="Normal6a"/>
            </w:pPr>
            <w:r>
              <w:t>25.</w:t>
            </w:r>
            <w:r>
              <w:tab/>
              <w:t>wyraża zaniepokojenie ingerencjami zagranicznymi w państwach członkowskich, w tym manipulacjami w mediach społecznościowych i dezinformacją; odnotowuje niedopuszczalne inicjatywy</w:t>
            </w:r>
            <w:r>
              <w:rPr>
                <w:b/>
                <w:i/>
              </w:rPr>
              <w:t>, w tym inicjatywy</w:t>
            </w:r>
            <w:r>
              <w:t xml:space="preserve"> Elona Muska</w:t>
            </w:r>
            <w:r>
              <w:rPr>
                <w:b/>
                <w:i/>
              </w:rPr>
              <w:t>,</w:t>
            </w:r>
            <w:r>
              <w:t xml:space="preserve"> polegające na wykorzystywaniu platform mediów społecznościowych do manipulowania opinią publiczną w różnych państwach członkowskich; wzywa Komisję i państwa członkowskie do monitorowania tej sytuacji oraz do</w:t>
            </w:r>
            <w:r>
              <w:rPr>
                <w:b/>
                <w:i/>
              </w:rPr>
              <w:t xml:space="preserve"> restrykcyjnego</w:t>
            </w:r>
            <w:r>
              <w:t xml:space="preserve"> stosowania aktu o usługach cyfrowych</w:t>
            </w:r>
            <w:r>
              <w:rPr>
                <w:vertAlign w:val="superscript"/>
              </w:rPr>
              <w:t>44</w:t>
            </w:r>
            <w:r>
              <w:t xml:space="preserve"> i aktu o rynkach cyfrowych</w:t>
            </w:r>
            <w:r>
              <w:rPr>
                <w:vertAlign w:val="superscript"/>
              </w:rPr>
              <w:t>45</w:t>
            </w:r>
            <w:r>
              <w:t>, w tym w odpowiedzi na niedawną decyzję Mety w sprawie mechanizmów weryfikacji faktów;</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_________________</w:t>
            </w:r>
          </w:p>
        </w:tc>
        <w:tc>
          <w:tcPr>
            <w:tcW w:w="4876" w:type="dxa"/>
            <w:tcBorders>
              <w:top w:val="nil"/>
              <w:left w:val="nil"/>
              <w:bottom w:val="nil"/>
              <w:right w:val="nil"/>
            </w:tcBorders>
          </w:tcPr>
          <w:p w:rsidR="007A0039" w:rsidRPr="00EA7539" w:rsidRDefault="007A0039" w:rsidP="008F6778">
            <w:pPr>
              <w:pStyle w:val="Normal6a"/>
            </w:pPr>
            <w:r>
              <w:rPr>
                <w:b/>
                <w:i/>
              </w:rPr>
              <w:t>_________________</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vertAlign w:val="superscript"/>
              </w:rPr>
              <w:t xml:space="preserve">44 </w:t>
            </w:r>
            <w:r>
              <w:t>Rozporządzenie Parlamentu Europejskiego i Rady (UE) 2022/2065 z dnia 19 października 2022 r. w sprawie jednolitego rynku usług cyfrowych oraz zmiany dyrektywy 2000/31/WE (akt o usługach cyfrowych) (Dz.U. L 277 z 27.10.2022, s. 1, ELI: http://data.europa.eu/eli/reg/2022/2065/oj).</w:t>
            </w:r>
          </w:p>
        </w:tc>
        <w:tc>
          <w:tcPr>
            <w:tcW w:w="4876" w:type="dxa"/>
            <w:tcBorders>
              <w:top w:val="nil"/>
              <w:left w:val="nil"/>
              <w:bottom w:val="nil"/>
              <w:right w:val="nil"/>
            </w:tcBorders>
          </w:tcPr>
          <w:p w:rsidR="007A0039" w:rsidRPr="00EA7539" w:rsidRDefault="007A0039" w:rsidP="008F6778">
            <w:pPr>
              <w:pStyle w:val="Normal6a"/>
            </w:pPr>
            <w:r>
              <w:rPr>
                <w:vertAlign w:val="superscript"/>
              </w:rPr>
              <w:t xml:space="preserve">44 </w:t>
            </w:r>
            <w:r>
              <w:t>Rozporządzenie Parlamentu Europejskiego i Rady (UE) 2022/2065 z dnia 19 października 2022 r. w sprawie jednolitego rynku usług cyfrowych oraz zmiany dyrektywy 2000/31/WE (akt o usługach cyfrowych) (Dz.U. L 277 z 27.10.2022, s. 1, ELI: http://data.europa.eu/eli/reg/2022/2065/oj).</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vertAlign w:val="superscript"/>
              </w:rPr>
              <w:t>45</w:t>
            </w:r>
            <w:r>
              <w:t xml:space="preserve"> Rozporządzenie Parlamentu Europejskiego i Rady (UE) 2022/1925 z dnia 14 września 2022 r. w sprawie kontestowalnych i uczciwych rynków w sektorze cyfrowym oraz zmiany dyrektyw (UE) 2019/1937 i (UE) 2020/1828 (akt o rynkach cyfrowych) (Dz.U. L 265 z 12.10.2022, s. 1, ELI: https://data.europa.eu/eli/reg/2022/1925/oj).</w:t>
            </w:r>
          </w:p>
        </w:tc>
        <w:tc>
          <w:tcPr>
            <w:tcW w:w="4876" w:type="dxa"/>
            <w:tcBorders>
              <w:top w:val="nil"/>
              <w:left w:val="nil"/>
              <w:bottom w:val="nil"/>
              <w:right w:val="nil"/>
            </w:tcBorders>
          </w:tcPr>
          <w:p w:rsidR="007A0039" w:rsidRPr="00EA7539" w:rsidRDefault="007A0039" w:rsidP="008F6778">
            <w:pPr>
              <w:pStyle w:val="Normal6a"/>
            </w:pPr>
            <w:r>
              <w:rPr>
                <w:vertAlign w:val="superscript"/>
              </w:rPr>
              <w:t>45</w:t>
            </w:r>
            <w:r>
              <w:t xml:space="preserve"> Rozporządzenie Parlamentu Europejskiego i Rady (UE) 2022/1925 z dnia 14 września 2022 r. w sprawie kontestowalnych i uczciwych rynków w sektorze cyfrowym oraz zmiany dyrektyw (UE) 2019/1937 i (UE) 2020/1828 (akt o rynkach cyfrowych) (Dz.U. L 265 z 12.10.2022, s. 1, ELI: https://data.europa.eu/eli/reg/2022/1925/oj).</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596</w:t>
      </w:r>
      <w:r>
        <w:rPr>
          <w:rStyle w:val="HideTWBExt"/>
        </w:rPr>
        <w:t>&lt;/NumAm&gt;</w:t>
      </w:r>
    </w:p>
    <w:p w:rsidR="007A0039" w:rsidRPr="00EA7539" w:rsidRDefault="007A0039" w:rsidP="007A0039">
      <w:pPr>
        <w:pStyle w:val="NormalBold"/>
      </w:pPr>
      <w:r>
        <w:rPr>
          <w:rStyle w:val="HideTWBExt"/>
          <w:b w:val="0"/>
        </w:rPr>
        <w:t>&lt;RepeatBlock-By&gt;&lt;Members&gt;</w:t>
      </w:r>
      <w:r>
        <w:t>Veronika Cifrová Ostrihoňová</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25a.</w:t>
            </w:r>
            <w:r>
              <w:tab/>
            </w:r>
            <w:r>
              <w:rPr>
                <w:b/>
                <w:i/>
              </w:rPr>
              <w:t>podkreśla potrzebę zajęcia się skoordynowanymi kampaniami dezinformacyjnymi, takimi jak kampanie z udziałem sieci trolli, co do których stwierdzono, że mają wpływ na opinię publiczną przed wyborami; podkreśla znaczenie skutecznego wdrożenia aktu o usługach cyfrowych w celu zapewnienia, aby platformy podejmowały proaktywne środki przeciwko rozpowszechnianiu fałszywych narracji; wzywa Komisję do egzekwowania przestrzegania obowiązków wynikających z aktu o usługach cyfrowych w zakresie przejrzystości algorytmicznej i ograniczania ryzyka;</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597</w:t>
      </w:r>
      <w:r>
        <w:rPr>
          <w:rStyle w:val="HideTWBExt"/>
        </w:rPr>
        <w:t>&lt;/NumAm&gt;</w:t>
      </w:r>
    </w:p>
    <w:p w:rsidR="007A0039" w:rsidRPr="00EA7539" w:rsidRDefault="007A0039" w:rsidP="007A0039">
      <w:pPr>
        <w:pStyle w:val="NormalBold"/>
      </w:pPr>
      <w:r>
        <w:rPr>
          <w:rStyle w:val="HideTWBExt"/>
          <w:b w:val="0"/>
        </w:rPr>
        <w:t>&lt;RepeatBlock-By&gt;&lt;Members&gt;</w:t>
      </w:r>
      <w:r>
        <w:t>Sebastian Tynkkynen</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25a.</w:t>
            </w:r>
            <w:r>
              <w:tab/>
            </w:r>
            <w:r>
              <w:rPr>
                <w:b/>
                <w:i/>
              </w:rPr>
              <w:t>pozytywnie odnosi się do niedawnej decyzji Mety o rezygnacji z weryfikatorów faktów na rzecz sprawdzania treści na poziomie społeczności na wzór serwisu X; jest zdania, że sieci weryfikatorów faktów nie działały bezstronnie; uważa, że jeśli chodzi o wolność wypowiedzi, niezmiernie ważne jest, aby ludzie o różnych poglądach mieli równe możliwości wyrażania swoich opinii bez cenzury;</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{FI}</w:t>
      </w:r>
      <w:r w:rsidRPr="00EA7539">
        <w:t>fi</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598</w:t>
      </w:r>
      <w:r>
        <w:rPr>
          <w:rStyle w:val="HideTWBExt"/>
        </w:rPr>
        <w:t>&lt;/NumAm&gt;</w:t>
      </w:r>
    </w:p>
    <w:p w:rsidR="007A0039" w:rsidRPr="00EA7539" w:rsidRDefault="007A0039" w:rsidP="007A0039">
      <w:pPr>
        <w:pStyle w:val="NormalBold"/>
      </w:pPr>
      <w:r>
        <w:rPr>
          <w:rStyle w:val="HideTWBExt"/>
          <w:b w:val="0"/>
        </w:rPr>
        <w:t>&lt;RepeatBlock-By&gt;&lt;Members&gt;</w:t>
      </w:r>
      <w:r>
        <w:t>Alessandro Ciriani, Paolo Inselvini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25a.</w:t>
            </w:r>
            <w:r>
              <w:tab/>
            </w:r>
            <w:r>
              <w:rPr>
                <w:b/>
                <w:i/>
              </w:rPr>
              <w:t>podkreśla potrzebę bardziej przejrzystego i zrównoważonego podejścia do kwestii obcych ingerencji, zwłaszcza w mediach społecznościowych. Komisja powinna unikać upolityczniania debaty, aby obierać za cel konkretne osoby lub orientacje polityczne, jak w przypadku ataków na osoby fizyczne;</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{IT}</w:t>
      </w:r>
      <w:r w:rsidRPr="00EA7539">
        <w:t>it</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sidRPr="00EA7539">
        <w:rPr>
          <w:rStyle w:val="HideTWBExt"/>
        </w:rPr>
        <w:t>&lt;Amend&gt;</w:t>
      </w:r>
      <w:r w:rsidRPr="00EA7539">
        <w:t>Poprawka</w:t>
      </w:r>
      <w:r w:rsidRPr="00EA7539">
        <w:tab/>
      </w:r>
      <w:r w:rsidRPr="00EA7539">
        <w:tab/>
      </w:r>
      <w:r w:rsidRPr="00EA7539">
        <w:rPr>
          <w:rStyle w:val="HideTWBExt"/>
        </w:rPr>
        <w:t>&lt;NumAm&gt;</w:t>
      </w:r>
      <w:r w:rsidRPr="00EA7539">
        <w:t>599</w:t>
      </w:r>
      <w:r w:rsidRPr="00EA7539">
        <w:rPr>
          <w:rStyle w:val="HideTWBExt"/>
        </w:rPr>
        <w:t>&lt;/NumAm&gt;</w:t>
      </w:r>
    </w:p>
    <w:p w:rsidR="007A0039" w:rsidRPr="00EA7539" w:rsidRDefault="007A0039" w:rsidP="007A0039">
      <w:pPr>
        <w:pStyle w:val="NormalBold"/>
      </w:pPr>
      <w:r w:rsidRPr="00EA7539">
        <w:rPr>
          <w:rStyle w:val="HideTWBExt"/>
          <w:b w:val="0"/>
        </w:rPr>
        <w:t>&lt;RepeatBlock-By&gt;&lt;Members&gt;</w:t>
      </w:r>
      <w:r w:rsidRPr="00EA7539">
        <w:t>Mariusz Kamiński, Joachim Stanisław Brudziński, Jadwiga Wiśniewska, Maciej Wąsik, Jacek Ozdoba</w:t>
      </w:r>
      <w:r w:rsidRPr="00EA7539">
        <w:rPr>
          <w:rStyle w:val="HideTWBExt"/>
          <w:b w:val="0"/>
        </w:rPr>
        <w:t>&lt;/Members&gt;</w:t>
      </w:r>
    </w:p>
    <w:p w:rsidR="007A0039" w:rsidRPr="00EA7539" w:rsidRDefault="007A0039" w:rsidP="007A0039">
      <w:pPr>
        <w:pStyle w:val="NormalBold"/>
      </w:pPr>
      <w:r w:rsidRPr="00EA7539">
        <w:rPr>
          <w:rStyle w:val="HideTWBExt"/>
          <w:b w:val="0"/>
        </w:rPr>
        <w:t>&lt;/RepeatBlock-By&gt;</w:t>
      </w:r>
    </w:p>
    <w:p w:rsidR="007A0039" w:rsidRPr="00EA7539" w:rsidRDefault="007A0039" w:rsidP="007A0039">
      <w:pPr>
        <w:pStyle w:val="NormalBold"/>
      </w:pPr>
      <w:r w:rsidRPr="00EA7539">
        <w:rPr>
          <w:rStyle w:val="HideTWBExt"/>
        </w:rPr>
        <w:t>&lt;DocAmend&gt;</w:t>
      </w:r>
      <w:r w:rsidRPr="00EA7539">
        <w:t>Projekt rezolucji</w:t>
      </w:r>
      <w:r w:rsidRPr="00EA7539">
        <w:rPr>
          <w:rStyle w:val="HideTWBExt"/>
        </w:rPr>
        <w:t>&lt;/DocAmend&gt;</w:t>
      </w:r>
    </w:p>
    <w:p w:rsidR="007A0039" w:rsidRPr="00EA7539" w:rsidRDefault="007A0039" w:rsidP="007A0039">
      <w:pPr>
        <w:pStyle w:val="NormalBold"/>
      </w:pPr>
      <w:r w:rsidRPr="00EA7539">
        <w:rPr>
          <w:rStyle w:val="HideTWBExt"/>
        </w:rPr>
        <w:t>&lt;Article&gt;</w:t>
      </w:r>
      <w:r w:rsidRPr="00EA7539">
        <w:t>Ustęp 25 a (nowy)</w:t>
      </w:r>
      <w:r w:rsidRPr="00EA7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RPr="00EA75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RPr="00EA75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rsidRPr="00EA7539">
              <w:t>Projekt rezolucji</w:t>
            </w:r>
          </w:p>
        </w:tc>
        <w:tc>
          <w:tcPr>
            <w:tcW w:w="4876" w:type="dxa"/>
            <w:tcBorders>
              <w:top w:val="nil"/>
              <w:left w:val="nil"/>
              <w:bottom w:val="nil"/>
              <w:right w:val="nil"/>
            </w:tcBorders>
          </w:tcPr>
          <w:p w:rsidR="007A0039" w:rsidRPr="00EA7539" w:rsidRDefault="007A0039" w:rsidP="008F6778">
            <w:pPr>
              <w:pStyle w:val="AmColumnHeading"/>
            </w:pPr>
            <w:r w:rsidRPr="00EA7539">
              <w:t>Poprawka</w:t>
            </w:r>
          </w:p>
        </w:tc>
      </w:tr>
      <w:tr w:rsidR="007A0039" w:rsidRPr="00EA75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25</w:t>
            </w:r>
            <w:r w:rsidRPr="00EA7539">
              <w:rPr>
                <w:b/>
                <w:i/>
              </w:rPr>
              <w:t>a.</w:t>
            </w:r>
            <w:r w:rsidRPr="00EA7539">
              <w:tab/>
            </w:r>
            <w:r w:rsidRPr="00EA7539">
              <w:rPr>
                <w:b/>
                <w:i/>
              </w:rPr>
              <w:t>uważa za niedopuszczalne pozbawianie opozycji wbrew wyrokom sądów środków finansowych; wskazuje, iż taka praktyka łamie zasady demokracji, poważnie zaburzając proces wyborczy, a w konsekwencji podważając wynik wyborów; apeluje do ODIHR o wzięcie pod uwagę tych zarzutów w ramach monitoringu wyborów w Polsce;</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{PL}</w:t>
      </w:r>
      <w:r w:rsidRPr="00EA7539">
        <w:t>pl</w:t>
      </w:r>
      <w:r w:rsidRPr="00EA7539">
        <w:rPr>
          <w:rStyle w:val="HideTWBExt"/>
        </w:rPr>
        <w:t>&lt;/Original&gt;</w:t>
      </w:r>
    </w:p>
    <w:p w:rsidR="007A0039" w:rsidRPr="00EA7539" w:rsidRDefault="007A0039" w:rsidP="007A0039">
      <w:r w:rsidRPr="00EA7539">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600</w:t>
      </w:r>
      <w:r>
        <w:rPr>
          <w:rStyle w:val="HideTWBExt"/>
        </w:rPr>
        <w:t>&lt;/NumAm&gt;</w:t>
      </w:r>
    </w:p>
    <w:p w:rsidR="007A0039" w:rsidRPr="00EA7539" w:rsidRDefault="007A0039" w:rsidP="007A0039">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25a.</w:t>
            </w:r>
            <w:r>
              <w:tab/>
            </w:r>
            <w:r>
              <w:rPr>
                <w:b/>
                <w:i/>
              </w:rPr>
              <w:t>podkreśla znaczenie wolności nauki jako integralnego aspektu praworządności i wzywa państwa członkowskie do ochrony uniwersytetów przed ingerencjami politycznymi oraz do zapewnienia niezależności instytucji;</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601</w:t>
      </w:r>
      <w:r>
        <w:rPr>
          <w:rStyle w:val="HideTWBExt"/>
        </w:rPr>
        <w:t>&lt;/NumAm&gt;</w:t>
      </w:r>
    </w:p>
    <w:p w:rsidR="007A0039" w:rsidRPr="00EA7539" w:rsidRDefault="007A0039" w:rsidP="007A0039">
      <w:pPr>
        <w:pStyle w:val="NormalBold"/>
      </w:pPr>
      <w:r>
        <w:rPr>
          <w:rStyle w:val="HideTWBExt"/>
          <w:b w:val="0"/>
        </w:rPr>
        <w:t>&lt;RepeatBlock-By&gt;&lt;Members&gt;</w:t>
      </w:r>
      <w:r>
        <w:t>Raquel García Hermida-Van Der Walle, Fabienne Keller, Sophie Wilmès, Moritz Körner, Abir Al-Sahlani, Sigrid Friis, Lucia Yar</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Śródtytuł 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Korzystanie z oprogramowania szpiegującego</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602</w:t>
      </w:r>
      <w:r>
        <w:rPr>
          <w:rStyle w:val="HideTWBExt"/>
        </w:rPr>
        <w:t>&lt;/NumAm&gt;</w:t>
      </w:r>
    </w:p>
    <w:p w:rsidR="007A0039" w:rsidRPr="00EA7539" w:rsidRDefault="007A0039" w:rsidP="007A0039">
      <w:pPr>
        <w:pStyle w:val="NormalBold"/>
      </w:pPr>
      <w:r>
        <w:rPr>
          <w:rStyle w:val="HideTWBExt"/>
          <w:b w:val="0"/>
        </w:rPr>
        <w:t>&lt;RepeatBlock-By&gt;&lt;Members&gt;</w:t>
      </w:r>
      <w:r>
        <w:t>Raquel García Hermida-Van Der Walle, Fabienne Keller, Sophie Wilmès, Moritz Körner, Abir Al-Sahlani, Sigrid Friis, Lucia Yar</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25b.</w:t>
            </w:r>
            <w:r>
              <w:tab/>
            </w:r>
            <w:r>
              <w:rPr>
                <w:b/>
                <w:i/>
              </w:rPr>
              <w:t>ubolewa nad brakiem działań następczych ze strony Rady i Komisji w związku z zaleceniem Parlamentu Europejskiego z 15 czerwca 2023 r. w sprawie nielegalnego stosowania oprogramowania Pegasus i równoważnego oprogramowania szpiegowskiego służącego inwigilacji; wzywa Komisję do przedstawienia bez zbędnej zwłoki planu działania na rzecz zapobiegania niewłaściwemu wykorzystywaniu oprogramowania szpiegowskiego w UE, przy pełnym wykorzystaniu wszystkich dostępnych środków legislacyjnych przewidzianych w traktatach europejskich;</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603</w:t>
      </w:r>
      <w:r>
        <w:rPr>
          <w:rStyle w:val="HideTWBExt"/>
        </w:rPr>
        <w:t>&lt;/NumAm&gt;</w:t>
      </w:r>
    </w:p>
    <w:p w:rsidR="007A0039" w:rsidRPr="00EA7539" w:rsidRDefault="007A0039" w:rsidP="007A0039">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25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25b.</w:t>
            </w:r>
            <w:r>
              <w:tab/>
            </w:r>
            <w:r>
              <w:rPr>
                <w:b/>
                <w:i/>
              </w:rPr>
              <w:t>ponownie wyraża zaniepokojenie faktem, że w niektórych państwach członkowskich ponownie nasilają się akty antysemickie; ubolewa nad przypadkami, w których organy ścigania zezwoliły swoim urzędnikom na odmowę ochrony instytucji i społeczności żydowskich; apeluje o prowadzenie stałych działań zarówno na szczeblu unijnym, jak i krajowym w celu monitorowania, zapobiegania i ścigania przestępstw z nienawiści na tle antysemickim oraz ochrony społeczności żydowskich przed prześladowaniami lub przemocą;</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604</w:t>
      </w:r>
      <w:r>
        <w:rPr>
          <w:rStyle w:val="HideTWBExt"/>
        </w:rPr>
        <w:t>&lt;/NumAm&gt;</w:t>
      </w:r>
    </w:p>
    <w:p w:rsidR="007A0039" w:rsidRPr="00EA7539" w:rsidRDefault="007A0039" w:rsidP="007A0039">
      <w:pPr>
        <w:pStyle w:val="NormalBold"/>
      </w:pPr>
      <w:r>
        <w:rPr>
          <w:rStyle w:val="HideTWBExt"/>
          <w:b w:val="0"/>
        </w:rPr>
        <w:t>&lt;RepeatBlock-By&gt;&lt;Members&gt;</w:t>
      </w:r>
      <w:r>
        <w:t>Veronika Cifrová Ostrihoňová</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25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25b.</w:t>
            </w:r>
            <w:r>
              <w:tab/>
            </w:r>
            <w:r>
              <w:rPr>
                <w:b/>
                <w:i/>
              </w:rPr>
              <w:t>wyraża głębokie zaniepokojenie faktem, że duże platformy cyfrowe często nie współpracują w wystarczającym stopniu z krajowymi organami ścigania, zwłaszcza w mniejszych państwach członkowskich, co może utrudniać dochodzenia w sprawie nielegalnej działalności w internecie;</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605</w:t>
      </w:r>
      <w:r>
        <w:rPr>
          <w:rStyle w:val="HideTWBExt"/>
        </w:rPr>
        <w:t>&lt;/NumAm&gt;</w:t>
      </w:r>
    </w:p>
    <w:p w:rsidR="007A0039" w:rsidRPr="00EA7539" w:rsidRDefault="007A0039" w:rsidP="007A0039">
      <w:pPr>
        <w:pStyle w:val="NormalBold"/>
      </w:pPr>
      <w:r>
        <w:rPr>
          <w:rStyle w:val="HideTWBExt"/>
          <w:b w:val="0"/>
        </w:rPr>
        <w:t>&lt;RepeatBlock-By&gt;&lt;Members&gt;</w:t>
      </w:r>
      <w:r>
        <w:t>Moritz Körner, Hilde Vautmans, Nikola Minchev, Veronika Cifrová Ostrihoňová, Chloé Ridel, Abir Al-Sahlani, Fabienne Keller, Lucia Yar, Irena Joveva, Isabel Wiseler-Lima</w:t>
      </w:r>
      <w:r>
        <w:rPr>
          <w:rStyle w:val="HideTWBExt"/>
          <w:b w:val="0"/>
        </w:rPr>
        <w:t>&lt;/Members&gt;</w:t>
      </w:r>
    </w:p>
    <w:p w:rsidR="007A0039" w:rsidRPr="00EA7539" w:rsidRDefault="007A0039" w:rsidP="007A0039">
      <w:r>
        <w:rPr>
          <w:rStyle w:val="HideTWBExt"/>
        </w:rPr>
        <w:t>&lt;AuNomDe&gt;</w:t>
      </w:r>
      <w:r>
        <w:rPr>
          <w:rStyle w:val="HideTWBInt"/>
        </w:rPr>
        <w:t>{LIBE}</w:t>
      </w:r>
      <w:r>
        <w:t>w imieniu Komisji Wolności Obywatelskich, Sprawiedliwości i Spraw Wewnętrznych</w:t>
      </w:r>
      <w:r>
        <w:rPr>
          <w:rStyle w:val="HideTWBExt"/>
        </w:rPr>
        <w:t>&lt;/AuNomDe&gt;</w:t>
      </w:r>
    </w:p>
    <w:p w:rsidR="007A0039" w:rsidRPr="00EA7539" w:rsidRDefault="007A0039" w:rsidP="007A0039">
      <w:pPr>
        <w:pStyle w:val="NormalBold"/>
      </w:pPr>
      <w:r>
        <w:rPr>
          <w:rStyle w:val="HideTWBExt"/>
          <w:b w:val="0"/>
        </w:rPr>
        <w:t>&lt;Members&gt;</w:t>
      </w:r>
      <w:r>
        <w:t>Sophie Wilmès</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25a.</w:t>
            </w:r>
            <w:r>
              <w:tab/>
            </w:r>
            <w:r>
              <w:rPr>
                <w:b/>
                <w:i/>
              </w:rPr>
              <w:t>wzywa Komisję, aby w filarze 3 (Pluralizm i wolność mediów) swojego sprawozdania na temat praworządności uwzględniła specjalną podsekcję dotyczącą środków zwalczania dezinformacji na platformach internetowych;</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606</w:t>
      </w:r>
      <w:r>
        <w:rPr>
          <w:rStyle w:val="HideTWBExt"/>
        </w:rPr>
        <w:t>&lt;/NumAm&gt;</w:t>
      </w:r>
    </w:p>
    <w:p w:rsidR="007A0039" w:rsidRPr="00EA7539" w:rsidRDefault="007A0039" w:rsidP="007A0039">
      <w:pPr>
        <w:pStyle w:val="NormalBold"/>
      </w:pPr>
      <w:r>
        <w:rPr>
          <w:rStyle w:val="HideTWBExt"/>
          <w:b w:val="0"/>
        </w:rPr>
        <w:t>&lt;RepeatBlock-By&gt;&lt;Members&gt;</w:t>
      </w:r>
      <w:r>
        <w:t>Nikola Minchev, Moritz Körner, Hilde Vautmans, Veronika Cifrová Ostrihoňová, Chloé Ridel, Abir Al-Sahlani, Alessandro Zan, Fabienne Keller, Lucia Yar, Irena Joveva, Isabel Wiseler-Lima, Daniel Freund</w:t>
      </w:r>
      <w:r>
        <w:rPr>
          <w:rStyle w:val="HideTWBExt"/>
          <w:b w:val="0"/>
        </w:rPr>
        <w:t>&lt;/Members&gt;</w:t>
      </w:r>
    </w:p>
    <w:p w:rsidR="007A0039" w:rsidRPr="00EA7539" w:rsidRDefault="007A0039" w:rsidP="007A0039">
      <w:r>
        <w:rPr>
          <w:rStyle w:val="HideTWBExt"/>
        </w:rPr>
        <w:t>&lt;AuNomDe&gt;</w:t>
      </w:r>
      <w:r>
        <w:rPr>
          <w:rStyle w:val="HideTWBInt"/>
        </w:rPr>
        <w:t>{LIBE}</w:t>
      </w:r>
      <w:r>
        <w:t>w imieniu Komisji Wolności Obywatelskich, Sprawiedliwości i Spraw Wewnętrznych</w:t>
      </w:r>
      <w:r>
        <w:rPr>
          <w:rStyle w:val="HideTWBExt"/>
        </w:rPr>
        <w:t>&lt;/AuNomDe&gt;</w:t>
      </w:r>
    </w:p>
    <w:p w:rsidR="007A0039" w:rsidRPr="00EA7539" w:rsidRDefault="007A0039" w:rsidP="007A0039">
      <w:pPr>
        <w:pStyle w:val="NormalBold"/>
      </w:pPr>
      <w:r>
        <w:rPr>
          <w:rStyle w:val="HideTWBExt"/>
          <w:b w:val="0"/>
        </w:rPr>
        <w:t>&lt;Members&gt;</w:t>
      </w:r>
      <w:r>
        <w:t>Sophie Wilmès</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25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25b.</w:t>
            </w:r>
            <w:r>
              <w:tab/>
            </w:r>
            <w:r>
              <w:rPr>
                <w:b/>
                <w:i/>
              </w:rPr>
              <w:t>przypomina o potrzebie zapewnienia solidnych zabezpieczeń w zakresie ochrony danych, gdy państwa członkowskie lub organy krajowe stosują oprogramowanie do inwigilacji; przypomina, że stosowanie oprogramowania szpiegowskiego musi być proporcjonalne;</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607</w:t>
      </w:r>
      <w:r>
        <w:rPr>
          <w:rStyle w:val="HideTWBExt"/>
        </w:rPr>
        <w:t>&lt;/NumAm&gt;</w:t>
      </w:r>
    </w:p>
    <w:p w:rsidR="007A0039" w:rsidRPr="00EA7539" w:rsidRDefault="007A0039" w:rsidP="007A0039">
      <w:pPr>
        <w:pStyle w:val="NormalBold"/>
      </w:pPr>
      <w:r>
        <w:rPr>
          <w:rStyle w:val="HideTWBExt"/>
          <w:b w:val="0"/>
        </w:rPr>
        <w:t>&lt;RepeatBlock-By&gt;&lt;Members&gt;</w:t>
      </w:r>
      <w:r>
        <w:t>Daniel Freund</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25a.</w:t>
            </w:r>
            <w:r>
              <w:tab/>
            </w:r>
            <w:r>
              <w:rPr>
                <w:b/>
                <w:i/>
              </w:rPr>
              <w:t>przyznaje, że sprawozdanie Komisji na temat praworządności stało się bardziej kompleksowe niż początkowo (2020 r.); ubolewa jednak, że zasadnicze elementy rezolucji Parlamentu z 2016 r. nie zostały jeszcze wdrożone i że Komisja nie zastosowała się w pełni do zaleceń sformułowanych przez Parlament w poprzednich rezolucjach; uważa, że zalecenia te pozostają aktualne, i przypomina o nich; apeluje o uwzględnienie w sprawozdaniu rocznym brakujących istotnych elementów listy kontrolnej Komisji Weneckiej dotyczącej praworządności, takich jak zapobieganie nadużywaniu władzy, równość wobec prawa i niedyskryminacja; podtrzymuje swoje stanowisko, że sprawozdanie powinno obejmować pełny zakres wartości określonych w art. 2 TUE, ponieważ nie można ich rozpatrywać oddzielnie; wzywa Komisję, aby w przyszłym roku rozszerzyła zakres sprawozdania;</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608</w:t>
      </w:r>
      <w:r>
        <w:rPr>
          <w:rStyle w:val="HideTWBExt"/>
        </w:rPr>
        <w:t>&lt;/NumAm&gt;</w:t>
      </w:r>
    </w:p>
    <w:p w:rsidR="007A0039" w:rsidRPr="00EA7539" w:rsidRDefault="007A0039" w:rsidP="007A0039">
      <w:pPr>
        <w:pStyle w:val="NormalBold"/>
      </w:pPr>
      <w:r>
        <w:rPr>
          <w:rStyle w:val="HideTWBExt"/>
          <w:b w:val="0"/>
        </w:rPr>
        <w:t>&lt;RepeatBlock-By&gt;&lt;Members&gt;</w:t>
      </w:r>
      <w:r>
        <w:t>Nikola Minchev, Moritz Körner, Hilde Vautmans, Veronika Cifrová Ostrihoňová, Chloé Ridel, Abir Al-Sahlani, Fabienne Keller, Lucia Yar, Irena Joveva, Isabel Wiseler-Lima</w:t>
      </w:r>
      <w:r>
        <w:rPr>
          <w:rStyle w:val="HideTWBExt"/>
          <w:b w:val="0"/>
        </w:rPr>
        <w:t>&lt;/Members&gt;</w:t>
      </w:r>
    </w:p>
    <w:p w:rsidR="007A0039" w:rsidRPr="00EA7539" w:rsidRDefault="007A0039" w:rsidP="007A0039">
      <w:r>
        <w:rPr>
          <w:rStyle w:val="HideTWBExt"/>
        </w:rPr>
        <w:t>&lt;AuNomDe&gt;</w:t>
      </w:r>
      <w:r>
        <w:rPr>
          <w:rStyle w:val="HideTWBInt"/>
        </w:rPr>
        <w:t>{LIBE}</w:t>
      </w:r>
      <w:r>
        <w:t>w imieniu Komisji Wolności Obywatelskich, Sprawiedliwości i Spraw Wewnętrznych</w:t>
      </w:r>
      <w:r>
        <w:rPr>
          <w:rStyle w:val="HideTWBExt"/>
        </w:rPr>
        <w:t>&lt;/AuNomDe&gt;</w:t>
      </w:r>
    </w:p>
    <w:p w:rsidR="007A0039" w:rsidRPr="00EA7539" w:rsidRDefault="007A0039" w:rsidP="007A0039">
      <w:pPr>
        <w:pStyle w:val="NormalBold"/>
      </w:pPr>
      <w:r>
        <w:rPr>
          <w:rStyle w:val="HideTWBExt"/>
          <w:b w:val="0"/>
        </w:rPr>
        <w:t>&lt;Members&gt;</w:t>
      </w:r>
      <w:r>
        <w:t>Sophie Wilmès</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Śródtytuł 8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zachęca państwa członkowskie do podjęcia wszelkich działań w celu promowania kultury praworządności poprzez kampanie uświadamiające, inicjatywy informacyjne i wszelkie środki mające na celu promowanie wartości i zasad demokratycznych;</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609</w:t>
      </w:r>
      <w:r>
        <w:rPr>
          <w:rStyle w:val="HideTWBExt"/>
        </w:rPr>
        <w:t>&lt;/NumAm&gt;</w:t>
      </w:r>
    </w:p>
    <w:p w:rsidR="007A0039" w:rsidRPr="00EA7539" w:rsidRDefault="007A0039" w:rsidP="007A0039">
      <w:pPr>
        <w:pStyle w:val="NormalBold"/>
      </w:pPr>
      <w:r>
        <w:rPr>
          <w:rStyle w:val="HideTWBExt"/>
          <w:b w:val="0"/>
        </w:rPr>
        <w:t>&lt;RepeatBlock-By&gt;&lt;Members&gt;</w:t>
      </w:r>
      <w:r>
        <w:t>Nikola Minchev, Moritz Körner, Hilde Vautmans, Veronika Cifrová Ostrihoňová, Chloé Ridel, Abir Al-Sahlani, Fabienne Keller, Lucia Yar, Irena Joveva, Isabel Wiseler-Lima, Daniel Freund</w:t>
      </w:r>
      <w:r>
        <w:rPr>
          <w:rStyle w:val="HideTWBExt"/>
          <w:b w:val="0"/>
        </w:rPr>
        <w:t>&lt;/Members&gt;</w:t>
      </w:r>
    </w:p>
    <w:p w:rsidR="007A0039" w:rsidRPr="00EA7539" w:rsidRDefault="007A0039" w:rsidP="007A0039">
      <w:r>
        <w:rPr>
          <w:rStyle w:val="HideTWBExt"/>
        </w:rPr>
        <w:t>&lt;AuNomDe&gt;</w:t>
      </w:r>
      <w:r>
        <w:rPr>
          <w:rStyle w:val="HideTWBInt"/>
        </w:rPr>
        <w:t>{LIBE}</w:t>
      </w:r>
      <w:r>
        <w:t>w imieniu Komisji Wolności Obywatelskich, Sprawiedliwości i Spraw Wewnętrznych</w:t>
      </w:r>
      <w:r>
        <w:rPr>
          <w:rStyle w:val="HideTWBExt"/>
        </w:rPr>
        <w:t>&lt;/AuNomDe&gt;</w:t>
      </w:r>
    </w:p>
    <w:p w:rsidR="007A0039" w:rsidRPr="00EA7539" w:rsidRDefault="007A0039" w:rsidP="007A0039">
      <w:pPr>
        <w:pStyle w:val="NormalBold"/>
      </w:pPr>
      <w:r>
        <w:rPr>
          <w:rStyle w:val="HideTWBExt"/>
          <w:b w:val="0"/>
        </w:rPr>
        <w:t>&lt;Members&gt;</w:t>
      </w:r>
      <w:r>
        <w:t>Sophie Wilmès</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Śródtytuł 8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zauważa z zaniepokojeniem, że chociaż niektóre systemy sądowe mogą teoretycznie wydawać się solidne, to nie zawsze odpowiada to stanowi faktycznemu; zachęca Komisję do jak najczęstszego przeprowadzania wizyt w terenie oraz do stałego monitorowania rozwoju sytuacji na miejscu; apeluje do Komisji, aby przedstawiana przez nią ocena opierała się nie tylko na zmianach legislacyjnych, ale również na konkretnych i niezależnych dowodach ich wdrażania w praktyce;</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610</w:t>
      </w:r>
      <w:r>
        <w:rPr>
          <w:rStyle w:val="HideTWBExt"/>
        </w:rPr>
        <w:t>&lt;/NumAm&gt;</w:t>
      </w:r>
    </w:p>
    <w:p w:rsidR="007A0039" w:rsidRPr="00EA7539" w:rsidRDefault="007A0039" w:rsidP="007A0039">
      <w:pPr>
        <w:pStyle w:val="NormalBold"/>
      </w:pPr>
      <w:r>
        <w:rPr>
          <w:rStyle w:val="HideTWBExt"/>
          <w:b w:val="0"/>
        </w:rPr>
        <w:t>&lt;RepeatBlock-By&gt;&lt;Members&gt;</w:t>
      </w:r>
      <w:r>
        <w:t>Nikola Minchev, Moritz Körner, Hilde Vautmans, Veronika Cifrová Ostrihoňová, Chloé Ridel, Abir Al-Sahlani, Fabienne Keller, Lucia Yar, Irena Joveva, Isabel Wiseler-Lima, Daniel Freund</w:t>
      </w:r>
      <w:r>
        <w:rPr>
          <w:rStyle w:val="HideTWBExt"/>
          <w:b w:val="0"/>
        </w:rPr>
        <w:t>&lt;/Members&gt;</w:t>
      </w:r>
    </w:p>
    <w:p w:rsidR="007A0039" w:rsidRPr="00EA7539" w:rsidRDefault="007A0039" w:rsidP="007A0039">
      <w:r>
        <w:rPr>
          <w:rStyle w:val="HideTWBExt"/>
        </w:rPr>
        <w:t>&lt;AuNomDe&gt;</w:t>
      </w:r>
      <w:r>
        <w:rPr>
          <w:rStyle w:val="HideTWBInt"/>
        </w:rPr>
        <w:t>{LIBE}</w:t>
      </w:r>
      <w:r>
        <w:t>w imieniu Komisji Wolności Obywatelskich, Sprawiedliwości i Spraw Wewnętrznych</w:t>
      </w:r>
      <w:r>
        <w:rPr>
          <w:rStyle w:val="HideTWBExt"/>
        </w:rPr>
        <w:t>&lt;/AuNomDe&gt;</w:t>
      </w:r>
    </w:p>
    <w:p w:rsidR="007A0039" w:rsidRPr="00EA7539" w:rsidRDefault="007A0039" w:rsidP="007A0039">
      <w:pPr>
        <w:pStyle w:val="NormalBold"/>
      </w:pPr>
      <w:r>
        <w:rPr>
          <w:rStyle w:val="HideTWBExt"/>
          <w:b w:val="0"/>
        </w:rPr>
        <w:t>&lt;Members&gt;</w:t>
      </w:r>
      <w:r>
        <w:t>Sophie Wilmès</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Śródtytuł 8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zwraca się do Komisji o zbadanie, w jaki sposób wszystkie sprawozdania dotyczące praworządności lub praw podstawowych, takie jak roczne sprawozdania na temat stosowania Karty lub sprawozdanie Agencji Praw Podstawowych Unii Europejskiej, mogłyby być publikowane w podobnych terminach, aby umożliwić równoczesną globalną debatę na ten temat;</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sidRPr="00EA7539">
        <w:rPr>
          <w:rStyle w:val="HideTWBExt"/>
        </w:rPr>
        <w:t>&lt;Amend&gt;</w:t>
      </w:r>
      <w:r w:rsidRPr="00EA7539">
        <w:t>Poprawka</w:t>
      </w:r>
      <w:r w:rsidRPr="00EA7539">
        <w:tab/>
      </w:r>
      <w:r w:rsidRPr="00EA7539">
        <w:tab/>
      </w:r>
      <w:r w:rsidRPr="00EA7539">
        <w:rPr>
          <w:rStyle w:val="HideTWBExt"/>
        </w:rPr>
        <w:t>&lt;NumAm&gt;</w:t>
      </w:r>
      <w:r w:rsidRPr="00EA7539">
        <w:t>611</w:t>
      </w:r>
      <w:r w:rsidRPr="00EA7539">
        <w:rPr>
          <w:rStyle w:val="HideTWBExt"/>
        </w:rPr>
        <w:t>&lt;/NumAm&gt;</w:t>
      </w:r>
    </w:p>
    <w:p w:rsidR="007A0039" w:rsidRPr="00EA7539" w:rsidRDefault="007A0039" w:rsidP="007A0039">
      <w:pPr>
        <w:pStyle w:val="NormalBold"/>
      </w:pPr>
      <w:r w:rsidRPr="00EA7539">
        <w:rPr>
          <w:rStyle w:val="HideTWBExt"/>
          <w:b w:val="0"/>
        </w:rPr>
        <w:t>&lt;RepeatBlock-By&gt;&lt;Members&gt;</w:t>
      </w:r>
      <w:r w:rsidRPr="00EA7539">
        <w:t>Mariusz Kamiński, Joachim Stanisław Brudziński, Jadwiga Wiśniewska, Maciej Wąsik, Jacek Ozdoba</w:t>
      </w:r>
      <w:r w:rsidRPr="00EA7539">
        <w:rPr>
          <w:rStyle w:val="HideTWBExt"/>
          <w:b w:val="0"/>
        </w:rPr>
        <w:t>&lt;/Members&gt;</w:t>
      </w:r>
    </w:p>
    <w:p w:rsidR="007A0039" w:rsidRPr="00EA7539" w:rsidRDefault="007A0039" w:rsidP="007A0039">
      <w:pPr>
        <w:pStyle w:val="NormalBold"/>
      </w:pPr>
      <w:r w:rsidRPr="00EA7539">
        <w:rPr>
          <w:rStyle w:val="HideTWBExt"/>
          <w:b w:val="0"/>
        </w:rPr>
        <w:t>&lt;/RepeatBlock-By&gt;</w:t>
      </w:r>
    </w:p>
    <w:p w:rsidR="007A0039" w:rsidRPr="00EA7539" w:rsidRDefault="007A0039" w:rsidP="007A0039">
      <w:pPr>
        <w:pStyle w:val="NormalBold"/>
      </w:pPr>
      <w:r w:rsidRPr="00EA7539">
        <w:rPr>
          <w:rStyle w:val="HideTWBExt"/>
        </w:rPr>
        <w:t>&lt;DocAmend&gt;</w:t>
      </w:r>
      <w:r w:rsidRPr="00EA7539">
        <w:t>Projekt rezolucji</w:t>
      </w:r>
      <w:r w:rsidRPr="00EA7539">
        <w:rPr>
          <w:rStyle w:val="HideTWBExt"/>
        </w:rPr>
        <w:t>&lt;/DocAmend&gt;</w:t>
      </w:r>
    </w:p>
    <w:p w:rsidR="007A0039" w:rsidRPr="00EA7539" w:rsidRDefault="007A0039" w:rsidP="007A0039">
      <w:pPr>
        <w:pStyle w:val="NormalBold"/>
      </w:pPr>
      <w:r w:rsidRPr="00EA7539">
        <w:rPr>
          <w:rStyle w:val="HideTWBExt"/>
        </w:rPr>
        <w:t>&lt;Article&gt;</w:t>
      </w:r>
      <w:r w:rsidRPr="00EA7539">
        <w:t>Ustęp 26</w:t>
      </w:r>
      <w:r w:rsidRPr="00EA7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RPr="00EA75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RPr="00EA75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rsidRPr="00EA7539">
              <w:t>Projekt rezolucji</w:t>
            </w:r>
          </w:p>
        </w:tc>
        <w:tc>
          <w:tcPr>
            <w:tcW w:w="4876" w:type="dxa"/>
            <w:tcBorders>
              <w:top w:val="nil"/>
              <w:left w:val="nil"/>
              <w:bottom w:val="nil"/>
              <w:right w:val="nil"/>
            </w:tcBorders>
          </w:tcPr>
          <w:p w:rsidR="007A0039" w:rsidRPr="00EA7539" w:rsidRDefault="007A0039" w:rsidP="008F6778">
            <w:pPr>
              <w:pStyle w:val="AmColumnHeading"/>
            </w:pPr>
            <w:r w:rsidRPr="00EA7539">
              <w:t>Poprawka</w:t>
            </w:r>
          </w:p>
        </w:tc>
      </w:tr>
      <w:tr w:rsidR="007A0039" w:rsidRPr="00EA7539" w:rsidTr="008F6778">
        <w:trPr>
          <w:jc w:val="center"/>
        </w:trPr>
        <w:tc>
          <w:tcPr>
            <w:tcW w:w="4876" w:type="dxa"/>
            <w:tcBorders>
              <w:top w:val="nil"/>
              <w:left w:val="nil"/>
              <w:bottom w:val="nil"/>
              <w:right w:val="nil"/>
            </w:tcBorders>
          </w:tcPr>
          <w:p w:rsidR="007A0039" w:rsidRPr="00EA7539" w:rsidRDefault="007A0039" w:rsidP="008F6778">
            <w:pPr>
              <w:pStyle w:val="Normal6a"/>
            </w:pPr>
            <w:r w:rsidRPr="00EA7539">
              <w:t>26.</w:t>
            </w:r>
            <w:r w:rsidRPr="00EA7539">
              <w:tab/>
            </w:r>
            <w:r w:rsidRPr="00EA7539">
              <w:rPr>
                <w:b/>
                <w:i/>
              </w:rPr>
              <w:t>zachęca Komisję do stosowania jaśniejszych sformułowań w ocenie zgodności z wartościami zapisanymi</w:t>
            </w:r>
            <w:r w:rsidRPr="00EA7539">
              <w:t xml:space="preserve"> w art. 2 TUE; apeluje o położenie większego nacisku na </w:t>
            </w:r>
            <w:r w:rsidRPr="00EA7539">
              <w:rPr>
                <w:b/>
                <w:i/>
              </w:rPr>
              <w:t>wdrażanie</w:t>
            </w:r>
            <w:r w:rsidRPr="00EA7539">
              <w:t xml:space="preserve"> zaleceń dla poszczególnych krajów, a także </w:t>
            </w:r>
            <w:r w:rsidRPr="00EA7539">
              <w:rPr>
                <w:b/>
                <w:i/>
              </w:rPr>
              <w:t>na</w:t>
            </w:r>
            <w:r w:rsidRPr="00EA7539">
              <w:t xml:space="preserve"> mechanizmy działań następczych </w:t>
            </w:r>
            <w:r w:rsidRPr="00EA7539">
              <w:rPr>
                <w:b/>
                <w:i/>
              </w:rPr>
              <w:t>i mierzalne poziomy odniesienia</w:t>
            </w:r>
            <w:r w:rsidRPr="00EA7539">
              <w:t xml:space="preserve">; proponuje, aby w celu zwiększenia jednolitości wprowadzono kompleksowy mechanizm monitorowania praworządności obejmujący wszystkie instytucje UE, państwa członkowskie i kraje kandydujące; proponuje utworzenie stałej grupy ds. monitorowania naruszeń zasad praworządności </w:t>
            </w:r>
            <w:r w:rsidRPr="00EA7539">
              <w:rPr>
                <w:b/>
                <w:i/>
              </w:rPr>
              <w:t>przez państwa członkowskie</w:t>
            </w:r>
            <w:r w:rsidRPr="00EA7539">
              <w:t>;</w:t>
            </w:r>
          </w:p>
        </w:tc>
        <w:tc>
          <w:tcPr>
            <w:tcW w:w="4876" w:type="dxa"/>
            <w:tcBorders>
              <w:top w:val="nil"/>
              <w:left w:val="nil"/>
              <w:bottom w:val="nil"/>
              <w:right w:val="nil"/>
            </w:tcBorders>
          </w:tcPr>
          <w:p w:rsidR="007A0039" w:rsidRPr="00EA7539" w:rsidRDefault="007A0039" w:rsidP="008F6778">
            <w:pPr>
              <w:pStyle w:val="Normal6a"/>
            </w:pPr>
            <w:r w:rsidRPr="00EA7539">
              <w:t>26.</w:t>
            </w:r>
            <w:r w:rsidRPr="00EA7539">
              <w:tab/>
            </w:r>
            <w:r w:rsidRPr="00EA7539">
              <w:rPr>
                <w:b/>
                <w:i/>
              </w:rPr>
              <w:t>przywołując motto Unii Europejskiej „Zjednoczona w różnorodności”, zwraca uwagę Komisji, iż powinna wziąć pod uwagę różne tradycje, uwarunkowania ustrojowe i specyfikę państw członkowskich w kwestiach dotyczących wartości zapisanych</w:t>
            </w:r>
            <w:r w:rsidRPr="00EA7539">
              <w:t xml:space="preserve"> w art. 2 TUE; apeluje o położenie większego nacisku na </w:t>
            </w:r>
            <w:r w:rsidRPr="00EA7539">
              <w:rPr>
                <w:b/>
                <w:i/>
              </w:rPr>
              <w:t>bezstronność i odejście od stosowania podwójnych standardów wobec państw członkowskich, w szczególności suwerennych rządów prezentujących odmienne wizje rozwoju Europy od federalistycznej i lewicowo-liberalnej większości w Brukseli oraz uważa, iż polityka szantażu wobec wdrażania</w:t>
            </w:r>
            <w:r w:rsidRPr="00EA7539">
              <w:t xml:space="preserve"> zaleceń dla poszczególnych krajów, a także mechanizmy działań następczych</w:t>
            </w:r>
            <w:r w:rsidRPr="00EA7539">
              <w:rPr>
                <w:b/>
                <w:i/>
              </w:rPr>
              <w:t>, są niedopuszczalne</w:t>
            </w:r>
            <w:r w:rsidRPr="00EA7539">
              <w:t xml:space="preserve">; proponuje, aby w celu zwiększenia jednolitości wprowadzono kompleksowy mechanizm monitorowania praworządności obejmujący wszystkie instytucje UE, państwa członkowskie i kraje kandydujące; proponuje utworzenie </w:t>
            </w:r>
            <w:r w:rsidRPr="00EA7539">
              <w:rPr>
                <w:b/>
                <w:i/>
              </w:rPr>
              <w:t>przez państwa członkowskie</w:t>
            </w:r>
            <w:r w:rsidRPr="00EA7539">
              <w:t xml:space="preserve"> stałej grupy ds. monitorowania naruszeń zasad praworządności</w:t>
            </w:r>
            <w:r w:rsidRPr="00EA7539">
              <w:rPr>
                <w:b/>
                <w:i/>
              </w:rPr>
              <w:t>; zauważa po kilku latach wydawania raportów, że jest to ślepa uliczka, która pogłębia niesnaski między państwami członkowskimi, jest narzędziem politycznego szantażu, upolitycznia Komisję i narusza zaufanie obywateli do projektu unijnego</w:t>
            </w:r>
            <w:r w:rsidRPr="00EA7539">
              <w:t>;</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{PL}</w:t>
      </w:r>
      <w:r w:rsidRPr="00EA7539">
        <w:t>pl</w:t>
      </w:r>
      <w:r w:rsidRPr="00EA7539">
        <w:rPr>
          <w:rStyle w:val="HideTWBExt"/>
        </w:rPr>
        <w:t>&lt;/Original&gt;</w:t>
      </w:r>
    </w:p>
    <w:p w:rsidR="007A0039" w:rsidRPr="00EA7539" w:rsidRDefault="007A0039" w:rsidP="007A0039">
      <w:r w:rsidRPr="00EA7539">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612</w:t>
      </w:r>
      <w:r>
        <w:rPr>
          <w:rStyle w:val="HideTWBExt"/>
        </w:rPr>
        <w:t>&lt;/NumAm&gt;</w:t>
      </w:r>
    </w:p>
    <w:p w:rsidR="007A0039" w:rsidRPr="00EA7539" w:rsidRDefault="007A0039" w:rsidP="007A0039">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26.</w:t>
            </w:r>
            <w:r>
              <w:tab/>
              <w:t>zachęca Komisję do stosowania jaśniejszych sformułowań w ocenie zgodności z wartościami zapisanymi w art. 2 TUE; apeluje o położenie większego nacisku na wdrażanie zaleceń dla poszczególnych krajów, a także na mechanizmy działań następczych i mierzalne poziomy odniesienia; proponuje, aby w celu zwiększenia jednolitości wprowadzono kompleksowy mechanizm monitorowania praworządności obejmujący wszystkie instytucje UE, państwa członkowskie i kraje kandydujące; proponuje utworzenie stałej grupy</w:t>
            </w:r>
            <w:r>
              <w:rPr>
                <w:b/>
                <w:i/>
              </w:rPr>
              <w:t xml:space="preserve"> ds.</w:t>
            </w:r>
            <w:r>
              <w:t xml:space="preserve"> monitorowania </w:t>
            </w:r>
            <w:r>
              <w:rPr>
                <w:b/>
                <w:i/>
              </w:rPr>
              <w:t>naruszeń</w:t>
            </w:r>
            <w:r>
              <w:t xml:space="preserve"> zasad praworządności przez państwa członkowskie;</w:t>
            </w:r>
          </w:p>
        </w:tc>
        <w:tc>
          <w:tcPr>
            <w:tcW w:w="4876" w:type="dxa"/>
            <w:tcBorders>
              <w:top w:val="nil"/>
              <w:left w:val="nil"/>
              <w:bottom w:val="nil"/>
              <w:right w:val="nil"/>
            </w:tcBorders>
          </w:tcPr>
          <w:p w:rsidR="007A0039" w:rsidRPr="00EA7539" w:rsidRDefault="007A0039" w:rsidP="008F6778">
            <w:pPr>
              <w:pStyle w:val="Normal6a"/>
            </w:pPr>
            <w:r>
              <w:t>26.</w:t>
            </w:r>
            <w:r>
              <w:tab/>
            </w:r>
            <w:r>
              <w:rPr>
                <w:b/>
                <w:i/>
              </w:rPr>
              <w:t>uznaje sprawozdanie Komisji na temat praworządności za kluczowe narzędzie zapobiegawcze służące monitorowaniu stanu praworządności w całej UE, ułatwianiu dialogu między państwami członkowskimi i kierowaniu reformami w obszarach takich jak niezależność sądów, walka z korupcją, wolność mediów oraz mechanizmy kontroli i równowagi;</w:t>
            </w:r>
            <w:r>
              <w:t xml:space="preserve"> zachęca Komisję do stosowania jaśniejszych sformułowań w ocenie zgodności z wartościami zapisanymi w art. 2 TUE; apeluje o położenie większego nacisku na wdrażanie zaleceń dla poszczególnych krajów, a także na mechanizmy działań następczych i mierzalne poziomy odniesienia; proponuje, aby w celu zwiększenia jednolitości wprowadzono kompleksowy mechanizm monitorowania praworządności obejmujący wszystkie instytucje UE, państwa członkowskie i kraje kandydujące; proponuje utworzenie stałej grupy</w:t>
            </w:r>
            <w:r>
              <w:rPr>
                <w:b/>
                <w:i/>
              </w:rPr>
              <w:t>, która za pośrednictwem w pełni niezależnego i bezstronnego mechanizmu do</w:t>
            </w:r>
            <w:r>
              <w:t xml:space="preserve"> monitorowania </w:t>
            </w:r>
            <w:r>
              <w:rPr>
                <w:b/>
                <w:i/>
              </w:rPr>
              <w:t>i śledzenia wdrażania zaleceń zawartych w sprawozdaniu na temat praworządności i w sposób przejrzysty i publicznie dostępny będzie monitorowała naruszenia</w:t>
            </w:r>
            <w:r>
              <w:t xml:space="preserve"> zasad praworządności przez państwa członkowskie;</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613</w:t>
      </w:r>
      <w:r>
        <w:rPr>
          <w:rStyle w:val="HideTWBExt"/>
        </w:rPr>
        <w:t>&lt;/NumAm&gt;</w:t>
      </w:r>
    </w:p>
    <w:p w:rsidR="007A0039" w:rsidRPr="00EA7539" w:rsidRDefault="007A0039" w:rsidP="007A0039">
      <w:pPr>
        <w:pStyle w:val="NormalBold"/>
      </w:pPr>
      <w:r>
        <w:rPr>
          <w:rStyle w:val="HideTWBExt"/>
          <w:b w:val="0"/>
        </w:rPr>
        <w:t>&lt;RepeatBlock-By&gt;&lt;Members&gt;</w:t>
      </w:r>
      <w:r>
        <w:t>Nikola Minchev, Moritz Körner, Hilde Vautmans, Veronika Cifrová Ostrihoňová, Chloé Ridel, Abir Al-Sahlani, Fabienne Keller, Lucia Yar, Irena Joveva, Isabel Wiseler-Lima, Daniel Freund</w:t>
      </w:r>
      <w:r>
        <w:rPr>
          <w:rStyle w:val="HideTWBExt"/>
          <w:b w:val="0"/>
        </w:rPr>
        <w:t>&lt;/Members&gt;</w:t>
      </w:r>
    </w:p>
    <w:p w:rsidR="007A0039" w:rsidRPr="00EA7539" w:rsidRDefault="007A0039" w:rsidP="007A0039">
      <w:r>
        <w:rPr>
          <w:rStyle w:val="HideTWBExt"/>
        </w:rPr>
        <w:t>&lt;AuNomDe&gt;</w:t>
      </w:r>
      <w:r>
        <w:rPr>
          <w:rStyle w:val="HideTWBInt"/>
        </w:rPr>
        <w:t>{LIBE}</w:t>
      </w:r>
      <w:r>
        <w:t>w imieniu Komisji Wolności Obywatelskich, Sprawiedliwości i Spraw Wewnętrznych</w:t>
      </w:r>
      <w:r>
        <w:rPr>
          <w:rStyle w:val="HideTWBExt"/>
        </w:rPr>
        <w:t>&lt;/AuNomDe&gt;</w:t>
      </w:r>
    </w:p>
    <w:p w:rsidR="007A0039" w:rsidRPr="00EA7539" w:rsidRDefault="007A0039" w:rsidP="007A0039">
      <w:pPr>
        <w:pStyle w:val="NormalBold"/>
      </w:pPr>
      <w:r>
        <w:rPr>
          <w:rStyle w:val="HideTWBExt"/>
          <w:b w:val="0"/>
        </w:rPr>
        <w:t>&lt;Members&gt;</w:t>
      </w:r>
      <w:r>
        <w:t>Sophie Wilmès</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26.</w:t>
            </w:r>
            <w:r>
              <w:tab/>
              <w:t xml:space="preserve">zachęca Komisję do stosowania jaśniejszych sformułowań w ocenie </w:t>
            </w:r>
            <w:r>
              <w:rPr>
                <w:b/>
                <w:i/>
              </w:rPr>
              <w:t>zgodności z wartościami zapisanymi</w:t>
            </w:r>
            <w:r>
              <w:t xml:space="preserve"> w art. 2 TUE; apeluje o położenie większego nacisku na wdrażanie zaleceń dla poszczególnych krajów, a także na mechanizmy działań następczych i mierzalne poziomy odniesienia; proponuje, aby w celu zwiększenia jednolitości wprowadzono kompleksowy mechanizm monitorowania praworządności obejmujący wszystkie instytucje UE, państwa członkowskie i kraje kandydujące; proponuje utworzenie stałej grupy ds. monitorowania naruszeń zasad praworządności przez państwa członkowskie;</w:t>
            </w:r>
          </w:p>
        </w:tc>
        <w:tc>
          <w:tcPr>
            <w:tcW w:w="4876" w:type="dxa"/>
            <w:tcBorders>
              <w:top w:val="nil"/>
              <w:left w:val="nil"/>
              <w:bottom w:val="nil"/>
              <w:right w:val="nil"/>
            </w:tcBorders>
          </w:tcPr>
          <w:p w:rsidR="007A0039" w:rsidRPr="00EA7539" w:rsidRDefault="007A0039" w:rsidP="008F6778">
            <w:pPr>
              <w:pStyle w:val="Normal6a"/>
            </w:pPr>
            <w:r>
              <w:t>26.</w:t>
            </w:r>
            <w:r>
              <w:tab/>
              <w:t>zachęca Komisję do stosowania jaśniejszych</w:t>
            </w:r>
            <w:r>
              <w:rPr>
                <w:b/>
                <w:i/>
              </w:rPr>
              <w:t>, mniej dyplomatycznych i bardziej precyzyjnych</w:t>
            </w:r>
            <w:r>
              <w:t xml:space="preserve"> sformułowań w ocenie </w:t>
            </w:r>
            <w:r>
              <w:rPr>
                <w:b/>
                <w:i/>
              </w:rPr>
              <w:t>przestrzegania praworządności; wzywa państwa członkowskie do pełnego przestrzegania wartości zapisanych</w:t>
            </w:r>
            <w:r>
              <w:t xml:space="preserve"> w art. 2 TUE;</w:t>
            </w:r>
            <w:r>
              <w:rPr>
                <w:b/>
                <w:i/>
              </w:rPr>
              <w:t xml:space="preserve"> wyraża ubolewanie z powodu sztucznego równego podziału zaleceń między państwami członkowskimi oraz braku rozróżnienia między tymi, które dotyczą problemów systemowych lub poważnych problemów, a tymi, które są mniej istotne;</w:t>
            </w:r>
            <w:r>
              <w:t xml:space="preserve"> apeluje o położenie większego nacisku na wdrażanie zaleceń dla poszczególnych krajów, a także na mechanizmy działań następczych i mierzalne poziomy odniesienia; proponuje, aby w celu zwiększenia jednolitości</w:t>
            </w:r>
            <w:r>
              <w:rPr>
                <w:b/>
                <w:i/>
              </w:rPr>
              <w:t xml:space="preserve"> oraz zapewnienia większej komplementarności i synergii</w:t>
            </w:r>
            <w:r>
              <w:t xml:space="preserve"> wprowadzono kompleksowy mechanizm monitorowania praworządności obejmujący wszystkie instytucje UE, państwa członkowskie i kraje kandydujące; proponuje utworzenie stałej grupy ds. monitorowania naruszeń zasad praworządności przez państwa członkowskie;</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614</w:t>
      </w:r>
      <w:r>
        <w:rPr>
          <w:rStyle w:val="HideTWBExt"/>
        </w:rPr>
        <w:t>&lt;/NumAm&gt;</w:t>
      </w:r>
    </w:p>
    <w:p w:rsidR="007A0039" w:rsidRPr="00EA7539" w:rsidRDefault="007A0039" w:rsidP="007A0039">
      <w:pPr>
        <w:pStyle w:val="NormalBold"/>
      </w:pPr>
      <w:r>
        <w:rPr>
          <w:rStyle w:val="HideTWBExt"/>
          <w:b w:val="0"/>
        </w:rPr>
        <w:t>&lt;RepeatBlock-By&gt;&lt;Members&gt;</w:t>
      </w:r>
      <w:r>
        <w:t>Nicolas Bay</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26.</w:t>
            </w:r>
            <w:r>
              <w:tab/>
              <w:t xml:space="preserve">zachęca Komisję do stosowania jaśniejszych sformułowań w ocenie zgodności z wartościami zapisanymi w art. 2 TUE; </w:t>
            </w:r>
            <w:r>
              <w:rPr>
                <w:b/>
                <w:i/>
              </w:rPr>
              <w:t>apeluje o położenie większego nacisku na wdrażanie zaleceń dla poszczególnych krajów, a także na mechanizmy działań następczych i mierzalne poziomy odniesienia; proponuje, aby w celu zwiększenia jednolitości wprowadzono kompleksowy mechanizm monitorowania praworządności obejmujący wszystkie instytucje UE, państwa członkowskie i kraje kandydujące; proponuje utworzenie stałej grupy ds. monitorowania naruszeń zasad praworządności przez państwa członkowskie;</w:t>
            </w:r>
          </w:p>
        </w:tc>
        <w:tc>
          <w:tcPr>
            <w:tcW w:w="4876" w:type="dxa"/>
            <w:tcBorders>
              <w:top w:val="nil"/>
              <w:left w:val="nil"/>
              <w:bottom w:val="nil"/>
              <w:right w:val="nil"/>
            </w:tcBorders>
          </w:tcPr>
          <w:p w:rsidR="007A0039" w:rsidRPr="00EA7539" w:rsidRDefault="007A0039" w:rsidP="008F6778">
            <w:pPr>
              <w:pStyle w:val="Normal6a"/>
            </w:pPr>
            <w:r>
              <w:t>26.</w:t>
            </w:r>
            <w:r>
              <w:tab/>
              <w:t>zachęca Komisję do stosowania jaśniejszych sformułowań w ocenie zgodności z wartościami zapisanymi w art. 2 TUE; </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{FR}</w:t>
      </w:r>
      <w:r w:rsidRPr="00EA7539">
        <w:t>fr</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615</w:t>
      </w:r>
      <w:r>
        <w:rPr>
          <w:rStyle w:val="HideTWBExt"/>
        </w:rPr>
        <w:t>&lt;/NumAm&gt;</w:t>
      </w:r>
    </w:p>
    <w:p w:rsidR="007A0039" w:rsidRPr="00EA7539" w:rsidRDefault="007A0039" w:rsidP="007A0039">
      <w:pPr>
        <w:pStyle w:val="NormalBold"/>
      </w:pPr>
      <w:r>
        <w:rPr>
          <w:rStyle w:val="HideTWBExt"/>
          <w:b w:val="0"/>
        </w:rPr>
        <w:t>&lt;RepeatBlock-By&gt;&lt;Members&gt;</w:t>
      </w:r>
      <w:r>
        <w:t>Daniel Freund</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26.</w:t>
            </w:r>
            <w:r>
              <w:tab/>
              <w:t xml:space="preserve">zachęca Komisję do stosowania jaśniejszych sformułowań w ocenie zgodności z wartościami zapisanymi w art. 2 TUE; </w:t>
            </w:r>
            <w:r>
              <w:rPr>
                <w:b/>
                <w:i/>
              </w:rPr>
              <w:t>apeluje o położenie większego nacisku na wdrażanie zaleceń dla poszczególnych krajów</w:t>
            </w:r>
            <w:r>
              <w:t xml:space="preserve">, </w:t>
            </w:r>
            <w:r>
              <w:rPr>
                <w:b/>
                <w:i/>
              </w:rPr>
              <w:t>a także na mechanizmy</w:t>
            </w:r>
            <w:r>
              <w:t xml:space="preserve"> działań </w:t>
            </w:r>
            <w:r>
              <w:rPr>
                <w:b/>
                <w:i/>
              </w:rPr>
              <w:t>następczych i mierzalne poziomy odniesienia</w:t>
            </w:r>
            <w:r>
              <w:t>;</w:t>
            </w:r>
            <w:r>
              <w:rPr>
                <w:b/>
                <w:i/>
              </w:rPr>
              <w:t xml:space="preserve"> proponuje, aby w celu zwiększenia jednolitości wprowadzono kompleksowy mechanizm monitorowania praworządności obejmujący wszystkie instytucje UE, państwa członkowskie i kraje kandydujące; proponuje utworzenie stałej grupy ds. monitorowania naruszeń zasad praworządności przez państwa członkowskie</w:t>
            </w:r>
            <w:r>
              <w:t>;</w:t>
            </w:r>
          </w:p>
        </w:tc>
        <w:tc>
          <w:tcPr>
            <w:tcW w:w="4876" w:type="dxa"/>
            <w:tcBorders>
              <w:top w:val="nil"/>
              <w:left w:val="nil"/>
              <w:bottom w:val="nil"/>
              <w:right w:val="nil"/>
            </w:tcBorders>
          </w:tcPr>
          <w:p w:rsidR="007A0039" w:rsidRPr="00EA7539" w:rsidRDefault="007A0039" w:rsidP="008F6778">
            <w:pPr>
              <w:pStyle w:val="Normal6a"/>
            </w:pPr>
            <w:r>
              <w:t>26.</w:t>
            </w:r>
            <w:r>
              <w:tab/>
              <w:t xml:space="preserve">zachęca Komisję do stosowania jaśniejszych sformułowań w ocenie zgodności z wartościami zapisanymi w art. 2 TUE; </w:t>
            </w:r>
            <w:r>
              <w:rPr>
                <w:b/>
                <w:i/>
              </w:rPr>
              <w:t>potwierdza, że sprawozdanie roczne na temat praworządności nie jest celem samym w sobie, ponieważ monitorowanie sytuacji nie wystarczy</w:t>
            </w:r>
            <w:r>
              <w:t xml:space="preserve">, </w:t>
            </w:r>
            <w:r>
              <w:rPr>
                <w:b/>
                <w:i/>
              </w:rPr>
              <w:t>lecz powinno prowadzić do konkretnych</w:t>
            </w:r>
            <w:r>
              <w:t xml:space="preserve"> działań </w:t>
            </w:r>
            <w:r>
              <w:rPr>
                <w:b/>
                <w:i/>
              </w:rPr>
              <w:t>w zakresie egzekwowania prawa w odniesieniu do stwierdzonych niedociągnięć, zwłaszcza w przypadku, gdy zalecenia nie są w pełni przestrzegane</w:t>
            </w:r>
            <w:r>
              <w:t>;</w:t>
            </w:r>
            <w:r>
              <w:rPr>
                <w:b/>
                <w:i/>
              </w:rPr>
              <w:t xml:space="preserve"> przypomina o konieczności opracowania harmonogramu</w:t>
            </w:r>
            <w:r>
              <w:t xml:space="preserve">, </w:t>
            </w:r>
            <w:r>
              <w:rPr>
                <w:b/>
                <w:i/>
              </w:rPr>
              <w:t>celów i konkretnych działań na potrzeby wdrażania zaleceń oraz wyszczególnienia możliwych konsekwencji</w:t>
            </w:r>
            <w:r>
              <w:t xml:space="preserve"> w </w:t>
            </w:r>
            <w:r>
              <w:rPr>
                <w:b/>
                <w:i/>
              </w:rPr>
              <w:t>przypadku ich niewykonania, w tym odniesienia do konkretnych instrumentów z zestawu narzędzi</w:t>
            </w:r>
            <w:r>
              <w:t xml:space="preserve">, </w:t>
            </w:r>
            <w:r>
              <w:rPr>
                <w:b/>
                <w:i/>
              </w:rPr>
              <w:t>takich jak narzędzia korekty budżetowej</w:t>
            </w:r>
            <w:r>
              <w:t xml:space="preserve">; </w:t>
            </w:r>
            <w:r>
              <w:rPr>
                <w:b/>
                <w:i/>
              </w:rPr>
              <w:t>uważa, że niektóre naruszenia wartości wymagają natychmiastowych działań na rzecz egzekwowania przepisów, a inne wymagają pilnego wdrożenia zaleceń;</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616</w:t>
      </w:r>
      <w:r>
        <w:rPr>
          <w:rStyle w:val="HideTWBExt"/>
        </w:rPr>
        <w:t>&lt;/NumAm&gt;</w:t>
      </w:r>
    </w:p>
    <w:p w:rsidR="007A0039" w:rsidRPr="00EA7539" w:rsidRDefault="007A0039" w:rsidP="007A0039">
      <w:pPr>
        <w:pStyle w:val="NormalBold"/>
      </w:pPr>
      <w:r>
        <w:rPr>
          <w:rStyle w:val="HideTWBExt"/>
          <w:b w:val="0"/>
        </w:rPr>
        <w:t>&lt;RepeatBlock-By&gt;&lt;Members&gt;</w:t>
      </w:r>
      <w:r>
        <w:t>András László</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26.</w:t>
            </w:r>
            <w:r>
              <w:tab/>
            </w:r>
            <w:r>
              <w:rPr>
                <w:b/>
                <w:i/>
              </w:rPr>
              <w:t>zachęca Komisję do stosowania jaśniejszych sformułowań w ocenie zgodności</w:t>
            </w:r>
            <w:r>
              <w:t xml:space="preserve"> z </w:t>
            </w:r>
            <w:r>
              <w:rPr>
                <w:b/>
                <w:i/>
              </w:rPr>
              <w:t>wartościami zapisanymi w art. 2 TUE; apeluje o położenie większego nacisku na wdrażanie zaleceń dla poszczególnych krajów</w:t>
            </w:r>
            <w:r>
              <w:t xml:space="preserve">, </w:t>
            </w:r>
            <w:r>
              <w:rPr>
                <w:b/>
                <w:i/>
              </w:rPr>
              <w:t>a także na</w:t>
            </w:r>
            <w:r>
              <w:t xml:space="preserve"> mechanizmy </w:t>
            </w:r>
            <w:r>
              <w:rPr>
                <w:b/>
                <w:i/>
              </w:rPr>
              <w:t>działań następczych i mierzalne poziomy odniesienia; proponuje, aby w celu zwiększenia jednolitości wprowadzono kompleksowy mechanizm monitorowania praworządności obejmujący wszystkie instytucje UE, państwa członkowskie i kraje kandydujące; proponuje utworzenie stałej grupy ds. monitorowania naruszeń zasad praworządności przez państwa członkowskie</w:t>
            </w:r>
            <w:r>
              <w:t>;</w:t>
            </w:r>
          </w:p>
        </w:tc>
        <w:tc>
          <w:tcPr>
            <w:tcW w:w="4876" w:type="dxa"/>
            <w:tcBorders>
              <w:top w:val="nil"/>
              <w:left w:val="nil"/>
              <w:bottom w:val="nil"/>
              <w:right w:val="nil"/>
            </w:tcBorders>
          </w:tcPr>
          <w:p w:rsidR="007A0039" w:rsidRPr="00EA7539" w:rsidRDefault="007A0039" w:rsidP="008F6778">
            <w:pPr>
              <w:pStyle w:val="Normal6a"/>
            </w:pPr>
            <w:r>
              <w:t>26.</w:t>
            </w:r>
            <w:r>
              <w:tab/>
            </w:r>
            <w:r>
              <w:rPr>
                <w:b/>
                <w:i/>
              </w:rPr>
              <w:t>przypomina, że zgodnie</w:t>
            </w:r>
            <w:r>
              <w:t xml:space="preserve"> z </w:t>
            </w:r>
            <w:r>
              <w:rPr>
                <w:b/>
                <w:i/>
              </w:rPr>
              <w:t>Traktatami Komisja nie ma żadnej kompetencji do tego</w:t>
            </w:r>
            <w:r>
              <w:t xml:space="preserve">, </w:t>
            </w:r>
            <w:r>
              <w:rPr>
                <w:b/>
                <w:i/>
              </w:rPr>
              <w:t>by tworzyć dodatkowe</w:t>
            </w:r>
            <w:r>
              <w:t xml:space="preserve"> mechanizmy monitorowania praworządności </w:t>
            </w:r>
            <w:r>
              <w:rPr>
                <w:b/>
                <w:i/>
              </w:rPr>
              <w:t>w państwach członkowskich</w:t>
            </w:r>
            <w:r>
              <w:t>;</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617</w:t>
      </w:r>
      <w:r>
        <w:rPr>
          <w:rStyle w:val="HideTWBExt"/>
        </w:rPr>
        <w:t>&lt;/NumAm&gt;</w:t>
      </w:r>
    </w:p>
    <w:p w:rsidR="007A0039" w:rsidRPr="00EA7539" w:rsidRDefault="007A0039" w:rsidP="007A0039">
      <w:pPr>
        <w:pStyle w:val="NormalBold"/>
      </w:pPr>
      <w:r>
        <w:rPr>
          <w:rStyle w:val="HideTWBExt"/>
          <w:b w:val="0"/>
        </w:rPr>
        <w:t>&lt;RepeatBlock-By&gt;&lt;Members&gt;</w:t>
      </w:r>
      <w:r>
        <w:t>Erik Kaliňák</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26.</w:t>
            </w:r>
            <w:r>
              <w:tab/>
              <w:t>zachęca Komisję do stosowania jaśniejszych sformułowań w ocenie zgodności z wartościami zapisanymi w art. 2 TUE</w:t>
            </w:r>
            <w:r>
              <w:rPr>
                <w:b/>
                <w:i/>
              </w:rPr>
              <w:t>; apeluje o położenie większego nacisku na wdrażanie zaleceń dla poszczególnych krajów, a także na mechanizmy działań następczych i mierzalne poziomy odniesienia</w:t>
            </w:r>
            <w:r>
              <w:t xml:space="preserve">; proponuje, aby </w:t>
            </w:r>
            <w:r>
              <w:rPr>
                <w:b/>
                <w:i/>
              </w:rPr>
              <w:t>w celu zwiększenia jednolitości wprowadzono kompleksowy mechanizm monitorowania praworządności obejmujący</w:t>
            </w:r>
            <w:r>
              <w:t xml:space="preserve"> wszystkie instytucje UE</w:t>
            </w:r>
            <w:r>
              <w:rPr>
                <w:b/>
                <w:i/>
              </w:rPr>
              <w:t>, państwa członkowskie i kraje kandydujące</w:t>
            </w:r>
            <w:r>
              <w:t>;</w:t>
            </w:r>
            <w:r>
              <w:rPr>
                <w:b/>
                <w:i/>
              </w:rPr>
              <w:t xml:space="preserve"> proponuje utworzenie stałej grupy ds. monitorowania naruszeń zasad praworządności przez państwa członkowskie;</w:t>
            </w:r>
          </w:p>
        </w:tc>
        <w:tc>
          <w:tcPr>
            <w:tcW w:w="4876" w:type="dxa"/>
            <w:tcBorders>
              <w:top w:val="nil"/>
              <w:left w:val="nil"/>
              <w:bottom w:val="nil"/>
              <w:right w:val="nil"/>
            </w:tcBorders>
          </w:tcPr>
          <w:p w:rsidR="007A0039" w:rsidRPr="00EA7539" w:rsidRDefault="007A0039" w:rsidP="008F6778">
            <w:pPr>
              <w:pStyle w:val="Normal6a"/>
            </w:pPr>
            <w:r>
              <w:t>26.</w:t>
            </w:r>
            <w:r>
              <w:tab/>
              <w:t>zachęca Komisję do stosowania jaśniejszych sformułowań w ocenie zgodności z wartościami zapisanymi w art. 2 TUE</w:t>
            </w:r>
            <w:r>
              <w:rPr>
                <w:b/>
                <w:i/>
              </w:rPr>
              <w:t xml:space="preserve"> oraz do uzupełnienia ich w każdym przypadku o odpowiednie podstawy prawne</w:t>
            </w:r>
            <w:r>
              <w:t xml:space="preserve">; proponuje, aby </w:t>
            </w:r>
            <w:r>
              <w:rPr>
                <w:b/>
                <w:i/>
              </w:rPr>
              <w:t>tak samo jak państwa członkowskie oceniano</w:t>
            </w:r>
            <w:r>
              <w:t xml:space="preserve"> wszystkie instytucje UE;</w:t>
            </w:r>
            <w:r>
              <w:rPr>
                <w:b/>
                <w:i/>
              </w:rPr>
              <w:t> </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{SK}</w:t>
      </w:r>
      <w:r w:rsidRPr="00EA7539">
        <w:t>sk</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618</w:t>
      </w:r>
      <w:r>
        <w:rPr>
          <w:rStyle w:val="HideTWBExt"/>
        </w:rPr>
        <w:t>&lt;/NumAm&gt;</w:t>
      </w:r>
    </w:p>
    <w:p w:rsidR="007A0039" w:rsidRPr="00EA7539" w:rsidRDefault="007A0039" w:rsidP="007A0039">
      <w:pPr>
        <w:pStyle w:val="NormalBold"/>
      </w:pPr>
      <w:r>
        <w:rPr>
          <w:rStyle w:val="HideTWBExt"/>
          <w:b w:val="0"/>
        </w:rPr>
        <w:t>&lt;RepeatBlock-By&gt;&lt;Members&gt;</w:t>
      </w:r>
      <w:r>
        <w:t>Ewa Zajączkowska-Hernik</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26.</w:t>
            </w:r>
            <w:r>
              <w:tab/>
              <w:t>zachęca Komisję do stosowania jaśniejszych sformułowań w ocenie zgodności z wartościami zapisanymi w art. 2 TUE</w:t>
            </w:r>
            <w:r>
              <w:rPr>
                <w:b/>
                <w:i/>
              </w:rPr>
              <w:t>; apeluje o położenie większego nacisku na wdrażanie zaleceń dla poszczególnych krajów, a także na mechanizmy działań następczych i mierzalne poziomy odniesienia; proponuje</w:t>
            </w:r>
            <w:r>
              <w:t xml:space="preserve">, aby </w:t>
            </w:r>
            <w:r>
              <w:rPr>
                <w:b/>
                <w:i/>
              </w:rPr>
              <w:t>w celu zwiększenia jednolitości wprowadzono kompleksowy mechanizm monitorowania praworządności obejmujący wszystkie instytucje UE, państwa członkowskie i kraje kandydujące;</w:t>
            </w:r>
            <w:r>
              <w:t xml:space="preserve"> </w:t>
            </w:r>
            <w:r>
              <w:rPr>
                <w:b/>
                <w:i/>
              </w:rPr>
              <w:t>proponuje utworzenie stałej grupy ds. monitorowania naruszeń zasad praworządności przez państwa członkowskie;</w:t>
            </w:r>
          </w:p>
        </w:tc>
        <w:tc>
          <w:tcPr>
            <w:tcW w:w="4876" w:type="dxa"/>
            <w:tcBorders>
              <w:top w:val="nil"/>
              <w:left w:val="nil"/>
              <w:bottom w:val="nil"/>
              <w:right w:val="nil"/>
            </w:tcBorders>
          </w:tcPr>
          <w:p w:rsidR="007A0039" w:rsidRPr="00EA7539" w:rsidRDefault="007A0039" w:rsidP="008F6778">
            <w:pPr>
              <w:pStyle w:val="Normal6a"/>
            </w:pPr>
            <w:r>
              <w:t>26.</w:t>
            </w:r>
            <w:r>
              <w:tab/>
              <w:t xml:space="preserve">zachęca Komisję do stosowania jaśniejszych sformułowań w ocenie zgodności z wartościami zapisanymi w art. 2 TUE, aby </w:t>
            </w:r>
            <w:r>
              <w:rPr>
                <w:b/>
                <w:i/>
              </w:rPr>
              <w:t>zwiększyć jednolitość</w:t>
            </w:r>
            <w:r>
              <w:t>;</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619</w:t>
      </w:r>
      <w:r>
        <w:rPr>
          <w:rStyle w:val="HideTWBExt"/>
        </w:rPr>
        <w:t>&lt;/NumAm&gt;</w:t>
      </w:r>
    </w:p>
    <w:p w:rsidR="007A0039" w:rsidRPr="00EA7539" w:rsidRDefault="007A0039" w:rsidP="007A0039">
      <w:pPr>
        <w:pStyle w:val="NormalBold"/>
      </w:pPr>
      <w:r>
        <w:rPr>
          <w:rStyle w:val="HideTWBExt"/>
          <w:b w:val="0"/>
        </w:rPr>
        <w:t>&lt;RepeatBlock-By&gt;&lt;Members&gt;</w:t>
      </w:r>
      <w:r>
        <w:t>Isabel Serra Sánchez</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26.</w:t>
            </w:r>
            <w:r>
              <w:tab/>
              <w:t>zachęca Komisję do stosowania jaśniejszych sformułowań w ocenie zgodności z wartościami zapisanymi w art. 2 TUE; apeluje o położenie większego nacisku na wdrażanie zaleceń dla poszczególnych krajów, a także na mechanizmy działań następczych i mierzalne poziomy odniesienia; proponuje, aby w celu zwiększenia jednolitości wprowadzono kompleksowy mechanizm monitorowania praworządności obejmujący wszystkie instytucje UE, państwa członkowskie i kraje kandydujące; proponuje utworzenie stałej grupy ds. monitorowania naruszeń zasad praworządności przez państwa członkowskie;</w:t>
            </w:r>
          </w:p>
        </w:tc>
        <w:tc>
          <w:tcPr>
            <w:tcW w:w="4876" w:type="dxa"/>
            <w:tcBorders>
              <w:top w:val="nil"/>
              <w:left w:val="nil"/>
              <w:bottom w:val="nil"/>
              <w:right w:val="nil"/>
            </w:tcBorders>
          </w:tcPr>
          <w:p w:rsidR="007A0039" w:rsidRPr="00EA7539" w:rsidRDefault="007A0039" w:rsidP="008F6778">
            <w:pPr>
              <w:pStyle w:val="Normal6a"/>
            </w:pPr>
            <w:r>
              <w:t>26.</w:t>
            </w:r>
            <w:r>
              <w:tab/>
              <w:t xml:space="preserve">zachęca Komisję do stosowania jaśniejszych sformułowań w ocenie zgodności z wartościami zapisanymi w art. 2 TUE; apeluje o położenie większego nacisku na wdrażanie zaleceń dla poszczególnych krajów, a także na mechanizmy działań następczych i mierzalne poziomy odniesienia; </w:t>
            </w:r>
            <w:r>
              <w:rPr>
                <w:b/>
                <w:i/>
              </w:rPr>
              <w:t>uważa, że systematyczne nieprzestrzeganie zaleceń dla poszczególnych krajów należy rozwiązywać za pomocą innych instrumentów, którymi dysponuje Komisja, takich jak warunkowość finansowania;</w:t>
            </w:r>
            <w:r>
              <w:t xml:space="preserve"> proponuje, aby w celu zwiększenia jednolitości wprowadzono kompleksowy mechanizm monitorowania praworządności obejmujący wszystkie instytucje UE, państwa członkowskie i kraje kandydujące; proponuje utworzenie stałej grupy ds. monitorowania naruszeń zasad praworządności przez państwa członkowskie;</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620</w:t>
      </w:r>
      <w:r>
        <w:rPr>
          <w:rStyle w:val="HideTWBExt"/>
        </w:rPr>
        <w:t>&lt;/NumAm&gt;</w:t>
      </w:r>
    </w:p>
    <w:p w:rsidR="007A0039" w:rsidRPr="00EA7539" w:rsidRDefault="007A0039" w:rsidP="007A0039">
      <w:pPr>
        <w:pStyle w:val="NormalBold"/>
      </w:pPr>
      <w:r>
        <w:rPr>
          <w:rStyle w:val="HideTWBExt"/>
          <w:b w:val="0"/>
        </w:rPr>
        <w:t>&lt;RepeatBlock-By&gt;&lt;Members&gt;</w:t>
      </w:r>
      <w:r>
        <w:t>Alessandro Ciriani, Paolo Inselvini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26.</w:t>
            </w:r>
            <w:r>
              <w:tab/>
              <w:t xml:space="preserve">zachęca Komisję do stosowania jaśniejszych sformułowań w ocenie zgodności z wartościami zapisanymi w art. 2 TUE; </w:t>
            </w:r>
            <w:r>
              <w:rPr>
                <w:b/>
                <w:i/>
              </w:rPr>
              <w:t>apeluje o położenie większego nacisku na wdrażanie zaleceń dla poszczególnych krajów, a także na mechanizmy działań następczych i mierzalne poziomy odniesienia; proponuje, aby</w:t>
            </w:r>
            <w:r>
              <w:t xml:space="preserve"> w </w:t>
            </w:r>
            <w:r>
              <w:rPr>
                <w:b/>
                <w:i/>
              </w:rPr>
              <w:t>celu zwiększenia jednolitości wprowadzono kompleksowy mechanizm monitorowania</w:t>
            </w:r>
            <w:r>
              <w:t xml:space="preserve"> praworządności </w:t>
            </w:r>
            <w:r>
              <w:rPr>
                <w:b/>
                <w:i/>
              </w:rPr>
              <w:t>obejmujący wszystkie instytucje</w:t>
            </w:r>
            <w:r>
              <w:t xml:space="preserve"> UE</w:t>
            </w:r>
            <w:r>
              <w:rPr>
                <w:b/>
                <w:i/>
              </w:rPr>
              <w:t>, państwa członkowskie i kraje kandydujące;</w:t>
            </w:r>
            <w:r>
              <w:t xml:space="preserve"> </w:t>
            </w:r>
            <w:r>
              <w:rPr>
                <w:b/>
                <w:i/>
              </w:rPr>
              <w:t>proponuje utworzenie stałej grupy ds. monitorowania naruszeń zasad praworządności przez państwa członkowskie;</w:t>
            </w:r>
          </w:p>
        </w:tc>
        <w:tc>
          <w:tcPr>
            <w:tcW w:w="4876" w:type="dxa"/>
            <w:tcBorders>
              <w:top w:val="nil"/>
              <w:left w:val="nil"/>
              <w:bottom w:val="nil"/>
              <w:right w:val="nil"/>
            </w:tcBorders>
          </w:tcPr>
          <w:p w:rsidR="007A0039" w:rsidRPr="00EA7539" w:rsidRDefault="007A0039" w:rsidP="008F6778">
            <w:pPr>
              <w:pStyle w:val="Normal6a"/>
            </w:pPr>
            <w:r>
              <w:t>26.</w:t>
            </w:r>
            <w:r>
              <w:tab/>
              <w:t xml:space="preserve">zachęca Komisję do stosowania jaśniejszych sformułowań w ocenie zgodności z wartościami zapisanymi w art. 2 TUE; </w:t>
            </w:r>
            <w:r>
              <w:rPr>
                <w:b/>
                <w:i/>
              </w:rPr>
              <w:t>podkreśla</w:t>
            </w:r>
            <w:r>
              <w:t xml:space="preserve">, </w:t>
            </w:r>
            <w:r>
              <w:rPr>
                <w:b/>
                <w:i/>
              </w:rPr>
              <w:t>że żadne dyskusje</w:t>
            </w:r>
            <w:r>
              <w:t xml:space="preserve"> i </w:t>
            </w:r>
            <w:r>
              <w:rPr>
                <w:b/>
                <w:i/>
              </w:rPr>
              <w:t>przeglądy dotyczące stanu praworządności</w:t>
            </w:r>
            <w:r>
              <w:t xml:space="preserve"> w </w:t>
            </w:r>
            <w:r>
              <w:rPr>
                <w:b/>
                <w:i/>
              </w:rPr>
              <w:t>państwach członkowskich nie mogą naruszać mechanizmów traktatowych dotyczących</w:t>
            </w:r>
            <w:r>
              <w:t xml:space="preserve"> praworządności </w:t>
            </w:r>
            <w:r>
              <w:rPr>
                <w:b/>
                <w:i/>
              </w:rPr>
              <w:t>ani kompetencji instytucji</w:t>
            </w:r>
            <w:r>
              <w:t xml:space="preserve"> UE</w:t>
            </w:r>
            <w:r>
              <w:rPr>
                <w:b/>
                <w:i/>
              </w:rPr>
              <w:t xml:space="preserve"> na mocy art</w:t>
            </w:r>
            <w:r>
              <w:t xml:space="preserve">. </w:t>
            </w:r>
            <w:r>
              <w:rPr>
                <w:b/>
                <w:i/>
              </w:rPr>
              <w:t>7 TUE</w:t>
            </w:r>
            <w:r>
              <w:t>;</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{IT}</w:t>
      </w:r>
      <w:r w:rsidRPr="00EA7539">
        <w:t>it</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621</w:t>
      </w:r>
      <w:r>
        <w:rPr>
          <w:rStyle w:val="HideTWBExt"/>
        </w:rPr>
        <w:t>&lt;/NumAm&gt;</w:t>
      </w:r>
    </w:p>
    <w:p w:rsidR="007A0039" w:rsidRPr="00EA7539" w:rsidRDefault="007A0039" w:rsidP="007A0039">
      <w:pPr>
        <w:pStyle w:val="NormalBold"/>
      </w:pPr>
      <w:r>
        <w:rPr>
          <w:rStyle w:val="HideTWBExt"/>
          <w:b w:val="0"/>
        </w:rPr>
        <w:t>&lt;RepeatBlock-By&gt;&lt;Members&gt;</w:t>
      </w:r>
      <w:r>
        <w:t>Jorge Buxadé Villalba, Marieke Ehlers, Malika Sorel, Fabrice Leggeri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26.</w:t>
            </w:r>
            <w:r>
              <w:tab/>
              <w:t xml:space="preserve">zachęca Komisję do </w:t>
            </w:r>
            <w:r>
              <w:rPr>
                <w:b/>
                <w:i/>
              </w:rPr>
              <w:t>stosowania jaśniejszych sformułowań w ocenie zgodności z wartościami zapisanymi w art. 2 TUE; apeluje o położenie większego nacisku na wdrażanie zaleceń dla poszczególnych krajów, a także na mechanizmy działań następczych i mierzalne poziomy odniesienia; proponuje, aby</w:t>
            </w:r>
            <w:r>
              <w:t xml:space="preserve"> w </w:t>
            </w:r>
            <w:r>
              <w:rPr>
                <w:b/>
                <w:i/>
              </w:rPr>
              <w:t>celu zwiększenia jednolitości wprowadzono kompleksowy mechanizm monitorowania praworządności obejmujący wszystkie instytucje UE, państwa członkowskie i kraje kandydujące; proponuje</w:t>
            </w:r>
            <w:r>
              <w:t xml:space="preserve"> utworzenie </w:t>
            </w:r>
            <w:r>
              <w:rPr>
                <w:b/>
                <w:i/>
              </w:rPr>
              <w:t>stałej grupy ds. monitorowania naruszeń zasad praworządności przez państwa członkowskie</w:t>
            </w:r>
            <w:r>
              <w:t>;</w:t>
            </w:r>
          </w:p>
        </w:tc>
        <w:tc>
          <w:tcPr>
            <w:tcW w:w="4876" w:type="dxa"/>
            <w:tcBorders>
              <w:top w:val="nil"/>
              <w:left w:val="nil"/>
              <w:bottom w:val="nil"/>
              <w:right w:val="nil"/>
            </w:tcBorders>
          </w:tcPr>
          <w:p w:rsidR="007A0039" w:rsidRPr="00EA7539" w:rsidRDefault="007A0039" w:rsidP="008F6778">
            <w:pPr>
              <w:pStyle w:val="Normal6a"/>
            </w:pPr>
            <w:r>
              <w:t>26.</w:t>
            </w:r>
            <w:r>
              <w:tab/>
              <w:t xml:space="preserve">zachęca Komisję do </w:t>
            </w:r>
            <w:r>
              <w:rPr>
                <w:b/>
                <w:i/>
              </w:rPr>
              <w:t>utworzenia mechanizmu monitorowania praworządności i korupcji, obejmującego wszystkie instytucje UE</w:t>
            </w:r>
            <w:r>
              <w:t xml:space="preserve">, </w:t>
            </w:r>
            <w:r>
              <w:rPr>
                <w:b/>
                <w:i/>
              </w:rPr>
              <w:t>aby zapewnić przejrzystość</w:t>
            </w:r>
            <w:r>
              <w:t xml:space="preserve"> i </w:t>
            </w:r>
            <w:r>
              <w:rPr>
                <w:b/>
                <w:i/>
              </w:rPr>
              <w:t>rozliczalność</w:t>
            </w:r>
            <w:r>
              <w:t xml:space="preserve"> w </w:t>
            </w:r>
            <w:r>
              <w:rPr>
                <w:b/>
                <w:i/>
              </w:rPr>
              <w:t>wykonywaniu ich kompetencji; apeluje o</w:t>
            </w:r>
            <w:r>
              <w:t xml:space="preserve"> utworzenie </w:t>
            </w:r>
            <w:r>
              <w:rPr>
                <w:b/>
                <w:i/>
              </w:rPr>
              <w:t>mechanizmu skutecznego odzyskiwania wszystkich nienależnie wypłaconych pieniędzy podatników</w:t>
            </w:r>
            <w:r>
              <w:t>;</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622</w:t>
      </w:r>
      <w:r>
        <w:rPr>
          <w:rStyle w:val="HideTWBExt"/>
        </w:rPr>
        <w:t>&lt;/NumAm&gt;</w:t>
      </w:r>
    </w:p>
    <w:p w:rsidR="007A0039" w:rsidRPr="00EA7539" w:rsidRDefault="007A0039" w:rsidP="007A0039">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26.</w:t>
            </w:r>
            <w:r>
              <w:tab/>
              <w:t>zachęca Komisję do stosowania jaśniejszych sformułowań w ocenie zgodności z wartościami zapisanymi w art. 2 TUE; apeluje o położenie większego nacisku na wdrażanie zaleceń dla poszczególnych krajów, a także na mechanizmy działań następczych i mierzalne poziomy odniesienia; proponuje, aby w celu zwiększenia jednolitości wprowadzono kompleksowy mechanizm monitorowania praworządności obejmujący wszystkie instytucje UE, państwa członkowskie i kraje kandydujące; proponuje utworzenie stałej grupy ds. monitorowania naruszeń zasad praworządności przez państwa członkowskie;</w:t>
            </w:r>
          </w:p>
        </w:tc>
        <w:tc>
          <w:tcPr>
            <w:tcW w:w="4876" w:type="dxa"/>
            <w:tcBorders>
              <w:top w:val="nil"/>
              <w:left w:val="nil"/>
              <w:bottom w:val="nil"/>
              <w:right w:val="nil"/>
            </w:tcBorders>
          </w:tcPr>
          <w:p w:rsidR="007A0039" w:rsidRPr="00EA7539" w:rsidRDefault="007A0039" w:rsidP="008F6778">
            <w:pPr>
              <w:pStyle w:val="Normal6a"/>
            </w:pPr>
            <w:r>
              <w:t>26.</w:t>
            </w:r>
            <w:r>
              <w:tab/>
            </w:r>
            <w:r>
              <w:rPr>
                <w:b/>
                <w:i/>
              </w:rPr>
              <w:t>zwraca się do Komisji o wyraźne rozróżnienie między systemowymi i pojedynczymi naruszeniami praworządności w państwach członkowskich;</w:t>
            </w:r>
            <w:r>
              <w:t xml:space="preserve"> zachęca Komisję do stosowania jaśniejszych sformułowań w ocenie zgodności z wartościami zapisanymi w art. 2 TUE; apeluje o położenie większego nacisku na wdrażanie zaleceń dla poszczególnych krajów, a także na mechanizmy działań następczych i mierzalne poziomy odniesienia; proponuje, aby w celu zwiększenia jednolitości wprowadzono kompleksowy mechanizm monitorowania praworządności obejmujący wszystkie instytucje UE, państwa członkowskie i kraje kandydujące; proponuje utworzenie stałej grupy ds. monitorowania naruszeń zasad praworządności przez państwa członkowskie;</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623</w:t>
      </w:r>
      <w:r>
        <w:rPr>
          <w:rStyle w:val="HideTWBExt"/>
        </w:rPr>
        <w:t>&lt;/NumAm&gt;</w:t>
      </w:r>
    </w:p>
    <w:p w:rsidR="007A0039" w:rsidRPr="00EA7539" w:rsidRDefault="007A0039" w:rsidP="007A0039">
      <w:pPr>
        <w:pStyle w:val="NormalBold"/>
      </w:pPr>
      <w:r>
        <w:rPr>
          <w:rStyle w:val="HideTWBExt"/>
          <w:b w:val="0"/>
        </w:rPr>
        <w:t>&lt;RepeatBlock-By&gt;&lt;Members&gt;</w:t>
      </w:r>
      <w:r>
        <w:t>Marieke Ehlers, Tom Vandendriessche</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26.</w:t>
            </w:r>
            <w:r>
              <w:tab/>
              <w:t>zachęca Komisję do stosowania jaśniejszych sformułowań w ocenie zgodności z wartościami zapisanymi w art.</w:t>
            </w:r>
            <w:r>
              <w:rPr>
                <w:b/>
                <w:i/>
              </w:rPr>
              <w:t xml:space="preserve"> </w:t>
            </w:r>
            <w:r>
              <w:t>2 TUE; apeluje o położenie większego nacisku na wdrażanie zaleceń dla poszczególnych krajów, a także na mechanizmy działań następczych i mierzalne poziomy odniesienia; proponuje, aby w celu zwiększenia jednolitości wprowadzono kompleksowy mechanizm monitorowania praworządności obejmujący wszystkie instytucje UE, państwa członkowskie i kraje kandydujące; proponuje utworzenie stałej grupy ds. monitorowania naruszeń zasad praworządności przez państwa członkowskie;</w:t>
            </w:r>
          </w:p>
        </w:tc>
        <w:tc>
          <w:tcPr>
            <w:tcW w:w="4876" w:type="dxa"/>
            <w:tcBorders>
              <w:top w:val="nil"/>
              <w:left w:val="nil"/>
              <w:bottom w:val="nil"/>
              <w:right w:val="nil"/>
            </w:tcBorders>
          </w:tcPr>
          <w:p w:rsidR="007A0039" w:rsidRPr="00EA7539" w:rsidRDefault="007A0039" w:rsidP="008F6778">
            <w:pPr>
              <w:pStyle w:val="Normal6a"/>
            </w:pPr>
            <w:r>
              <w:t>26.</w:t>
            </w:r>
            <w:r>
              <w:tab/>
              <w:t xml:space="preserve">zachęca Komisję do stosowania jaśniejszych sformułowań w ocenie zgodności </w:t>
            </w:r>
            <w:r>
              <w:rPr>
                <w:b/>
                <w:i/>
              </w:rPr>
              <w:t xml:space="preserve">zarówno państw członkowskich, jak i instytucji UE </w:t>
            </w:r>
            <w:r>
              <w:t>z wartościami zapisanymi w art.</w:t>
            </w:r>
            <w:r>
              <w:rPr>
                <w:b/>
                <w:i/>
              </w:rPr>
              <w:t> </w:t>
            </w:r>
            <w:r>
              <w:t>2 TUE; apeluje o położenie większego nacisku na wdrażanie zaleceń dla poszczególnych krajów</w:t>
            </w:r>
            <w:r>
              <w:rPr>
                <w:b/>
                <w:i/>
              </w:rPr>
              <w:t xml:space="preserve"> i instytucji UE</w:t>
            </w:r>
            <w:r>
              <w:t>, a także na mechanizmy działań następczych i mierzalne poziomy odniesienia; proponuje, aby w celu zwiększenia jednolitości wprowadzono kompleksowy mechanizm monitorowania praworządności obejmujący wszystkie instytucje UE, państwa członkowskie i kraje kandydujące; proponuje utworzenie stałej grupy ds. monitorowania naruszeń zasad praworządności przez państwa członkowskie;</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624</w:t>
      </w:r>
      <w:r>
        <w:rPr>
          <w:rStyle w:val="HideTWBExt"/>
        </w:rPr>
        <w:t>&lt;/NumAm&gt;</w:t>
      </w:r>
    </w:p>
    <w:p w:rsidR="007A0039" w:rsidRPr="00EA7539" w:rsidRDefault="007A0039" w:rsidP="007A0039">
      <w:pPr>
        <w:pStyle w:val="NormalBold"/>
      </w:pPr>
      <w:r>
        <w:rPr>
          <w:rStyle w:val="HideTWBExt"/>
          <w:b w:val="0"/>
        </w:rPr>
        <w:t>&lt;RepeatBlock-By&gt;&lt;Members&gt;</w:t>
      </w:r>
      <w:r>
        <w:t>Tomáš Zdechovský</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26.</w:t>
            </w:r>
            <w:r>
              <w:tab/>
              <w:t xml:space="preserve">zachęca Komisję do stosowania jaśniejszych sformułowań w ocenie zgodności z wartościami zapisanymi w art. 2 TUE; apeluje o położenie większego nacisku na wdrażanie zaleceń dla poszczególnych krajów, a także na mechanizmy działań następczych i mierzalne poziomy odniesienia; </w:t>
            </w:r>
            <w:r>
              <w:rPr>
                <w:b/>
                <w:i/>
              </w:rPr>
              <w:t>proponuje, aby w celu zwiększenia jednolitości wprowadzono kompleksowy mechanizm monitorowania</w:t>
            </w:r>
            <w:r>
              <w:t xml:space="preserve"> praworządności </w:t>
            </w:r>
            <w:r>
              <w:rPr>
                <w:b/>
                <w:i/>
              </w:rPr>
              <w:t>obejmujący</w:t>
            </w:r>
            <w:r>
              <w:t xml:space="preserve"> wszystkie instytucje UE, państwa członkowskie i kraje kandydujące; </w:t>
            </w:r>
            <w:r>
              <w:rPr>
                <w:b/>
                <w:i/>
              </w:rPr>
              <w:t>proponuje utworzenie stałej grupy ds. monitorowania naruszeń zasad praworządności przez państwa członkowskie;</w:t>
            </w:r>
          </w:p>
        </w:tc>
        <w:tc>
          <w:tcPr>
            <w:tcW w:w="4876" w:type="dxa"/>
            <w:tcBorders>
              <w:top w:val="nil"/>
              <w:left w:val="nil"/>
              <w:bottom w:val="nil"/>
              <w:right w:val="nil"/>
            </w:tcBorders>
          </w:tcPr>
          <w:p w:rsidR="007A0039" w:rsidRPr="00EA7539" w:rsidRDefault="007A0039" w:rsidP="008F6778">
            <w:pPr>
              <w:pStyle w:val="Normal6a"/>
            </w:pPr>
            <w:r>
              <w:t>26.</w:t>
            </w:r>
            <w:r>
              <w:tab/>
              <w:t xml:space="preserve">zachęca Komisję do stosowania jaśniejszych sformułowań w ocenie zgodności z wartościami zapisanymi w art. 2 TUE; apeluje o położenie większego nacisku na wdrażanie zaleceń dla poszczególnych krajów, a także na mechanizmy działań następczych i mierzalne poziomy odniesienia; </w:t>
            </w:r>
            <w:r>
              <w:rPr>
                <w:b/>
                <w:i/>
              </w:rPr>
              <w:t>apeluje o wzmocnienie ram</w:t>
            </w:r>
            <w:r>
              <w:t xml:space="preserve"> praworządności </w:t>
            </w:r>
            <w:r>
              <w:rPr>
                <w:b/>
                <w:i/>
              </w:rPr>
              <w:t>obejmujących</w:t>
            </w:r>
            <w:r>
              <w:t xml:space="preserve"> wszystkie instytucje UE, państwa członkowskie i kraje kandydujące;</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625</w:t>
      </w:r>
      <w:r>
        <w:rPr>
          <w:rStyle w:val="HideTWBExt"/>
        </w:rPr>
        <w:t>&lt;/NumAm&gt;</w:t>
      </w:r>
    </w:p>
    <w:p w:rsidR="007A0039" w:rsidRPr="00EA7539" w:rsidRDefault="007A0039" w:rsidP="007A0039">
      <w:pPr>
        <w:pStyle w:val="NormalBold"/>
      </w:pPr>
      <w:r>
        <w:rPr>
          <w:rStyle w:val="HideTWBExt"/>
          <w:b w:val="0"/>
        </w:rPr>
        <w:t>&lt;RepeatBlock-By&gt;&lt;Members&gt;</w:t>
      </w:r>
      <w:r>
        <w:t>Romana Tomc</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26.</w:t>
            </w:r>
            <w:r>
              <w:tab/>
              <w:t xml:space="preserve">zachęca Komisję do stosowania jaśniejszych sformułowań w ocenie zgodności z wartościami zapisanymi w art. 2 TUE; apeluje o położenie większego nacisku na wdrażanie zaleceń dla poszczególnych krajów, a także na mechanizmy działań następczych i mierzalne poziomy odniesienia; proponuje, aby w celu zwiększenia jednolitości wprowadzono kompleksowy mechanizm monitorowania praworządności obejmujący wszystkie instytucje UE, państwa członkowskie i kraje kandydujące; </w:t>
            </w:r>
            <w:r>
              <w:rPr>
                <w:b/>
                <w:i/>
              </w:rPr>
              <w:t>proponuje utworzenie stałej grupy ds. monitorowania naruszeń zasad praworządności przez państwa członkowskie;</w:t>
            </w:r>
          </w:p>
        </w:tc>
        <w:tc>
          <w:tcPr>
            <w:tcW w:w="4876" w:type="dxa"/>
            <w:tcBorders>
              <w:top w:val="nil"/>
              <w:left w:val="nil"/>
              <w:bottom w:val="nil"/>
              <w:right w:val="nil"/>
            </w:tcBorders>
          </w:tcPr>
          <w:p w:rsidR="007A0039" w:rsidRPr="00EA7539" w:rsidRDefault="007A0039" w:rsidP="008F6778">
            <w:pPr>
              <w:pStyle w:val="Normal6a"/>
            </w:pPr>
            <w:r>
              <w:t>26.</w:t>
            </w:r>
            <w:r>
              <w:tab/>
              <w:t>zachęca Komisję do stosowania jaśniejszych sformułowań w ocenie zgodności z wartościami zapisanymi w art. 2 TUE; apeluje o położenie większego nacisku na wdrażanie zaleceń dla poszczególnych krajów, a także na mechanizmy działań następczych i mierzalne poziomy odniesienia; proponuje, aby w celu zwiększenia jednolitości wprowadzono kompleksowy mechanizm monitorowania praworządności obejmujący wszystkie instytucje UE, państwa członkowskie i kraje kandydujące;</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626</w:t>
      </w:r>
      <w:r>
        <w:rPr>
          <w:rStyle w:val="HideTWBExt"/>
        </w:rPr>
        <w:t>&lt;/NumAm&gt;</w:t>
      </w:r>
    </w:p>
    <w:p w:rsidR="007A0039" w:rsidRPr="00EA7539" w:rsidRDefault="007A0039" w:rsidP="007A0039">
      <w:pPr>
        <w:pStyle w:val="NormalBold"/>
      </w:pPr>
      <w:r>
        <w:rPr>
          <w:rStyle w:val="HideTWBExt"/>
          <w:b w:val="0"/>
        </w:rPr>
        <w:t>&lt;RepeatBlock-By&gt;&lt;Members&gt;</w:t>
      </w:r>
      <w:r>
        <w:t>Michał Wawrykiewicz</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26.</w:t>
            </w:r>
            <w:r>
              <w:tab/>
              <w:t>zachęca Komisję do stosowania jaśniejszych sformułowań w ocenie zgodności z wartościami zapisanymi w art. 2 TUE; apeluje o położenie większego nacisku na wdrażanie zaleceń dla poszczególnych krajów, a także na mechanizmy działań następczych i mierzalne poziomy odniesienia; proponuje, aby w celu zwiększenia jednolitości wprowadzono kompleksowy mechanizm monitorowania praworządności obejmujący wszystkie instytucje UE, państwa członkowskie i kraje kandydujące; proponuje utworzenie stałej grupy ds. monitorowania naruszeń zasad praworządności przez państwa członkowskie;</w:t>
            </w:r>
          </w:p>
        </w:tc>
        <w:tc>
          <w:tcPr>
            <w:tcW w:w="4876" w:type="dxa"/>
            <w:tcBorders>
              <w:top w:val="nil"/>
              <w:left w:val="nil"/>
              <w:bottom w:val="nil"/>
              <w:right w:val="nil"/>
            </w:tcBorders>
          </w:tcPr>
          <w:p w:rsidR="007A0039" w:rsidRPr="00EA7539" w:rsidRDefault="007A0039" w:rsidP="008F6778">
            <w:pPr>
              <w:pStyle w:val="Normal6a"/>
            </w:pPr>
            <w:r>
              <w:t>26.</w:t>
            </w:r>
            <w:r>
              <w:tab/>
              <w:t xml:space="preserve">zachęca Komisję do stosowania jaśniejszych sformułowań </w:t>
            </w:r>
            <w:r>
              <w:rPr>
                <w:b/>
                <w:i/>
              </w:rPr>
              <w:t xml:space="preserve">i przejrzystych zasad </w:t>
            </w:r>
            <w:r>
              <w:t>w ocenie zgodności z wartościami zapisanymi w art. 2 TUE; apeluje o położenie większego nacisku na wdrażanie zaleceń dla poszczególnych krajów, a także na mechanizmy działań następczych i mierzalne poziomy odniesienia; proponuje, aby w celu zwiększenia jednolitości wprowadzono kompleksowy mechanizm monitorowania praworządności obejmujący wszystkie instytucje UE, państwa członkowskie i kraje kandydujące; proponuje utworzenie stałej grupy ds. monitorowania naruszeń zasad praworządności przez państwa członkowskie;</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627</w:t>
      </w:r>
      <w:r>
        <w:rPr>
          <w:rStyle w:val="HideTWBExt"/>
        </w:rPr>
        <w:t>&lt;/NumAm&gt;</w:t>
      </w:r>
    </w:p>
    <w:p w:rsidR="007A0039" w:rsidRPr="00EA7539" w:rsidRDefault="007A0039" w:rsidP="007A0039">
      <w:pPr>
        <w:pStyle w:val="NormalBold"/>
      </w:pPr>
      <w:r>
        <w:rPr>
          <w:rStyle w:val="HideTWBExt"/>
          <w:b w:val="0"/>
        </w:rPr>
        <w:t>&lt;RepeatBlock-By&gt;&lt;Members&gt;</w:t>
      </w:r>
      <w:r>
        <w:t>Marieke Ehlers, Jorge Buxadé Villalba, Tom Vandendriessche, Fabrice Leggeri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26a.</w:t>
            </w:r>
            <w:r>
              <w:tab/>
            </w:r>
            <w:r>
              <w:rPr>
                <w:b/>
                <w:i/>
              </w:rPr>
              <w:t>jest głęboko zaniepokojony wypowiedzią współprzewodniczącego grupy Verts/ALE w Parlamencie Europejskim w jego podcaście z 11 grudnia 2024 r., w którym twierdzi on, że w zamian za głosowanie za zatwierdzeniem kolegium komisarzy otrzymał „istotne propozycje” i obiecano mu „miejsca w gabinetach zapewniające stanowiska polityczne”</w:t>
            </w:r>
            <w:r>
              <w:rPr>
                <w:b/>
                <w:i/>
                <w:vertAlign w:val="superscript"/>
              </w:rPr>
              <w:t>1a</w:t>
            </w:r>
            <w:r>
              <w:rPr>
                <w:b/>
                <w:i/>
              </w:rPr>
              <w:t>; podkreśla, że jeśli jego stwierdzenia są prawdziwe, praktyka ta nie wydaje się być zgodna z art. 245 TFUE, który wyraźnie stanowi, że komisarze zobowiązują się do poszanowania swojej niezależności i do unikania wpływów; przypomina, że podczas ślubowania komisarze uroczyście oświadczają, że są całkowicie niezależni w wykonywaniu swoich obowiązków i nie zwracają się do żadnego rządu ani żadnej innej instytucji, organu, urzędu lub podmiotu o instrukcje ani ich nie przyjmują podczas wykonywania swoich zadań; uważa, że sytuacja ta budzi poważne obawy dotyczące praworządności;</w:t>
            </w:r>
          </w:p>
        </w:tc>
      </w:tr>
      <w:tr w:rsidR="007A0039" w:rsidTr="008F6778">
        <w:trPr>
          <w:jc w:val="center"/>
        </w:trPr>
        <w:tc>
          <w:tcPr>
            <w:tcW w:w="4876" w:type="dxa"/>
            <w:tcBorders>
              <w:top w:val="nil"/>
              <w:left w:val="nil"/>
              <w:bottom w:val="nil"/>
              <w:right w:val="nil"/>
            </w:tcBorders>
          </w:tcPr>
          <w:p w:rsidR="007A0039" w:rsidRPr="00EA7539" w:rsidRDefault="007A0039" w:rsidP="008F6778"/>
        </w:tc>
        <w:tc>
          <w:tcPr>
            <w:tcW w:w="4876" w:type="dxa"/>
            <w:tcBorders>
              <w:top w:val="nil"/>
              <w:left w:val="nil"/>
              <w:bottom w:val="nil"/>
              <w:right w:val="nil"/>
            </w:tcBorders>
          </w:tcPr>
          <w:p w:rsidR="007A0039" w:rsidRPr="00EA7539" w:rsidRDefault="007A0039" w:rsidP="008F6778">
            <w:pPr>
              <w:pStyle w:val="Normal6a"/>
            </w:pPr>
            <w:r>
              <w:rPr>
                <w:b/>
                <w:i/>
              </w:rPr>
              <w:t>_________________</w:t>
            </w:r>
          </w:p>
        </w:tc>
      </w:tr>
      <w:tr w:rsidR="007A0039" w:rsidTr="008F6778">
        <w:trPr>
          <w:jc w:val="center"/>
        </w:trPr>
        <w:tc>
          <w:tcPr>
            <w:tcW w:w="4876" w:type="dxa"/>
            <w:tcBorders>
              <w:top w:val="nil"/>
              <w:left w:val="nil"/>
              <w:bottom w:val="nil"/>
              <w:right w:val="nil"/>
            </w:tcBorders>
          </w:tcPr>
          <w:p w:rsidR="007A0039" w:rsidRPr="00EA7539" w:rsidRDefault="007A0039" w:rsidP="008F6778"/>
        </w:tc>
        <w:tc>
          <w:tcPr>
            <w:tcW w:w="4876" w:type="dxa"/>
            <w:tcBorders>
              <w:top w:val="nil"/>
              <w:left w:val="nil"/>
              <w:bottom w:val="nil"/>
              <w:right w:val="nil"/>
            </w:tcBorders>
          </w:tcPr>
          <w:p w:rsidR="007A0039" w:rsidRPr="00EA7539" w:rsidRDefault="007A0039" w:rsidP="008F6778">
            <w:pPr>
              <w:pStyle w:val="Normal6a"/>
            </w:pPr>
            <w:r>
              <w:rPr>
                <w:b/>
                <w:i/>
                <w:vertAlign w:val="superscript"/>
              </w:rPr>
              <w:t>1a</w:t>
            </w:r>
            <w:r>
              <w:t xml:space="preserve"> </w:t>
            </w:r>
            <w:r>
              <w:rPr>
                <w:b/>
                <w:i/>
              </w:rPr>
              <w:t>https://podcasts.apple.com/be/podcast/frankrijk-en-duitsland-stuurloos-wie-neemt-de/id1449821985?i=1000680020503</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628</w:t>
      </w:r>
      <w:r>
        <w:rPr>
          <w:rStyle w:val="HideTWBExt"/>
        </w:rPr>
        <w:t>&lt;/NumAm&gt;</w:t>
      </w:r>
    </w:p>
    <w:p w:rsidR="007A0039" w:rsidRPr="00EA7539" w:rsidRDefault="007A0039" w:rsidP="007A0039">
      <w:pPr>
        <w:pStyle w:val="NormalBold"/>
      </w:pPr>
      <w:r>
        <w:rPr>
          <w:rStyle w:val="HideTWBExt"/>
          <w:b w:val="0"/>
        </w:rPr>
        <w:t>&lt;RepeatBlock-By&gt;&lt;Members&gt;</w:t>
      </w:r>
      <w:r>
        <w:t>Daniel Freund</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26a.</w:t>
            </w:r>
            <w:r>
              <w:tab/>
            </w:r>
            <w:r>
              <w:rPr>
                <w:b/>
                <w:i/>
              </w:rPr>
              <w:t>wzywa Komisję, aby zgodnie z zaleceniem Parlamentu zbadała wszystkie możliwości zaangażowania panelu niezależnych ekspertów w kolejne sprawozdania na temat praworządności; ponownie wzywa Komisję, aby zwróciła się do Agencji Praw Podstawowych o doradztwo metodyczne i przeprowadzenie badań porównawczych w celu doprecyzowania kluczowych obszarów sprawozdania rocznego, z uwagi na ścisły związek między prawami podstawowymi a praworządnością; wobec niechęci Komisji i Rady zwraca się do Prezydium o zorganizowanie procedury udzielania zamówień publicznych, aby utworzyć tymczasowy zespół niezależnych ekspertów pod auspicjami Parlamentu, w myśl zobowiązania podjętego we wcześniejszych rezolucjach; zespół taki doradzałby Parlamentowi w kwestii przestrzegania wartości zapisanych w art. 2 TUE w poszczególnych państwach członkowskich, a także dałby przykład funkcjonowania takiego zespołu w praktyce;</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629</w:t>
      </w:r>
      <w:r>
        <w:rPr>
          <w:rStyle w:val="HideTWBExt"/>
        </w:rPr>
        <w:t>&lt;/NumAm&gt;</w:t>
      </w:r>
    </w:p>
    <w:p w:rsidR="007A0039" w:rsidRPr="00EA7539" w:rsidRDefault="007A0039" w:rsidP="007A0039">
      <w:pPr>
        <w:pStyle w:val="NormalBold"/>
      </w:pPr>
      <w:r>
        <w:rPr>
          <w:rStyle w:val="HideTWBExt"/>
          <w:b w:val="0"/>
        </w:rPr>
        <w:t>&lt;RepeatBlock-By&gt;&lt;Members&gt;</w:t>
      </w:r>
      <w:r>
        <w:t>Moritz Körner, Malik Azmani, Dainius Žalimas, Lucia Yar, Fabienne Keller, Raquel García Hermida-Van Der Walle, Abir Al-Sahlani, Ana Catarina Mendes</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26a.</w:t>
            </w:r>
            <w:r>
              <w:tab/>
            </w:r>
            <w:r>
              <w:rPr>
                <w:b/>
                <w:i/>
              </w:rPr>
              <w:t>nalega, aby w sprawozdaniu Komisji na temat praworządności z 2025 r. uwzględniono cały zakres art. 2 Traktatu UE, a także szersze wskaźniki, takie jak niezależność mediów, rola społeczeństwa obywatelskiego, prawa podstawowe (w tym prawa seksualne i reprodukcyjne), wolność akademicka i artystyczna, równouprawnienie płci, ochrona mniejszości i grup szczególnie wrażliwych, poszanowanie prawa międzynarodowego oraz funkcjonowanie instytucji demokratycznych, w celu zapewnienia pełniejszego obrazu standardów praworządności w całej UE;</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630</w:t>
      </w:r>
      <w:r>
        <w:rPr>
          <w:rStyle w:val="HideTWBExt"/>
        </w:rPr>
        <w:t>&lt;/NumAm&gt;</w:t>
      </w:r>
    </w:p>
    <w:p w:rsidR="007A0039" w:rsidRPr="00EA7539" w:rsidRDefault="007A0039" w:rsidP="007A0039">
      <w:pPr>
        <w:pStyle w:val="NormalBold"/>
      </w:pPr>
      <w:r>
        <w:rPr>
          <w:rStyle w:val="HideTWBExt"/>
          <w:b w:val="0"/>
        </w:rPr>
        <w:t>&lt;RepeatBlock-By&gt;&lt;Members&gt;</w:t>
      </w:r>
      <w:r>
        <w:t>Krzysztof Śmiszek, Matjaž Nemec, Robert Biedroń, Katarina Barley, Cecilia Strada, Klára Dobrev, Csaba Molnár, Emma Rafowicz, Alessandro Zan</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26a.</w:t>
            </w:r>
            <w:r>
              <w:tab/>
            </w:r>
            <w:r>
              <w:rPr>
                <w:b/>
                <w:i/>
              </w:rPr>
              <w:t>nalega, aby UE ustanowiła specjalny mechanizm finansowania w celu wspierania organizacji społeczeństwa obywatelskiego działających na rzecz praw osób LGBTIQ+; podkreśla, że mechanizm ten mógłby dostarczać środków na rzecznictwo, pomoc prawną i kampanie uświadamiające, zapewniając jednocześnie, by organizacje te mogły działać bez nieuzasadnionych ograniczeń lub nękania; podkreśla potrzebę wzmocnienia przez UE mechanizmów szybkiego reagowania w celu ochrony obrońców praw człowieka LGBTIQ+, którzy są narażeni na ryzyko we wrogim środowisku;</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631</w:t>
      </w:r>
      <w:r>
        <w:rPr>
          <w:rStyle w:val="HideTWBExt"/>
        </w:rPr>
        <w:t>&lt;/NumAm&gt;</w:t>
      </w:r>
    </w:p>
    <w:p w:rsidR="007A0039" w:rsidRPr="00EA7539" w:rsidRDefault="007A0039" w:rsidP="007A0039">
      <w:pPr>
        <w:pStyle w:val="NormalBold"/>
      </w:pPr>
      <w:r>
        <w:rPr>
          <w:rStyle w:val="HideTWBExt"/>
          <w:b w:val="0"/>
        </w:rPr>
        <w:t>&lt;RepeatBlock-By&gt;&lt;Members&gt;</w:t>
      </w:r>
      <w:r>
        <w:t>Alessandro Ciriani, Paolo Inselvini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26a.</w:t>
            </w:r>
            <w:r>
              <w:tab/>
            </w:r>
            <w:r>
              <w:rPr>
                <w:b/>
                <w:i/>
              </w:rPr>
              <w:t>powtarza, że mechanizm praworządności powinien koncentrować się przede wszystkim na stosowaniu prawa UE, ochronie praw podstawowych i na zasadach demokracji, unikając wykorzystywania wkładów podmiotów zewnętrznych i organizacji prywatnych motywowanych programami ideologicznymi;</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{IT}</w:t>
      </w:r>
      <w:r w:rsidRPr="00EA7539">
        <w:t>it</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sidRPr="00EA7539">
        <w:rPr>
          <w:rStyle w:val="HideTWBExt"/>
        </w:rPr>
        <w:t>&lt;Amend&gt;</w:t>
      </w:r>
      <w:r w:rsidRPr="00EA7539">
        <w:t>Poprawka</w:t>
      </w:r>
      <w:r w:rsidRPr="00EA7539">
        <w:tab/>
      </w:r>
      <w:r w:rsidRPr="00EA7539">
        <w:tab/>
      </w:r>
      <w:r w:rsidRPr="00EA7539">
        <w:rPr>
          <w:rStyle w:val="HideTWBExt"/>
        </w:rPr>
        <w:t>&lt;NumAm&gt;</w:t>
      </w:r>
      <w:r w:rsidRPr="00EA7539">
        <w:t>632</w:t>
      </w:r>
      <w:r w:rsidRPr="00EA7539">
        <w:rPr>
          <w:rStyle w:val="HideTWBExt"/>
        </w:rPr>
        <w:t>&lt;/NumAm&gt;</w:t>
      </w:r>
    </w:p>
    <w:p w:rsidR="007A0039" w:rsidRPr="00EA7539" w:rsidRDefault="007A0039" w:rsidP="007A0039">
      <w:pPr>
        <w:pStyle w:val="NormalBold"/>
      </w:pPr>
      <w:r w:rsidRPr="00EA7539">
        <w:rPr>
          <w:rStyle w:val="HideTWBExt"/>
          <w:b w:val="0"/>
        </w:rPr>
        <w:t>&lt;RepeatBlock-By&gt;&lt;Members&gt;</w:t>
      </w:r>
      <w:r w:rsidRPr="00EA7539">
        <w:t>Mariusz Kamiński, Joachim Stanisław Brudziński, Jadwiga Wiśniewska, Maciej Wąsik, Jacek Ozdoba</w:t>
      </w:r>
      <w:r w:rsidRPr="00EA7539">
        <w:rPr>
          <w:rStyle w:val="HideTWBExt"/>
          <w:b w:val="0"/>
        </w:rPr>
        <w:t>&lt;/Members&gt;</w:t>
      </w:r>
    </w:p>
    <w:p w:rsidR="007A0039" w:rsidRPr="00EA7539" w:rsidRDefault="007A0039" w:rsidP="007A0039">
      <w:pPr>
        <w:pStyle w:val="NormalBold"/>
      </w:pPr>
      <w:r w:rsidRPr="00EA7539">
        <w:rPr>
          <w:rStyle w:val="HideTWBExt"/>
          <w:b w:val="0"/>
        </w:rPr>
        <w:t>&lt;/RepeatBlock-By&gt;</w:t>
      </w:r>
    </w:p>
    <w:p w:rsidR="007A0039" w:rsidRPr="00EA7539" w:rsidRDefault="007A0039" w:rsidP="007A0039">
      <w:pPr>
        <w:pStyle w:val="NormalBold"/>
      </w:pPr>
      <w:r w:rsidRPr="00EA7539">
        <w:rPr>
          <w:rStyle w:val="HideTWBExt"/>
        </w:rPr>
        <w:t>&lt;DocAmend&gt;</w:t>
      </w:r>
      <w:r w:rsidRPr="00EA7539">
        <w:t>Projekt rezolucji</w:t>
      </w:r>
      <w:r w:rsidRPr="00EA7539">
        <w:rPr>
          <w:rStyle w:val="HideTWBExt"/>
        </w:rPr>
        <w:t>&lt;/DocAmend&gt;</w:t>
      </w:r>
    </w:p>
    <w:p w:rsidR="007A0039" w:rsidRPr="00EA7539" w:rsidRDefault="007A0039" w:rsidP="007A0039">
      <w:pPr>
        <w:pStyle w:val="NormalBold"/>
      </w:pPr>
      <w:r w:rsidRPr="00EA7539">
        <w:rPr>
          <w:rStyle w:val="HideTWBExt"/>
        </w:rPr>
        <w:t>&lt;Article&gt;</w:t>
      </w:r>
      <w:r w:rsidRPr="00EA7539">
        <w:t>Ustęp 26 a (nowy)</w:t>
      </w:r>
      <w:r w:rsidRPr="00EA7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RPr="00EA75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RPr="00EA75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rsidRPr="00EA7539">
              <w:t>Projekt rezolucji</w:t>
            </w:r>
          </w:p>
        </w:tc>
        <w:tc>
          <w:tcPr>
            <w:tcW w:w="4876" w:type="dxa"/>
            <w:tcBorders>
              <w:top w:val="nil"/>
              <w:left w:val="nil"/>
              <w:bottom w:val="nil"/>
              <w:right w:val="nil"/>
            </w:tcBorders>
          </w:tcPr>
          <w:p w:rsidR="007A0039" w:rsidRPr="00EA7539" w:rsidRDefault="007A0039" w:rsidP="008F6778">
            <w:pPr>
              <w:pStyle w:val="AmColumnHeading"/>
            </w:pPr>
            <w:r w:rsidRPr="00EA7539">
              <w:t>Poprawka</w:t>
            </w:r>
          </w:p>
        </w:tc>
      </w:tr>
      <w:tr w:rsidR="007A0039" w:rsidRPr="00EA75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26</w:t>
            </w:r>
            <w:r w:rsidRPr="00EA7539">
              <w:rPr>
                <w:b/>
                <w:i/>
              </w:rPr>
              <w:t>a.</w:t>
            </w:r>
            <w:r w:rsidRPr="00EA7539">
              <w:tab/>
            </w:r>
            <w:r w:rsidRPr="00EA7539">
              <w:rPr>
                <w:b/>
                <w:i/>
              </w:rPr>
              <w:t>ubolewa, że Komisja przygotowuje corocznie raporty na temat praworządności w arbitralnie wybranych obszarach oraz kieruje zalecenia do państw członkowskich, chociaż nie ma przyznanych przez państwa czlonkowskie traktatowych komptencji w tej dziedzinie;</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{PL}</w:t>
      </w:r>
      <w:r w:rsidRPr="00EA7539">
        <w:t>pl</w:t>
      </w:r>
      <w:r w:rsidRPr="00EA7539">
        <w:rPr>
          <w:rStyle w:val="HideTWBExt"/>
        </w:rPr>
        <w:t>&lt;/Original&gt;</w:t>
      </w:r>
    </w:p>
    <w:p w:rsidR="007A0039" w:rsidRPr="00EA7539" w:rsidRDefault="007A0039" w:rsidP="007A0039">
      <w:r w:rsidRPr="00EA7539">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633</w:t>
      </w:r>
      <w:r>
        <w:rPr>
          <w:rStyle w:val="HideTWBExt"/>
        </w:rPr>
        <w:t>&lt;/NumAm&gt;</w:t>
      </w:r>
    </w:p>
    <w:p w:rsidR="007A0039" w:rsidRPr="00EA7539" w:rsidRDefault="007A0039" w:rsidP="007A0039">
      <w:pPr>
        <w:pStyle w:val="NormalBold"/>
      </w:pPr>
      <w:r>
        <w:rPr>
          <w:rStyle w:val="HideTWBExt"/>
          <w:b w:val="0"/>
        </w:rPr>
        <w:t>&lt;RepeatBlock-By&gt;&lt;Members&gt;</w:t>
      </w:r>
      <w:r>
        <w:t>Isabel Serra Sánchez</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26a.</w:t>
            </w:r>
            <w:r>
              <w:tab/>
            </w:r>
            <w:r>
              <w:rPr>
                <w:b/>
                <w:i/>
              </w:rPr>
              <w:t>wzywa Komisję do opublikowania kryteriów stosowanych przy wyborze informacji pochodzących od społeczeństwa obywatelskiego, organów międzynarodowych, organów krajowych i innych zainteresowanych stron w procesie sporządzania sprawozdań na temat praworządności;</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634</w:t>
      </w:r>
      <w:r>
        <w:rPr>
          <w:rStyle w:val="HideTWBExt"/>
        </w:rPr>
        <w:t>&lt;/NumAm&gt;</w:t>
      </w:r>
    </w:p>
    <w:p w:rsidR="007A0039" w:rsidRPr="00EA7539" w:rsidRDefault="007A0039" w:rsidP="007A0039">
      <w:pPr>
        <w:pStyle w:val="NormalBold"/>
      </w:pPr>
      <w:r>
        <w:rPr>
          <w:rStyle w:val="HideTWBExt"/>
          <w:b w:val="0"/>
        </w:rPr>
        <w:t>&lt;RepeatBlock-By&gt;&lt;Members&gt;</w:t>
      </w:r>
      <w:r>
        <w:t>Juan Fernando López Aguilar, Nacho Sánchez Amor, Javier Moreno Sánchez</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26a.</w:t>
            </w:r>
            <w:r>
              <w:tab/>
            </w:r>
            <w:r>
              <w:rPr>
                <w:b/>
                <w:i/>
              </w:rPr>
              <w:t>wzywa państwa członkowskie, aby wdrożyły zalecenia przedstawione w poprzednich sprawozdaniach, i pochwala te, które nie tylko je wdrożyły, ale także wyszły poza ustalone standardy;</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635</w:t>
      </w:r>
      <w:r>
        <w:rPr>
          <w:rStyle w:val="HideTWBExt"/>
        </w:rPr>
        <w:t>&lt;/NumAm&gt;</w:t>
      </w:r>
    </w:p>
    <w:p w:rsidR="007A0039" w:rsidRPr="00EA7539" w:rsidRDefault="007A0039" w:rsidP="007A0039">
      <w:pPr>
        <w:pStyle w:val="NormalBold"/>
      </w:pPr>
      <w:r>
        <w:rPr>
          <w:rStyle w:val="HideTWBExt"/>
          <w:b w:val="0"/>
        </w:rPr>
        <w:t>&lt;RepeatBlock-By&gt;&lt;Members&gt;</w:t>
      </w:r>
      <w:r>
        <w:t>Daniel Freund</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26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26b.</w:t>
            </w:r>
            <w:r>
              <w:tab/>
            </w:r>
            <w:r>
              <w:rPr>
                <w:b/>
                <w:i/>
              </w:rPr>
              <w:t>ubolewa, że eufemistyczny język oraz sztucznie równa liczba konkluzji i zaleceń dotyczących poszczególnych państw członkowskich przysłaniają rzeczywiste różnice między państwami członkowskimi; wskazuje, że zalecenia powinny lepiej odzwierciedlać negatywne ustalenia zawarte w sprawozdaniu i być bardziej szczegółowe; ponawia zalecenie rozróżnienia między naruszeniami systemowymi a indywidualnymi, aby uniknąć ryzyka bagatelizowania najpoważniejszych naruszeń praworządności; wzywa Komisję do wyraźnego zaznaczenia, że państwa członkowskie, które systematycznie, celowo i poważnie naruszają wartości określone w art. 2 TUE przez pewien czas, mogą nie spełniać wszystkich kryteriów demokracji; uważa, że ocena realizacji zaleceń powinna być bardziej precyzyjna i jakościowa oraz powinna opierać się nie tylko na zmianach legislacyjnych, lecz także na rzeczywistych i niezależnych dowodach ich wdrożenia w praktyce;</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636</w:t>
      </w:r>
      <w:r>
        <w:rPr>
          <w:rStyle w:val="HideTWBExt"/>
        </w:rPr>
        <w:t>&lt;/NumAm&gt;</w:t>
      </w:r>
    </w:p>
    <w:p w:rsidR="007A0039" w:rsidRPr="00EA7539" w:rsidRDefault="007A0039" w:rsidP="007A0039">
      <w:pPr>
        <w:pStyle w:val="NormalBold"/>
      </w:pPr>
      <w:r>
        <w:rPr>
          <w:rStyle w:val="HideTWBExt"/>
          <w:b w:val="0"/>
        </w:rPr>
        <w:t>&lt;RepeatBlock-By&gt;&lt;Members&gt;</w:t>
      </w:r>
      <w:r>
        <w:t>Alessandro Ciriani, Paolo Inselvini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26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26b.</w:t>
            </w:r>
            <w:r>
              <w:tab/>
            </w:r>
            <w:r>
              <w:rPr>
                <w:b/>
                <w:i/>
              </w:rPr>
              <w:t>wzywa Komisję do przedstawienia bardziej wyważonej i opartej na dowodach oceny sytuacji w zakresie praworządności w państwach członkowskich, przy pełnym poszanowaniu suwerenności narodowej i tradycji prawnych każdego państwa członkowskiego; zauważa, że duża liczba odniesień do wyników niektórych organizacji pozarządowych oznacza, że Komisja de facto zleciła tym organizacjom prace nad sprawozdaniem i nie sprawdziła faktycznej dokładności ich oświadczeń; wzywa Komisję do przyjęcia bardziej kompleksowej i neutralnej metodyki na potrzeby przyszłych ocen;</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{IT}</w:t>
      </w:r>
      <w:r w:rsidRPr="00EA7539">
        <w:t>it</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sidRPr="00EA7539">
        <w:rPr>
          <w:rStyle w:val="HideTWBExt"/>
        </w:rPr>
        <w:t>&lt;Amend&gt;</w:t>
      </w:r>
      <w:r w:rsidRPr="00EA7539">
        <w:t>Poprawka</w:t>
      </w:r>
      <w:r w:rsidRPr="00EA7539">
        <w:tab/>
      </w:r>
      <w:r w:rsidRPr="00EA7539">
        <w:tab/>
      </w:r>
      <w:r w:rsidRPr="00EA7539">
        <w:rPr>
          <w:rStyle w:val="HideTWBExt"/>
        </w:rPr>
        <w:t>&lt;NumAm&gt;</w:t>
      </w:r>
      <w:r w:rsidRPr="00EA7539">
        <w:t>637</w:t>
      </w:r>
      <w:r w:rsidRPr="00EA7539">
        <w:rPr>
          <w:rStyle w:val="HideTWBExt"/>
        </w:rPr>
        <w:t>&lt;/NumAm&gt;</w:t>
      </w:r>
    </w:p>
    <w:p w:rsidR="007A0039" w:rsidRPr="00EA7539" w:rsidRDefault="007A0039" w:rsidP="007A0039">
      <w:pPr>
        <w:pStyle w:val="NormalBold"/>
      </w:pPr>
      <w:r w:rsidRPr="00EA7539">
        <w:rPr>
          <w:rStyle w:val="HideTWBExt"/>
          <w:b w:val="0"/>
        </w:rPr>
        <w:t>&lt;RepeatBlock-By&gt;&lt;Members&gt;</w:t>
      </w:r>
      <w:r w:rsidRPr="00EA7539">
        <w:t>Mariusz Kamiński, Joachim Stanisław Brudziński, Jadwiga Wiśniewska, Maciej Wąsik, Jacek Ozdoba</w:t>
      </w:r>
      <w:r w:rsidRPr="00EA7539">
        <w:rPr>
          <w:rStyle w:val="HideTWBExt"/>
          <w:b w:val="0"/>
        </w:rPr>
        <w:t>&lt;/Members&gt;</w:t>
      </w:r>
    </w:p>
    <w:p w:rsidR="007A0039" w:rsidRPr="00EA7539" w:rsidRDefault="007A0039" w:rsidP="007A0039">
      <w:pPr>
        <w:pStyle w:val="NormalBold"/>
      </w:pPr>
      <w:r w:rsidRPr="00EA7539">
        <w:rPr>
          <w:rStyle w:val="HideTWBExt"/>
          <w:b w:val="0"/>
        </w:rPr>
        <w:t>&lt;/RepeatBlock-By&gt;</w:t>
      </w:r>
    </w:p>
    <w:p w:rsidR="007A0039" w:rsidRPr="00EA7539" w:rsidRDefault="007A0039" w:rsidP="007A0039">
      <w:pPr>
        <w:pStyle w:val="NormalBold"/>
      </w:pPr>
      <w:r w:rsidRPr="00EA7539">
        <w:rPr>
          <w:rStyle w:val="HideTWBExt"/>
        </w:rPr>
        <w:t>&lt;DocAmend&gt;</w:t>
      </w:r>
      <w:r w:rsidRPr="00EA7539">
        <w:t>Projekt rezolucji</w:t>
      </w:r>
      <w:r w:rsidRPr="00EA7539">
        <w:rPr>
          <w:rStyle w:val="HideTWBExt"/>
        </w:rPr>
        <w:t>&lt;/DocAmend&gt;</w:t>
      </w:r>
    </w:p>
    <w:p w:rsidR="007A0039" w:rsidRPr="00EA7539" w:rsidRDefault="007A0039" w:rsidP="007A0039">
      <w:pPr>
        <w:pStyle w:val="NormalBold"/>
      </w:pPr>
      <w:r w:rsidRPr="00EA7539">
        <w:rPr>
          <w:rStyle w:val="HideTWBExt"/>
        </w:rPr>
        <w:t>&lt;Article&gt;</w:t>
      </w:r>
      <w:r w:rsidRPr="00EA7539">
        <w:t>Ustęp 26 b (nowy)</w:t>
      </w:r>
      <w:r w:rsidRPr="00EA7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RPr="00EA75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RPr="00EA75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rsidRPr="00EA7539">
              <w:t>Projekt rezolucji</w:t>
            </w:r>
          </w:p>
        </w:tc>
        <w:tc>
          <w:tcPr>
            <w:tcW w:w="4876" w:type="dxa"/>
            <w:tcBorders>
              <w:top w:val="nil"/>
              <w:left w:val="nil"/>
              <w:bottom w:val="nil"/>
              <w:right w:val="nil"/>
            </w:tcBorders>
          </w:tcPr>
          <w:p w:rsidR="007A0039" w:rsidRPr="00EA7539" w:rsidRDefault="007A0039" w:rsidP="008F6778">
            <w:pPr>
              <w:pStyle w:val="AmColumnHeading"/>
            </w:pPr>
            <w:r w:rsidRPr="00EA7539">
              <w:t>Poprawka</w:t>
            </w:r>
          </w:p>
        </w:tc>
      </w:tr>
      <w:tr w:rsidR="007A0039" w:rsidRPr="00EA75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26</w:t>
            </w:r>
            <w:r w:rsidRPr="00EA7539">
              <w:rPr>
                <w:b/>
                <w:i/>
              </w:rPr>
              <w:t>b.</w:t>
            </w:r>
            <w:r w:rsidRPr="00EA7539">
              <w:tab/>
            </w:r>
            <w:r w:rsidRPr="00EA7539">
              <w:rPr>
                <w:b/>
                <w:i/>
              </w:rPr>
              <w:t>nie zgadza się z podejściem Komisji do przygotowania raportu, w wyniku czego raport Komisji cechuje się dużym zakresem uznaniowości, fragmenty opisowe mieszają się w nim z ocennymi bez ich wyraźnego rozgraniczenia; ubolewa, że Komisja stosuje podwójne standardy i takie same lub bardzo podobne rozwiązania funkcjonujące w poszczególnych państwach członkowskich ocenia się w różny sposób, co wskazuje, że nie ma jednej, jasnej metodologii opartej na tych samych podstawach, ale jest doraźny, polityczny aspekt poszczególnych raportów;</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{PL}</w:t>
      </w:r>
      <w:r w:rsidRPr="00EA7539">
        <w:t>pl</w:t>
      </w:r>
      <w:r w:rsidRPr="00EA7539">
        <w:rPr>
          <w:rStyle w:val="HideTWBExt"/>
        </w:rPr>
        <w:t>&lt;/Original&gt;</w:t>
      </w:r>
    </w:p>
    <w:p w:rsidR="007A0039" w:rsidRPr="00EA7539" w:rsidRDefault="007A0039" w:rsidP="007A0039">
      <w:r w:rsidRPr="00EA7539">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638</w:t>
      </w:r>
      <w:r>
        <w:rPr>
          <w:rStyle w:val="HideTWBExt"/>
        </w:rPr>
        <w:t>&lt;/NumAm&gt;</w:t>
      </w:r>
    </w:p>
    <w:p w:rsidR="007A0039" w:rsidRPr="00EA7539" w:rsidRDefault="007A0039" w:rsidP="007A0039">
      <w:pPr>
        <w:pStyle w:val="NormalBold"/>
      </w:pPr>
      <w:r>
        <w:rPr>
          <w:rStyle w:val="HideTWBExt"/>
          <w:b w:val="0"/>
        </w:rPr>
        <w:t>&lt;RepeatBlock-By&gt;&lt;Members&gt;</w:t>
      </w:r>
      <w:r>
        <w:t>Isabel Serra Sánchez</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26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26b.</w:t>
            </w:r>
            <w:r>
              <w:tab/>
            </w:r>
            <w:r>
              <w:rPr>
                <w:b/>
                <w:i/>
              </w:rPr>
              <w:t>uważa, że zalecenia zawarte w rocznych sprawozdaniach na temat praworządności muszą być bardziej szczegółowe i wskazywać konkretne działania lub plany działania, jakie powinny podjąć państwa członkowskie, oraz ramy czasowe, których należy przestrzegać, aby poprawić sytuację, w tym, w stosownych przypadkach, istniejące opinie instytucji międzynarodowych (np. Komisji Weneckiej Rady Europy, specjalnych sprawozdawców ONZ) lub odpowiednie orzeczenia sądowe (w tym Europejskiego Trybunału Praw Człowieka);</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639</w:t>
      </w:r>
      <w:r>
        <w:rPr>
          <w:rStyle w:val="HideTWBExt"/>
        </w:rPr>
        <w:t>&lt;/NumAm&gt;</w:t>
      </w:r>
    </w:p>
    <w:p w:rsidR="007A0039" w:rsidRPr="00EA7539" w:rsidRDefault="007A0039" w:rsidP="007A0039">
      <w:pPr>
        <w:pStyle w:val="NormalBold"/>
      </w:pPr>
      <w:r>
        <w:rPr>
          <w:rStyle w:val="HideTWBExt"/>
          <w:b w:val="0"/>
        </w:rPr>
        <w:t>&lt;RepeatBlock-By&gt;&lt;Members&gt;</w:t>
      </w:r>
      <w:r>
        <w:t>Moritz Körner, Malik Azmani, Dainius Žalimas, Lucia Yar, Fabienne Keller, Raquel García Hermida-Van Der Walle, Abir Al-Sahlani, Veronika Cifrová Ostrihoňová</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26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26b.</w:t>
            </w:r>
            <w:r>
              <w:tab/>
            </w:r>
            <w:r>
              <w:rPr>
                <w:b/>
                <w:i/>
              </w:rPr>
              <w:t>wzywa Komisję, aby nieustannie zwiększała zarówno zakres sprawozdania na temat praworządności, jak i jego wpływ na egzekwowanie prawa; ostrzega, że brak powiązania monitorowania z rzeczywistymi konsekwencjami może zmniejszyć znaczenie sprawozdania w państwach członkowskich;</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sidRPr="00EA7539">
        <w:rPr>
          <w:rStyle w:val="HideTWBExt"/>
        </w:rPr>
        <w:t>&lt;Amend&gt;</w:t>
      </w:r>
      <w:r w:rsidRPr="00EA7539">
        <w:t>Poprawka</w:t>
      </w:r>
      <w:r w:rsidRPr="00EA7539">
        <w:tab/>
      </w:r>
      <w:r w:rsidRPr="00EA7539">
        <w:tab/>
      </w:r>
      <w:r w:rsidRPr="00EA7539">
        <w:rPr>
          <w:rStyle w:val="HideTWBExt"/>
        </w:rPr>
        <w:t>&lt;NumAm&gt;</w:t>
      </w:r>
      <w:r w:rsidRPr="00EA7539">
        <w:t>640</w:t>
      </w:r>
      <w:r w:rsidRPr="00EA7539">
        <w:rPr>
          <w:rStyle w:val="HideTWBExt"/>
        </w:rPr>
        <w:t>&lt;/NumAm&gt;</w:t>
      </w:r>
    </w:p>
    <w:p w:rsidR="007A0039" w:rsidRPr="00EA7539" w:rsidRDefault="007A0039" w:rsidP="007A0039">
      <w:pPr>
        <w:pStyle w:val="NormalBold"/>
      </w:pPr>
      <w:r w:rsidRPr="00EA7539">
        <w:rPr>
          <w:rStyle w:val="HideTWBExt"/>
          <w:b w:val="0"/>
        </w:rPr>
        <w:t>&lt;RepeatBlock-By&gt;&lt;Members&gt;</w:t>
      </w:r>
      <w:r w:rsidRPr="00EA7539">
        <w:t>Mariusz Kamiński, Joachim Stanisław Brudziński, Jadwiga Wiśniewska, Maciej Wąsik, Jacek Ozdoba</w:t>
      </w:r>
      <w:r w:rsidRPr="00EA7539">
        <w:rPr>
          <w:rStyle w:val="HideTWBExt"/>
          <w:b w:val="0"/>
        </w:rPr>
        <w:t>&lt;/Members&gt;</w:t>
      </w:r>
    </w:p>
    <w:p w:rsidR="007A0039" w:rsidRPr="00EA7539" w:rsidRDefault="007A0039" w:rsidP="007A0039">
      <w:pPr>
        <w:pStyle w:val="NormalBold"/>
      </w:pPr>
      <w:r w:rsidRPr="00EA7539">
        <w:rPr>
          <w:rStyle w:val="HideTWBExt"/>
          <w:b w:val="0"/>
        </w:rPr>
        <w:t>&lt;/RepeatBlock-By&gt;</w:t>
      </w:r>
    </w:p>
    <w:p w:rsidR="007A0039" w:rsidRPr="00EA7539" w:rsidRDefault="007A0039" w:rsidP="007A0039">
      <w:pPr>
        <w:pStyle w:val="NormalBold"/>
      </w:pPr>
      <w:r w:rsidRPr="00EA7539">
        <w:rPr>
          <w:rStyle w:val="HideTWBExt"/>
        </w:rPr>
        <w:t>&lt;DocAmend&gt;</w:t>
      </w:r>
      <w:r w:rsidRPr="00EA7539">
        <w:t>Projekt rezolucji</w:t>
      </w:r>
      <w:r w:rsidRPr="00EA7539">
        <w:rPr>
          <w:rStyle w:val="HideTWBExt"/>
        </w:rPr>
        <w:t>&lt;/DocAmend&gt;</w:t>
      </w:r>
    </w:p>
    <w:p w:rsidR="007A0039" w:rsidRPr="00EA7539" w:rsidRDefault="007A0039" w:rsidP="007A0039">
      <w:pPr>
        <w:pStyle w:val="NormalBold"/>
      </w:pPr>
      <w:r w:rsidRPr="00EA7539">
        <w:rPr>
          <w:rStyle w:val="HideTWBExt"/>
        </w:rPr>
        <w:t>&lt;Article&gt;</w:t>
      </w:r>
      <w:r w:rsidRPr="00EA7539">
        <w:t>Ustęp 26 c (nowy)</w:t>
      </w:r>
      <w:r w:rsidRPr="00EA7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RPr="00EA75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RPr="00EA75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rsidRPr="00EA7539">
              <w:t>Projekt rezolucji</w:t>
            </w:r>
          </w:p>
        </w:tc>
        <w:tc>
          <w:tcPr>
            <w:tcW w:w="4876" w:type="dxa"/>
            <w:tcBorders>
              <w:top w:val="nil"/>
              <w:left w:val="nil"/>
              <w:bottom w:val="nil"/>
              <w:right w:val="nil"/>
            </w:tcBorders>
          </w:tcPr>
          <w:p w:rsidR="007A0039" w:rsidRPr="00EA7539" w:rsidRDefault="007A0039" w:rsidP="008F6778">
            <w:pPr>
              <w:pStyle w:val="AmColumnHeading"/>
            </w:pPr>
            <w:r w:rsidRPr="00EA7539">
              <w:t>Poprawka</w:t>
            </w:r>
          </w:p>
        </w:tc>
      </w:tr>
      <w:tr w:rsidR="007A0039" w:rsidRPr="00EA75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26</w:t>
            </w:r>
            <w:r w:rsidRPr="00EA7539">
              <w:rPr>
                <w:b/>
                <w:i/>
              </w:rPr>
              <w:t>c.</w:t>
            </w:r>
            <w:r w:rsidRPr="00EA7539">
              <w:tab/>
            </w:r>
            <w:r w:rsidRPr="00EA7539">
              <w:rPr>
                <w:b/>
                <w:i/>
              </w:rPr>
              <w:t>zauważa, że w swoich raportach Komisja opiera się często na publikacjach o charakterze medialnym, bez sprawdzenia u źródła lub wprost z pominięciem wyjaśnień państwa członkowskiego; wzywa Komisję do ujawnienia nazwisk autorów oraz organizacji, stowarzyszeń, think-tanków oraz innych podmiotów, przygotowujących raporty dotykające poszczególne kraje, bez chowania się za kolegialnością, w tym podmiotów skutecznie lobbujących w Komisji w obronie rosyjskiego szpiega Pawła Rubcova;</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{PL}</w:t>
      </w:r>
      <w:r w:rsidRPr="00EA7539">
        <w:t>pl</w:t>
      </w:r>
      <w:r w:rsidRPr="00EA7539">
        <w:rPr>
          <w:rStyle w:val="HideTWBExt"/>
        </w:rPr>
        <w:t>&lt;/Original&gt;</w:t>
      </w:r>
    </w:p>
    <w:p w:rsidR="007A0039" w:rsidRPr="00EA7539" w:rsidRDefault="007A0039" w:rsidP="007A0039">
      <w:r w:rsidRPr="00EA7539">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641</w:t>
      </w:r>
      <w:r>
        <w:rPr>
          <w:rStyle w:val="HideTWBExt"/>
        </w:rPr>
        <w:t>&lt;/NumAm&gt;</w:t>
      </w:r>
    </w:p>
    <w:p w:rsidR="007A0039" w:rsidRPr="00EA7539" w:rsidRDefault="007A0039" w:rsidP="007A0039">
      <w:pPr>
        <w:pStyle w:val="NormalBold"/>
      </w:pPr>
      <w:r>
        <w:rPr>
          <w:rStyle w:val="HideTWBExt"/>
          <w:b w:val="0"/>
        </w:rPr>
        <w:t>&lt;RepeatBlock-By&gt;&lt;Members&gt;</w:t>
      </w:r>
      <w:r>
        <w:t>Alessandro Ciriani, Paolo Inselvini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26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26c.</w:t>
            </w:r>
            <w:r>
              <w:tab/>
            </w:r>
            <w:r>
              <w:rPr>
                <w:b/>
                <w:i/>
              </w:rPr>
              <w:t>przypomina w związku z tym niedawne wydarzenia dotyczące domniemanego finansowania organizacji społeczeństwa obywatelskiego wykorzystywanych do lobbowania posłów do PE i wpływania na ich wolność wypowiedzi w odniesieniu do polityki ekologicznej;</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{IT}</w:t>
      </w:r>
      <w:r w:rsidRPr="00EA7539">
        <w:t>it</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sidRPr="00EA7539">
        <w:rPr>
          <w:rStyle w:val="HideTWBExt"/>
        </w:rPr>
        <w:t>&lt;Amend&gt;</w:t>
      </w:r>
      <w:r w:rsidRPr="00EA7539">
        <w:t>Poprawka</w:t>
      </w:r>
      <w:r w:rsidRPr="00EA7539">
        <w:tab/>
      </w:r>
      <w:r w:rsidRPr="00EA7539">
        <w:tab/>
      </w:r>
      <w:r w:rsidRPr="00EA7539">
        <w:rPr>
          <w:rStyle w:val="HideTWBExt"/>
        </w:rPr>
        <w:t>&lt;NumAm&gt;</w:t>
      </w:r>
      <w:r w:rsidRPr="00EA7539">
        <w:t>642</w:t>
      </w:r>
      <w:r w:rsidRPr="00EA7539">
        <w:rPr>
          <w:rStyle w:val="HideTWBExt"/>
        </w:rPr>
        <w:t>&lt;/NumAm&gt;</w:t>
      </w:r>
    </w:p>
    <w:p w:rsidR="007A0039" w:rsidRPr="00EA7539" w:rsidRDefault="007A0039" w:rsidP="007A0039">
      <w:pPr>
        <w:pStyle w:val="NormalBold"/>
      </w:pPr>
      <w:r w:rsidRPr="00EA7539">
        <w:rPr>
          <w:rStyle w:val="HideTWBExt"/>
          <w:b w:val="0"/>
        </w:rPr>
        <w:t>&lt;RepeatBlock-By&gt;&lt;Members&gt;</w:t>
      </w:r>
      <w:r w:rsidRPr="00EA7539">
        <w:t>Mariusz Kamiński, Joachim Stanisław Brudziński, Jadwiga Wiśniewska, Maciej Wąsik, Jacek Ozdoba</w:t>
      </w:r>
      <w:r w:rsidRPr="00EA7539">
        <w:rPr>
          <w:rStyle w:val="HideTWBExt"/>
          <w:b w:val="0"/>
        </w:rPr>
        <w:t>&lt;/Members&gt;</w:t>
      </w:r>
    </w:p>
    <w:p w:rsidR="007A0039" w:rsidRPr="00EA7539" w:rsidRDefault="007A0039" w:rsidP="007A0039">
      <w:pPr>
        <w:pStyle w:val="NormalBold"/>
      </w:pPr>
      <w:r w:rsidRPr="00EA7539">
        <w:rPr>
          <w:rStyle w:val="HideTWBExt"/>
          <w:b w:val="0"/>
        </w:rPr>
        <w:t>&lt;/RepeatBlock-By&gt;</w:t>
      </w:r>
    </w:p>
    <w:p w:rsidR="007A0039" w:rsidRPr="00EA7539" w:rsidRDefault="007A0039" w:rsidP="007A0039">
      <w:pPr>
        <w:pStyle w:val="NormalBold"/>
      </w:pPr>
      <w:r w:rsidRPr="00EA7539">
        <w:rPr>
          <w:rStyle w:val="HideTWBExt"/>
        </w:rPr>
        <w:t>&lt;DocAmend&gt;</w:t>
      </w:r>
      <w:r w:rsidRPr="00EA7539">
        <w:t>Projekt rezolucji</w:t>
      </w:r>
      <w:r w:rsidRPr="00EA7539">
        <w:rPr>
          <w:rStyle w:val="HideTWBExt"/>
        </w:rPr>
        <w:t>&lt;/DocAmend&gt;</w:t>
      </w:r>
    </w:p>
    <w:p w:rsidR="007A0039" w:rsidRPr="00EA7539" w:rsidRDefault="007A0039" w:rsidP="007A0039">
      <w:pPr>
        <w:pStyle w:val="NormalBold"/>
      </w:pPr>
      <w:r w:rsidRPr="00EA7539">
        <w:rPr>
          <w:rStyle w:val="HideTWBExt"/>
        </w:rPr>
        <w:t>&lt;Article&gt;</w:t>
      </w:r>
      <w:r w:rsidRPr="00EA7539">
        <w:t>Ustęp 26 d (nowy)</w:t>
      </w:r>
      <w:r w:rsidRPr="00EA7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RPr="00EA75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RPr="00EA75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rsidRPr="00EA7539">
              <w:t>Projekt rezolucji</w:t>
            </w:r>
          </w:p>
        </w:tc>
        <w:tc>
          <w:tcPr>
            <w:tcW w:w="4876" w:type="dxa"/>
            <w:tcBorders>
              <w:top w:val="nil"/>
              <w:left w:val="nil"/>
              <w:bottom w:val="nil"/>
              <w:right w:val="nil"/>
            </w:tcBorders>
          </w:tcPr>
          <w:p w:rsidR="007A0039" w:rsidRPr="00EA7539" w:rsidRDefault="007A0039" w:rsidP="008F6778">
            <w:pPr>
              <w:pStyle w:val="AmColumnHeading"/>
            </w:pPr>
            <w:r w:rsidRPr="00EA7539">
              <w:t>Poprawka</w:t>
            </w:r>
          </w:p>
        </w:tc>
      </w:tr>
      <w:tr w:rsidR="007A0039" w:rsidRPr="00EA75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26</w:t>
            </w:r>
            <w:r w:rsidRPr="00EA7539">
              <w:rPr>
                <w:b/>
                <w:i/>
              </w:rPr>
              <w:t>d.</w:t>
            </w:r>
            <w:r w:rsidRPr="00EA7539">
              <w:tab/>
            </w:r>
            <w:r w:rsidRPr="00EA7539">
              <w:rPr>
                <w:b/>
                <w:i/>
              </w:rPr>
              <w:t>wyraża oburzenie wykorzystaniem przez Komisję sprawy Pablo Gonzalesa, vel Pawła Rubcowa, agenta rosyjskiego wywiadu wojskowego GRU, działającego pod przykrywką dziennikarza, do ataku na państwo członkowskie; wzywa Komisję do przeproszenia Polski – państwa, za którego granicą toczy się pełnoskalowa wojna i które jest celem ataków hybrydowych ze strony Moskwy i Mińska – za ten obrzydliwy atak oraz do wycofania dokumentu kompromitującego Komisję i jej procedury badania praworządności w państwie członkowskim; wzywa Komisję do wyjaśnienia i upublicznienia, które konkretne organizacje i urzędnicy lobbowali Komisję w obronie rosyjskiego szpiega oraz ataku na Polskę;</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{PL}</w:t>
      </w:r>
      <w:r w:rsidRPr="00EA7539">
        <w:t>pl</w:t>
      </w:r>
      <w:r w:rsidRPr="00EA7539">
        <w:rPr>
          <w:rStyle w:val="HideTWBExt"/>
        </w:rPr>
        <w:t>&lt;/Original&gt;</w:t>
      </w:r>
    </w:p>
    <w:p w:rsidR="007A0039" w:rsidRPr="00EA7539" w:rsidRDefault="007A0039" w:rsidP="007A0039">
      <w:r w:rsidRPr="00EA7539">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643</w:t>
      </w:r>
      <w:r>
        <w:rPr>
          <w:rStyle w:val="HideTWBExt"/>
        </w:rPr>
        <w:t>&lt;/NumAm&gt;</w:t>
      </w:r>
    </w:p>
    <w:p w:rsidR="007A0039" w:rsidRPr="00EA7539" w:rsidRDefault="007A0039" w:rsidP="007A0039">
      <w:pPr>
        <w:pStyle w:val="NormalBold"/>
      </w:pPr>
      <w:r>
        <w:rPr>
          <w:rStyle w:val="HideTWBExt"/>
          <w:b w:val="0"/>
        </w:rPr>
        <w:t>&lt;RepeatBlock-By&gt;&lt;Members&gt;</w:t>
      </w:r>
      <w:r>
        <w:t>Alessandro Ciriani, Paolo Inselvini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26 d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26d.</w:t>
            </w:r>
            <w:r>
              <w:tab/>
            </w:r>
            <w:r>
              <w:rPr>
                <w:b/>
                <w:i/>
              </w:rPr>
              <w:t>wzywa Komisję do opublikowania w przejrzysty sposób nazw wszystkich zainteresowanych stron, które uczestniczyły w konsultacjach publicznych i przekazały informacje w państwach członkowskich w celu przygotowania niniejszego sprawozdania, dzięki czemu uniknie się anonimowych źródeł;</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{IT}</w:t>
      </w:r>
      <w:r w:rsidRPr="00EA7539">
        <w:t>it</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644</w:t>
      </w:r>
      <w:r>
        <w:rPr>
          <w:rStyle w:val="HideTWBExt"/>
        </w:rPr>
        <w:t>&lt;/NumAm&gt;</w:t>
      </w:r>
    </w:p>
    <w:p w:rsidR="007A0039" w:rsidRPr="00EA7539" w:rsidRDefault="007A0039" w:rsidP="007A0039">
      <w:pPr>
        <w:pStyle w:val="NormalBold"/>
      </w:pPr>
      <w:r>
        <w:rPr>
          <w:rStyle w:val="HideTWBExt"/>
          <w:b w:val="0"/>
        </w:rPr>
        <w:t>&lt;RepeatBlock-By&gt;&lt;Members&gt;</w:t>
      </w:r>
      <w:r>
        <w:t>Krzysztof Śmiszek, Matjaž Nemec, Robert Biedroń, Katarina Barley, Cecilia Strada, Klára Dobrev, Csaba Molnár, Emma Rafowicz, Alessandro Zan, Birgit Sippel</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27.</w:t>
            </w:r>
            <w:r>
              <w:tab/>
              <w:t>podkreśla znaczenie niezależnych systemów sądowych i dostępu do bezpłatnej pomocy prawnej dla zapewnienia równego dostępu do wymiaru sprawiedliwości; przypomina, że odpowiednie zasoby, w tym infrastruktura i personel, mają zasadnicze znaczenie dla poprawy systemów wymiaru sprawiedliwości;</w:t>
            </w:r>
          </w:p>
        </w:tc>
        <w:tc>
          <w:tcPr>
            <w:tcW w:w="4876" w:type="dxa"/>
            <w:tcBorders>
              <w:top w:val="nil"/>
              <w:left w:val="nil"/>
              <w:bottom w:val="nil"/>
              <w:right w:val="nil"/>
            </w:tcBorders>
          </w:tcPr>
          <w:p w:rsidR="007A0039" w:rsidRPr="00EA7539" w:rsidRDefault="007A0039" w:rsidP="008F6778">
            <w:pPr>
              <w:pStyle w:val="Normal6a"/>
            </w:pPr>
            <w:r>
              <w:t>27.</w:t>
            </w:r>
            <w:r>
              <w:tab/>
              <w:t xml:space="preserve">podkreśla znaczenie niezależnych systemów sądowych i dostępu do bezpłatnej pomocy prawnej dla zapewnienia równego dostępu do wymiaru sprawiedliwości; przypomina, że odpowiednie zasoby, w tym infrastruktura i personel, mają zasadnicze znaczenie dla poprawy systemów wymiaru sprawiedliwości; </w:t>
            </w:r>
            <w:r>
              <w:rPr>
                <w:b/>
                <w:i/>
              </w:rPr>
              <w:t>zaleca, aby państwa członkowskie podjęły konkretne kroki w celu poprawy dostępu zmarginalizowanych i słabszych grup społecznych do wymiaru sprawiedliwości, w tym przez udoskonalenie systemów pomocy prawnej i środki mające na celu usunięcie barier językowych i przepaści cyfrowej;</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645</w:t>
      </w:r>
      <w:r>
        <w:rPr>
          <w:rStyle w:val="HideTWBExt"/>
        </w:rPr>
        <w:t>&lt;/NumAm&gt;</w:t>
      </w:r>
    </w:p>
    <w:p w:rsidR="007A0039" w:rsidRPr="00EA7539" w:rsidRDefault="007A0039" w:rsidP="007A0039">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27.</w:t>
            </w:r>
            <w:r>
              <w:tab/>
              <w:t>podkreśla znaczenie niezależnych systemów sądowych i dostępu do bezpłatnej pomocy prawnej dla zapewnienia równego dostępu do wymiaru sprawiedliwości; przypomina, że odpowiednie zasoby, w tym infrastruktura i personel, mają zasadnicze znaczenie dla poprawy systemów wymiaru sprawiedliwości;</w:t>
            </w:r>
          </w:p>
        </w:tc>
        <w:tc>
          <w:tcPr>
            <w:tcW w:w="4876" w:type="dxa"/>
            <w:tcBorders>
              <w:top w:val="nil"/>
              <w:left w:val="nil"/>
              <w:bottom w:val="nil"/>
              <w:right w:val="nil"/>
            </w:tcBorders>
          </w:tcPr>
          <w:p w:rsidR="007A0039" w:rsidRPr="00EA7539" w:rsidRDefault="007A0039" w:rsidP="008F6778">
            <w:pPr>
              <w:pStyle w:val="Normal6a"/>
            </w:pPr>
            <w:r>
              <w:t>27.</w:t>
            </w:r>
            <w:r>
              <w:tab/>
              <w:t xml:space="preserve">podkreśla znaczenie niezależnych systemów sądowych i dostępu do bezpłatnej </w:t>
            </w:r>
            <w:r>
              <w:rPr>
                <w:b/>
                <w:i/>
              </w:rPr>
              <w:t xml:space="preserve">i przystępnej cenowo </w:t>
            </w:r>
            <w:r>
              <w:t xml:space="preserve">pomocy prawnej dla zapewnienia równego dostępu do wymiaru sprawiedliwości; przypomina, że odpowiednie zasoby, w tym infrastruktura i personel, mają zasadnicze znaczenie dla poprawy systemów wymiaru sprawiedliwości; </w:t>
            </w:r>
            <w:r>
              <w:rPr>
                <w:b/>
                <w:i/>
              </w:rPr>
              <w:t>wzywa państwa członkowskie do dopilnowania, by zasoby sądowe, w tym pomoc prawna, były odpowiednio finansowane i łatwo dostępne dla wszystkich, zwłaszcza dla słabszych grup społecznych;</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646</w:t>
      </w:r>
      <w:r>
        <w:rPr>
          <w:rStyle w:val="HideTWBExt"/>
        </w:rPr>
        <w:t>&lt;/NumAm&gt;</w:t>
      </w:r>
    </w:p>
    <w:p w:rsidR="007A0039" w:rsidRPr="00EA7539" w:rsidRDefault="007A0039" w:rsidP="007A0039">
      <w:pPr>
        <w:pStyle w:val="NormalBold"/>
      </w:pPr>
      <w:r>
        <w:rPr>
          <w:rStyle w:val="HideTWBExt"/>
          <w:b w:val="0"/>
        </w:rPr>
        <w:t>&lt;RepeatBlock-By&gt;&lt;Members&gt;</w:t>
      </w:r>
      <w:r>
        <w:t>Moritz Körner, Malik Azmani, Dainius Žalimas, Lucia Yar, Fabienne Keller, Raquel García Hermida-Van Der Walle, Abir Al-Sahlani, Veronika Cifrová Ostrihoňová</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27a.</w:t>
            </w:r>
            <w:r>
              <w:tab/>
            </w:r>
            <w:r>
              <w:rPr>
                <w:b/>
                <w:i/>
              </w:rPr>
              <w:t>przypomina, że decyzje podjęte lub niepodjęte przez instytucje UE często wpływają na sytuację w zakresie praworządności w państwach członkowskich; krytycznie odnosi się do faktu, że status praworządności na szczeblu UE nie wchodzi w zakres sprawozdania Komisji na temat praworządności z 2024 r.; domaga się, aby do sprawozdania Komisji na temat praworządności z 2025 r. włączono rozdział dotyczący przestrzegania przez UE standardów praworządności, który opierałby się na niezależnym mechanizmie przeglądu;</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647</w:t>
      </w:r>
      <w:r>
        <w:rPr>
          <w:rStyle w:val="HideTWBExt"/>
        </w:rPr>
        <w:t>&lt;/NumAm&gt;</w:t>
      </w:r>
    </w:p>
    <w:p w:rsidR="007A0039" w:rsidRPr="00EA7539" w:rsidRDefault="007A0039" w:rsidP="007A0039">
      <w:pPr>
        <w:pStyle w:val="NormalBold"/>
      </w:pPr>
      <w:r>
        <w:rPr>
          <w:rStyle w:val="HideTWBExt"/>
          <w:b w:val="0"/>
        </w:rPr>
        <w:t>&lt;RepeatBlock-By&gt;&lt;Members&gt;</w:t>
      </w:r>
      <w:r>
        <w:t>Isabel Serra Sánchez</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27a.</w:t>
            </w:r>
            <w:r>
              <w:tab/>
            </w:r>
            <w:r>
              <w:rPr>
                <w:b/>
                <w:i/>
              </w:rPr>
              <w:t>ponownie wzywa Komisję, aby zwróciła się do Agencji Praw Podstawowych o doradztwo metodyczne i przeprowadzenie badań porównawczych w celu doprecyzowania kluczowych obszarów sprawozdania rocznego, z uwagi na ścisły związek między prawami podstawowymi a praworządnością;</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sidRPr="00EA7539">
        <w:rPr>
          <w:rStyle w:val="HideTWBExt"/>
        </w:rPr>
        <w:t>&lt;Amend&gt;</w:t>
      </w:r>
      <w:r w:rsidRPr="00EA7539">
        <w:t>Poprawka</w:t>
      </w:r>
      <w:r w:rsidRPr="00EA7539">
        <w:tab/>
      </w:r>
      <w:r w:rsidRPr="00EA7539">
        <w:tab/>
      </w:r>
      <w:r w:rsidRPr="00EA7539">
        <w:rPr>
          <w:rStyle w:val="HideTWBExt"/>
        </w:rPr>
        <w:t>&lt;NumAm&gt;</w:t>
      </w:r>
      <w:r w:rsidRPr="00EA7539">
        <w:t>648</w:t>
      </w:r>
      <w:r w:rsidRPr="00EA7539">
        <w:rPr>
          <w:rStyle w:val="HideTWBExt"/>
        </w:rPr>
        <w:t>&lt;/NumAm&gt;</w:t>
      </w:r>
    </w:p>
    <w:p w:rsidR="007A0039" w:rsidRPr="00EA7539" w:rsidRDefault="007A0039" w:rsidP="007A0039">
      <w:pPr>
        <w:pStyle w:val="NormalBold"/>
      </w:pPr>
      <w:r w:rsidRPr="00EA7539">
        <w:rPr>
          <w:rStyle w:val="HideTWBExt"/>
          <w:b w:val="0"/>
        </w:rPr>
        <w:t>&lt;RepeatBlock-By&gt;&lt;Members&gt;</w:t>
      </w:r>
      <w:r w:rsidRPr="00EA7539">
        <w:t>Mariusz Kamiński, Joachim Stanisław Brudziński, Jadwiga Wiśniewska, Maciej Wąsik, Jacek Ozdoba</w:t>
      </w:r>
      <w:r w:rsidRPr="00EA7539">
        <w:rPr>
          <w:rStyle w:val="HideTWBExt"/>
          <w:b w:val="0"/>
        </w:rPr>
        <w:t>&lt;/Members&gt;</w:t>
      </w:r>
    </w:p>
    <w:p w:rsidR="007A0039" w:rsidRPr="00EA7539" w:rsidRDefault="007A0039" w:rsidP="007A0039">
      <w:pPr>
        <w:pStyle w:val="NormalBold"/>
      </w:pPr>
      <w:r w:rsidRPr="00EA7539">
        <w:rPr>
          <w:rStyle w:val="HideTWBExt"/>
          <w:b w:val="0"/>
        </w:rPr>
        <w:t>&lt;/RepeatBlock-By&gt;</w:t>
      </w:r>
    </w:p>
    <w:p w:rsidR="007A0039" w:rsidRPr="00EA7539" w:rsidRDefault="007A0039" w:rsidP="007A0039">
      <w:pPr>
        <w:pStyle w:val="NormalBold"/>
      </w:pPr>
      <w:r w:rsidRPr="00EA7539">
        <w:rPr>
          <w:rStyle w:val="HideTWBExt"/>
        </w:rPr>
        <w:t>&lt;DocAmend&gt;</w:t>
      </w:r>
      <w:r w:rsidRPr="00EA7539">
        <w:t>Projekt rezolucji</w:t>
      </w:r>
      <w:r w:rsidRPr="00EA7539">
        <w:rPr>
          <w:rStyle w:val="HideTWBExt"/>
        </w:rPr>
        <w:t>&lt;/DocAmend&gt;</w:t>
      </w:r>
    </w:p>
    <w:p w:rsidR="007A0039" w:rsidRPr="00EA7539" w:rsidRDefault="007A0039" w:rsidP="007A0039">
      <w:pPr>
        <w:pStyle w:val="NormalBold"/>
      </w:pPr>
      <w:r w:rsidRPr="00EA7539">
        <w:rPr>
          <w:rStyle w:val="HideTWBExt"/>
        </w:rPr>
        <w:t>&lt;Article&gt;</w:t>
      </w:r>
      <w:r w:rsidRPr="00EA7539">
        <w:t>Ustęp 27 a (nowy)</w:t>
      </w:r>
      <w:r w:rsidRPr="00EA7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RPr="00EA75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RPr="00EA75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rsidRPr="00EA7539">
              <w:t>Projekt rezolucji</w:t>
            </w:r>
          </w:p>
        </w:tc>
        <w:tc>
          <w:tcPr>
            <w:tcW w:w="4876" w:type="dxa"/>
            <w:tcBorders>
              <w:top w:val="nil"/>
              <w:left w:val="nil"/>
              <w:bottom w:val="nil"/>
              <w:right w:val="nil"/>
            </w:tcBorders>
          </w:tcPr>
          <w:p w:rsidR="007A0039" w:rsidRPr="00EA7539" w:rsidRDefault="007A0039" w:rsidP="008F6778">
            <w:pPr>
              <w:pStyle w:val="AmColumnHeading"/>
            </w:pPr>
            <w:r w:rsidRPr="00EA7539">
              <w:t>Poprawka</w:t>
            </w:r>
          </w:p>
        </w:tc>
      </w:tr>
      <w:tr w:rsidR="007A0039" w:rsidRPr="00EA75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27</w:t>
            </w:r>
            <w:r w:rsidRPr="00EA7539">
              <w:rPr>
                <w:b/>
                <w:i/>
              </w:rPr>
              <w:t>a.</w:t>
            </w:r>
            <w:r w:rsidRPr="00EA7539">
              <w:tab/>
            </w:r>
            <w:r w:rsidRPr="00EA7539">
              <w:rPr>
                <w:b/>
                <w:i/>
              </w:rPr>
              <w:t>żałuje, iż instytucje unijne, tak jak w przypadku Polski, stały się obrońcą postkomunistycznych układów, broniąc skorumpowanych, niewydolnych i nietransparentnych struktur, wyrządzając tym samy szkody Polsce oraz łamiąc traktaty;</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{PL}</w:t>
      </w:r>
      <w:r w:rsidRPr="00EA7539">
        <w:t>pl</w:t>
      </w:r>
      <w:r w:rsidRPr="00EA7539">
        <w:rPr>
          <w:rStyle w:val="HideTWBExt"/>
        </w:rPr>
        <w:t>&lt;/Original&gt;</w:t>
      </w:r>
    </w:p>
    <w:p w:rsidR="007A0039" w:rsidRPr="00EA7539" w:rsidRDefault="007A0039" w:rsidP="007A0039">
      <w:r w:rsidRPr="00EA7539">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649</w:t>
      </w:r>
      <w:r>
        <w:rPr>
          <w:rStyle w:val="HideTWBExt"/>
        </w:rPr>
        <w:t>&lt;/NumAm&gt;</w:t>
      </w:r>
    </w:p>
    <w:p w:rsidR="007A0039" w:rsidRPr="00EA7539" w:rsidRDefault="007A0039" w:rsidP="007A0039">
      <w:pPr>
        <w:pStyle w:val="NormalBold"/>
      </w:pPr>
      <w:r>
        <w:rPr>
          <w:rStyle w:val="HideTWBExt"/>
          <w:b w:val="0"/>
        </w:rPr>
        <w:t>&lt;RepeatBlock-By&gt;&lt;Members&gt;</w:t>
      </w:r>
      <w:r>
        <w:t>Moritz Körner, Malik Azmani, Dainius Žalimas, Lucia Yar, Fabienne Keller, Raquel García Hermida-Van Der Walle, Abir Al-Sahlani, Veronika Cifrová Ostrihoňová</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27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27b.</w:t>
            </w:r>
            <w:r>
              <w:tab/>
            </w:r>
            <w:r>
              <w:rPr>
                <w:b/>
                <w:i/>
              </w:rPr>
              <w:t>zauważa, że UE monitoruje praworządność, ale nie ocenia systematycznie stanu zasad demokracji w państwach członkowskich; ubolewa, że w sprawozdaniu Komisji z 2024 r. w sprawie praworządności pominięto istotne zasady demokracji, takie jak wolne i uczciwe wybory, pluralizm polityczny, instytucjonalne mechanizmy kontroli i równowagi, demokratyczna uczciwość procedur ustawodawczych oraz zabezpieczenia przed nadmierną ingerencją rządu; domaga się, aby do sprawozdania Komisji na temat praworządności z 2025 r. włączono rozdział poświęcony standardom demokracji;</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650</w:t>
      </w:r>
      <w:r>
        <w:rPr>
          <w:rStyle w:val="HideTWBExt"/>
        </w:rPr>
        <w:t>&lt;/NumAm&gt;</w:t>
      </w:r>
    </w:p>
    <w:p w:rsidR="007A0039" w:rsidRPr="00EA7539" w:rsidRDefault="007A0039" w:rsidP="007A0039">
      <w:pPr>
        <w:pStyle w:val="NormalBold"/>
      </w:pPr>
      <w:r>
        <w:rPr>
          <w:rStyle w:val="HideTWBExt"/>
          <w:b w:val="0"/>
        </w:rPr>
        <w:t>&lt;RepeatBlock-By&gt;&lt;Members&gt;</w:t>
      </w:r>
      <w:r>
        <w:t>Moritz Körner, Malik Azmani, Dainius Žalimas, Lucia Yar, Fabienne Keller, Raquel García Hermida-Van Der Walle, Abir Al-Sahlani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27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27c.</w:t>
            </w:r>
            <w:r>
              <w:tab/>
            </w:r>
            <w:r>
              <w:rPr>
                <w:b/>
                <w:i/>
              </w:rPr>
              <w:t>przypomina Komisji, że jako strażniczka traktatów powinna podejmować konkretne działania w zakresie egzekwowania prawa, a nie tylko wydawać sprawozdania lub zalecenia;</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651</w:t>
      </w:r>
      <w:r>
        <w:rPr>
          <w:rStyle w:val="HideTWBExt"/>
        </w:rPr>
        <w:t>&lt;/NumAm&gt;</w:t>
      </w:r>
    </w:p>
    <w:p w:rsidR="007A0039" w:rsidRPr="00EA7539" w:rsidRDefault="007A0039" w:rsidP="007A0039">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27 d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27d.</w:t>
            </w:r>
            <w:r>
              <w:tab/>
            </w:r>
            <w:r>
              <w:rPr>
                <w:b/>
                <w:i/>
              </w:rPr>
              <w:t>przypomina Komisji, że musi ona konsekwentnie i szybko stosować procedury w sprawie uchybienia zobowiązaniom państwa członkowskiego, nakładając kary finansowe w przypadku, gdy państwa członkowskie nie przestrzegają prawa UE; ubolewa, że w przeszłości Komisja zbyt opieszale podchodziła do kwestii naruszeń, zwłaszcza tych dotyczących praworządności; przypomina, że w przypadku wystąpienia naruszeń Komisja musi działać szybko i zdecydowanie, zapewniając niezwłoczne wszczęcie postępowań w sprawie uchybienia zobowiązaniom państwa członkowskiego;</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652</w:t>
      </w:r>
      <w:r>
        <w:rPr>
          <w:rStyle w:val="HideTWBExt"/>
        </w:rPr>
        <w:t>&lt;/NumAm&gt;</w:t>
      </w:r>
    </w:p>
    <w:p w:rsidR="007A0039" w:rsidRPr="00EA7539" w:rsidRDefault="007A0039" w:rsidP="007A0039">
      <w:pPr>
        <w:pStyle w:val="NormalBold"/>
      </w:pPr>
      <w:r>
        <w:rPr>
          <w:rStyle w:val="HideTWBExt"/>
          <w:b w:val="0"/>
        </w:rPr>
        <w:t>&lt;RepeatBlock-By&gt;&lt;Members&gt;</w:t>
      </w:r>
      <w:r>
        <w:t>Tomáš Zdechovský</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28.</w:t>
            </w:r>
            <w:r>
              <w:tab/>
            </w:r>
            <w:r>
              <w:rPr>
                <w:b/>
                <w:i/>
              </w:rPr>
              <w:t>wzywa Komisję do zakończenia negocjacji w sprawie członkostwa UE w GRECO, co stanowiłoby kamień milowy w walce z korupcją;</w:t>
            </w:r>
          </w:p>
        </w:tc>
        <w:tc>
          <w:tcPr>
            <w:tcW w:w="4876" w:type="dxa"/>
            <w:tcBorders>
              <w:top w:val="nil"/>
              <w:left w:val="nil"/>
              <w:bottom w:val="nil"/>
              <w:right w:val="nil"/>
            </w:tcBorders>
          </w:tcPr>
          <w:p w:rsidR="007A0039" w:rsidRPr="00EA7539" w:rsidRDefault="007A0039" w:rsidP="008F6778">
            <w:pPr>
              <w:pStyle w:val="Normal6a"/>
            </w:pPr>
            <w:r>
              <w:rPr>
                <w:b/>
                <w:i/>
              </w:rPr>
              <w:t>skreśla się</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653</w:t>
      </w:r>
      <w:r>
        <w:rPr>
          <w:rStyle w:val="HideTWBExt"/>
        </w:rPr>
        <w:t>&lt;/NumAm&gt;</w:t>
      </w:r>
    </w:p>
    <w:p w:rsidR="007A0039" w:rsidRPr="00EA7539" w:rsidRDefault="007A0039" w:rsidP="007A0039">
      <w:pPr>
        <w:pStyle w:val="NormalBold"/>
      </w:pPr>
      <w:r>
        <w:rPr>
          <w:rStyle w:val="HideTWBExt"/>
          <w:b w:val="0"/>
        </w:rPr>
        <w:t>&lt;RepeatBlock-By&gt;&lt;Members&gt;</w:t>
      </w:r>
      <w:r>
        <w:t>András László</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28.</w:t>
            </w:r>
            <w:r>
              <w:tab/>
            </w:r>
            <w:r>
              <w:rPr>
                <w:b/>
                <w:i/>
              </w:rPr>
              <w:t>wzywa Komisję do zakończenia negocjacji w sprawie członkostwa UE w GRECO, co stanowiłoby kamień milowy w walce z korupcją;</w:t>
            </w:r>
          </w:p>
        </w:tc>
        <w:tc>
          <w:tcPr>
            <w:tcW w:w="4876" w:type="dxa"/>
            <w:tcBorders>
              <w:top w:val="nil"/>
              <w:left w:val="nil"/>
              <w:bottom w:val="nil"/>
              <w:right w:val="nil"/>
            </w:tcBorders>
          </w:tcPr>
          <w:p w:rsidR="007A0039" w:rsidRPr="00EA7539" w:rsidRDefault="007A0039" w:rsidP="008F6778">
            <w:pPr>
              <w:pStyle w:val="Normal6a"/>
            </w:pPr>
            <w:r>
              <w:rPr>
                <w:b/>
                <w:i/>
              </w:rPr>
              <w:t>skreśla się</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654</w:t>
      </w:r>
      <w:r>
        <w:rPr>
          <w:rStyle w:val="HideTWBExt"/>
        </w:rPr>
        <w:t>&lt;/NumAm&gt;</w:t>
      </w:r>
    </w:p>
    <w:p w:rsidR="007A0039" w:rsidRPr="00EA7539" w:rsidRDefault="007A0039" w:rsidP="007A0039">
      <w:pPr>
        <w:pStyle w:val="NormalBold"/>
      </w:pPr>
      <w:r>
        <w:rPr>
          <w:rStyle w:val="HideTWBExt"/>
          <w:b w:val="0"/>
        </w:rPr>
        <w:t>&lt;RepeatBlock-By&gt;&lt;Members&gt;</w:t>
      </w:r>
      <w:r>
        <w:t>Krzysztof Śmiszek, Matjaž Nemec, Robert Biedroń, Katarina Barley, Cecilia Strada, Klára Dobrev, Csaba Molnár</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28.</w:t>
            </w:r>
            <w:r>
              <w:tab/>
              <w:t>wzywa Komisję do zakończenia negocjacji w sprawie członkostwa UE w GRECO, co stanowiłoby kamień milowy w walce z korupcją;</w:t>
            </w:r>
          </w:p>
        </w:tc>
        <w:tc>
          <w:tcPr>
            <w:tcW w:w="4876" w:type="dxa"/>
            <w:tcBorders>
              <w:top w:val="nil"/>
              <w:left w:val="nil"/>
              <w:bottom w:val="nil"/>
              <w:right w:val="nil"/>
            </w:tcBorders>
          </w:tcPr>
          <w:p w:rsidR="007A0039" w:rsidRPr="00EA7539" w:rsidRDefault="007A0039" w:rsidP="008F6778">
            <w:pPr>
              <w:pStyle w:val="Normal6a"/>
            </w:pPr>
            <w:r>
              <w:t>28.</w:t>
            </w:r>
            <w:r>
              <w:tab/>
              <w:t xml:space="preserve">wzywa Komisję do zakończenia negocjacji w sprawie członkostwa UE w GRECO, co stanowiłoby kamień milowy w walce z korupcją; </w:t>
            </w:r>
            <w:r>
              <w:rPr>
                <w:b/>
                <w:i/>
              </w:rPr>
              <w:t>wzywa państwa członkowskie do wzmocnienia mechanizmów ochrony sygnalistów i zapewnienia kompleksowych zabezpieczeń prawnych i systemów wsparcia dla osób, które ujawniają korupcję, nadużycia finansowe lub naruszenia prawa UE;</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655</w:t>
      </w:r>
      <w:r>
        <w:rPr>
          <w:rStyle w:val="HideTWBExt"/>
        </w:rPr>
        <w:t>&lt;/NumAm&gt;</w:t>
      </w:r>
    </w:p>
    <w:p w:rsidR="007A0039" w:rsidRPr="00EA7539" w:rsidRDefault="007A0039" w:rsidP="007A0039">
      <w:pPr>
        <w:pStyle w:val="NormalBold"/>
      </w:pPr>
      <w:r>
        <w:rPr>
          <w:rStyle w:val="HideTWBExt"/>
          <w:b w:val="0"/>
        </w:rPr>
        <w:t>&lt;RepeatBlock-By&gt;&lt;Members&gt;</w:t>
      </w:r>
      <w:r>
        <w:t>Erik Kaliňák</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28.</w:t>
            </w:r>
            <w:r>
              <w:tab/>
              <w:t>wzywa Komisję do zakończenia negocjacji w sprawie członkostwa UE w GRECO</w:t>
            </w:r>
            <w:r>
              <w:rPr>
                <w:b/>
                <w:bCs/>
                <w:i/>
                <w:iCs/>
              </w:rPr>
              <w:t>, co stanowiłoby kamień milowy w walce z korupcją</w:t>
            </w:r>
            <w:r>
              <w:t>;</w:t>
            </w:r>
          </w:p>
        </w:tc>
        <w:tc>
          <w:tcPr>
            <w:tcW w:w="4876" w:type="dxa"/>
            <w:tcBorders>
              <w:top w:val="nil"/>
              <w:left w:val="nil"/>
              <w:bottom w:val="nil"/>
              <w:right w:val="nil"/>
            </w:tcBorders>
          </w:tcPr>
          <w:p w:rsidR="007A0039" w:rsidRPr="00EA7539" w:rsidRDefault="007A0039" w:rsidP="008F6778">
            <w:pPr>
              <w:pStyle w:val="Normal6a"/>
            </w:pPr>
            <w:r>
              <w:t>28.</w:t>
            </w:r>
            <w:r>
              <w:tab/>
              <w:t>wzywa Komisję do zakończenia negocjacji w sprawie członkostwa UE w GRECO;</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{SK}</w:t>
      </w:r>
      <w:r w:rsidRPr="00EA7539">
        <w:t>sk</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656</w:t>
      </w:r>
      <w:r>
        <w:rPr>
          <w:rStyle w:val="HideTWBExt"/>
        </w:rPr>
        <w:t>&lt;/NumAm&gt;</w:t>
      </w:r>
    </w:p>
    <w:p w:rsidR="007A0039" w:rsidRPr="00EA7539" w:rsidRDefault="007A0039" w:rsidP="007A0039">
      <w:pPr>
        <w:pStyle w:val="NormalBold"/>
      </w:pPr>
      <w:r>
        <w:rPr>
          <w:rStyle w:val="HideTWBExt"/>
          <w:b w:val="0"/>
        </w:rPr>
        <w:t>&lt;RepeatBlock-By&gt;&lt;Members&gt;</w:t>
      </w:r>
      <w:r>
        <w:t>Krzysztof Śmiszek, Matjaž Nemec, Robert Biedroń, Katarina Barley, Cecilia Strada, Klára Dobrev, Csaba Molnár, Alessandro Zan</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29.</w:t>
            </w:r>
            <w:r>
              <w:tab/>
              <w:t>wzywa państwa członkowskie do zapewnienia wolności, niezależności i pluralizmu mediów oraz do zwalczania dezinformacji; apeluje o szybkie wdrożenie europejskiego aktu o wolności mediów;</w:t>
            </w:r>
          </w:p>
        </w:tc>
        <w:tc>
          <w:tcPr>
            <w:tcW w:w="4876" w:type="dxa"/>
            <w:tcBorders>
              <w:top w:val="nil"/>
              <w:left w:val="nil"/>
              <w:bottom w:val="nil"/>
              <w:right w:val="nil"/>
            </w:tcBorders>
          </w:tcPr>
          <w:p w:rsidR="007A0039" w:rsidRPr="00EA7539" w:rsidRDefault="007A0039" w:rsidP="008F6778">
            <w:pPr>
              <w:pStyle w:val="Normal6a"/>
            </w:pPr>
            <w:r>
              <w:t>29.</w:t>
            </w:r>
            <w:r>
              <w:tab/>
              <w:t xml:space="preserve">wzywa państwa członkowskie do zapewnienia wolności, niezależności i pluralizmu mediów oraz do zwalczania dezinformacji; apeluje o szybkie wdrożenie europejskiego aktu o wolności mediów; </w:t>
            </w:r>
            <w:r>
              <w:rPr>
                <w:b/>
                <w:i/>
              </w:rPr>
              <w:t>zaleca państwom członkowskim, aby opracowały kompleksowe strategie zwalczania dezinformacji i obcych ingerencji w procesy demokratyczne, przy jednoczesnym zagwarantowaniu wolności wypowiedz i pluralizmu mediów;</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657</w:t>
      </w:r>
      <w:r>
        <w:rPr>
          <w:rStyle w:val="HideTWBExt"/>
        </w:rPr>
        <w:t>&lt;/NumAm&gt;</w:t>
      </w:r>
    </w:p>
    <w:p w:rsidR="007A0039" w:rsidRPr="00EA7539" w:rsidRDefault="007A0039" w:rsidP="007A0039">
      <w:pPr>
        <w:pStyle w:val="NormalBold"/>
      </w:pPr>
      <w:r>
        <w:rPr>
          <w:rStyle w:val="HideTWBExt"/>
          <w:b w:val="0"/>
        </w:rPr>
        <w:t>&lt;RepeatBlock-By&gt;&lt;Members&gt;</w:t>
      </w:r>
      <w:r>
        <w:t>Sandro Ruotolo</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29.</w:t>
            </w:r>
            <w:r>
              <w:tab/>
              <w:t>wzywa państwa członkowskie do zapewnienia wolności, niezależności i pluralizmu mediów oraz do zwalczania dezinformacji; apeluje o szybkie wdrożenie europejskiego aktu o wolności mediów;</w:t>
            </w:r>
          </w:p>
        </w:tc>
        <w:tc>
          <w:tcPr>
            <w:tcW w:w="4876" w:type="dxa"/>
            <w:tcBorders>
              <w:top w:val="nil"/>
              <w:left w:val="nil"/>
              <w:bottom w:val="nil"/>
              <w:right w:val="nil"/>
            </w:tcBorders>
          </w:tcPr>
          <w:p w:rsidR="007A0039" w:rsidRPr="00EA7539" w:rsidRDefault="007A0039" w:rsidP="008F6778">
            <w:pPr>
              <w:pStyle w:val="Normal6a"/>
            </w:pPr>
            <w:r>
              <w:t>29.</w:t>
            </w:r>
            <w:r>
              <w:tab/>
              <w:t xml:space="preserve">wzywa państwa członkowskie do zapewnienia wolności, niezależności i pluralizmu mediów oraz do zwalczania dezinformacji; apeluje o szybkie </w:t>
            </w:r>
            <w:r>
              <w:rPr>
                <w:b/>
                <w:i/>
              </w:rPr>
              <w:t xml:space="preserve">i przejrzyste </w:t>
            </w:r>
            <w:r>
              <w:t>wdrożenie europejskiego aktu o wolności mediów</w:t>
            </w:r>
            <w:r>
              <w:rPr>
                <w:b/>
                <w:i/>
              </w:rPr>
              <w:t>, który stanowi kamień milowy w ochronie niezależności, pluralizmu i integralności krajobrazu medialnego w całej Unii, w szczególności na Węgrzech, Malcie, w Grecji, Rumunii, Słowacji i we Włoszech</w:t>
            </w:r>
            <w:r>
              <w:t>;</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658</w:t>
      </w:r>
      <w:r>
        <w:rPr>
          <w:rStyle w:val="HideTWBExt"/>
        </w:rPr>
        <w:t>&lt;/NumAm&gt;</w:t>
      </w:r>
    </w:p>
    <w:p w:rsidR="007A0039" w:rsidRPr="00EA7539" w:rsidRDefault="007A0039" w:rsidP="007A0039">
      <w:pPr>
        <w:pStyle w:val="NormalBold"/>
      </w:pPr>
      <w:r>
        <w:rPr>
          <w:rStyle w:val="HideTWBExt"/>
          <w:b w:val="0"/>
        </w:rPr>
        <w:t>&lt;RepeatBlock-By&gt;&lt;Members&gt;</w:t>
      </w:r>
      <w:r>
        <w:t>Sebastian Tynkkynen</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29.</w:t>
            </w:r>
            <w:r>
              <w:tab/>
              <w:t>wzywa państwa członkowskie do zapewnienia wolności, niezależności i pluralizmu mediów oraz do zwalczania dezinformacji; apeluje o szybkie wdrożenie europejskiego aktu o wolności mediów;</w:t>
            </w:r>
          </w:p>
        </w:tc>
        <w:tc>
          <w:tcPr>
            <w:tcW w:w="4876" w:type="dxa"/>
            <w:tcBorders>
              <w:top w:val="nil"/>
              <w:left w:val="nil"/>
              <w:bottom w:val="nil"/>
              <w:right w:val="nil"/>
            </w:tcBorders>
          </w:tcPr>
          <w:p w:rsidR="007A0039" w:rsidRPr="00EA7539" w:rsidRDefault="007A0039" w:rsidP="008F6778">
            <w:pPr>
              <w:pStyle w:val="Normal6a"/>
            </w:pPr>
            <w:r>
              <w:t>29.</w:t>
            </w:r>
            <w:r>
              <w:tab/>
              <w:t xml:space="preserve">wzywa państwa członkowskie do zapewnienia wolności, niezależności i pluralizmu mediów oraz do zwalczania dezinformacji; </w:t>
            </w:r>
            <w:r>
              <w:rPr>
                <w:b/>
                <w:i/>
              </w:rPr>
              <w:t>podkreśla, że działania na rzecz zwalczania dezinformacji nie powinny w praktyce prowadzić do cenzury odmiennych opinii politycznych;</w:t>
            </w:r>
            <w:r>
              <w:t xml:space="preserve"> apeluje o szybkie wdrożenie europejskiego aktu o wolności mediów;</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{FI}</w:t>
      </w:r>
      <w:r w:rsidRPr="00EA7539">
        <w:t>fi</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659</w:t>
      </w:r>
      <w:r>
        <w:rPr>
          <w:rStyle w:val="HideTWBExt"/>
        </w:rPr>
        <w:t>&lt;/NumAm&gt;</w:t>
      </w:r>
    </w:p>
    <w:p w:rsidR="007A0039" w:rsidRPr="00EA7539" w:rsidRDefault="007A0039" w:rsidP="007A0039">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Michał Wawrykiewicz, Cecilia Strada</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29.</w:t>
            </w:r>
            <w:r>
              <w:tab/>
              <w:t>wzywa państwa członkowskie do zapewnienia wolności, niezależności i pluralizmu mediów oraz do zwalczania dezinformacji; apeluje o szybkie wdrożenie europejskiego aktu o wolności mediów;</w:t>
            </w:r>
          </w:p>
        </w:tc>
        <w:tc>
          <w:tcPr>
            <w:tcW w:w="4876" w:type="dxa"/>
            <w:tcBorders>
              <w:top w:val="nil"/>
              <w:left w:val="nil"/>
              <w:bottom w:val="nil"/>
              <w:right w:val="nil"/>
            </w:tcBorders>
          </w:tcPr>
          <w:p w:rsidR="007A0039" w:rsidRPr="00EA7539" w:rsidRDefault="007A0039" w:rsidP="008F6778">
            <w:pPr>
              <w:pStyle w:val="Normal6a"/>
            </w:pPr>
            <w:r>
              <w:t>29.</w:t>
            </w:r>
            <w:r>
              <w:tab/>
              <w:t>wzywa państwa członkowskie do zapewnienia wolności, niezależności i pluralizmu mediów oraz do zwalczania dezinformacji; apeluje o szybkie wdrożenie europejskiego aktu o wolności mediów</w:t>
            </w:r>
            <w:r>
              <w:rPr>
                <w:b/>
                <w:i/>
              </w:rPr>
              <w:t>, zwłaszcza w niektórych państwach członkowskich, które wypadają słabo we wskaźnikach wolności mediów</w:t>
            </w:r>
            <w:r>
              <w:t>;</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660</w:t>
      </w:r>
      <w:r>
        <w:rPr>
          <w:rStyle w:val="HideTWBExt"/>
        </w:rPr>
        <w:t>&lt;/NumAm&gt;</w:t>
      </w:r>
    </w:p>
    <w:p w:rsidR="007A0039" w:rsidRPr="00EA7539" w:rsidRDefault="007A0039" w:rsidP="007A0039">
      <w:pPr>
        <w:pStyle w:val="NormalBold"/>
      </w:pPr>
      <w:r>
        <w:rPr>
          <w:rStyle w:val="HideTWBExt"/>
          <w:b w:val="0"/>
        </w:rPr>
        <w:t>&lt;RepeatBlock-By&gt;&lt;Members&gt;</w:t>
      </w:r>
      <w:r>
        <w:t>Nicolas Bay</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29.</w:t>
            </w:r>
            <w:r>
              <w:tab/>
              <w:t>wzywa państwa członkowskie do zapewnienia wolności, niezależności i pluralizmu mediów</w:t>
            </w:r>
            <w:r>
              <w:rPr>
                <w:b/>
                <w:i/>
              </w:rPr>
              <w:t xml:space="preserve"> oraz do zwalczania dezinformacji;</w:t>
            </w:r>
            <w:r>
              <w:t xml:space="preserve"> </w:t>
            </w:r>
            <w:r>
              <w:rPr>
                <w:b/>
                <w:i/>
              </w:rPr>
              <w:t>apeluje o szybkie wdrożenie europejskiego aktu o wolności mediów;</w:t>
            </w:r>
          </w:p>
        </w:tc>
        <w:tc>
          <w:tcPr>
            <w:tcW w:w="4876" w:type="dxa"/>
            <w:tcBorders>
              <w:top w:val="nil"/>
              <w:left w:val="nil"/>
              <w:bottom w:val="nil"/>
              <w:right w:val="nil"/>
            </w:tcBorders>
          </w:tcPr>
          <w:p w:rsidR="007A0039" w:rsidRPr="00EA7539" w:rsidRDefault="007A0039" w:rsidP="008F6778">
            <w:pPr>
              <w:pStyle w:val="Normal6a"/>
            </w:pPr>
            <w:r>
              <w:t>29.</w:t>
            </w:r>
            <w:r>
              <w:tab/>
              <w:t>wzywa państwa członkowskie do zapewnienia wolności, niezależności i pluralizmu mediów;</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{FR}</w:t>
      </w:r>
      <w:r w:rsidRPr="00EA7539">
        <w:t>fr</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661</w:t>
      </w:r>
      <w:r>
        <w:rPr>
          <w:rStyle w:val="HideTWBExt"/>
        </w:rPr>
        <w:t>&lt;/NumAm&gt;</w:t>
      </w:r>
    </w:p>
    <w:p w:rsidR="007A0039" w:rsidRPr="00EA7539" w:rsidRDefault="007A0039" w:rsidP="007A0039">
      <w:pPr>
        <w:pStyle w:val="NormalBold"/>
      </w:pPr>
      <w:r>
        <w:rPr>
          <w:rStyle w:val="HideTWBExt"/>
          <w:b w:val="0"/>
        </w:rPr>
        <w:t>&lt;RepeatBlock-By&gt;&lt;Members&gt;</w:t>
      </w:r>
      <w:r>
        <w:t>Daniel Freund, Diana Riba i Giner, Jaume Asens Llodrà, Vicent Marzà Ibáñez</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29.</w:t>
            </w:r>
            <w:r>
              <w:tab/>
              <w:t>wzywa państwa członkowskie do zapewnienia wolności, niezależności i pluralizmu mediów oraz do zwalczania dezinformacji; apeluje o szybkie wdrożenie europejskiego aktu o wolności mediów;</w:t>
            </w:r>
          </w:p>
        </w:tc>
        <w:tc>
          <w:tcPr>
            <w:tcW w:w="4876" w:type="dxa"/>
            <w:tcBorders>
              <w:top w:val="nil"/>
              <w:left w:val="nil"/>
              <w:bottom w:val="nil"/>
              <w:right w:val="nil"/>
            </w:tcBorders>
          </w:tcPr>
          <w:p w:rsidR="007A0039" w:rsidRPr="00EA7539" w:rsidRDefault="007A0039" w:rsidP="008F6778">
            <w:pPr>
              <w:pStyle w:val="Normal6a"/>
            </w:pPr>
            <w:r>
              <w:t>29.</w:t>
            </w:r>
            <w:r>
              <w:tab/>
              <w:t xml:space="preserve">wzywa państwa członkowskie do zapewnienia wolności, niezależności i pluralizmu mediów oraz do zwalczania dezinformacji; </w:t>
            </w:r>
            <w:r>
              <w:rPr>
                <w:b/>
                <w:i/>
              </w:rPr>
              <w:t>podkreśla ważną rolę mediów publicznych;</w:t>
            </w:r>
            <w:r>
              <w:t xml:space="preserve"> apeluje o szybkie wdrożenie europejskiego aktu o wolności mediów;</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662</w:t>
      </w:r>
      <w:r>
        <w:rPr>
          <w:rStyle w:val="HideTWBExt"/>
        </w:rPr>
        <w:t>&lt;/NumAm&gt;</w:t>
      </w:r>
    </w:p>
    <w:p w:rsidR="007A0039" w:rsidRPr="00EA7539" w:rsidRDefault="007A0039" w:rsidP="007A0039">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29.</w:t>
            </w:r>
            <w:r>
              <w:tab/>
              <w:t>wzywa państwa członkowskie do zapewnienia wolności, niezależności i pluralizmu mediów oraz do zwalczania dezinformacji; apeluje o szybkie wdrożenie europejskiego aktu o wolności mediów;</w:t>
            </w:r>
          </w:p>
        </w:tc>
        <w:tc>
          <w:tcPr>
            <w:tcW w:w="4876" w:type="dxa"/>
            <w:tcBorders>
              <w:top w:val="nil"/>
              <w:left w:val="nil"/>
              <w:bottom w:val="nil"/>
              <w:right w:val="nil"/>
            </w:tcBorders>
          </w:tcPr>
          <w:p w:rsidR="007A0039" w:rsidRPr="00EA7539" w:rsidRDefault="007A0039" w:rsidP="008F6778">
            <w:pPr>
              <w:pStyle w:val="Normal6a"/>
            </w:pPr>
            <w:r>
              <w:t>29.</w:t>
            </w:r>
            <w:r>
              <w:tab/>
              <w:t>wzywa państwa członkowskie do zapewnienia wolności, niezależności i pluralizmu mediów</w:t>
            </w:r>
            <w:r>
              <w:rPr>
                <w:b/>
                <w:i/>
              </w:rPr>
              <w:t>, przejrzystego przydziału środków publicznych</w:t>
            </w:r>
            <w:r>
              <w:t xml:space="preserve"> oraz do zwalczania dezinformacji; apeluje o szybkie wdrożenie europejskiego aktu o wolności mediów;</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663</w:t>
      </w:r>
      <w:r>
        <w:rPr>
          <w:rStyle w:val="HideTWBExt"/>
        </w:rPr>
        <w:t>&lt;/NumAm&gt;</w:t>
      </w:r>
    </w:p>
    <w:p w:rsidR="007A0039" w:rsidRPr="00EA7539" w:rsidRDefault="007A0039" w:rsidP="007A0039">
      <w:pPr>
        <w:pStyle w:val="NormalBold"/>
      </w:pPr>
      <w:r>
        <w:rPr>
          <w:rStyle w:val="HideTWBExt"/>
          <w:b w:val="0"/>
        </w:rPr>
        <w:t>&lt;RepeatBlock-By&gt;&lt;Members&gt;</w:t>
      </w:r>
      <w:r>
        <w:t>András László</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29.</w:t>
            </w:r>
            <w:r>
              <w:tab/>
              <w:t xml:space="preserve">wzywa państwa członkowskie do zapewnienia wolności, niezależności i pluralizmu mediów oraz do zwalczania dezinformacji; </w:t>
            </w:r>
            <w:r>
              <w:rPr>
                <w:b/>
                <w:i/>
              </w:rPr>
              <w:t>apeluje o szybkie wdrożenie europejskiego aktu o wolności mediów;</w:t>
            </w:r>
          </w:p>
        </w:tc>
        <w:tc>
          <w:tcPr>
            <w:tcW w:w="4876" w:type="dxa"/>
            <w:tcBorders>
              <w:top w:val="nil"/>
              <w:left w:val="nil"/>
              <w:bottom w:val="nil"/>
              <w:right w:val="nil"/>
            </w:tcBorders>
          </w:tcPr>
          <w:p w:rsidR="007A0039" w:rsidRPr="00EA7539" w:rsidRDefault="007A0039" w:rsidP="008F6778">
            <w:pPr>
              <w:pStyle w:val="Normal6a"/>
            </w:pPr>
            <w:r>
              <w:t>29.</w:t>
            </w:r>
            <w:r>
              <w:tab/>
              <w:t>wzywa państwa członkowskie do zapewnienia wolności, niezależności i pluralizmu mediów oraz do zwalczania dezinformacji;</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664</w:t>
      </w:r>
      <w:r>
        <w:rPr>
          <w:rStyle w:val="HideTWBExt"/>
        </w:rPr>
        <w:t>&lt;/NumAm&gt;</w:t>
      </w:r>
    </w:p>
    <w:p w:rsidR="007A0039" w:rsidRPr="00EA7539" w:rsidRDefault="007A0039" w:rsidP="007A0039">
      <w:pPr>
        <w:pStyle w:val="NormalBold"/>
      </w:pPr>
      <w:r>
        <w:rPr>
          <w:rStyle w:val="HideTWBExt"/>
          <w:b w:val="0"/>
        </w:rPr>
        <w:t>&lt;RepeatBlock-By&gt;&lt;Members&gt;</w:t>
      </w:r>
      <w:r>
        <w:t>Erik Kaliňák</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29.</w:t>
            </w:r>
            <w:r>
              <w:tab/>
              <w:t xml:space="preserve">wzywa państwa członkowskie do zapewnienia wolności, niezależności i pluralizmu mediów oraz do zwalczania </w:t>
            </w:r>
            <w:r>
              <w:rPr>
                <w:b/>
                <w:i/>
              </w:rPr>
              <w:t>dezinformacji; apeluje o szybkie wdrożenie europejskiego aktu o wolności mediów</w:t>
            </w:r>
            <w:r>
              <w:t>;</w:t>
            </w:r>
          </w:p>
        </w:tc>
        <w:tc>
          <w:tcPr>
            <w:tcW w:w="4876" w:type="dxa"/>
            <w:tcBorders>
              <w:top w:val="nil"/>
              <w:left w:val="nil"/>
              <w:bottom w:val="nil"/>
              <w:right w:val="nil"/>
            </w:tcBorders>
          </w:tcPr>
          <w:p w:rsidR="007A0039" w:rsidRPr="00EA7539" w:rsidRDefault="007A0039" w:rsidP="008F6778">
            <w:pPr>
              <w:pStyle w:val="Normal6a"/>
            </w:pPr>
            <w:r>
              <w:t>29.</w:t>
            </w:r>
            <w:r>
              <w:tab/>
              <w:t xml:space="preserve">wzywa państwa członkowskie do zapewnienia wolności, niezależności i pluralizmu mediów oraz do zwalczania </w:t>
            </w:r>
            <w:r>
              <w:rPr>
                <w:b/>
                <w:i/>
              </w:rPr>
              <w:t>cenzury i nieuzasadnionego ingerowania w wolność słowa</w:t>
            </w:r>
            <w:r>
              <w:t>;</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{SK}</w:t>
      </w:r>
      <w:r w:rsidRPr="00EA7539">
        <w:t>sk</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665</w:t>
      </w:r>
      <w:r>
        <w:rPr>
          <w:rStyle w:val="HideTWBExt"/>
        </w:rPr>
        <w:t>&lt;/NumAm&gt;</w:t>
      </w:r>
    </w:p>
    <w:p w:rsidR="007A0039" w:rsidRPr="00EA7539" w:rsidRDefault="007A0039" w:rsidP="007A0039">
      <w:pPr>
        <w:pStyle w:val="NormalBold"/>
      </w:pPr>
      <w:r>
        <w:rPr>
          <w:rStyle w:val="HideTWBExt"/>
          <w:b w:val="0"/>
        </w:rPr>
        <w:t>&lt;RepeatBlock-By&gt;&lt;Members&gt;</w:t>
      </w:r>
      <w:r>
        <w:t>Jorge Buxadé Villalba, Marieke Ehlers, Malika Sorel, Fabrice Leggeri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29.</w:t>
            </w:r>
            <w:r>
              <w:tab/>
              <w:t xml:space="preserve">wzywa państwa członkowskie do zapewnienia wolności, niezależności i pluralizmu mediów oraz do </w:t>
            </w:r>
            <w:r>
              <w:rPr>
                <w:b/>
                <w:i/>
              </w:rPr>
              <w:t>zwalczania dezinformacji; apeluje o szybkie wdrożenie europejskiego aktu o wolności mediów</w:t>
            </w:r>
            <w:r>
              <w:t>;</w:t>
            </w:r>
          </w:p>
        </w:tc>
        <w:tc>
          <w:tcPr>
            <w:tcW w:w="4876" w:type="dxa"/>
            <w:tcBorders>
              <w:top w:val="nil"/>
              <w:left w:val="nil"/>
              <w:bottom w:val="nil"/>
              <w:right w:val="nil"/>
            </w:tcBorders>
          </w:tcPr>
          <w:p w:rsidR="007A0039" w:rsidRPr="00EA7539" w:rsidRDefault="007A0039" w:rsidP="008F6778">
            <w:pPr>
              <w:pStyle w:val="Normal6a"/>
            </w:pPr>
            <w:r>
              <w:t>29.</w:t>
            </w:r>
            <w:r>
              <w:tab/>
              <w:t xml:space="preserve">wzywa państwa członkowskie do zapewnienia wolności, niezależności i pluralizmu mediów oraz do </w:t>
            </w:r>
            <w:r>
              <w:rPr>
                <w:b/>
                <w:i/>
              </w:rPr>
              <w:t>ochrony wolności wypowiedzi i prawa do informacji</w:t>
            </w:r>
            <w:r>
              <w:t>;</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666</w:t>
      </w:r>
      <w:r>
        <w:rPr>
          <w:rStyle w:val="HideTWBExt"/>
        </w:rPr>
        <w:t>&lt;/NumAm&gt;</w:t>
      </w:r>
    </w:p>
    <w:p w:rsidR="007A0039" w:rsidRPr="00EA7539" w:rsidRDefault="007A0039" w:rsidP="007A0039">
      <w:pPr>
        <w:pStyle w:val="NormalBold"/>
      </w:pPr>
      <w:r>
        <w:rPr>
          <w:rStyle w:val="HideTWBExt"/>
          <w:b w:val="0"/>
        </w:rPr>
        <w:t>&lt;RepeatBlock-By&gt;&lt;Members&gt;</w:t>
      </w:r>
      <w:r>
        <w:t>Nicolas Bay</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30.</w:t>
            </w:r>
            <w:r>
              <w:tab/>
            </w:r>
            <w:r>
              <w:rPr>
                <w:b/>
                <w:i/>
              </w:rPr>
              <w:t>podkreśla rolę społeczeństwa obywatelskiego i niezależnych organów nadzoru w monitorowaniu i wspieraniu wdrażania zaleceń zawartych w sprawozdaniu na temat praworządności;apeluje o stworzenie ram zorganizowanego dialogu obywatelskiego, który umożliwi włączanie wkładu społeczeństwa obywatelskiego do rocznego cyklu sprawozdawczego dotyczącego praworządności, zgodnie z zaleceniami Europejskiego Komitetu Ekonomiczno-Społecznego (EKES)</w:t>
            </w:r>
            <w:r>
              <w:rPr>
                <w:b/>
                <w:i/>
                <w:vertAlign w:val="superscript"/>
              </w:rPr>
              <w:t>46</w:t>
            </w:r>
            <w:r>
              <w:rPr>
                <w:b/>
                <w:i/>
              </w:rPr>
              <w:t xml:space="preserve"> i sieci społeczeństwa obywatelskiego</w:t>
            </w:r>
            <w:r>
              <w:rPr>
                <w:b/>
                <w:i/>
                <w:vertAlign w:val="superscript"/>
              </w:rPr>
              <w:t>47</w:t>
            </w:r>
            <w:r>
              <w:rPr>
                <w:b/>
                <w:i/>
              </w:rPr>
              <w:t>; ponownie podkreśla wagę szerokich konsultacji przy sporządzaniu sprawozdania;</w:t>
            </w:r>
          </w:p>
        </w:tc>
        <w:tc>
          <w:tcPr>
            <w:tcW w:w="4876" w:type="dxa"/>
            <w:tcBorders>
              <w:top w:val="nil"/>
              <w:left w:val="nil"/>
              <w:bottom w:val="nil"/>
              <w:right w:val="nil"/>
            </w:tcBorders>
          </w:tcPr>
          <w:p w:rsidR="007A0039" w:rsidRPr="00EA7539" w:rsidRDefault="007A0039" w:rsidP="008F6778">
            <w:pPr>
              <w:pStyle w:val="Normal6a"/>
            </w:pPr>
            <w:r>
              <w:rPr>
                <w:b/>
                <w:i/>
              </w:rPr>
              <w:t>skreśla się</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_________________</w:t>
            </w:r>
          </w:p>
        </w:tc>
        <w:tc>
          <w:tcPr>
            <w:tcW w:w="4876" w:type="dxa"/>
            <w:tcBorders>
              <w:top w:val="nil"/>
              <w:left w:val="nil"/>
              <w:bottom w:val="nil"/>
              <w:right w:val="nil"/>
            </w:tcBorders>
          </w:tcPr>
          <w:p w:rsidR="007A0039" w:rsidRPr="00EA7539" w:rsidRDefault="007A0039" w:rsidP="008F6778"/>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vertAlign w:val="superscript"/>
              </w:rPr>
              <w:t>46</w:t>
            </w:r>
            <w:r>
              <w:t xml:space="preserve"> </w:t>
            </w:r>
            <w:r>
              <w:rPr>
                <w:b/>
                <w:i/>
              </w:rPr>
              <w:t>Opinia EKES-u z 14 lutego 2024 r. pt. „Wzmocnienie dialogu obywatelskiego i demokracji uczestniczącej w UE: kierunki działań”.</w:t>
            </w:r>
          </w:p>
        </w:tc>
        <w:tc>
          <w:tcPr>
            <w:tcW w:w="4876" w:type="dxa"/>
            <w:tcBorders>
              <w:top w:val="nil"/>
              <w:left w:val="nil"/>
              <w:bottom w:val="nil"/>
              <w:right w:val="nil"/>
            </w:tcBorders>
          </w:tcPr>
          <w:p w:rsidR="007A0039" w:rsidRPr="00EA7539" w:rsidRDefault="007A0039" w:rsidP="008F6778"/>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vertAlign w:val="superscript"/>
              </w:rPr>
              <w:t>47</w:t>
            </w:r>
            <w:r>
              <w:t xml:space="preserve"> </w:t>
            </w:r>
            <w:r>
              <w:rPr>
                <w:b/>
                <w:i/>
              </w:rPr>
              <w:t>Społeczeństwo obywatelskie Europy, „Joint Civil Society Contribution on Civic Space to the 2024 Annual Rule of Law Report” [Wkład społeczeństwa obywatelskiego na temat przestrzeni obywatelskiej w roczne sprawozdanie na temat praworządności z 2024 r.], czerwiec 2024 r.</w:t>
            </w:r>
          </w:p>
        </w:tc>
        <w:tc>
          <w:tcPr>
            <w:tcW w:w="4876" w:type="dxa"/>
            <w:tcBorders>
              <w:top w:val="nil"/>
              <w:left w:val="nil"/>
              <w:bottom w:val="nil"/>
              <w:right w:val="nil"/>
            </w:tcBorders>
          </w:tcPr>
          <w:p w:rsidR="007A0039" w:rsidRPr="00EA7539" w:rsidRDefault="007A0039" w:rsidP="008F6778"/>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{FR}</w:t>
      </w:r>
      <w:r w:rsidRPr="00EA7539">
        <w:t>fr</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667</w:t>
      </w:r>
      <w:r>
        <w:rPr>
          <w:rStyle w:val="HideTWBExt"/>
        </w:rPr>
        <w:t>&lt;/NumAm&gt;</w:t>
      </w:r>
    </w:p>
    <w:p w:rsidR="007A0039" w:rsidRPr="00EA7539" w:rsidRDefault="007A0039" w:rsidP="007A0039">
      <w:pPr>
        <w:pStyle w:val="NormalBold"/>
      </w:pPr>
      <w:r>
        <w:rPr>
          <w:rStyle w:val="HideTWBExt"/>
          <w:b w:val="0"/>
        </w:rPr>
        <w:t>&lt;RepeatBlock-By&gt;&lt;Members&gt;</w:t>
      </w:r>
      <w:r>
        <w:t>Daniel Freund</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30.</w:t>
            </w:r>
            <w:r>
              <w:tab/>
              <w:t>podkreśla rolę społeczeństwa obywatelskiego i niezależnych organów nadzoru w monitorowaniu i wspieraniu wdrażania zaleceń zawartych w sprawozdaniu na temat praworządności; apeluje o stworzenie ram zorganizowanego dialogu obywatelskiego, który umożliwi włączanie wkładu społeczeństwa obywatelskiego do rocznego cyklu sprawozdawczego dotyczącego praworządności, zgodnie z zaleceniami Europejskiego Komitetu Ekonomiczno-Społecznego (EKES)</w:t>
            </w:r>
            <w:r>
              <w:rPr>
                <w:vertAlign w:val="superscript"/>
              </w:rPr>
              <w:t>46</w:t>
            </w:r>
            <w:r>
              <w:t xml:space="preserve"> i sieci społeczeństwa obywatelskiego</w:t>
            </w:r>
            <w:r>
              <w:rPr>
                <w:vertAlign w:val="superscript"/>
              </w:rPr>
              <w:t>47</w:t>
            </w:r>
            <w:r>
              <w:t>; ponownie podkreśla wagę szerokich konsultacji przy sporządzaniu sprawozdania;</w:t>
            </w:r>
          </w:p>
        </w:tc>
        <w:tc>
          <w:tcPr>
            <w:tcW w:w="4876" w:type="dxa"/>
            <w:tcBorders>
              <w:top w:val="nil"/>
              <w:left w:val="nil"/>
              <w:bottom w:val="nil"/>
              <w:right w:val="nil"/>
            </w:tcBorders>
          </w:tcPr>
          <w:p w:rsidR="007A0039" w:rsidRPr="00EA7539" w:rsidRDefault="007A0039" w:rsidP="008F6778">
            <w:pPr>
              <w:pStyle w:val="Normal6a"/>
            </w:pPr>
            <w:r>
              <w:t>30.</w:t>
            </w:r>
            <w:r>
              <w:tab/>
              <w:t>podkreśla rolę społeczeństwa obywatelskiego i niezależnych organów nadzoru w monitorowaniu i wspieraniu wdrażania zaleceń zawartych w sprawozdaniu na temat praworządności; apeluje o stworzenie ram zorganizowanego dialogu obywatelskiego, który umożliwi włączanie wkładu społeczeństwa obywatelskiego do rocznego cyklu sprawozdawczego dotyczącego praworządności, zgodnie z zaleceniami Europejskiego Komitetu Ekonomiczno-Społecznego (EKES)</w:t>
            </w:r>
            <w:r>
              <w:rPr>
                <w:vertAlign w:val="superscript"/>
              </w:rPr>
              <w:t>46</w:t>
            </w:r>
            <w:r>
              <w:t xml:space="preserve"> i sieci społeczeństwa obywatelskiego</w:t>
            </w:r>
            <w:r>
              <w:rPr>
                <w:vertAlign w:val="superscript"/>
              </w:rPr>
              <w:t>47</w:t>
            </w:r>
            <w:r>
              <w:t>; ponownie podkreśla wagę szerokich konsultacji przy sporządzaniu sprawozdania;</w:t>
            </w:r>
            <w:r>
              <w:rPr>
                <w:b/>
                <w:i/>
              </w:rPr>
              <w:t> wzywa Komisję, aby, na ile to możliwe, prowadziła wizyty na miejscu w państwach członkowskich, a nie wizyty wirtualne, gdyż pozwoli to uzyskać pełniejszy i lepiej wpisujący się w kontekst obraz sytuacji lokalnej;</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_________________</w:t>
            </w:r>
          </w:p>
        </w:tc>
        <w:tc>
          <w:tcPr>
            <w:tcW w:w="4876" w:type="dxa"/>
            <w:tcBorders>
              <w:top w:val="nil"/>
              <w:left w:val="nil"/>
              <w:bottom w:val="nil"/>
              <w:right w:val="nil"/>
            </w:tcBorders>
          </w:tcPr>
          <w:p w:rsidR="007A0039" w:rsidRPr="00EA7539" w:rsidRDefault="007A0039" w:rsidP="008F6778">
            <w:pPr>
              <w:pStyle w:val="Normal6a"/>
            </w:pPr>
            <w:r>
              <w:rPr>
                <w:b/>
                <w:i/>
              </w:rPr>
              <w:t>_________________</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vertAlign w:val="superscript"/>
              </w:rPr>
              <w:t>46</w:t>
            </w:r>
            <w:r>
              <w:t xml:space="preserve"> Opinia EKES-u z 14 lutego 2024 r. pt. „Wzmocnienie dialogu obywatelskiego i demokracji uczestniczącej w UE: kierunki działań”.</w:t>
            </w:r>
          </w:p>
        </w:tc>
        <w:tc>
          <w:tcPr>
            <w:tcW w:w="4876" w:type="dxa"/>
            <w:tcBorders>
              <w:top w:val="nil"/>
              <w:left w:val="nil"/>
              <w:bottom w:val="nil"/>
              <w:right w:val="nil"/>
            </w:tcBorders>
          </w:tcPr>
          <w:p w:rsidR="007A0039" w:rsidRPr="00EA7539" w:rsidRDefault="007A0039" w:rsidP="008F6778">
            <w:pPr>
              <w:pStyle w:val="Normal6a"/>
            </w:pPr>
            <w:r>
              <w:rPr>
                <w:vertAlign w:val="superscript"/>
              </w:rPr>
              <w:t>46</w:t>
            </w:r>
            <w:r>
              <w:t xml:space="preserve"> Opinia EKES-u z 14 lutego 2024 r. pt. „Wzmocnienie dialogu obywatelskiego i demokracji uczestniczącej w UE: kierunki działań”.</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vertAlign w:val="superscript"/>
              </w:rPr>
              <w:t>47</w:t>
            </w:r>
            <w:r>
              <w:t xml:space="preserve"> Społeczeństwo obywatelskie Europy, „Joint Civil Society Contribution on Civic Space to the 2024 Annual Rule of Law Report” [Wkład społeczeństwa obywatelskiego na temat przestrzeni obywatelskiej w roczne sprawozdanie na temat praworządności z 2024 r.], czerwiec 2024 r.</w:t>
            </w:r>
          </w:p>
        </w:tc>
        <w:tc>
          <w:tcPr>
            <w:tcW w:w="4876" w:type="dxa"/>
            <w:tcBorders>
              <w:top w:val="nil"/>
              <w:left w:val="nil"/>
              <w:bottom w:val="nil"/>
              <w:right w:val="nil"/>
            </w:tcBorders>
          </w:tcPr>
          <w:p w:rsidR="007A0039" w:rsidRPr="00EA7539" w:rsidRDefault="007A0039" w:rsidP="008F6778">
            <w:pPr>
              <w:pStyle w:val="Normal6a"/>
            </w:pPr>
            <w:r>
              <w:rPr>
                <w:vertAlign w:val="superscript"/>
              </w:rPr>
              <w:t>47</w:t>
            </w:r>
            <w:r>
              <w:t xml:space="preserve"> Społeczeństwo obywatelskie Europy, „Joint Civil Society Contribution on Civic Space to the 2024 Annual Rule of Law Report” [Wkład społeczeństwa obywatelskiego na temat przestrzeni obywatelskiej w roczne sprawozdanie na temat praworządności z 2024 r.], czerwiec 2024 r.</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668</w:t>
      </w:r>
      <w:r>
        <w:rPr>
          <w:rStyle w:val="HideTWBExt"/>
        </w:rPr>
        <w:t>&lt;/NumAm&gt;</w:t>
      </w:r>
    </w:p>
    <w:p w:rsidR="007A0039" w:rsidRPr="00EA7539" w:rsidRDefault="007A0039" w:rsidP="007A0039">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Michał Wawrykiewicz, Cecilia Strada</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30.</w:t>
            </w:r>
            <w:r>
              <w:tab/>
              <w:t>podkreśla rolę społeczeństwa obywatelskiego i niezależnych organów nadzoru w monitorowaniu i wspieraniu wdrażania zaleceń zawartych w sprawozdaniu na temat praworządności; apeluje o stworzenie ram zorganizowanego dialogu obywatelskiego, który umożliwi włączanie wkładu społeczeństwa obywatelskiego do rocznego cyklu sprawozdawczego dotyczącego praworządności, zgodnie z zaleceniami Europejskiego Komitetu Ekonomiczno-Społecznego (EKES)</w:t>
            </w:r>
            <w:r>
              <w:rPr>
                <w:vertAlign w:val="superscript"/>
              </w:rPr>
              <w:t>46</w:t>
            </w:r>
            <w:r>
              <w:t xml:space="preserve"> i sieci społeczeństwa obywatelskiego</w:t>
            </w:r>
            <w:r>
              <w:rPr>
                <w:vertAlign w:val="superscript"/>
              </w:rPr>
              <w:t>47</w:t>
            </w:r>
            <w:r>
              <w:t>; ponownie podkreśla wagę szerokich konsultacji przy sporządzaniu sprawozdania;</w:t>
            </w:r>
          </w:p>
        </w:tc>
        <w:tc>
          <w:tcPr>
            <w:tcW w:w="4876" w:type="dxa"/>
            <w:tcBorders>
              <w:top w:val="nil"/>
              <w:left w:val="nil"/>
              <w:bottom w:val="nil"/>
              <w:right w:val="nil"/>
            </w:tcBorders>
          </w:tcPr>
          <w:p w:rsidR="007A0039" w:rsidRPr="00EA7539" w:rsidRDefault="007A0039" w:rsidP="008F6778">
            <w:pPr>
              <w:pStyle w:val="Normal6a"/>
            </w:pPr>
            <w:r>
              <w:t>30.</w:t>
            </w:r>
            <w:r>
              <w:tab/>
              <w:t>podkreśla rolę społeczeństwa obywatelskiego i niezależnych organów nadzoru w monitorowaniu i wspieraniu wdrażania zaleceń zawartych w sprawozdaniu na temat praworządności; apeluje o stworzenie ram zorganizowanego dialogu obywatelskiego, który umożliwi włączanie wkładu społeczeństwa obywatelskiego do rocznego cyklu sprawozdawczego dotyczącego praworządności, zgodnie z zaleceniami Europejskiego Komitetu Ekonomiczno-Społecznego (EKES)</w:t>
            </w:r>
            <w:r>
              <w:rPr>
                <w:vertAlign w:val="superscript"/>
              </w:rPr>
              <w:t>46</w:t>
            </w:r>
            <w:r>
              <w:t xml:space="preserve"> i sieci społeczeństwa obywatelskiego</w:t>
            </w:r>
            <w:r>
              <w:rPr>
                <w:vertAlign w:val="superscript"/>
              </w:rPr>
              <w:t>47</w:t>
            </w:r>
            <w:r>
              <w:t xml:space="preserve">; ponownie podkreśla wagę szerokich konsultacji przy sporządzaniu sprawozdania; </w:t>
            </w:r>
            <w:r>
              <w:rPr>
                <w:b/>
                <w:i/>
              </w:rPr>
              <w:t>w tym kontekście wzywa Komisję do opracowania strategii dotyczącej przestrzeni dla społeczeństwa obywatelskiego i obrońców praw człowieka oraz ich ochrony;</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_________________</w:t>
            </w:r>
          </w:p>
        </w:tc>
        <w:tc>
          <w:tcPr>
            <w:tcW w:w="4876" w:type="dxa"/>
            <w:tcBorders>
              <w:top w:val="nil"/>
              <w:left w:val="nil"/>
              <w:bottom w:val="nil"/>
              <w:right w:val="nil"/>
            </w:tcBorders>
          </w:tcPr>
          <w:p w:rsidR="007A0039" w:rsidRPr="00EA7539" w:rsidRDefault="007A0039" w:rsidP="008F6778">
            <w:pPr>
              <w:pStyle w:val="Normal6a"/>
            </w:pPr>
            <w:r>
              <w:rPr>
                <w:b/>
                <w:i/>
              </w:rPr>
              <w:t>_________________</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vertAlign w:val="superscript"/>
              </w:rPr>
              <w:t>46</w:t>
            </w:r>
            <w:r>
              <w:t xml:space="preserve"> Opinia EKES-u z 14 lutego 2024 r. pt. „Wzmocnienie dialogu obywatelskiego i demokracji uczestniczącej w UE: kierunki działań”.</w:t>
            </w:r>
          </w:p>
        </w:tc>
        <w:tc>
          <w:tcPr>
            <w:tcW w:w="4876" w:type="dxa"/>
            <w:tcBorders>
              <w:top w:val="nil"/>
              <w:left w:val="nil"/>
              <w:bottom w:val="nil"/>
              <w:right w:val="nil"/>
            </w:tcBorders>
          </w:tcPr>
          <w:p w:rsidR="007A0039" w:rsidRPr="00EA7539" w:rsidRDefault="007A0039" w:rsidP="008F6778">
            <w:pPr>
              <w:pStyle w:val="Normal6a"/>
            </w:pPr>
            <w:r>
              <w:rPr>
                <w:vertAlign w:val="superscript"/>
              </w:rPr>
              <w:t>46</w:t>
            </w:r>
            <w:r>
              <w:t xml:space="preserve"> Opinia EKES-u z 14 lutego 2024 r. pt. „Wzmocnienie dialogu obywatelskiego i demokracji uczestniczącej w UE: kierunki działań”.</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vertAlign w:val="superscript"/>
              </w:rPr>
              <w:t>47</w:t>
            </w:r>
            <w:r>
              <w:t xml:space="preserve"> Społeczeństwo obywatelskie Europy, „Joint Civil Society Contribution on Civic Space to the 2024 Annual Rule of Law Report” [Wkład społeczeństwa obywatelskiego na temat przestrzeni obywatelskiej w roczne sprawozdanie na temat praworządności z 2024 r.], czerwiec 2024 r.</w:t>
            </w:r>
          </w:p>
        </w:tc>
        <w:tc>
          <w:tcPr>
            <w:tcW w:w="4876" w:type="dxa"/>
            <w:tcBorders>
              <w:top w:val="nil"/>
              <w:left w:val="nil"/>
              <w:bottom w:val="nil"/>
              <w:right w:val="nil"/>
            </w:tcBorders>
          </w:tcPr>
          <w:p w:rsidR="007A0039" w:rsidRPr="00EA7539" w:rsidRDefault="007A0039" w:rsidP="008F6778">
            <w:pPr>
              <w:pStyle w:val="Normal6a"/>
            </w:pPr>
            <w:r>
              <w:rPr>
                <w:vertAlign w:val="superscript"/>
              </w:rPr>
              <w:t>47</w:t>
            </w:r>
            <w:r>
              <w:t xml:space="preserve"> Społeczeństwo obywatelskie Europy, „Joint Civil Society Contribution on Civic Space to the 2024 Annual Rule of Law Report” [Wkład społeczeństwa obywatelskiego na temat przestrzeni obywatelskiej w roczne sprawozdanie na temat praworządności z 2024 r.], czerwiec 2024 r.</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669</w:t>
      </w:r>
      <w:r>
        <w:rPr>
          <w:rStyle w:val="HideTWBExt"/>
        </w:rPr>
        <w:t>&lt;/NumAm&gt;</w:t>
      </w:r>
    </w:p>
    <w:p w:rsidR="007A0039" w:rsidRPr="00EA7539" w:rsidRDefault="007A0039" w:rsidP="007A0039">
      <w:pPr>
        <w:pStyle w:val="NormalBold"/>
      </w:pPr>
      <w:r>
        <w:rPr>
          <w:rStyle w:val="HideTWBExt"/>
          <w:b w:val="0"/>
        </w:rPr>
        <w:t>&lt;RepeatBlock-By&gt;&lt;Members&gt;</w:t>
      </w:r>
      <w:r>
        <w:t>Romana Tomc</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30.</w:t>
            </w:r>
            <w:r>
              <w:tab/>
              <w:t>podkreśla rolę społeczeństwa obywatelskiego i niezależnych organów nadzoru w monitorowaniu i wspieraniu wdrażania zaleceń zawartych w sprawozdaniu na temat praworządności; apeluje o stworzenie ram zorganizowanego dialogu obywatelskiego, który umożliwi włączanie wkładu społeczeństwa obywatelskiego do rocznego cyklu sprawozdawczego dotyczącego praworządności, zgodnie z zaleceniami Europejskiego Komitetu Ekonomiczno-Społecznego (EKES)</w:t>
            </w:r>
            <w:r>
              <w:rPr>
                <w:vertAlign w:val="superscript"/>
              </w:rPr>
              <w:t>46</w:t>
            </w:r>
            <w:r>
              <w:t xml:space="preserve"> i sieci społeczeństwa obywatelskiego</w:t>
            </w:r>
            <w:r>
              <w:rPr>
                <w:vertAlign w:val="superscript"/>
              </w:rPr>
              <w:t>47</w:t>
            </w:r>
            <w:r>
              <w:t>; ponownie podkreśla wagę szerokich konsultacji przy sporządzaniu sprawozdania;</w:t>
            </w:r>
          </w:p>
        </w:tc>
        <w:tc>
          <w:tcPr>
            <w:tcW w:w="4876" w:type="dxa"/>
            <w:tcBorders>
              <w:top w:val="nil"/>
              <w:left w:val="nil"/>
              <w:bottom w:val="nil"/>
              <w:right w:val="nil"/>
            </w:tcBorders>
          </w:tcPr>
          <w:p w:rsidR="007A0039" w:rsidRPr="00EA7539" w:rsidRDefault="007A0039" w:rsidP="008F6778">
            <w:pPr>
              <w:pStyle w:val="Normal6a"/>
            </w:pPr>
            <w:r>
              <w:t>30.</w:t>
            </w:r>
            <w:r>
              <w:tab/>
              <w:t>podkreśla rolę społeczeństwa obywatelskiego i niezależnych organów nadzoru w monitorowaniu i wspieraniu wdrażania zaleceń zawartych w sprawozdaniu na temat praworządności; apeluje o stworzenie ram zorganizowanego dialogu obywatelskiego, który umożliwi włączanie wkładu społeczeństwa obywatelskiego do rocznego cyklu sprawozdawczego dotyczącego praworządności, zgodnie z zaleceniami Europejskiego Komitetu Ekonomiczno-Społecznego (EKES)</w:t>
            </w:r>
            <w:r>
              <w:rPr>
                <w:vertAlign w:val="superscript"/>
              </w:rPr>
              <w:t>46</w:t>
            </w:r>
            <w:r>
              <w:t xml:space="preserve"> i sieci społeczeństwa obywatelskiego</w:t>
            </w:r>
            <w:r>
              <w:rPr>
                <w:vertAlign w:val="superscript"/>
              </w:rPr>
              <w:t>47</w:t>
            </w:r>
            <w:r>
              <w:t xml:space="preserve">; ponownie podkreśla wagę szerokich konsultacji przy sporządzaniu sprawozdania; </w:t>
            </w:r>
            <w:r>
              <w:rPr>
                <w:b/>
                <w:i/>
              </w:rPr>
              <w:t>jest zaniepokojony, że w niektórych państwach członkowskich Komisja finansuje wybrane organizacje społeczeństwa obywatelskiego, co zniekształca zakres sprawozdania;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_________________</w:t>
            </w:r>
          </w:p>
        </w:tc>
        <w:tc>
          <w:tcPr>
            <w:tcW w:w="4876" w:type="dxa"/>
            <w:tcBorders>
              <w:top w:val="nil"/>
              <w:left w:val="nil"/>
              <w:bottom w:val="nil"/>
              <w:right w:val="nil"/>
            </w:tcBorders>
          </w:tcPr>
          <w:p w:rsidR="007A0039" w:rsidRPr="00EA7539" w:rsidRDefault="007A0039" w:rsidP="008F6778">
            <w:pPr>
              <w:pStyle w:val="Normal6a"/>
            </w:pPr>
            <w:r>
              <w:rPr>
                <w:b/>
                <w:i/>
              </w:rPr>
              <w:t>_________________</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vertAlign w:val="superscript"/>
              </w:rPr>
              <w:t>46</w:t>
            </w:r>
            <w:r>
              <w:t xml:space="preserve"> Opinia EKES-u z 14 lutego 2024 r. pt. „Wzmocnienie dialogu obywatelskiego i demokracji uczestniczącej w UE: kierunki działań”.</w:t>
            </w:r>
          </w:p>
        </w:tc>
        <w:tc>
          <w:tcPr>
            <w:tcW w:w="4876" w:type="dxa"/>
            <w:tcBorders>
              <w:top w:val="nil"/>
              <w:left w:val="nil"/>
              <w:bottom w:val="nil"/>
              <w:right w:val="nil"/>
            </w:tcBorders>
          </w:tcPr>
          <w:p w:rsidR="007A0039" w:rsidRPr="00EA7539" w:rsidRDefault="007A0039" w:rsidP="008F6778">
            <w:pPr>
              <w:pStyle w:val="Normal6a"/>
            </w:pPr>
            <w:r>
              <w:rPr>
                <w:vertAlign w:val="superscript"/>
              </w:rPr>
              <w:t>46</w:t>
            </w:r>
            <w:r>
              <w:t xml:space="preserve"> Opinia EKES-u z 14 lutego 2024 r. pt. „Wzmocnienie dialogu obywatelskiego i demokracji uczestniczącej w UE: kierunki działań”.</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vertAlign w:val="superscript"/>
              </w:rPr>
              <w:t>47</w:t>
            </w:r>
            <w:r>
              <w:t xml:space="preserve"> Społeczeństwo obywatelskie Europy, „Joint Civil Society Contribution on Civic Space to the 2024 Annual Rule of Law Report” [Wkład społeczeństwa obywatelskiego na temat przestrzeni obywatelskiej w roczne sprawozdanie na temat praworządności z 2024 r.], czerwiec 2024 r.</w:t>
            </w:r>
          </w:p>
        </w:tc>
        <w:tc>
          <w:tcPr>
            <w:tcW w:w="4876" w:type="dxa"/>
            <w:tcBorders>
              <w:top w:val="nil"/>
              <w:left w:val="nil"/>
              <w:bottom w:val="nil"/>
              <w:right w:val="nil"/>
            </w:tcBorders>
          </w:tcPr>
          <w:p w:rsidR="007A0039" w:rsidRPr="00EA7539" w:rsidRDefault="007A0039" w:rsidP="008F6778">
            <w:pPr>
              <w:pStyle w:val="Normal6a"/>
            </w:pPr>
            <w:r>
              <w:rPr>
                <w:vertAlign w:val="superscript"/>
              </w:rPr>
              <w:t>47</w:t>
            </w:r>
            <w:r>
              <w:t xml:space="preserve"> Społeczeństwo obywatelskie Europy, „Joint Civil Society Contribution on Civic Space to the 2024 Annual Rule of Law Report” [Wkład społeczeństwa obywatelskiego na temat przestrzeni obywatelskiej w roczne sprawozdanie na temat praworządności z 2024 r.], czerwiec 2024 r.</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670</w:t>
      </w:r>
      <w:r>
        <w:rPr>
          <w:rStyle w:val="HideTWBExt"/>
        </w:rPr>
        <w:t>&lt;/NumAm&gt;</w:t>
      </w:r>
    </w:p>
    <w:p w:rsidR="007A0039" w:rsidRPr="00EA7539" w:rsidRDefault="007A0039" w:rsidP="007A0039">
      <w:pPr>
        <w:pStyle w:val="NormalBold"/>
      </w:pPr>
      <w:r>
        <w:rPr>
          <w:rStyle w:val="HideTWBExt"/>
          <w:b w:val="0"/>
        </w:rPr>
        <w:t>&lt;RepeatBlock-By&gt;&lt;Members&gt;</w:t>
      </w:r>
      <w:r>
        <w:t>Erik Kaliňák</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30.</w:t>
            </w:r>
            <w:r>
              <w:tab/>
              <w:t>podkreśla</w:t>
            </w:r>
            <w:r>
              <w:rPr>
                <w:b/>
                <w:i/>
              </w:rPr>
              <w:t xml:space="preserve"> rolę</w:t>
            </w:r>
            <w:r>
              <w:t xml:space="preserve"> społeczeństwa obywatelskiego i niezależnych organów nadzoru w monitorowaniu i wspieraniu wdrażania zaleceń zawartych w sprawozdaniu na temat praworządności;</w:t>
            </w:r>
            <w:r>
              <w:rPr>
                <w:b/>
                <w:i/>
              </w:rPr>
              <w:t>apeluje o stworzenie ram zorganizowanego dialogu obywatelskiego, który umożliwi włączanie wkładu społeczeństwa obywatelskiego do rocznego cyklu sprawozdawczego dotyczącego praworządności</w:t>
            </w:r>
            <w:r>
              <w:t xml:space="preserve">, </w:t>
            </w:r>
            <w:r>
              <w:rPr>
                <w:b/>
                <w:i/>
              </w:rPr>
              <w:t>zgodnie z zaleceniami Europejskiego Komitetu Ekonomiczno-Społecznego (EKES)</w:t>
            </w:r>
            <w:r>
              <w:rPr>
                <w:b/>
                <w:i/>
                <w:vertAlign w:val="superscript"/>
              </w:rPr>
              <w:t>46</w:t>
            </w:r>
            <w:r>
              <w:rPr>
                <w:b/>
                <w:i/>
              </w:rPr>
              <w:t xml:space="preserve"> i sieci społeczeństwa obywatelskiego</w:t>
            </w:r>
            <w:r>
              <w:rPr>
                <w:b/>
                <w:i/>
                <w:vertAlign w:val="superscript"/>
              </w:rPr>
              <w:t>47</w:t>
            </w:r>
            <w:r>
              <w:rPr>
                <w:b/>
                <w:i/>
              </w:rPr>
              <w:t>;</w:t>
            </w:r>
            <w:r>
              <w:t xml:space="preserve"> </w:t>
            </w:r>
            <w:r>
              <w:rPr>
                <w:b/>
                <w:i/>
              </w:rPr>
              <w:t>ponownie podkreśla wagę szerokich konsultacji przy sporządzaniu sprawozdania;</w:t>
            </w:r>
          </w:p>
        </w:tc>
        <w:tc>
          <w:tcPr>
            <w:tcW w:w="4876" w:type="dxa"/>
            <w:tcBorders>
              <w:top w:val="nil"/>
              <w:left w:val="nil"/>
              <w:bottom w:val="nil"/>
              <w:right w:val="nil"/>
            </w:tcBorders>
          </w:tcPr>
          <w:p w:rsidR="007A0039" w:rsidRPr="00EA7539" w:rsidRDefault="007A0039" w:rsidP="008F6778">
            <w:pPr>
              <w:pStyle w:val="Normal6a"/>
            </w:pPr>
            <w:r>
              <w:t>30.</w:t>
            </w:r>
            <w:r>
              <w:tab/>
              <w:t>podkreśla</w:t>
            </w:r>
            <w:r>
              <w:rPr>
                <w:b/>
                <w:i/>
              </w:rPr>
              <w:t>, że w przeszłości w nieuzasadniony sposób przesadnie podkreślano miejsce</w:t>
            </w:r>
            <w:r>
              <w:t xml:space="preserve"> społeczeństwa obywatelskiego i niezależnych organów nadzoru w monitorowaniu i wspieraniu wdrażania zaleceń zawartych w sprawozdaniu na temat praworządności;</w:t>
            </w:r>
            <w:r>
              <w:rPr>
                <w:b/>
                <w:i/>
              </w:rPr>
              <w:t xml:space="preserve"> uważa</w:t>
            </w:r>
            <w:r>
              <w:t xml:space="preserve">, </w:t>
            </w:r>
            <w:r>
              <w:rPr>
                <w:b/>
                <w:i/>
              </w:rPr>
              <w:t>że wkładowi organizacji pozarządowych nie można przypisywać większego znaczenia niż wkładowi organów państwowych lub międzynarodowych organizacji rządowych</w:t>
            </w:r>
            <w:r>
              <w:t>;</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_________________</w:t>
            </w:r>
          </w:p>
        </w:tc>
        <w:tc>
          <w:tcPr>
            <w:tcW w:w="4876" w:type="dxa"/>
            <w:tcBorders>
              <w:top w:val="nil"/>
              <w:left w:val="nil"/>
              <w:bottom w:val="nil"/>
              <w:right w:val="nil"/>
            </w:tcBorders>
          </w:tcPr>
          <w:p w:rsidR="007A0039" w:rsidRPr="00EA7539" w:rsidRDefault="007A0039" w:rsidP="008F6778"/>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sidRPr="000C292F">
              <w:rPr>
                <w:b/>
                <w:i/>
                <w:vertAlign w:val="superscript"/>
              </w:rPr>
              <w:t>46</w:t>
            </w:r>
            <w:r>
              <w:rPr>
                <w:b/>
                <w:i/>
              </w:rPr>
              <w:t xml:space="preserve"> Opinia EKES-u z 14 lutego 2024 r. pt. „Wzmocnienie dialogu obywatelskiego i demokracji uczestniczącej w UE: kierunki działań”.</w:t>
            </w:r>
          </w:p>
        </w:tc>
        <w:tc>
          <w:tcPr>
            <w:tcW w:w="4876" w:type="dxa"/>
            <w:tcBorders>
              <w:top w:val="nil"/>
              <w:left w:val="nil"/>
              <w:bottom w:val="nil"/>
              <w:right w:val="nil"/>
            </w:tcBorders>
          </w:tcPr>
          <w:p w:rsidR="007A0039" w:rsidRPr="00EA7539" w:rsidRDefault="007A0039" w:rsidP="008F6778"/>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sidRPr="000C292F">
              <w:rPr>
                <w:b/>
                <w:i/>
                <w:vertAlign w:val="superscript"/>
              </w:rPr>
              <w:t>47</w:t>
            </w:r>
            <w:r>
              <w:rPr>
                <w:b/>
                <w:i/>
              </w:rPr>
              <w:t xml:space="preserve"> Społeczeństwo obywatelskie Europy, „Joint Civil Society Contribution on Civic Space to the 2024 Annual Rule of Law Report” [Wkład społeczeństwa obywatelskiego na temat przestrzeni obywatelskiej w roczne sprawozdanie na temat praworządności z 2024 r.], czerwiec 2024 r.</w:t>
            </w:r>
          </w:p>
        </w:tc>
        <w:tc>
          <w:tcPr>
            <w:tcW w:w="4876" w:type="dxa"/>
            <w:tcBorders>
              <w:top w:val="nil"/>
              <w:left w:val="nil"/>
              <w:bottom w:val="nil"/>
              <w:right w:val="nil"/>
            </w:tcBorders>
          </w:tcPr>
          <w:p w:rsidR="007A0039" w:rsidRPr="00EA7539" w:rsidRDefault="007A0039" w:rsidP="008F6778"/>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{SK}</w:t>
      </w:r>
      <w:r w:rsidRPr="00EA7539">
        <w:t>sk</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sidRPr="00EA7539">
        <w:rPr>
          <w:rStyle w:val="HideTWBExt"/>
        </w:rPr>
        <w:t>&lt;Amend&gt;</w:t>
      </w:r>
      <w:r w:rsidRPr="00EA7539">
        <w:t>Poprawka</w:t>
      </w:r>
      <w:r w:rsidRPr="00EA7539">
        <w:tab/>
      </w:r>
      <w:r w:rsidRPr="00EA7539">
        <w:tab/>
      </w:r>
      <w:r w:rsidRPr="00EA7539">
        <w:rPr>
          <w:rStyle w:val="HideTWBExt"/>
        </w:rPr>
        <w:t>&lt;NumAm&gt;</w:t>
      </w:r>
      <w:r w:rsidRPr="00EA7539">
        <w:t>671</w:t>
      </w:r>
      <w:r w:rsidRPr="00EA7539">
        <w:rPr>
          <w:rStyle w:val="HideTWBExt"/>
        </w:rPr>
        <w:t>&lt;/NumAm&gt;</w:t>
      </w:r>
    </w:p>
    <w:p w:rsidR="007A0039" w:rsidRPr="00EA7539" w:rsidRDefault="007A0039" w:rsidP="007A0039">
      <w:pPr>
        <w:pStyle w:val="NormalBold"/>
      </w:pPr>
      <w:r w:rsidRPr="00EA7539">
        <w:rPr>
          <w:rStyle w:val="HideTWBExt"/>
          <w:b w:val="0"/>
        </w:rPr>
        <w:t>&lt;RepeatBlock-By&gt;&lt;Members&gt;</w:t>
      </w:r>
      <w:r w:rsidRPr="00EA7539">
        <w:t>Mariusz Kamiński, Joachim Stanisław Brudziński, Jadwiga Wiśniewska, Maciej Wąsik, Jacek Ozdoba</w:t>
      </w:r>
      <w:r w:rsidRPr="00EA7539">
        <w:rPr>
          <w:rStyle w:val="HideTWBExt"/>
          <w:b w:val="0"/>
        </w:rPr>
        <w:t>&lt;/Members&gt;</w:t>
      </w:r>
    </w:p>
    <w:p w:rsidR="007A0039" w:rsidRPr="00EA7539" w:rsidRDefault="007A0039" w:rsidP="007A0039">
      <w:pPr>
        <w:pStyle w:val="NormalBold"/>
      </w:pPr>
      <w:r w:rsidRPr="00EA7539">
        <w:rPr>
          <w:rStyle w:val="HideTWBExt"/>
          <w:b w:val="0"/>
        </w:rPr>
        <w:t>&lt;/RepeatBlock-By&gt;</w:t>
      </w:r>
    </w:p>
    <w:p w:rsidR="007A0039" w:rsidRPr="00EA7539" w:rsidRDefault="007A0039" w:rsidP="007A0039">
      <w:pPr>
        <w:pStyle w:val="NormalBold"/>
      </w:pPr>
      <w:r w:rsidRPr="00EA7539">
        <w:rPr>
          <w:rStyle w:val="HideTWBExt"/>
        </w:rPr>
        <w:t>&lt;DocAmend&gt;</w:t>
      </w:r>
      <w:r w:rsidRPr="00EA7539">
        <w:t>Projekt rezolucji</w:t>
      </w:r>
      <w:r w:rsidRPr="00EA7539">
        <w:rPr>
          <w:rStyle w:val="HideTWBExt"/>
        </w:rPr>
        <w:t>&lt;/DocAmend&gt;</w:t>
      </w:r>
    </w:p>
    <w:p w:rsidR="007A0039" w:rsidRPr="00EA7539" w:rsidRDefault="007A0039" w:rsidP="007A0039">
      <w:pPr>
        <w:pStyle w:val="NormalBold"/>
      </w:pPr>
      <w:r w:rsidRPr="00EA7539">
        <w:rPr>
          <w:rStyle w:val="HideTWBExt"/>
        </w:rPr>
        <w:t>&lt;Article&gt;</w:t>
      </w:r>
      <w:r w:rsidRPr="00EA7539">
        <w:t>Ustęp 30</w:t>
      </w:r>
      <w:r w:rsidRPr="00EA7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RPr="00EA75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RPr="00EA75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rsidRPr="00EA7539">
              <w:t>Projekt rezolucji</w:t>
            </w:r>
          </w:p>
        </w:tc>
        <w:tc>
          <w:tcPr>
            <w:tcW w:w="4876" w:type="dxa"/>
            <w:tcBorders>
              <w:top w:val="nil"/>
              <w:left w:val="nil"/>
              <w:bottom w:val="nil"/>
              <w:right w:val="nil"/>
            </w:tcBorders>
          </w:tcPr>
          <w:p w:rsidR="007A0039" w:rsidRPr="00EA7539" w:rsidRDefault="007A0039" w:rsidP="008F6778">
            <w:pPr>
              <w:pStyle w:val="AmColumnHeading"/>
            </w:pPr>
            <w:r w:rsidRPr="00EA7539">
              <w:t>Poprawka</w:t>
            </w:r>
          </w:p>
        </w:tc>
      </w:tr>
      <w:tr w:rsidR="007A0039" w:rsidRPr="00EA7539" w:rsidTr="008F6778">
        <w:trPr>
          <w:jc w:val="center"/>
        </w:trPr>
        <w:tc>
          <w:tcPr>
            <w:tcW w:w="4876" w:type="dxa"/>
            <w:tcBorders>
              <w:top w:val="nil"/>
              <w:left w:val="nil"/>
              <w:bottom w:val="nil"/>
              <w:right w:val="nil"/>
            </w:tcBorders>
          </w:tcPr>
          <w:p w:rsidR="007A0039" w:rsidRPr="00EA7539" w:rsidRDefault="007A0039" w:rsidP="008F6778">
            <w:pPr>
              <w:pStyle w:val="Normal6a"/>
            </w:pPr>
            <w:r w:rsidRPr="00EA7539">
              <w:t>30.</w:t>
            </w:r>
            <w:r w:rsidRPr="00EA7539">
              <w:tab/>
            </w:r>
            <w:r w:rsidRPr="00EA7539">
              <w:rPr>
                <w:b/>
                <w:i/>
              </w:rPr>
              <w:t>podkreśla rolę społeczeństwa obywatelskiego i niezależnych organów nadzoru w monitorowaniu i wspieraniu wdrażania zaleceń zawartych w sprawozdaniu na temat praworządności</w:t>
            </w:r>
            <w:r w:rsidRPr="00EA7539">
              <w:t xml:space="preserve">;apeluje o stworzenie ram </w:t>
            </w:r>
            <w:r w:rsidRPr="00EA7539">
              <w:rPr>
                <w:b/>
                <w:i/>
              </w:rPr>
              <w:t>zorganizowanego</w:t>
            </w:r>
            <w:r w:rsidRPr="00EA7539">
              <w:t xml:space="preserve"> dialogu obywatelskiego, który umożliwi włączanie wkładu społeczeństwa obywatelskiego do </w:t>
            </w:r>
            <w:r w:rsidRPr="00EA7539">
              <w:rPr>
                <w:b/>
                <w:i/>
              </w:rPr>
              <w:t>rocznego cyklu sprawozdawczego dotyczącego</w:t>
            </w:r>
            <w:r w:rsidRPr="00EA7539">
              <w:t xml:space="preserve"> praworządności</w:t>
            </w:r>
            <w:r w:rsidRPr="00EA7539">
              <w:rPr>
                <w:b/>
                <w:i/>
              </w:rPr>
              <w:t>, zgodnie z zaleceniami Europejskiego Komitetu Ekonomiczno-Społecznego (EKES)</w:t>
            </w:r>
            <w:r w:rsidRPr="00EA7539">
              <w:rPr>
                <w:b/>
                <w:i/>
                <w:vertAlign w:val="superscript"/>
              </w:rPr>
              <w:t>46</w:t>
            </w:r>
            <w:r w:rsidRPr="00EA7539">
              <w:t xml:space="preserve"> </w:t>
            </w:r>
            <w:r w:rsidRPr="00EA7539">
              <w:rPr>
                <w:b/>
                <w:i/>
              </w:rPr>
              <w:t>i sieci społeczeństwa obywatelskiego</w:t>
            </w:r>
            <w:r w:rsidRPr="00EA7539">
              <w:rPr>
                <w:b/>
                <w:i/>
                <w:vertAlign w:val="superscript"/>
              </w:rPr>
              <w:t>47</w:t>
            </w:r>
            <w:r w:rsidRPr="00EA7539">
              <w:t xml:space="preserve"> </w:t>
            </w:r>
            <w:r w:rsidRPr="00EA7539">
              <w:rPr>
                <w:b/>
                <w:i/>
              </w:rPr>
              <w:t>; ponownie podkreśla wagę szerokich konsultacji przy sporządzaniu sprawozdania;</w:t>
            </w:r>
          </w:p>
        </w:tc>
        <w:tc>
          <w:tcPr>
            <w:tcW w:w="4876" w:type="dxa"/>
            <w:tcBorders>
              <w:top w:val="nil"/>
              <w:left w:val="nil"/>
              <w:bottom w:val="nil"/>
              <w:right w:val="nil"/>
            </w:tcBorders>
          </w:tcPr>
          <w:p w:rsidR="007A0039" w:rsidRPr="00EA7539" w:rsidRDefault="007A0039" w:rsidP="008F6778">
            <w:pPr>
              <w:pStyle w:val="Normal6a"/>
            </w:pPr>
            <w:r w:rsidRPr="00EA7539">
              <w:t>30.</w:t>
            </w:r>
            <w:r w:rsidRPr="00EA7539">
              <w:tab/>
            </w:r>
            <w:r w:rsidRPr="00EA7539">
              <w:rPr>
                <w:b/>
                <w:i/>
              </w:rPr>
              <w:t>ubolewa, iż Komisja priorytyzuje dialog z organizacjami wspierającymi polityki Brukseli, często o profilu liberalno-lewicowym które sama finansuje, będących w otwartym konflickie z konserwatywnymi rządami, przez co wytwarza zamkniętą sieć rezonującą tę samą narrację</w:t>
            </w:r>
            <w:r w:rsidRPr="00EA7539">
              <w:t xml:space="preserve">; apeluje o stworzenie ram </w:t>
            </w:r>
            <w:r w:rsidRPr="00EA7539">
              <w:rPr>
                <w:b/>
                <w:i/>
              </w:rPr>
              <w:t>faktycznego</w:t>
            </w:r>
            <w:r w:rsidRPr="00EA7539">
              <w:t xml:space="preserve"> dialogu obywatelskiego, który umożliwi włączanie wkładu społeczeństwa obywatelskiego do </w:t>
            </w:r>
            <w:r w:rsidRPr="00EA7539">
              <w:rPr>
                <w:b/>
                <w:i/>
              </w:rPr>
              <w:t>dyskusji dotyczącej</w:t>
            </w:r>
            <w:r w:rsidRPr="00EA7539">
              <w:t xml:space="preserve"> praworządności</w:t>
            </w:r>
            <w:r w:rsidRPr="00EA7539">
              <w:rPr>
                <w:b/>
                <w:i/>
              </w:rPr>
              <w:t>;</w:t>
            </w:r>
          </w:p>
        </w:tc>
      </w:tr>
      <w:tr w:rsidR="007A0039" w:rsidRPr="00EA7539" w:rsidTr="008F6778">
        <w:trPr>
          <w:jc w:val="center"/>
        </w:trPr>
        <w:tc>
          <w:tcPr>
            <w:tcW w:w="4876" w:type="dxa"/>
            <w:tcBorders>
              <w:top w:val="nil"/>
              <w:left w:val="nil"/>
              <w:bottom w:val="nil"/>
              <w:right w:val="nil"/>
            </w:tcBorders>
          </w:tcPr>
          <w:p w:rsidR="007A0039" w:rsidRPr="00EA7539" w:rsidRDefault="007A0039" w:rsidP="008F6778">
            <w:pPr>
              <w:pStyle w:val="Normal6a"/>
            </w:pPr>
            <w:r w:rsidRPr="00EA7539">
              <w:rPr>
                <w:b/>
                <w:i/>
              </w:rPr>
              <w:t>_________________</w:t>
            </w:r>
          </w:p>
        </w:tc>
        <w:tc>
          <w:tcPr>
            <w:tcW w:w="4876" w:type="dxa"/>
            <w:tcBorders>
              <w:top w:val="nil"/>
              <w:left w:val="nil"/>
              <w:bottom w:val="nil"/>
              <w:right w:val="nil"/>
            </w:tcBorders>
          </w:tcPr>
          <w:p w:rsidR="007A0039" w:rsidRPr="00EA7539" w:rsidRDefault="007A0039" w:rsidP="008F6778"/>
        </w:tc>
      </w:tr>
      <w:tr w:rsidR="007A0039" w:rsidRPr="00EA7539" w:rsidTr="008F6778">
        <w:trPr>
          <w:jc w:val="center"/>
        </w:trPr>
        <w:tc>
          <w:tcPr>
            <w:tcW w:w="4876" w:type="dxa"/>
            <w:tcBorders>
              <w:top w:val="nil"/>
              <w:left w:val="nil"/>
              <w:bottom w:val="nil"/>
              <w:right w:val="nil"/>
            </w:tcBorders>
          </w:tcPr>
          <w:p w:rsidR="007A0039" w:rsidRPr="00EA7539" w:rsidRDefault="007A0039" w:rsidP="008F6778">
            <w:pPr>
              <w:pStyle w:val="Normal6a"/>
            </w:pPr>
            <w:r w:rsidRPr="00EA7539">
              <w:rPr>
                <w:b/>
                <w:i/>
                <w:vertAlign w:val="superscript"/>
              </w:rPr>
              <w:t>46</w:t>
            </w:r>
            <w:r w:rsidRPr="00EA7539">
              <w:t xml:space="preserve"> </w:t>
            </w:r>
            <w:r w:rsidRPr="00EA7539">
              <w:rPr>
                <w:b/>
                <w:i/>
              </w:rPr>
              <w:t>Opinia EKES-u z 14 lutego 2024 r. pt. „Wzmocnienie dialogu obywatelskiego i demokracji uczestniczącej w UE: kierunki działań”.</w:t>
            </w:r>
          </w:p>
        </w:tc>
        <w:tc>
          <w:tcPr>
            <w:tcW w:w="4876" w:type="dxa"/>
            <w:tcBorders>
              <w:top w:val="nil"/>
              <w:left w:val="nil"/>
              <w:bottom w:val="nil"/>
              <w:right w:val="nil"/>
            </w:tcBorders>
          </w:tcPr>
          <w:p w:rsidR="007A0039" w:rsidRPr="00EA7539" w:rsidRDefault="007A0039" w:rsidP="008F6778"/>
        </w:tc>
      </w:tr>
      <w:tr w:rsidR="007A0039" w:rsidRPr="00EA7539" w:rsidTr="008F6778">
        <w:trPr>
          <w:jc w:val="center"/>
        </w:trPr>
        <w:tc>
          <w:tcPr>
            <w:tcW w:w="4876" w:type="dxa"/>
            <w:tcBorders>
              <w:top w:val="nil"/>
              <w:left w:val="nil"/>
              <w:bottom w:val="nil"/>
              <w:right w:val="nil"/>
            </w:tcBorders>
          </w:tcPr>
          <w:p w:rsidR="007A0039" w:rsidRPr="00EA7539" w:rsidRDefault="007A0039" w:rsidP="008F6778">
            <w:pPr>
              <w:pStyle w:val="Normal6a"/>
            </w:pPr>
            <w:r w:rsidRPr="00EA7539">
              <w:rPr>
                <w:b/>
                <w:i/>
                <w:vertAlign w:val="superscript"/>
              </w:rPr>
              <w:t>47</w:t>
            </w:r>
            <w:r w:rsidRPr="00EA7539">
              <w:t xml:space="preserve"> </w:t>
            </w:r>
            <w:r w:rsidRPr="00EA7539">
              <w:rPr>
                <w:b/>
                <w:i/>
              </w:rPr>
              <w:t>Społeczeństwo obywatelskie Europy, „Joint Civil Society Contribution on Civic Space to the 2024 Annual Rule of Law Report” [Wkład społeczeństwa obywatelskiego na temat przestrzeni obywatelskiej w roczne sprawozdanie na temat praworządności z 2024 r.], czerwiec 2024 r.</w:t>
            </w:r>
          </w:p>
        </w:tc>
        <w:tc>
          <w:tcPr>
            <w:tcW w:w="4876" w:type="dxa"/>
            <w:tcBorders>
              <w:top w:val="nil"/>
              <w:left w:val="nil"/>
              <w:bottom w:val="nil"/>
              <w:right w:val="nil"/>
            </w:tcBorders>
          </w:tcPr>
          <w:p w:rsidR="007A0039" w:rsidRPr="00EA7539" w:rsidRDefault="007A0039" w:rsidP="008F6778"/>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{PL}</w:t>
      </w:r>
      <w:r w:rsidRPr="00EA7539">
        <w:t>pl</w:t>
      </w:r>
      <w:r w:rsidRPr="00EA7539">
        <w:rPr>
          <w:rStyle w:val="HideTWBExt"/>
        </w:rPr>
        <w:t>&lt;/Original&gt;</w:t>
      </w:r>
    </w:p>
    <w:p w:rsidR="007A0039" w:rsidRPr="00EA7539" w:rsidRDefault="007A0039" w:rsidP="007A0039">
      <w:r w:rsidRPr="00EA7539">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672</w:t>
      </w:r>
      <w:r>
        <w:rPr>
          <w:rStyle w:val="HideTWBExt"/>
        </w:rPr>
        <w:t>&lt;/NumAm&gt;</w:t>
      </w:r>
    </w:p>
    <w:p w:rsidR="007A0039" w:rsidRPr="00EA7539" w:rsidRDefault="007A0039" w:rsidP="007A0039">
      <w:pPr>
        <w:pStyle w:val="NormalBold"/>
      </w:pPr>
      <w:r>
        <w:rPr>
          <w:rStyle w:val="HideTWBExt"/>
          <w:b w:val="0"/>
        </w:rPr>
        <w:t>&lt;RepeatBlock-By&gt;&lt;Members&gt;</w:t>
      </w:r>
      <w:r>
        <w:t>András László</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30.</w:t>
            </w:r>
            <w:r>
              <w:tab/>
            </w:r>
            <w:r>
              <w:rPr>
                <w:b/>
                <w:i/>
              </w:rPr>
              <w:t>podkreśla rolę społeczeństwa obywatelskiego i niezależnych organów nadzoru w monitorowaniu i wspieraniu wdrażania zaleceń zawartych w sprawozdaniu na temat praworządności; apeluje o stworzenie ram zorganizowanego dialogu obywatelskiego</w:t>
            </w:r>
            <w:r>
              <w:t xml:space="preserve">, </w:t>
            </w:r>
            <w:r>
              <w:rPr>
                <w:b/>
                <w:i/>
              </w:rPr>
              <w:t>który umożliwi włączanie wkładu społeczeństwa obywatelskiego do rocznego cyklu sprawozdawczego dotyczącego praworządności, zgodnie z zaleceniami Europejskiego Komitetu Ekonomiczno-Społecznego (EKES)</w:t>
            </w:r>
            <w:r>
              <w:rPr>
                <w:b/>
                <w:i/>
                <w:vertAlign w:val="superscript"/>
              </w:rPr>
              <w:t>46</w:t>
            </w:r>
            <w:r>
              <w:t xml:space="preserve"> i </w:t>
            </w:r>
            <w:r>
              <w:rPr>
                <w:b/>
                <w:i/>
              </w:rPr>
              <w:t>sieci społeczeństwa obywatelskiego</w:t>
            </w:r>
            <w:r>
              <w:rPr>
                <w:b/>
                <w:i/>
                <w:vertAlign w:val="superscript"/>
              </w:rPr>
              <w:t>47</w:t>
            </w:r>
            <w:r>
              <w:rPr>
                <w:b/>
                <w:i/>
              </w:rPr>
              <w:t>; ponownie podkreśla wagę szerokich konsultacji przy sporządzaniu sprawozdania</w:t>
            </w:r>
            <w:r>
              <w:t>;</w:t>
            </w:r>
          </w:p>
        </w:tc>
        <w:tc>
          <w:tcPr>
            <w:tcW w:w="4876" w:type="dxa"/>
            <w:tcBorders>
              <w:top w:val="nil"/>
              <w:left w:val="nil"/>
              <w:bottom w:val="nil"/>
              <w:right w:val="nil"/>
            </w:tcBorders>
          </w:tcPr>
          <w:p w:rsidR="007A0039" w:rsidRPr="00EA7539" w:rsidRDefault="007A0039" w:rsidP="008F6778">
            <w:pPr>
              <w:pStyle w:val="Normal6a"/>
            </w:pPr>
            <w:r>
              <w:t>30.</w:t>
            </w:r>
            <w:r>
              <w:tab/>
            </w:r>
            <w:r>
              <w:rPr>
                <w:b/>
                <w:i/>
              </w:rPr>
              <w:t>ubolewa, że Komisja powtarza jedynie opinię organizacji społeczeństwa obywatelskiego, które są finansowane z zagranicy lub przez samą Komisję, nie weryfikując ich zarzutów; z zaniepokojeniem zauważa</w:t>
            </w:r>
            <w:r>
              <w:t xml:space="preserve">, </w:t>
            </w:r>
            <w:r>
              <w:rPr>
                <w:b/>
                <w:i/>
              </w:rPr>
              <w:t>że Komisja ignoruje stanowisko organów konstytucyjnych państw członkowskich</w:t>
            </w:r>
            <w:r>
              <w:t xml:space="preserve"> i </w:t>
            </w:r>
            <w:r>
              <w:rPr>
                <w:b/>
                <w:i/>
              </w:rPr>
              <w:t>polega raczej na politycznie stronniczych opiniach arbitralnie wybranych organizacji</w:t>
            </w:r>
            <w:r>
              <w:t>;</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_________________</w:t>
            </w:r>
          </w:p>
        </w:tc>
        <w:tc>
          <w:tcPr>
            <w:tcW w:w="4876" w:type="dxa"/>
            <w:tcBorders>
              <w:top w:val="nil"/>
              <w:left w:val="nil"/>
              <w:bottom w:val="nil"/>
              <w:right w:val="nil"/>
            </w:tcBorders>
          </w:tcPr>
          <w:p w:rsidR="007A0039" w:rsidRPr="00EA7539" w:rsidRDefault="007A0039" w:rsidP="008F6778"/>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sidRPr="000C292F">
              <w:rPr>
                <w:b/>
                <w:i/>
                <w:vertAlign w:val="superscript"/>
              </w:rPr>
              <w:t>46</w:t>
            </w:r>
            <w:r>
              <w:rPr>
                <w:b/>
                <w:i/>
              </w:rPr>
              <w:t xml:space="preserve"> Opinia EKES-u z 14 lutego 2024 r. pt. „Wzmocnienie dialogu obywatelskiego i demokracji uczestniczącej w UE: kierunki działań”.</w:t>
            </w:r>
          </w:p>
        </w:tc>
        <w:tc>
          <w:tcPr>
            <w:tcW w:w="4876" w:type="dxa"/>
            <w:tcBorders>
              <w:top w:val="nil"/>
              <w:left w:val="nil"/>
              <w:bottom w:val="nil"/>
              <w:right w:val="nil"/>
            </w:tcBorders>
          </w:tcPr>
          <w:p w:rsidR="007A0039" w:rsidRPr="00EA7539" w:rsidRDefault="007A0039" w:rsidP="008F6778"/>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vertAlign w:val="superscript"/>
              </w:rPr>
              <w:t>47</w:t>
            </w:r>
            <w:r>
              <w:rPr>
                <w:b/>
                <w:i/>
              </w:rPr>
              <w:t xml:space="preserve"> Społeczeństwo obywatelskie Europy, „Joint Civil Society Contribution on Civic Space to the 2024 Annual Rule of Law Report” [Wkład społeczeństwa obywatelskiego na temat przestrzeni obywatelskiej w roczne sprawozdanie na temat praworządności z 2024 r.], czerwiec 2024 r.</w:t>
            </w:r>
          </w:p>
        </w:tc>
        <w:tc>
          <w:tcPr>
            <w:tcW w:w="4876" w:type="dxa"/>
            <w:tcBorders>
              <w:top w:val="nil"/>
              <w:left w:val="nil"/>
              <w:bottom w:val="nil"/>
              <w:right w:val="nil"/>
            </w:tcBorders>
          </w:tcPr>
          <w:p w:rsidR="007A0039" w:rsidRPr="00EA7539" w:rsidRDefault="007A0039" w:rsidP="008F6778"/>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673</w:t>
      </w:r>
      <w:r>
        <w:rPr>
          <w:rStyle w:val="HideTWBExt"/>
        </w:rPr>
        <w:t>&lt;/NumAm&gt;</w:t>
      </w:r>
    </w:p>
    <w:p w:rsidR="007A0039" w:rsidRPr="00EA7539" w:rsidRDefault="007A0039" w:rsidP="007A0039">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30.</w:t>
            </w:r>
            <w:r>
              <w:tab/>
              <w:t>podkreśla rolę społeczeństwa obywatelskiego i niezależnych organów nadzoru w monitorowaniu i wspieraniu wdrażania zaleceń zawartych w sprawozdaniu na temat praworządności; apeluje o stworzenie ram zorganizowanego dialogu obywatelskiego, który umożliwi włączanie wkładu społeczeństwa obywatelskiego do rocznego cyklu sprawozdawczego dotyczącego praworządności, zgodnie z zaleceniami Europejskiego Komitetu Ekonomiczno-Społecznego (EKES)</w:t>
            </w:r>
            <w:r>
              <w:rPr>
                <w:vertAlign w:val="superscript"/>
              </w:rPr>
              <w:t>46</w:t>
            </w:r>
            <w:r>
              <w:t xml:space="preserve"> i sieci społeczeństwa obywatelskiego</w:t>
            </w:r>
            <w:r>
              <w:rPr>
                <w:vertAlign w:val="superscript"/>
              </w:rPr>
              <w:t>47</w:t>
            </w:r>
            <w:r>
              <w:t>; ponownie podkreśla wagę szerokich konsultacji przy sporządzaniu sprawozdania;</w:t>
            </w:r>
          </w:p>
        </w:tc>
        <w:tc>
          <w:tcPr>
            <w:tcW w:w="4876" w:type="dxa"/>
            <w:tcBorders>
              <w:top w:val="nil"/>
              <w:left w:val="nil"/>
              <w:bottom w:val="nil"/>
              <w:right w:val="nil"/>
            </w:tcBorders>
          </w:tcPr>
          <w:p w:rsidR="007A0039" w:rsidRPr="00EA7539" w:rsidRDefault="007A0039" w:rsidP="008F6778">
            <w:pPr>
              <w:pStyle w:val="Normal6a"/>
            </w:pPr>
            <w:r>
              <w:t>30.</w:t>
            </w:r>
            <w:r>
              <w:tab/>
              <w:t>podkreśla rolę społeczeństwa obywatelskiego i niezależnych organów nadzoru w monitorowaniu</w:t>
            </w:r>
            <w:r>
              <w:rPr>
                <w:b/>
                <w:i/>
              </w:rPr>
              <w:t>, weryfikowaniu</w:t>
            </w:r>
            <w:r>
              <w:t xml:space="preserve"> i wspieraniu wdrażania zaleceń zawartych w sprawozdaniu na temat praworządności; apeluje o stworzenie ram zorganizowanego dialogu obywatelskiego, który umożliwi włączanie wkładu społeczeństwa obywatelskiego do rocznego cyklu sprawozdawczego dotyczącego praworządności, zgodnie z zaleceniami Europejskiego Komitetu Ekonomiczno-Społecznego (EKES)</w:t>
            </w:r>
            <w:r>
              <w:rPr>
                <w:vertAlign w:val="superscript"/>
              </w:rPr>
              <w:t>46</w:t>
            </w:r>
            <w:r>
              <w:t xml:space="preserve"> i sieci społeczeństwa obywatelskiego</w:t>
            </w:r>
            <w:r>
              <w:rPr>
                <w:vertAlign w:val="superscript"/>
              </w:rPr>
              <w:t>47</w:t>
            </w:r>
            <w:r>
              <w:t>; ponownie podkreśla wagę szerokich konsultacji przy sporządzaniu sprawozdania;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_________________</w:t>
            </w:r>
          </w:p>
        </w:tc>
        <w:tc>
          <w:tcPr>
            <w:tcW w:w="4876" w:type="dxa"/>
            <w:tcBorders>
              <w:top w:val="nil"/>
              <w:left w:val="nil"/>
              <w:bottom w:val="nil"/>
              <w:right w:val="nil"/>
            </w:tcBorders>
          </w:tcPr>
          <w:p w:rsidR="007A0039" w:rsidRPr="00EA7539" w:rsidRDefault="007A0039" w:rsidP="008F6778">
            <w:pPr>
              <w:pStyle w:val="Normal6a"/>
            </w:pPr>
            <w:r>
              <w:rPr>
                <w:b/>
                <w:i/>
              </w:rPr>
              <w:t>_________________</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vertAlign w:val="superscript"/>
              </w:rPr>
              <w:t>46</w:t>
            </w:r>
            <w:r>
              <w:t xml:space="preserve"> Opinia EKES-u z 14 lutego 2024 r. pt. „Wzmocnienie dialogu obywatelskiego i demokracji uczestniczącej w UE: kierunki działań”.</w:t>
            </w:r>
          </w:p>
        </w:tc>
        <w:tc>
          <w:tcPr>
            <w:tcW w:w="4876" w:type="dxa"/>
            <w:tcBorders>
              <w:top w:val="nil"/>
              <w:left w:val="nil"/>
              <w:bottom w:val="nil"/>
              <w:right w:val="nil"/>
            </w:tcBorders>
          </w:tcPr>
          <w:p w:rsidR="007A0039" w:rsidRPr="00EA7539" w:rsidRDefault="007A0039" w:rsidP="008F6778">
            <w:pPr>
              <w:pStyle w:val="Normal6a"/>
            </w:pPr>
            <w:r>
              <w:rPr>
                <w:vertAlign w:val="superscript"/>
              </w:rPr>
              <w:t>46</w:t>
            </w:r>
            <w:r>
              <w:t xml:space="preserve"> Opinia EKES-u z 14 lutego 2024 r. pt. „Wzmocnienie dialogu obywatelskiego i demokracji uczestniczącej w UE: kierunki działań”.</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vertAlign w:val="superscript"/>
              </w:rPr>
              <w:t>47</w:t>
            </w:r>
            <w:r>
              <w:t xml:space="preserve"> Społeczeństwo obywatelskie Europy, „Joint Civil Society Contribution on Civic Space to the 2024 Annual Rule of Law Report” [Wkład społeczeństwa obywatelskiego na temat przestrzeni obywatelskiej w roczne sprawozdanie na temat praworządności z 2024 r.], czerwiec 2024 r.</w:t>
            </w:r>
          </w:p>
        </w:tc>
        <w:tc>
          <w:tcPr>
            <w:tcW w:w="4876" w:type="dxa"/>
            <w:tcBorders>
              <w:top w:val="nil"/>
              <w:left w:val="nil"/>
              <w:bottom w:val="nil"/>
              <w:right w:val="nil"/>
            </w:tcBorders>
          </w:tcPr>
          <w:p w:rsidR="007A0039" w:rsidRPr="00EA7539" w:rsidRDefault="007A0039" w:rsidP="008F6778">
            <w:pPr>
              <w:pStyle w:val="Normal6a"/>
            </w:pPr>
            <w:r>
              <w:rPr>
                <w:vertAlign w:val="superscript"/>
              </w:rPr>
              <w:t>47</w:t>
            </w:r>
            <w:r>
              <w:t xml:space="preserve"> Społeczeństwo obywatelskie Europy, „Joint Civil Society Contribution on Civic Space to the 2024 Annual Rule of Law Report” [Wkład społeczeństwa obywatelskiego na temat przestrzeni obywatelskiej w roczne sprawozdanie na temat praworządności z 2024 r.], czerwiec 2024 r.</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674</w:t>
      </w:r>
      <w:r>
        <w:rPr>
          <w:rStyle w:val="HideTWBExt"/>
        </w:rPr>
        <w:t>&lt;/NumAm&gt;</w:t>
      </w:r>
    </w:p>
    <w:p w:rsidR="007A0039" w:rsidRPr="00EA7539" w:rsidRDefault="007A0039" w:rsidP="007A0039">
      <w:pPr>
        <w:pStyle w:val="NormalBold"/>
      </w:pPr>
      <w:r>
        <w:rPr>
          <w:rStyle w:val="HideTWBExt"/>
          <w:b w:val="0"/>
        </w:rPr>
        <w:t>&lt;RepeatBlock-By&gt;&lt;Members&gt;</w:t>
      </w:r>
      <w:r>
        <w:t>Daniel Freund</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30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30a.</w:t>
            </w:r>
            <w:r>
              <w:tab/>
            </w:r>
            <w:r>
              <w:rPr>
                <w:b/>
                <w:i/>
              </w:rPr>
              <w:t>wyraża zaniepokojenie, że data publikacji rocznego sprawozdania na temat praworządności nie sprzyja zapewnieniu wystarczającej widoczności i jest sprzeczna z zamierzonym celem sprawozdania, jakim jest zainicjowanie prawdziwej debaty publicznej na temat jego ustaleń; wzywa Komisję do ponownego rozważenia daty publikacji i podjęcia dodatkowych wysiłków w celu rozpowszechnienia ustaleń zawartych w sprawozdaniu we wszystkich państwach członkowskich i zainicjowania konstruktywnej dyskusji;</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675</w:t>
      </w:r>
      <w:r>
        <w:rPr>
          <w:rStyle w:val="HideTWBExt"/>
        </w:rPr>
        <w:t>&lt;/NumAm&gt;</w:t>
      </w:r>
    </w:p>
    <w:p w:rsidR="007A0039" w:rsidRPr="00EA7539" w:rsidRDefault="007A0039" w:rsidP="007A0039">
      <w:pPr>
        <w:pStyle w:val="NormalBold"/>
      </w:pPr>
      <w:r>
        <w:rPr>
          <w:rStyle w:val="HideTWBExt"/>
          <w:b w:val="0"/>
        </w:rPr>
        <w:t>&lt;RepeatBlock-By&gt;&lt;Members&gt;</w:t>
      </w:r>
      <w:r>
        <w:t>Jorge Buxadé Villalba, Marieke Ehlers, Malika Sorel, Fabrice Leggeri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30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30a.</w:t>
            </w:r>
            <w:r>
              <w:tab/>
            </w:r>
            <w:r>
              <w:rPr>
                <w:b/>
                <w:i/>
              </w:rPr>
              <w:t>z zaniepokojeniem odnotowuje, że wiele organizacji społeczeństwa obywatelskiego jest finansowanych przez organizacje zagraniczne, takie jak Fundacja Społeczeństwa Otwartego, oraz przez rządy lub instytucje europejskie, które realizują określone programy ideologiczne; zauważa w związku z tym, że wiele z tych organizacji niekoniecznie reprezentuje interesy społeczeństwa obywatelskiego w państwach członkowskich;</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676</w:t>
      </w:r>
      <w:r>
        <w:rPr>
          <w:rStyle w:val="HideTWBExt"/>
        </w:rPr>
        <w:t>&lt;/NumAm&gt;</w:t>
      </w:r>
    </w:p>
    <w:p w:rsidR="007A0039" w:rsidRPr="00EA7539" w:rsidRDefault="007A0039" w:rsidP="007A0039">
      <w:pPr>
        <w:pStyle w:val="NormalBold"/>
      </w:pPr>
      <w:r>
        <w:rPr>
          <w:rStyle w:val="HideTWBExt"/>
          <w:b w:val="0"/>
        </w:rPr>
        <w:t>&lt;RepeatBlock-By&gt;&lt;Members&gt;</w:t>
      </w:r>
      <w:r>
        <w:t>Isabel Serra Sánchez</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30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30a.</w:t>
            </w:r>
            <w:r>
              <w:tab/>
            </w:r>
            <w:r>
              <w:rPr>
                <w:b/>
                <w:i/>
              </w:rPr>
              <w:t>sugeruje, że organizacje społeczeństwa obywatelskiego powinny mieć możliwość zapoznania się z wkładami państw członkowskich przed przedstawieniem odpowiedzi na coroczne konsultacje Komisji z zainteresowanymi stronami, aby móc odnieść się do danych przekazanych przez państwa członkowskie, zweryfikować je i rozpatrzeć je w szerszym kontekście;</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677</w:t>
      </w:r>
      <w:r>
        <w:rPr>
          <w:rStyle w:val="HideTWBExt"/>
        </w:rPr>
        <w:t>&lt;/NumAm&gt;</w:t>
      </w:r>
    </w:p>
    <w:p w:rsidR="007A0039" w:rsidRPr="00EA7539" w:rsidRDefault="007A0039" w:rsidP="007A0039">
      <w:pPr>
        <w:pStyle w:val="NormalBold"/>
      </w:pPr>
      <w:r>
        <w:rPr>
          <w:rStyle w:val="HideTWBExt"/>
          <w:b w:val="0"/>
        </w:rPr>
        <w:t>&lt;RepeatBlock-By&gt;&lt;Members&gt;</w:t>
      </w:r>
      <w:r>
        <w:t>Isabel Serra Sánchez</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31.</w:t>
            </w:r>
            <w:r>
              <w:tab/>
              <w:t>podkreśla, że wolność pokojowego zgromadzania się oraz zrzeszania się i wypowiedzi są prawami podstawowymi chronionymi prawem międzynarodowym, które mają zasadnicze znaczenie dla demokracji i rozliczalności rządu; potępia zwiększoną presję na te prawa i odnotowuje tendencję do ich ograniczania; wzywa państwa członkowskie do dokładnego zbadania przypadków nadmiernego użycia siły i dyskryminującego traktowania przez organy ścigania;</w:t>
            </w:r>
          </w:p>
        </w:tc>
        <w:tc>
          <w:tcPr>
            <w:tcW w:w="4876" w:type="dxa"/>
            <w:tcBorders>
              <w:top w:val="nil"/>
              <w:left w:val="nil"/>
              <w:bottom w:val="nil"/>
              <w:right w:val="nil"/>
            </w:tcBorders>
          </w:tcPr>
          <w:p w:rsidR="007A0039" w:rsidRPr="00EA7539" w:rsidRDefault="007A0039" w:rsidP="008F6778">
            <w:pPr>
              <w:pStyle w:val="Normal6a"/>
            </w:pPr>
            <w:r>
              <w:t>31.</w:t>
            </w:r>
            <w:r>
              <w:tab/>
              <w:t xml:space="preserve">podkreśla, że wolność pokojowego zgromadzania się oraz zrzeszania się i wypowiedzi są prawami podstawowymi chronionymi prawem międzynarodowym, które mają zasadnicze znaczenie dla demokracji i rozliczalności rządu; potępia zwiększoną presję na te prawa i odnotowuje tendencję do ich ograniczania; wzywa państwa członkowskie do dokładnego zbadania przypadków nadmiernego użycia siły i dyskryminującego traktowania przez organy ścigania; </w:t>
            </w:r>
            <w:r>
              <w:rPr>
                <w:b/>
                <w:i/>
              </w:rPr>
              <w:t>w tym kontekście wyraża zaniepokojenie, że hiszpańska ustawa ograniczająca swobodę wypowiedzi (ustawa organiczna 4/2015 w sprawie bezpieczeństwa obywateli) obowiązuje od dekady i nadal utrudnia dziennikarzom wykonywanie ich obowiązków zawodowych; ubolewa, że ustawa ta nie została uchylona w całości oraz że proponowane zmiany w prawie nie zapewniają ochrony wolności wypowiedzi; ubolewa ponadto, że w hiszpańskim kodeksie karnym nadal figuruje przestępstwo znieważenia monarchii, co jest niezgodne z zasadami społeczeństwa demokratycznego, ponieważ nadmiernie ogranicza wolność wypowiedzi;</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678</w:t>
      </w:r>
      <w:r>
        <w:rPr>
          <w:rStyle w:val="HideTWBExt"/>
        </w:rPr>
        <w:t>&lt;/NumAm&gt;</w:t>
      </w:r>
    </w:p>
    <w:p w:rsidR="007A0039" w:rsidRPr="00EA7539" w:rsidRDefault="007A0039" w:rsidP="007A0039">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Cecilia Strada</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31.</w:t>
            </w:r>
            <w:r>
              <w:tab/>
              <w:t>podkreśla, że wolność pokojowego zgromadzania się oraz zrzeszania się i wypowiedzi są prawami podstawowymi chronionymi prawem międzynarodowym, które mają zasadnicze znaczenie dla demokracji i rozliczalności rządu; potępia zwiększoną presję na te prawa i odnotowuje tendencję do ich ograniczania; wzywa państwa członkowskie do dokładnego zbadania przypadków nadmiernego użycia siły i dyskryminującego traktowania przez organy ścigania;</w:t>
            </w:r>
          </w:p>
        </w:tc>
        <w:tc>
          <w:tcPr>
            <w:tcW w:w="4876" w:type="dxa"/>
            <w:tcBorders>
              <w:top w:val="nil"/>
              <w:left w:val="nil"/>
              <w:bottom w:val="nil"/>
              <w:right w:val="nil"/>
            </w:tcBorders>
          </w:tcPr>
          <w:p w:rsidR="007A0039" w:rsidRPr="00EA7539" w:rsidRDefault="007A0039" w:rsidP="008F6778">
            <w:pPr>
              <w:pStyle w:val="Normal6a"/>
            </w:pPr>
            <w:r>
              <w:t>31.</w:t>
            </w:r>
            <w:r>
              <w:tab/>
              <w:t>podkreśla, że wolność pokojowego zgromadzania się oraz zrzeszania się i wypowiedzi są prawami podstawowymi chronionymi prawem międzynarodowym, które mają zasadnicze znaczenie dla demokracji i rozliczalności rządu; potępia zwiększoną presję na te prawa i odnotowuje tendencję do ich ograniczania; wzywa państwa członkowskie do dokładnego zbadania przypadków nadmiernego użycia siły i dyskryminującego traktowania przez organy ścigania;</w:t>
            </w:r>
            <w:r>
              <w:rPr>
                <w:b/>
                <w:i/>
              </w:rPr>
              <w:t xml:space="preserve"> z zaniepokojeniem odnotowuje coraz częstsze zatrzymania administracyjne, aby uniemożliwić ludziom udział w protestach;</w:t>
            </w:r>
            <w:r>
              <w:t xml:space="preserve"> </w:t>
            </w:r>
            <w:r>
              <w:rPr>
                <w:b/>
                <w:i/>
              </w:rPr>
              <w:t>ubolewa, że ograniczenia wolności zgromadzeń, wypowiedzi i zrzeszania się oraz stosowanie nadmiernej siły dotyczą w nieproporcjonalnie dużej mierze konkretnych przypadków lub grup;</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679</w:t>
      </w:r>
      <w:r>
        <w:rPr>
          <w:rStyle w:val="HideTWBExt"/>
        </w:rPr>
        <w:t>&lt;/NumAm&gt;</w:t>
      </w:r>
    </w:p>
    <w:p w:rsidR="007A0039" w:rsidRPr="00EA7539" w:rsidRDefault="007A0039" w:rsidP="007A0039">
      <w:pPr>
        <w:pStyle w:val="NormalBold"/>
      </w:pPr>
      <w:r>
        <w:rPr>
          <w:rStyle w:val="HideTWBExt"/>
          <w:b w:val="0"/>
        </w:rPr>
        <w:t>&lt;RepeatBlock-By&gt;&lt;Members&gt;</w:t>
      </w:r>
      <w:r>
        <w:t>Daniel Freund, Diana Riba i Giner, Jaume Asens Llodrà, Vicent Marzà Ibáñez</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31.</w:t>
            </w:r>
            <w:r>
              <w:tab/>
              <w:t>podkreśla, że wolność pokojowego zgromadzania się oraz zrzeszania się i wypowiedzi są prawami podstawowymi chronionymi prawem międzynarodowym, które mają zasadnicze znaczenie dla demokracji i rozliczalności rządu; potępia zwiększoną presję na te prawa i odnotowuje tendencję do ich ograniczania; wzywa państwa członkowskie do dokładnego zbadania przypadków nadmiernego użycia siły i dyskryminującego traktowania przez organy ścigania;</w:t>
            </w:r>
          </w:p>
        </w:tc>
        <w:tc>
          <w:tcPr>
            <w:tcW w:w="4876" w:type="dxa"/>
            <w:tcBorders>
              <w:top w:val="nil"/>
              <w:left w:val="nil"/>
              <w:bottom w:val="nil"/>
              <w:right w:val="nil"/>
            </w:tcBorders>
          </w:tcPr>
          <w:p w:rsidR="007A0039" w:rsidRPr="00EA7539" w:rsidRDefault="007A0039" w:rsidP="008F6778">
            <w:pPr>
              <w:pStyle w:val="Normal6a"/>
            </w:pPr>
            <w:r>
              <w:t>31.</w:t>
            </w:r>
            <w:r>
              <w:tab/>
              <w:t>podkreśla, że wolność pokojowego zgromadzania się oraz zrzeszania się i wypowiedzi</w:t>
            </w:r>
            <w:r>
              <w:rPr>
                <w:b/>
                <w:i/>
              </w:rPr>
              <w:t>, a także wolność sztuki i nauki</w:t>
            </w:r>
            <w:r>
              <w:t xml:space="preserve"> są prawami podstawowymi chronionymi prawem międzynarodowym, które mają zasadnicze znaczenie dla demokracji i rozliczalności rządu; potępia zwiększoną presję na te prawa i odnotowuje tendencję do ich ograniczania; wzywa </w:t>
            </w:r>
            <w:r>
              <w:rPr>
                <w:b/>
                <w:i/>
              </w:rPr>
              <w:t xml:space="preserve">Komisję do odzwierciedlenia tych wolności w sprawozdaniu rocznym; wzywa </w:t>
            </w:r>
            <w:r>
              <w:t>państwa członkowskie do dokładnego zbadania przypadków nadmiernego użycia siły i dyskryminującego traktowania przez organy ścigania</w:t>
            </w:r>
            <w:r>
              <w:rPr>
                <w:b/>
                <w:i/>
              </w:rPr>
              <w:t>, a także doniesień o nielegalnej infiltracji organizacji społeczeństwa obywatelskiego przez policję oraz cenzurze, ingerencji politycznej lub zastraszaniu związanym z podstawowymi wolnościami</w:t>
            </w:r>
            <w:r>
              <w:t>;</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680</w:t>
      </w:r>
      <w:r>
        <w:rPr>
          <w:rStyle w:val="HideTWBExt"/>
        </w:rPr>
        <w:t>&lt;/NumAm&gt;</w:t>
      </w:r>
    </w:p>
    <w:p w:rsidR="007A0039" w:rsidRPr="00EA7539" w:rsidRDefault="007A0039" w:rsidP="007A0039">
      <w:pPr>
        <w:pStyle w:val="NormalBold"/>
      </w:pPr>
      <w:r>
        <w:rPr>
          <w:rStyle w:val="HideTWBExt"/>
          <w:b w:val="0"/>
        </w:rPr>
        <w:t>&lt;RepeatBlock-By&gt;&lt;Members&gt;</w:t>
      </w:r>
      <w:r>
        <w:t>Nicolas Bay</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31.</w:t>
            </w:r>
            <w:r>
              <w:tab/>
              <w:t xml:space="preserve">podkreśla, że wolność pokojowego zgromadzania się oraz zrzeszania się i wypowiedzi są prawami podstawowymi chronionymi prawem międzynarodowym, które mają zasadnicze znaczenie dla demokracji i rozliczalności rządu; </w:t>
            </w:r>
            <w:r>
              <w:rPr>
                <w:b/>
                <w:i/>
              </w:rPr>
              <w:t>potępia zwiększoną presję na te prawa i odnotowuje tendencję do ich ograniczania; wzywa państwa członkowskie do dokładnego zbadania przypadków nadmiernego użycia siły i dyskryminującego traktowania przez organy ścigania;</w:t>
            </w:r>
          </w:p>
        </w:tc>
        <w:tc>
          <w:tcPr>
            <w:tcW w:w="4876" w:type="dxa"/>
            <w:tcBorders>
              <w:top w:val="nil"/>
              <w:left w:val="nil"/>
              <w:bottom w:val="nil"/>
              <w:right w:val="nil"/>
            </w:tcBorders>
          </w:tcPr>
          <w:p w:rsidR="007A0039" w:rsidRPr="00EA7539" w:rsidRDefault="007A0039" w:rsidP="008F6778">
            <w:pPr>
              <w:pStyle w:val="Normal6a"/>
            </w:pPr>
            <w:r>
              <w:t>31.</w:t>
            </w:r>
            <w:r>
              <w:tab/>
              <w:t>podkreśla, że wolność pokojowego zgromadzania się oraz zrzeszania się i wypowiedzi są prawami podstawowymi chronionymi prawem międzynarodowym, które mają zasadnicze znaczenie dla demokracji i rozliczalności rządu; </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{FR}</w:t>
      </w:r>
      <w:r w:rsidRPr="00EA7539">
        <w:t>fr</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681</w:t>
      </w:r>
      <w:r>
        <w:rPr>
          <w:rStyle w:val="HideTWBExt"/>
        </w:rPr>
        <w:t>&lt;/NumAm&gt;</w:t>
      </w:r>
    </w:p>
    <w:p w:rsidR="007A0039" w:rsidRPr="00EA7539" w:rsidRDefault="007A0039" w:rsidP="007A0039">
      <w:pPr>
        <w:pStyle w:val="NormalBold"/>
      </w:pPr>
      <w:r>
        <w:rPr>
          <w:rStyle w:val="HideTWBExt"/>
          <w:b w:val="0"/>
        </w:rPr>
        <w:t>&lt;RepeatBlock-By&gt;&lt;Members&gt;</w:t>
      </w:r>
      <w:r>
        <w:t>Erik Kaliňák</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31.</w:t>
            </w:r>
            <w:r>
              <w:tab/>
              <w:t xml:space="preserve">podkreśla, że wolność pokojowego zgromadzania się oraz zrzeszania się i wypowiedzi są prawami podstawowymi chronionymi prawem międzynarodowym, które mają zasadnicze znaczenie dla demokracji i rozliczalności rządu; </w:t>
            </w:r>
            <w:r>
              <w:rPr>
                <w:b/>
                <w:i/>
              </w:rPr>
              <w:t>potępia zwiększoną presję na te prawa i odnotowuje tendencję do ich ograniczania; wzywa państwa członkowskie do dokładnego zbadania przypadków nadmiernego użycia siły i dyskryminującego traktowania przez organy ścigania;</w:t>
            </w:r>
          </w:p>
        </w:tc>
        <w:tc>
          <w:tcPr>
            <w:tcW w:w="4876" w:type="dxa"/>
            <w:tcBorders>
              <w:top w:val="nil"/>
              <w:left w:val="nil"/>
              <w:bottom w:val="nil"/>
              <w:right w:val="nil"/>
            </w:tcBorders>
          </w:tcPr>
          <w:p w:rsidR="007A0039" w:rsidRPr="00EA7539" w:rsidRDefault="007A0039" w:rsidP="008F6778">
            <w:pPr>
              <w:pStyle w:val="Normal6a"/>
            </w:pPr>
            <w:r>
              <w:t>31.</w:t>
            </w:r>
            <w:r>
              <w:tab/>
              <w:t>podkreśla, że wolność pokojowego zgromadzania się oraz zrzeszania się i wypowiedzi są prawami podstawowymi chronionymi prawem międzynarodowym, które mają zasadnicze znaczenie dla demokracji i rozliczalności rządu; </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{SK}</w:t>
      </w:r>
      <w:r w:rsidRPr="00EA7539">
        <w:t>sk</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682</w:t>
      </w:r>
      <w:r>
        <w:rPr>
          <w:rStyle w:val="HideTWBExt"/>
        </w:rPr>
        <w:t>&lt;/NumAm&gt;</w:t>
      </w:r>
    </w:p>
    <w:p w:rsidR="007A0039" w:rsidRPr="00EA7539" w:rsidRDefault="007A0039" w:rsidP="007A0039">
      <w:pPr>
        <w:pStyle w:val="NormalBold"/>
      </w:pPr>
      <w:r>
        <w:rPr>
          <w:rStyle w:val="HideTWBExt"/>
          <w:b w:val="0"/>
        </w:rPr>
        <w:t>&lt;RepeatBlock-By&gt;&lt;Members&gt;</w:t>
      </w:r>
      <w:r>
        <w:t>Alessandro Ciriani, Paolo Inselvini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31.</w:t>
            </w:r>
            <w:r>
              <w:tab/>
              <w:t>podkreśla, że wolność pokojowego zgromadzania się oraz zrzeszania się i wypowiedzi są prawami podstawowymi chronionymi prawem międzynarodowym, które mają zasadnicze znaczenie dla demokracji i rozliczalności rządu; potępia zwiększoną presję na te prawa i odnotowuje tendencję do ich ograniczania; wzywa państwa członkowskie do dokładnego zbadania przypadków nadmiernego użycia siły i dyskryminującego traktowania przez organy ścigania;</w:t>
            </w:r>
          </w:p>
        </w:tc>
        <w:tc>
          <w:tcPr>
            <w:tcW w:w="4876" w:type="dxa"/>
            <w:tcBorders>
              <w:top w:val="nil"/>
              <w:left w:val="nil"/>
              <w:bottom w:val="nil"/>
              <w:right w:val="nil"/>
            </w:tcBorders>
          </w:tcPr>
          <w:p w:rsidR="007A0039" w:rsidRPr="00EA7539" w:rsidRDefault="007A0039" w:rsidP="008F6778">
            <w:pPr>
              <w:pStyle w:val="Normal6a"/>
            </w:pPr>
            <w:r>
              <w:t>31.</w:t>
            </w:r>
            <w:r>
              <w:tab/>
              <w:t>podkreśla, że wolność pokojowego zgromadzania się oraz zrzeszania się i wypowiedzi są prawami podstawowymi chronionymi prawem międzynarodowym, które mają zasadnicze znaczenie dla demokracji i rozliczalności rządu; potępia zwiększoną presję na te prawa</w:t>
            </w:r>
            <w:r>
              <w:rPr>
                <w:b/>
                <w:i/>
              </w:rPr>
              <w:t>, jeśli została udowodniona,</w:t>
            </w:r>
            <w:r>
              <w:t xml:space="preserve"> i odnotowuje tendencję do ich ograniczania; wzywa państwa członkowskie do dokładnego zbadania przypadków nadmiernego użycia siły i dyskryminującego traktowania przez organy ścigania; </w:t>
            </w:r>
            <w:r>
              <w:rPr>
                <w:b/>
                <w:i/>
              </w:rPr>
              <w:t>potępia również w tym kontekście przypadki przemocy wobec organów ścigania;</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{IT}</w:t>
      </w:r>
      <w:r w:rsidRPr="00EA7539">
        <w:t>it</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sidRPr="00EA7539">
        <w:rPr>
          <w:rStyle w:val="HideTWBExt"/>
        </w:rPr>
        <w:t>&lt;Amend&gt;</w:t>
      </w:r>
      <w:r w:rsidRPr="00EA7539">
        <w:t>Poprawka</w:t>
      </w:r>
      <w:r w:rsidRPr="00EA7539">
        <w:tab/>
      </w:r>
      <w:r w:rsidRPr="00EA7539">
        <w:tab/>
      </w:r>
      <w:r w:rsidRPr="00EA7539">
        <w:rPr>
          <w:rStyle w:val="HideTWBExt"/>
        </w:rPr>
        <w:t>&lt;NumAm&gt;</w:t>
      </w:r>
      <w:r w:rsidRPr="00EA7539">
        <w:t>683</w:t>
      </w:r>
      <w:r w:rsidRPr="00EA7539">
        <w:rPr>
          <w:rStyle w:val="HideTWBExt"/>
        </w:rPr>
        <w:t>&lt;/NumAm&gt;</w:t>
      </w:r>
    </w:p>
    <w:p w:rsidR="007A0039" w:rsidRPr="00EA7539" w:rsidRDefault="007A0039" w:rsidP="007A0039">
      <w:pPr>
        <w:pStyle w:val="NormalBold"/>
      </w:pPr>
      <w:r w:rsidRPr="00EA7539">
        <w:rPr>
          <w:rStyle w:val="HideTWBExt"/>
          <w:b w:val="0"/>
        </w:rPr>
        <w:t>&lt;RepeatBlock-By&gt;&lt;Members&gt;</w:t>
      </w:r>
      <w:r w:rsidRPr="00EA7539">
        <w:t>Mariusz Kamiński, Joachim Stanisław Brudziński, Jadwiga Wiśniewska, Maciej Wąsik, Jacek Ozdoba</w:t>
      </w:r>
      <w:r w:rsidRPr="00EA7539">
        <w:rPr>
          <w:rStyle w:val="HideTWBExt"/>
          <w:b w:val="0"/>
        </w:rPr>
        <w:t>&lt;/Members&gt;</w:t>
      </w:r>
    </w:p>
    <w:p w:rsidR="007A0039" w:rsidRPr="00EA7539" w:rsidRDefault="007A0039" w:rsidP="007A0039">
      <w:pPr>
        <w:pStyle w:val="NormalBold"/>
      </w:pPr>
      <w:r w:rsidRPr="00EA7539">
        <w:rPr>
          <w:rStyle w:val="HideTWBExt"/>
          <w:b w:val="0"/>
        </w:rPr>
        <w:t>&lt;/RepeatBlock-By&gt;</w:t>
      </w:r>
    </w:p>
    <w:p w:rsidR="007A0039" w:rsidRPr="00EA7539" w:rsidRDefault="007A0039" w:rsidP="007A0039">
      <w:pPr>
        <w:pStyle w:val="NormalBold"/>
      </w:pPr>
      <w:r w:rsidRPr="00EA7539">
        <w:rPr>
          <w:rStyle w:val="HideTWBExt"/>
        </w:rPr>
        <w:t>&lt;DocAmend&gt;</w:t>
      </w:r>
      <w:r w:rsidRPr="00EA7539">
        <w:t>Projekt rezolucji</w:t>
      </w:r>
      <w:r w:rsidRPr="00EA7539">
        <w:rPr>
          <w:rStyle w:val="HideTWBExt"/>
        </w:rPr>
        <w:t>&lt;/DocAmend&gt;</w:t>
      </w:r>
    </w:p>
    <w:p w:rsidR="007A0039" w:rsidRPr="00EA7539" w:rsidRDefault="007A0039" w:rsidP="007A0039">
      <w:pPr>
        <w:pStyle w:val="NormalBold"/>
      </w:pPr>
      <w:r w:rsidRPr="00EA7539">
        <w:rPr>
          <w:rStyle w:val="HideTWBExt"/>
        </w:rPr>
        <w:t>&lt;Article&gt;</w:t>
      </w:r>
      <w:r w:rsidRPr="00EA7539">
        <w:t>Ustęp 31</w:t>
      </w:r>
      <w:r w:rsidRPr="00EA7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RPr="00EA75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RPr="00EA75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rsidRPr="00EA7539">
              <w:t>Projekt rezolucji</w:t>
            </w:r>
          </w:p>
        </w:tc>
        <w:tc>
          <w:tcPr>
            <w:tcW w:w="4876" w:type="dxa"/>
            <w:tcBorders>
              <w:top w:val="nil"/>
              <w:left w:val="nil"/>
              <w:bottom w:val="nil"/>
              <w:right w:val="nil"/>
            </w:tcBorders>
          </w:tcPr>
          <w:p w:rsidR="007A0039" w:rsidRPr="00EA7539" w:rsidRDefault="007A0039" w:rsidP="008F6778">
            <w:pPr>
              <w:pStyle w:val="AmColumnHeading"/>
            </w:pPr>
            <w:r w:rsidRPr="00EA7539">
              <w:t>Poprawka</w:t>
            </w:r>
          </w:p>
        </w:tc>
      </w:tr>
      <w:tr w:rsidR="007A0039" w:rsidRPr="00EA7539" w:rsidTr="008F6778">
        <w:trPr>
          <w:jc w:val="center"/>
        </w:trPr>
        <w:tc>
          <w:tcPr>
            <w:tcW w:w="4876" w:type="dxa"/>
            <w:tcBorders>
              <w:top w:val="nil"/>
              <w:left w:val="nil"/>
              <w:bottom w:val="nil"/>
              <w:right w:val="nil"/>
            </w:tcBorders>
          </w:tcPr>
          <w:p w:rsidR="007A0039" w:rsidRPr="00EA7539" w:rsidRDefault="007A0039" w:rsidP="008F6778">
            <w:pPr>
              <w:pStyle w:val="Normal6a"/>
            </w:pPr>
            <w:r w:rsidRPr="00EA7539">
              <w:t>31.</w:t>
            </w:r>
            <w:r w:rsidRPr="00EA7539">
              <w:tab/>
              <w:t>podkreśla, że wolność pokojowego zgromadzania się oraz zrzeszania się i wypowiedzi są prawami podstawowymi chronionymi prawem międzynarodowym, które mają zasadnicze znaczenie dla demokracji i rozliczalności rządu; potępia zwiększoną presję na te prawa i odnotowuje tendencję do ich ograniczania; wzywa państwa członkowskie do dokładnego zbadania przypadków nadmiernego użycia siły i dyskryminującego traktowania przez organy ścigania;</w:t>
            </w:r>
          </w:p>
        </w:tc>
        <w:tc>
          <w:tcPr>
            <w:tcW w:w="4876" w:type="dxa"/>
            <w:tcBorders>
              <w:top w:val="nil"/>
              <w:left w:val="nil"/>
              <w:bottom w:val="nil"/>
              <w:right w:val="nil"/>
            </w:tcBorders>
          </w:tcPr>
          <w:p w:rsidR="007A0039" w:rsidRPr="00EA7539" w:rsidRDefault="007A0039" w:rsidP="008F6778">
            <w:pPr>
              <w:pStyle w:val="Normal6a"/>
            </w:pPr>
            <w:r w:rsidRPr="00EA7539">
              <w:t>31.</w:t>
            </w:r>
            <w:r w:rsidRPr="00EA7539">
              <w:tab/>
              <w:t>podkreśla, że wolność pokojowego zgromadzania się oraz zrzeszania się i wypowiedzi są prawami podstawowymi chronionymi prawem międzynarodowym, które mają zasadnicze znaczenie dla demokracji i rozliczalności rządu; potępia zwiększoną presję na te prawa i odnotowuje tendencję do ich ograniczania; wzywa państwa członkowskie do dokładnego zbadania przypadków nadmiernego użycia siły i dyskryminującego traktowania przez organy ścigania</w:t>
            </w:r>
            <w:r w:rsidRPr="00EA7539">
              <w:rPr>
                <w:b/>
                <w:i/>
              </w:rPr>
              <w:t>, w tym przeciw przemocy i operacjom służb reżimu Tuska przeciwko niezadowolonemu społeczeństwu polskiemu</w:t>
            </w:r>
            <w:r w:rsidRPr="00EA7539">
              <w:t>;</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{PL}</w:t>
      </w:r>
      <w:r w:rsidRPr="00EA7539">
        <w:t>pl</w:t>
      </w:r>
      <w:r w:rsidRPr="00EA7539">
        <w:rPr>
          <w:rStyle w:val="HideTWBExt"/>
        </w:rPr>
        <w:t>&lt;/Original&gt;</w:t>
      </w:r>
    </w:p>
    <w:p w:rsidR="007A0039" w:rsidRPr="00EA7539" w:rsidRDefault="007A0039" w:rsidP="007A0039">
      <w:r w:rsidRPr="00EA7539">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684</w:t>
      </w:r>
      <w:r>
        <w:rPr>
          <w:rStyle w:val="HideTWBExt"/>
        </w:rPr>
        <w:t>&lt;/NumAm&gt;</w:t>
      </w:r>
    </w:p>
    <w:p w:rsidR="007A0039" w:rsidRPr="00EA7539" w:rsidRDefault="007A0039" w:rsidP="007A0039">
      <w:pPr>
        <w:pStyle w:val="NormalBold"/>
      </w:pPr>
      <w:r>
        <w:rPr>
          <w:rStyle w:val="HideTWBExt"/>
          <w:b w:val="0"/>
        </w:rPr>
        <w:t>&lt;RepeatBlock-By&gt;&lt;Members&gt;</w:t>
      </w:r>
      <w:r>
        <w:t>Romana Tomc</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31.</w:t>
            </w:r>
            <w:r>
              <w:tab/>
              <w:t xml:space="preserve">podkreśla, że wolność pokojowego zgromadzania się oraz zrzeszania się i wypowiedzi są prawami podstawowymi chronionymi prawem międzynarodowym, które mają zasadnicze znaczenie dla demokracji i rozliczalności rządu; potępia zwiększoną presję na te prawa i odnotowuje tendencję do ich ograniczania; </w:t>
            </w:r>
            <w:r>
              <w:rPr>
                <w:b/>
                <w:i/>
              </w:rPr>
              <w:t>wzywa państwa członkowskie do dokładnego zbadania przypadków nadmiernego użycia siły i dyskryminującego traktowania przez organy ścigania;</w:t>
            </w:r>
          </w:p>
        </w:tc>
        <w:tc>
          <w:tcPr>
            <w:tcW w:w="4876" w:type="dxa"/>
            <w:tcBorders>
              <w:top w:val="nil"/>
              <w:left w:val="nil"/>
              <w:bottom w:val="nil"/>
              <w:right w:val="nil"/>
            </w:tcBorders>
          </w:tcPr>
          <w:p w:rsidR="007A0039" w:rsidRPr="00EA7539" w:rsidRDefault="007A0039" w:rsidP="008F6778">
            <w:pPr>
              <w:pStyle w:val="Normal6a"/>
            </w:pPr>
            <w:r>
              <w:t>31.</w:t>
            </w:r>
            <w:r>
              <w:tab/>
              <w:t>podkreśla, że wolność pokojowego zgromadzania się oraz zrzeszania się i wypowiedzi są prawami podstawowymi chronionymi prawem międzynarodowym, które mają zasadnicze znaczenie dla demokracji i rozliczalności rządu; potępia zwiększoną presję na te prawa i odnotowuje tendencję do ich ograniczania; </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685</w:t>
      </w:r>
      <w:r>
        <w:rPr>
          <w:rStyle w:val="HideTWBExt"/>
        </w:rPr>
        <w:t>&lt;/NumAm&gt;</w:t>
      </w:r>
    </w:p>
    <w:p w:rsidR="007A0039" w:rsidRPr="00EA7539" w:rsidRDefault="007A0039" w:rsidP="007A0039">
      <w:pPr>
        <w:pStyle w:val="NormalBold"/>
      </w:pPr>
      <w:r>
        <w:rPr>
          <w:rStyle w:val="HideTWBExt"/>
          <w:b w:val="0"/>
        </w:rPr>
        <w:t>&lt;RepeatBlock-By&gt;&lt;Members&gt;</w:t>
      </w:r>
      <w:r>
        <w:t>Jorge Buxadé Villalba, Malika Sorel, Fabrice Leggeri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31.</w:t>
            </w:r>
            <w:r>
              <w:tab/>
              <w:t xml:space="preserve">podkreśla, że wolność pokojowego zgromadzania się oraz zrzeszania się i wypowiedzi są prawami podstawowymi chronionymi prawem międzynarodowym, które mają zasadnicze znaczenie dla demokracji i rozliczalności rządu; potępia zwiększoną presję na te prawa i odnotowuje tendencję do ich ograniczania; wzywa państwa członkowskie do </w:t>
            </w:r>
            <w:r>
              <w:rPr>
                <w:b/>
                <w:i/>
              </w:rPr>
              <w:t>dokładnego zbadania przypadków nadmiernego użycia siły i dyskryminującego traktowania przez organy ścigania</w:t>
            </w:r>
            <w:r>
              <w:t>;</w:t>
            </w:r>
          </w:p>
        </w:tc>
        <w:tc>
          <w:tcPr>
            <w:tcW w:w="4876" w:type="dxa"/>
            <w:tcBorders>
              <w:top w:val="nil"/>
              <w:left w:val="nil"/>
              <w:bottom w:val="nil"/>
              <w:right w:val="nil"/>
            </w:tcBorders>
          </w:tcPr>
          <w:p w:rsidR="007A0039" w:rsidRPr="00EA7539" w:rsidRDefault="007A0039" w:rsidP="008F6778">
            <w:pPr>
              <w:pStyle w:val="Normal6a"/>
            </w:pPr>
            <w:r>
              <w:t>31.</w:t>
            </w:r>
            <w:r>
              <w:tab/>
              <w:t xml:space="preserve">podkreśla, że wolność pokojowego zgromadzania się oraz zrzeszania się i wypowiedzi są prawami podstawowymi chronionymi prawem międzynarodowym, które mają zasadnicze znaczenie dla demokracji i rozliczalności rządu; potępia zwiększoną presję na te prawa i odnotowuje tendencję do ich ograniczania; wzywa państwa członkowskie do </w:t>
            </w:r>
            <w:r>
              <w:rPr>
                <w:b/>
                <w:i/>
              </w:rPr>
              <w:t>powstrzymania się od wykorzystywania organów ścigania do ograniczania wolności obywatelskich</w:t>
            </w:r>
            <w:r>
              <w:t>;</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686</w:t>
      </w:r>
      <w:r>
        <w:rPr>
          <w:rStyle w:val="HideTWBExt"/>
        </w:rPr>
        <w:t>&lt;/NumAm&gt;</w:t>
      </w:r>
    </w:p>
    <w:p w:rsidR="007A0039" w:rsidRPr="00EA7539" w:rsidRDefault="007A0039" w:rsidP="007A0039">
      <w:pPr>
        <w:pStyle w:val="NormalBold"/>
      </w:pPr>
      <w:r>
        <w:rPr>
          <w:rStyle w:val="HideTWBExt"/>
          <w:b w:val="0"/>
        </w:rPr>
        <w:t>&lt;RepeatBlock-By&gt;&lt;Members&gt;</w:t>
      </w:r>
      <w:r>
        <w:t>Javier Zarzalejos</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31.</w:t>
            </w:r>
            <w:r>
              <w:tab/>
              <w:t xml:space="preserve">podkreśla, że wolność pokojowego zgromadzania się oraz zrzeszania się i wypowiedzi są prawami podstawowymi chronionymi prawem międzynarodowym, które mają zasadnicze znaczenie dla demokracji i rozliczalności rządu; </w:t>
            </w:r>
            <w:r>
              <w:rPr>
                <w:b/>
                <w:i/>
              </w:rPr>
              <w:t>potępia zwiększoną presję na te prawa i odnotowuje tendencję do ich ograniczania;</w:t>
            </w:r>
            <w:r>
              <w:t xml:space="preserve"> </w:t>
            </w:r>
            <w:r>
              <w:rPr>
                <w:b/>
                <w:i/>
              </w:rPr>
              <w:t>wzywa państwa członkowskie do dokładnego zbadania przypadków nadmiernego użycia</w:t>
            </w:r>
            <w:r>
              <w:t xml:space="preserve"> siły </w:t>
            </w:r>
            <w:r>
              <w:rPr>
                <w:b/>
                <w:i/>
              </w:rPr>
              <w:t>i dyskryminującego traktowania przez organy ścigania</w:t>
            </w:r>
            <w:r>
              <w:t>;</w:t>
            </w:r>
          </w:p>
        </w:tc>
        <w:tc>
          <w:tcPr>
            <w:tcW w:w="4876" w:type="dxa"/>
            <w:tcBorders>
              <w:top w:val="nil"/>
              <w:left w:val="nil"/>
              <w:bottom w:val="nil"/>
              <w:right w:val="nil"/>
            </w:tcBorders>
          </w:tcPr>
          <w:p w:rsidR="007A0039" w:rsidRPr="00EA7539" w:rsidRDefault="007A0039" w:rsidP="008F6778">
            <w:pPr>
              <w:pStyle w:val="Normal6a"/>
            </w:pPr>
            <w:r>
              <w:t>31.</w:t>
            </w:r>
            <w:r>
              <w:tab/>
              <w:t xml:space="preserve">podkreśla, że wolność pokojowego zgromadzania się oraz zrzeszania się i wypowiedzi są prawami podstawowymi chronionymi prawem międzynarodowym, które mają zasadnicze znaczenie dla demokracji i rozliczalności rządu; </w:t>
            </w:r>
            <w:r>
              <w:rPr>
                <w:b/>
                <w:i/>
              </w:rPr>
              <w:t>wzywa państwa członkowskie do zapewnienia proporcjonalnego użycia siły; wyraża zaniepokojenie wywieranymi naciskami mającymi na celu ograniczenie działań państw członkowskich podejmowanych po to, by zapewnić proporcjonalne użycie</w:t>
            </w:r>
            <w:r>
              <w:t xml:space="preserve"> siły </w:t>
            </w:r>
            <w:r>
              <w:rPr>
                <w:b/>
                <w:i/>
              </w:rPr>
              <w:t>przez organy i agencje egzekwowania prawa</w:t>
            </w:r>
            <w:r>
              <w:t>;</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687</w:t>
      </w:r>
      <w:r>
        <w:rPr>
          <w:rStyle w:val="HideTWBExt"/>
        </w:rPr>
        <w:t>&lt;/NumAm&gt;</w:t>
      </w:r>
    </w:p>
    <w:p w:rsidR="007A0039" w:rsidRPr="00EA7539" w:rsidRDefault="007A0039" w:rsidP="007A0039">
      <w:pPr>
        <w:pStyle w:val="NormalBold"/>
      </w:pPr>
      <w:r>
        <w:rPr>
          <w:rStyle w:val="HideTWBExt"/>
          <w:b w:val="0"/>
        </w:rPr>
        <w:t>&lt;RepeatBlock-By&gt;&lt;Members&gt;</w:t>
      </w:r>
      <w:r>
        <w:t>Sebastian Tynkkynen</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31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31a.</w:t>
            </w:r>
            <w:r>
              <w:tab/>
            </w:r>
            <w:r>
              <w:rPr>
                <w:b/>
                <w:i/>
              </w:rPr>
              <w:t>jest głęboko zaniepokojony stanem wolności wypowiedzi w internecie; uważa, że osoby próbujące cenzurować odmienne opinie polityczne często powołują się na akt o usługach cyfrowych</w:t>
            </w:r>
            <w:r>
              <w:rPr>
                <w:b/>
                <w:i/>
                <w:vertAlign w:val="superscript"/>
              </w:rPr>
              <w:t>47a</w:t>
            </w:r>
            <w:r>
              <w:rPr>
                <w:b/>
                <w:i/>
              </w:rPr>
              <w:t>; wzywa Komisję, aby przedstawiła wniosek zmieniający zapisy aktu o usługach cyfrowych, które osłabiają wolność wypowiedzi;</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vertAlign w:val="superscript"/>
              </w:rPr>
              <w:t>47a</w:t>
            </w:r>
            <w:r>
              <w:rPr>
                <w:b/>
                <w:i/>
              </w:rPr>
              <w:t xml:space="preserve"> Rozporządzenie Parlamentu Europejskiego i Rady (UE) 2022/2065 z dnia 19 października 2022 r. w sprawie jednolitego rynku usług cyfrowych oraz zmiany dyrektywy 2000/31/WE (akt o usługach cyfrowych) (Dz.U. L 277 z 27.10.2022, s. 1, ELI: http://data.europa.eu/eli/reg/2022/2065/oj).</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{FI}</w:t>
      </w:r>
      <w:r w:rsidRPr="00EA7539">
        <w:t>fi</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688</w:t>
      </w:r>
      <w:r>
        <w:rPr>
          <w:rStyle w:val="HideTWBExt"/>
        </w:rPr>
        <w:t>&lt;/NumAm&gt;</w:t>
      </w:r>
    </w:p>
    <w:p w:rsidR="007A0039" w:rsidRPr="00EA7539" w:rsidRDefault="007A0039" w:rsidP="007A0039">
      <w:pPr>
        <w:pStyle w:val="NormalBold"/>
      </w:pPr>
      <w:r>
        <w:rPr>
          <w:rStyle w:val="HideTWBExt"/>
          <w:b w:val="0"/>
        </w:rPr>
        <w:t>&lt;RepeatBlock-By&gt;&lt;Members&gt;</w:t>
      </w:r>
      <w:r>
        <w:t>Isabel Serra Sánchez</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31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31a.</w:t>
            </w:r>
            <w:r>
              <w:tab/>
            </w:r>
            <w:r>
              <w:rPr>
                <w:b/>
                <w:i/>
              </w:rPr>
              <w:t>wyraża zaniepokojenie faktem, że w państwach członkowskich obowiązują różne progi, po przekroczeniu których możliwe jest użycie siły i broni przez organy ścigania dla utrzymania porządku publicznego; wzywa do wprowadzenia zakazu stosowania niektórych rodzajów mniej śmiercionośnej broni i urządzeń służących utrzymaniu porządku publicznego, takich jak granaty z gazem łzawiącym lub wyrzutnie LBD 40; wzywa państwa członkowskie do powstrzymania się od przyjmowania przepisów ograniczających wolność zgromadzeń;</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sidRPr="00EA7539">
        <w:rPr>
          <w:rStyle w:val="HideTWBExt"/>
        </w:rPr>
        <w:t>&lt;Amend&gt;</w:t>
      </w:r>
      <w:r w:rsidRPr="00EA7539">
        <w:t>Poprawka</w:t>
      </w:r>
      <w:r w:rsidRPr="00EA7539">
        <w:tab/>
      </w:r>
      <w:r w:rsidRPr="00EA7539">
        <w:tab/>
      </w:r>
      <w:r w:rsidRPr="00EA7539">
        <w:rPr>
          <w:rStyle w:val="HideTWBExt"/>
        </w:rPr>
        <w:t>&lt;NumAm&gt;</w:t>
      </w:r>
      <w:r w:rsidRPr="00EA7539">
        <w:t>689</w:t>
      </w:r>
      <w:r w:rsidRPr="00EA7539">
        <w:rPr>
          <w:rStyle w:val="HideTWBExt"/>
        </w:rPr>
        <w:t>&lt;/NumAm&gt;</w:t>
      </w:r>
    </w:p>
    <w:p w:rsidR="007A0039" w:rsidRPr="00EA7539" w:rsidRDefault="007A0039" w:rsidP="007A0039">
      <w:pPr>
        <w:pStyle w:val="NormalBold"/>
      </w:pPr>
      <w:r w:rsidRPr="00EA7539">
        <w:rPr>
          <w:rStyle w:val="HideTWBExt"/>
          <w:b w:val="0"/>
        </w:rPr>
        <w:t>&lt;RepeatBlock-By&gt;&lt;Members&gt;</w:t>
      </w:r>
      <w:r w:rsidRPr="00EA7539">
        <w:t>Mariusz Kamiński, Joachim Stanisław Brudziński, Jadwiga Wiśniewska, Maciej Wąsik, Jacek Ozdoba</w:t>
      </w:r>
      <w:r w:rsidRPr="00EA7539">
        <w:rPr>
          <w:rStyle w:val="HideTWBExt"/>
          <w:b w:val="0"/>
        </w:rPr>
        <w:t>&lt;/Members&gt;</w:t>
      </w:r>
    </w:p>
    <w:p w:rsidR="007A0039" w:rsidRPr="00EA7539" w:rsidRDefault="007A0039" w:rsidP="007A0039">
      <w:pPr>
        <w:pStyle w:val="NormalBold"/>
      </w:pPr>
      <w:r w:rsidRPr="00EA7539">
        <w:rPr>
          <w:rStyle w:val="HideTWBExt"/>
          <w:b w:val="0"/>
        </w:rPr>
        <w:t>&lt;/RepeatBlock-By&gt;</w:t>
      </w:r>
    </w:p>
    <w:p w:rsidR="007A0039" w:rsidRPr="00EA7539" w:rsidRDefault="007A0039" w:rsidP="007A0039">
      <w:pPr>
        <w:pStyle w:val="NormalBold"/>
      </w:pPr>
      <w:r w:rsidRPr="00EA7539">
        <w:rPr>
          <w:rStyle w:val="HideTWBExt"/>
        </w:rPr>
        <w:t>&lt;DocAmend&gt;</w:t>
      </w:r>
      <w:r w:rsidRPr="00EA7539">
        <w:t>Projekt rezolucji</w:t>
      </w:r>
      <w:r w:rsidRPr="00EA7539">
        <w:rPr>
          <w:rStyle w:val="HideTWBExt"/>
        </w:rPr>
        <w:t>&lt;/DocAmend&gt;</w:t>
      </w:r>
    </w:p>
    <w:p w:rsidR="007A0039" w:rsidRPr="00EA7539" w:rsidRDefault="007A0039" w:rsidP="007A0039">
      <w:pPr>
        <w:pStyle w:val="NormalBold"/>
      </w:pPr>
      <w:r w:rsidRPr="00EA7539">
        <w:rPr>
          <w:rStyle w:val="HideTWBExt"/>
        </w:rPr>
        <w:t>&lt;Article&gt;</w:t>
      </w:r>
      <w:r w:rsidRPr="00EA7539">
        <w:t>Ustęp 31 a (nowy)</w:t>
      </w:r>
      <w:r w:rsidRPr="00EA7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RPr="00EA75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RPr="00EA75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rsidRPr="00EA7539">
              <w:t>Projekt rezolucji</w:t>
            </w:r>
          </w:p>
        </w:tc>
        <w:tc>
          <w:tcPr>
            <w:tcW w:w="4876" w:type="dxa"/>
            <w:tcBorders>
              <w:top w:val="nil"/>
              <w:left w:val="nil"/>
              <w:bottom w:val="nil"/>
              <w:right w:val="nil"/>
            </w:tcBorders>
          </w:tcPr>
          <w:p w:rsidR="007A0039" w:rsidRPr="00EA7539" w:rsidRDefault="007A0039" w:rsidP="008F6778">
            <w:pPr>
              <w:pStyle w:val="AmColumnHeading"/>
            </w:pPr>
            <w:r w:rsidRPr="00EA7539">
              <w:t>Poprawka</w:t>
            </w:r>
          </w:p>
        </w:tc>
      </w:tr>
      <w:tr w:rsidR="007A0039" w:rsidRPr="00EA75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31</w:t>
            </w:r>
            <w:r w:rsidRPr="00EA7539">
              <w:rPr>
                <w:b/>
                <w:i/>
              </w:rPr>
              <w:t>a.</w:t>
            </w:r>
            <w:r w:rsidRPr="00EA7539">
              <w:tab/>
            </w:r>
            <w:r w:rsidRPr="00EA7539">
              <w:rPr>
                <w:b/>
                <w:i/>
              </w:rPr>
              <w:t>wzywa Komisję do przeprowadzenie niezależnego audytu i pełnego upublicznienia jego wyników w sprawie niedawno ujawnionych zarzutów o finansowanie przez Komisję organizacji, które miały lobbować w Parlamencie Europejskim i innych instytucjach za określonymi ideologicznymi projektami Komisji, w tym Zielonym Ładem oraz migracją;</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{PL}</w:t>
      </w:r>
      <w:r w:rsidRPr="00EA7539">
        <w:t>pl</w:t>
      </w:r>
      <w:r w:rsidRPr="00EA7539">
        <w:rPr>
          <w:rStyle w:val="HideTWBExt"/>
        </w:rPr>
        <w:t>&lt;/Original&gt;</w:t>
      </w:r>
    </w:p>
    <w:p w:rsidR="007A0039" w:rsidRPr="00EA7539" w:rsidRDefault="007A0039" w:rsidP="007A0039">
      <w:r w:rsidRPr="00EA7539">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690</w:t>
      </w:r>
      <w:r>
        <w:rPr>
          <w:rStyle w:val="HideTWBExt"/>
        </w:rPr>
        <w:t>&lt;/NumAm&gt;</w:t>
      </w:r>
    </w:p>
    <w:p w:rsidR="007A0039" w:rsidRPr="00EA7539" w:rsidRDefault="007A0039" w:rsidP="007A0039">
      <w:pPr>
        <w:pStyle w:val="NormalBold"/>
      </w:pPr>
      <w:r>
        <w:rPr>
          <w:rStyle w:val="HideTWBExt"/>
          <w:b w:val="0"/>
        </w:rPr>
        <w:t>&lt;RepeatBlock-By&gt;&lt;Members&gt;</w:t>
      </w:r>
      <w:r>
        <w:t>Isabel Serra Sánchez</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31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31b.</w:t>
            </w:r>
            <w:r>
              <w:tab/>
            </w:r>
            <w:r>
              <w:rPr>
                <w:b/>
                <w:i/>
              </w:rPr>
              <w:t>wyraża zaniepokojenie działającymi niejawnie funkcjonariuszami policji, którzy infiltrują ruchy społeczne i polityczne, co jest ograniczeniem praw obywatelskich obrońców praw człowieka i aktywistów, a także naruszeniem swobody korzystania z prawa do wolności pokojowego zgromadzania się i zrzeszania się;</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691</w:t>
      </w:r>
      <w:r>
        <w:rPr>
          <w:rStyle w:val="HideTWBExt"/>
        </w:rPr>
        <w:t>&lt;/NumAm&gt;</w:t>
      </w:r>
    </w:p>
    <w:p w:rsidR="007A0039" w:rsidRPr="00EA7539" w:rsidRDefault="007A0039" w:rsidP="007A0039">
      <w:pPr>
        <w:pStyle w:val="NormalBold"/>
      </w:pPr>
      <w:r>
        <w:rPr>
          <w:rStyle w:val="HideTWBExt"/>
          <w:b w:val="0"/>
        </w:rPr>
        <w:t>&lt;RepeatBlock-By&gt;&lt;Members&gt;</w:t>
      </w:r>
      <w:r>
        <w:t>Isabel Serra Sánchez</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31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31c.</w:t>
            </w:r>
            <w:r>
              <w:tab/>
            </w:r>
            <w:r>
              <w:rPr>
                <w:b/>
                <w:i/>
              </w:rPr>
              <w:t>jest zaniepokojony wzrostem liczby samozwańczych ugrupowań działających jako siły bezpieczeństwa, które prowadzą działalność parapolicyjną i przekształcają ją w działalność gospodarczą, działając niezależnie od organów bezpieczeństwa publicznego, zwłaszcza w kontekście eksmisji;</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692</w:t>
      </w:r>
      <w:r>
        <w:rPr>
          <w:rStyle w:val="HideTWBExt"/>
        </w:rPr>
        <w:t>&lt;/NumAm&gt;</w:t>
      </w:r>
    </w:p>
    <w:p w:rsidR="007A0039" w:rsidRPr="00EA7539" w:rsidRDefault="007A0039" w:rsidP="007A0039">
      <w:pPr>
        <w:pStyle w:val="NormalBold"/>
      </w:pPr>
      <w:r>
        <w:rPr>
          <w:rStyle w:val="HideTWBExt"/>
          <w:b w:val="0"/>
        </w:rPr>
        <w:t>&lt;RepeatBlock-By&gt;&lt;Members&gt;</w:t>
      </w:r>
      <w:r>
        <w:t>Isabel Serra Sánchez, Ilaria Salis, Mimmo Lucano</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31 d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31d.</w:t>
            </w:r>
            <w:r>
              <w:tab/>
            </w:r>
            <w:r>
              <w:rPr>
                <w:b/>
                <w:i/>
              </w:rPr>
              <w:t>jest głęboko zaniepokojony niedawną propozycją włoskiego rządu dotyczącą nowej ustawy o bezpieczeństwie publicznym, która przewiduje wprowadzenie środków naruszających prawa podstawowe, w szczególności prawo do demonstracji, wolność wypowiedzi, prawo do mieszkania i gwarancje proceduralne; ostrzega przed ryzykiem autorytarnych zmian, które pociąga za sobą ta ustawa, za pomocą takich środków jak kryminalizacja akcji protestacyjnych, takich jak blokada dróg, uznanie za przestępstwo rewolty w więzieniach i ośrodkach detencyjnych dla repatriantów, możliwość odroczenia kary dla kobiet w ciąży lub kobiet z dziećmi, obowiązek zapewnienia przez uniwersytety i wszystkie organy administracji publicznej pomocy agencjom wywiadowczym; podkreśla, że przepisy te zostały skrytykowane przez Komisarza Praw Człowieka Rady Europy;</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693</w:t>
      </w:r>
      <w:r>
        <w:rPr>
          <w:rStyle w:val="HideTWBExt"/>
        </w:rPr>
        <w:t>&lt;/NumAm&gt;</w:t>
      </w:r>
    </w:p>
    <w:p w:rsidR="007A0039" w:rsidRPr="00EA7539" w:rsidRDefault="007A0039" w:rsidP="007A0039">
      <w:pPr>
        <w:pStyle w:val="NormalBold"/>
      </w:pPr>
      <w:r>
        <w:rPr>
          <w:rStyle w:val="HideTWBExt"/>
          <w:b w:val="0"/>
        </w:rPr>
        <w:t>&lt;RepeatBlock-By&gt;&lt;Members&gt;</w:t>
      </w:r>
      <w:r>
        <w:t>András László</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32.</w:t>
            </w:r>
            <w:r>
              <w:tab/>
            </w:r>
            <w:r>
              <w:rPr>
                <w:b/>
                <w:i/>
              </w:rPr>
              <w:t>uważa, że Komisja i państwa członkowskie powinny udoskonalić mechanizmy finansowania organizacji społeczeństwa obywatelskiego i inicjatyw wzmacniających wymiar sprawiedliwości i podtrzymujących niezależność sądów; zaleca, aby Komisja opracowała strategię ochrony społeczeństwa obywatelskiego i obrońców praw człowieka;</w:t>
            </w:r>
          </w:p>
        </w:tc>
        <w:tc>
          <w:tcPr>
            <w:tcW w:w="4876" w:type="dxa"/>
            <w:tcBorders>
              <w:top w:val="nil"/>
              <w:left w:val="nil"/>
              <w:bottom w:val="nil"/>
              <w:right w:val="nil"/>
            </w:tcBorders>
          </w:tcPr>
          <w:p w:rsidR="007A0039" w:rsidRPr="00EA7539" w:rsidRDefault="007A0039" w:rsidP="008F6778">
            <w:pPr>
              <w:pStyle w:val="Normal6a"/>
            </w:pPr>
            <w:r>
              <w:rPr>
                <w:b/>
                <w:i/>
              </w:rPr>
              <w:t>skreśla się</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694</w:t>
      </w:r>
      <w:r>
        <w:rPr>
          <w:rStyle w:val="HideTWBExt"/>
        </w:rPr>
        <w:t>&lt;/NumAm&gt;</w:t>
      </w:r>
    </w:p>
    <w:p w:rsidR="007A0039" w:rsidRPr="00EA7539" w:rsidRDefault="007A0039" w:rsidP="007A0039">
      <w:pPr>
        <w:pStyle w:val="NormalBold"/>
      </w:pPr>
      <w:r>
        <w:rPr>
          <w:rStyle w:val="HideTWBExt"/>
          <w:b w:val="0"/>
        </w:rPr>
        <w:t>&lt;RepeatBlock-By&gt;&lt;Members&gt;</w:t>
      </w:r>
      <w:r>
        <w:t>Jorge Buxadé Villalba, Marieke Ehlers, Malika Sorel, Fabrice Leggeri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32.</w:t>
            </w:r>
            <w:r>
              <w:tab/>
            </w:r>
            <w:r>
              <w:rPr>
                <w:b/>
                <w:i/>
              </w:rPr>
              <w:t>uważa, że Komisja i państwa członkowskie powinny udoskonalić mechanizmy finansowania organizacji społeczeństwa obywatelskiego i inicjatyw wzmacniających wymiar sprawiedliwości i podtrzymujących niezależność sądów; zaleca, aby Komisja opracowała strategię ochrony społeczeństwa obywatelskiego i obrońców praw człowieka;</w:t>
            </w:r>
          </w:p>
        </w:tc>
        <w:tc>
          <w:tcPr>
            <w:tcW w:w="4876" w:type="dxa"/>
            <w:tcBorders>
              <w:top w:val="nil"/>
              <w:left w:val="nil"/>
              <w:bottom w:val="nil"/>
              <w:right w:val="nil"/>
            </w:tcBorders>
          </w:tcPr>
          <w:p w:rsidR="007A0039" w:rsidRPr="00EA7539" w:rsidRDefault="007A0039" w:rsidP="008F6778">
            <w:pPr>
              <w:pStyle w:val="Normal6a"/>
            </w:pPr>
            <w:r>
              <w:rPr>
                <w:b/>
                <w:i/>
              </w:rPr>
              <w:t>skreśla się</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695</w:t>
      </w:r>
      <w:r>
        <w:rPr>
          <w:rStyle w:val="HideTWBExt"/>
        </w:rPr>
        <w:t>&lt;/NumAm&gt;</w:t>
      </w:r>
    </w:p>
    <w:p w:rsidR="007A0039" w:rsidRPr="00EA7539" w:rsidRDefault="007A0039" w:rsidP="007A0039">
      <w:pPr>
        <w:pStyle w:val="NormalBold"/>
      </w:pPr>
      <w:r>
        <w:rPr>
          <w:rStyle w:val="HideTWBExt"/>
          <w:b w:val="0"/>
        </w:rPr>
        <w:t>&lt;RepeatBlock-By&gt;&lt;Members&gt;</w:t>
      </w:r>
      <w:r>
        <w:t>Raquel García Hermida-Van Der Walle, Fabienne Keller, Sophie Wilmès, Moritz Körner, Abir Al-Sahlani, Sigrid Friis, Lucia Yar</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32.</w:t>
            </w:r>
            <w:r>
              <w:tab/>
              <w:t>uważa, że Komisja i państwa członkowskie powinny udoskonalić mechanizmy finansowania organizacji społeczeństwa obywatelskiego i inicjatyw wzmacniających wymiar sprawiedliwości i podtrzymujących niezależność sądów; zaleca, aby Komisja opracowała strategię ochrony społeczeństwa obywatelskiego i obrońców praw człowieka;</w:t>
            </w:r>
          </w:p>
        </w:tc>
        <w:tc>
          <w:tcPr>
            <w:tcW w:w="4876" w:type="dxa"/>
            <w:tcBorders>
              <w:top w:val="nil"/>
              <w:left w:val="nil"/>
              <w:bottom w:val="nil"/>
              <w:right w:val="nil"/>
            </w:tcBorders>
          </w:tcPr>
          <w:p w:rsidR="007A0039" w:rsidRPr="00EA7539" w:rsidRDefault="007A0039" w:rsidP="008F6778">
            <w:pPr>
              <w:pStyle w:val="Normal6a"/>
            </w:pPr>
            <w:r>
              <w:t>32.</w:t>
            </w:r>
            <w:r>
              <w:tab/>
              <w:t>uważa, że Komisja i państwa członkowskie powinny udoskonalić mechanizmy finansowania organizacji społeczeństwa obywatelskiego i inicjatyw wzmacniających wymiar sprawiedliwości i podtrzymujących niezależność sądów; zaleca, aby Komisja opracowała strategię ochrony społeczeństwa obywatelskiego i obrońców praw człowieka</w:t>
            </w:r>
            <w:r>
              <w:rPr>
                <w:b/>
                <w:i/>
              </w:rPr>
              <w:t>, w tym mechanizm szybkiego reagowania wspierający zagrożone organizacje społeczeństwa obywatelskiego i obrońców praw człowieka w Unii, w oparciu o model finansowanego przez UE mechanizmu na rzecz obrońców praw człowieka, który obecnie skupia się wyłącznie na państwach spoza UE</w:t>
            </w:r>
            <w:r>
              <w:t>;</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sidRPr="00EA7539">
        <w:rPr>
          <w:rStyle w:val="HideTWBExt"/>
        </w:rPr>
        <w:t>&lt;Amend&gt;</w:t>
      </w:r>
      <w:r w:rsidRPr="00EA7539">
        <w:t>Poprawka</w:t>
      </w:r>
      <w:r w:rsidRPr="00EA7539">
        <w:tab/>
      </w:r>
      <w:r w:rsidRPr="00EA7539">
        <w:tab/>
      </w:r>
      <w:r w:rsidRPr="00EA7539">
        <w:rPr>
          <w:rStyle w:val="HideTWBExt"/>
        </w:rPr>
        <w:t>&lt;NumAm&gt;</w:t>
      </w:r>
      <w:r w:rsidRPr="00EA7539">
        <w:t>696</w:t>
      </w:r>
      <w:r w:rsidRPr="00EA7539">
        <w:rPr>
          <w:rStyle w:val="HideTWBExt"/>
        </w:rPr>
        <w:t>&lt;/NumAm&gt;</w:t>
      </w:r>
    </w:p>
    <w:p w:rsidR="007A0039" w:rsidRPr="00EA7539" w:rsidRDefault="007A0039" w:rsidP="007A0039">
      <w:pPr>
        <w:pStyle w:val="NormalBold"/>
      </w:pPr>
      <w:r w:rsidRPr="00EA7539">
        <w:rPr>
          <w:rStyle w:val="HideTWBExt"/>
          <w:b w:val="0"/>
        </w:rPr>
        <w:t>&lt;RepeatBlock-By&gt;&lt;Members&gt;</w:t>
      </w:r>
      <w:r w:rsidRPr="00EA7539">
        <w:t>Mariusz Kamiński, Joachim Stanisław Brudziński, Jadwiga Wiśniewska, Maciej Wąsik, Jacek Ozdoba</w:t>
      </w:r>
      <w:r w:rsidRPr="00EA7539">
        <w:rPr>
          <w:rStyle w:val="HideTWBExt"/>
          <w:b w:val="0"/>
        </w:rPr>
        <w:t>&lt;/Members&gt;</w:t>
      </w:r>
    </w:p>
    <w:p w:rsidR="007A0039" w:rsidRPr="00EA7539" w:rsidRDefault="007A0039" w:rsidP="007A0039">
      <w:pPr>
        <w:pStyle w:val="NormalBold"/>
      </w:pPr>
      <w:r w:rsidRPr="00EA7539">
        <w:rPr>
          <w:rStyle w:val="HideTWBExt"/>
          <w:b w:val="0"/>
        </w:rPr>
        <w:t>&lt;/RepeatBlock-By&gt;</w:t>
      </w:r>
    </w:p>
    <w:p w:rsidR="007A0039" w:rsidRPr="00EA7539" w:rsidRDefault="007A0039" w:rsidP="007A0039">
      <w:pPr>
        <w:pStyle w:val="NormalBold"/>
      </w:pPr>
      <w:r w:rsidRPr="00EA7539">
        <w:rPr>
          <w:rStyle w:val="HideTWBExt"/>
        </w:rPr>
        <w:t>&lt;DocAmend&gt;</w:t>
      </w:r>
      <w:r w:rsidRPr="00EA7539">
        <w:t>Projekt rezolucji</w:t>
      </w:r>
      <w:r w:rsidRPr="00EA7539">
        <w:rPr>
          <w:rStyle w:val="HideTWBExt"/>
        </w:rPr>
        <w:t>&lt;/DocAmend&gt;</w:t>
      </w:r>
    </w:p>
    <w:p w:rsidR="007A0039" w:rsidRPr="00EA7539" w:rsidRDefault="007A0039" w:rsidP="007A0039">
      <w:pPr>
        <w:pStyle w:val="NormalBold"/>
      </w:pPr>
      <w:r w:rsidRPr="00EA7539">
        <w:rPr>
          <w:rStyle w:val="HideTWBExt"/>
        </w:rPr>
        <w:t>&lt;Article&gt;</w:t>
      </w:r>
      <w:r w:rsidRPr="00EA7539">
        <w:t>Ustęp 32</w:t>
      </w:r>
      <w:r w:rsidRPr="00EA753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RPr="00EA75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RPr="00EA75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rsidRPr="00EA7539">
              <w:t>Projekt rezolucji</w:t>
            </w:r>
          </w:p>
        </w:tc>
        <w:tc>
          <w:tcPr>
            <w:tcW w:w="4876" w:type="dxa"/>
            <w:tcBorders>
              <w:top w:val="nil"/>
              <w:left w:val="nil"/>
              <w:bottom w:val="nil"/>
              <w:right w:val="nil"/>
            </w:tcBorders>
          </w:tcPr>
          <w:p w:rsidR="007A0039" w:rsidRPr="00EA7539" w:rsidRDefault="007A0039" w:rsidP="008F6778">
            <w:pPr>
              <w:pStyle w:val="AmColumnHeading"/>
            </w:pPr>
            <w:r w:rsidRPr="00EA7539">
              <w:t>Poprawka</w:t>
            </w:r>
          </w:p>
        </w:tc>
      </w:tr>
      <w:tr w:rsidR="007A0039" w:rsidRPr="00EA7539" w:rsidTr="008F6778">
        <w:trPr>
          <w:jc w:val="center"/>
        </w:trPr>
        <w:tc>
          <w:tcPr>
            <w:tcW w:w="4876" w:type="dxa"/>
            <w:tcBorders>
              <w:top w:val="nil"/>
              <w:left w:val="nil"/>
              <w:bottom w:val="nil"/>
              <w:right w:val="nil"/>
            </w:tcBorders>
          </w:tcPr>
          <w:p w:rsidR="007A0039" w:rsidRPr="00EA7539" w:rsidRDefault="007A0039" w:rsidP="008F6778">
            <w:pPr>
              <w:pStyle w:val="Normal6a"/>
            </w:pPr>
            <w:r w:rsidRPr="00EA7539">
              <w:t>32.</w:t>
            </w:r>
            <w:r w:rsidRPr="00EA7539">
              <w:tab/>
              <w:t xml:space="preserve">uważa, że Komisja i państwa członkowskie powinny udoskonalić mechanizmy finansowania organizacji społeczeństwa obywatelskiego </w:t>
            </w:r>
            <w:r w:rsidRPr="00EA7539">
              <w:rPr>
                <w:b/>
                <w:i/>
              </w:rPr>
              <w:t>i</w:t>
            </w:r>
            <w:r w:rsidRPr="00EA7539">
              <w:t xml:space="preserve"> inicjatyw wzmacniających wymiar sprawiedliwości i podtrzymujących niezależność sądów; zaleca, aby Komisja opracowała strategię ochrony społeczeństwa obywatelskiego i obrońców praw człowieka;</w:t>
            </w:r>
          </w:p>
        </w:tc>
        <w:tc>
          <w:tcPr>
            <w:tcW w:w="4876" w:type="dxa"/>
            <w:tcBorders>
              <w:top w:val="nil"/>
              <w:left w:val="nil"/>
              <w:bottom w:val="nil"/>
              <w:right w:val="nil"/>
            </w:tcBorders>
          </w:tcPr>
          <w:p w:rsidR="007A0039" w:rsidRPr="00EA7539" w:rsidRDefault="007A0039" w:rsidP="008F6778">
            <w:pPr>
              <w:pStyle w:val="Normal6a"/>
            </w:pPr>
            <w:r w:rsidRPr="00EA7539">
              <w:t>32.</w:t>
            </w:r>
            <w:r w:rsidRPr="00EA7539">
              <w:tab/>
              <w:t>uważa, że Komisja i państwa członkowskie powinny udoskonalić mechanizmy finansowania organizacji społeczeństwa obywatelskiego</w:t>
            </w:r>
            <w:r w:rsidRPr="00EA7539">
              <w:rPr>
                <w:b/>
                <w:i/>
              </w:rPr>
              <w:t>, w tym transparentność i kierowanie wsparcia oparte na kryteriach merytorycznych; podkreśla, iż wiele z</w:t>
            </w:r>
            <w:r w:rsidRPr="00EA7539">
              <w:t xml:space="preserve"> inicjatyw </w:t>
            </w:r>
            <w:r w:rsidRPr="00EA7539">
              <w:rPr>
                <w:b/>
                <w:i/>
              </w:rPr>
              <w:t>teoretycznie</w:t>
            </w:r>
            <w:r w:rsidRPr="00EA7539">
              <w:t xml:space="preserve"> wzmacniających wymiar sprawiedliwości i podtrzymujących niezależność sądów</w:t>
            </w:r>
            <w:r w:rsidRPr="00EA7539">
              <w:rPr>
                <w:b/>
                <w:i/>
              </w:rPr>
              <w:t>, faktycznie pogłębiają problemy strukturalne i dodatkowo upolityczniają sądownictwo</w:t>
            </w:r>
            <w:r w:rsidRPr="00EA7539">
              <w:t>; zaleca, aby Komisja opracowała strategię ochrony społeczeństwa obywatelskiego i obrońców praw człowieka;</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{PL}</w:t>
      </w:r>
      <w:r w:rsidRPr="00EA7539">
        <w:t>pl</w:t>
      </w:r>
      <w:r w:rsidRPr="00EA7539">
        <w:rPr>
          <w:rStyle w:val="HideTWBExt"/>
        </w:rPr>
        <w:t>&lt;/Original&gt;</w:t>
      </w:r>
    </w:p>
    <w:p w:rsidR="007A0039" w:rsidRPr="00EA7539" w:rsidRDefault="007A0039" w:rsidP="007A0039">
      <w:r w:rsidRPr="00EA7539">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697</w:t>
      </w:r>
      <w:r>
        <w:rPr>
          <w:rStyle w:val="HideTWBExt"/>
        </w:rPr>
        <w:t>&lt;/NumAm&gt;</w:t>
      </w:r>
    </w:p>
    <w:p w:rsidR="007A0039" w:rsidRPr="00EA7539" w:rsidRDefault="007A0039" w:rsidP="007A0039">
      <w:pPr>
        <w:pStyle w:val="NormalBold"/>
      </w:pPr>
      <w:r>
        <w:rPr>
          <w:rStyle w:val="HideTWBExt"/>
          <w:b w:val="0"/>
        </w:rPr>
        <w:t>&lt;RepeatBlock-By&gt;&lt;Members&gt;</w:t>
      </w:r>
      <w:r>
        <w:t>Erik Kaliňák</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32.</w:t>
            </w:r>
            <w:r>
              <w:tab/>
            </w:r>
            <w:r>
              <w:rPr>
                <w:b/>
                <w:i/>
              </w:rPr>
              <w:t>uważa, że Komisja i państwa członkowskie powinny udoskonalić mechanizmy finansowania organizacji społeczeństwa obywatelskiego i inicjatyw wzmacniających wymiar sprawiedliwości i podtrzymujących niezależność sądów</w:t>
            </w:r>
            <w:r>
              <w:t>;</w:t>
            </w:r>
            <w:r>
              <w:rPr>
                <w:b/>
                <w:i/>
              </w:rPr>
              <w:t xml:space="preserve"> zaleca</w:t>
            </w:r>
            <w:r>
              <w:t xml:space="preserve">, </w:t>
            </w:r>
            <w:r>
              <w:rPr>
                <w:b/>
                <w:i/>
              </w:rPr>
              <w:t>aby Komisja opracowała strategię ochrony społeczeństwa obywatelskiego i obrońców praw człowieka</w:t>
            </w:r>
            <w:r>
              <w:t>;</w:t>
            </w:r>
          </w:p>
        </w:tc>
        <w:tc>
          <w:tcPr>
            <w:tcW w:w="4876" w:type="dxa"/>
            <w:tcBorders>
              <w:top w:val="nil"/>
              <w:left w:val="nil"/>
              <w:bottom w:val="nil"/>
              <w:right w:val="nil"/>
            </w:tcBorders>
          </w:tcPr>
          <w:p w:rsidR="007A0039" w:rsidRPr="00EA7539" w:rsidRDefault="007A0039" w:rsidP="008F6778">
            <w:pPr>
              <w:pStyle w:val="Normal6a"/>
            </w:pPr>
            <w:r>
              <w:t>32.</w:t>
            </w:r>
            <w:r>
              <w:tab/>
            </w:r>
            <w:r>
              <w:rPr>
                <w:b/>
                <w:i/>
              </w:rPr>
              <w:t>zwraca się do Komisji o szczegółowe dochodzenie w sprawie ingerencji Agencji Stanów Zjednoczonych ds. Rozwoju Międzynarodowego (USAID) w wewnętrzne sprawy państw członkowskich, np. przez wspieranie organizacji pozarządowych lub wybranych mediów</w:t>
            </w:r>
            <w:r>
              <w:t>;</w:t>
            </w:r>
            <w:r>
              <w:rPr>
                <w:b/>
                <w:i/>
              </w:rPr>
              <w:t xml:space="preserve"> wzywa Komisję</w:t>
            </w:r>
            <w:r>
              <w:t xml:space="preserve">, </w:t>
            </w:r>
            <w:r>
              <w:rPr>
                <w:b/>
                <w:i/>
              </w:rPr>
              <w:t>by przyjęła środki uniemożliwiające organom i agencjom obcych państw wywieranie jakiegokolwiek wpływu na działania w państwach członkowskich w celu manipulowania opinią publiczną obywateli</w:t>
            </w:r>
            <w:r>
              <w:t>;</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{SK}</w:t>
      </w:r>
      <w:r w:rsidRPr="00EA7539">
        <w:t>sk</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698</w:t>
      </w:r>
      <w:r>
        <w:rPr>
          <w:rStyle w:val="HideTWBExt"/>
        </w:rPr>
        <w:t>&lt;/NumAm&gt;</w:t>
      </w:r>
    </w:p>
    <w:p w:rsidR="007A0039" w:rsidRPr="00EA7539" w:rsidRDefault="007A0039" w:rsidP="007A0039">
      <w:pPr>
        <w:pStyle w:val="NormalBold"/>
      </w:pPr>
      <w:r>
        <w:rPr>
          <w:rStyle w:val="HideTWBExt"/>
          <w:b w:val="0"/>
        </w:rPr>
        <w:t>&lt;RepeatBlock-By&gt;&lt;Members&gt;</w:t>
      </w:r>
      <w:r>
        <w:t>Sebastian Tynkkynen</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32.</w:t>
            </w:r>
            <w:r>
              <w:tab/>
            </w:r>
            <w:r>
              <w:rPr>
                <w:b/>
                <w:i/>
              </w:rPr>
              <w:t>uważa, że Komisja i</w:t>
            </w:r>
            <w:r>
              <w:t xml:space="preserve"> państwa członkowskie </w:t>
            </w:r>
            <w:r>
              <w:rPr>
                <w:b/>
                <w:i/>
              </w:rPr>
              <w:t>powinny udoskonalić mechanizmy</w:t>
            </w:r>
            <w:r>
              <w:t xml:space="preserve"> finansowania organizacji społeczeństwa obywatelskiego i inicjatyw wzmacniających wymiar sprawiedliwości i podtrzymujących niezależność sądów; </w:t>
            </w:r>
            <w:r>
              <w:rPr>
                <w:b/>
                <w:i/>
              </w:rPr>
              <w:t>zaleca, aby Komisja opracowała strategię ochrony społeczeństwa obywatelskiego i obrońców praw człowieka;</w:t>
            </w:r>
          </w:p>
        </w:tc>
        <w:tc>
          <w:tcPr>
            <w:tcW w:w="4876" w:type="dxa"/>
            <w:tcBorders>
              <w:top w:val="nil"/>
              <w:left w:val="nil"/>
              <w:bottom w:val="nil"/>
              <w:right w:val="nil"/>
            </w:tcBorders>
          </w:tcPr>
          <w:p w:rsidR="007A0039" w:rsidRPr="00EA7539" w:rsidRDefault="007A0039" w:rsidP="008F6778">
            <w:pPr>
              <w:pStyle w:val="Normal6a"/>
            </w:pPr>
            <w:r>
              <w:t>32.</w:t>
            </w:r>
            <w:r>
              <w:tab/>
            </w:r>
            <w:r>
              <w:rPr>
                <w:b/>
                <w:i/>
              </w:rPr>
              <w:t>wzywa</w:t>
            </w:r>
            <w:r>
              <w:t xml:space="preserve"> państwa członkowskie </w:t>
            </w:r>
            <w:r>
              <w:rPr>
                <w:b/>
                <w:i/>
              </w:rPr>
              <w:t>do udoskonalenia mechanizmów</w:t>
            </w:r>
            <w:r>
              <w:t xml:space="preserve"> finansowania organizacji społeczeństwa obywatelskiego i inicjatyw wzmacniających wymiar sprawiedliwości i podtrzymujących niezależność sądów;</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{FI}</w:t>
      </w:r>
      <w:r w:rsidRPr="00EA7539">
        <w:t>fi</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699</w:t>
      </w:r>
      <w:r>
        <w:rPr>
          <w:rStyle w:val="HideTWBExt"/>
        </w:rPr>
        <w:t>&lt;/NumAm&gt;</w:t>
      </w:r>
    </w:p>
    <w:p w:rsidR="007A0039" w:rsidRPr="00EA7539" w:rsidRDefault="007A0039" w:rsidP="007A0039">
      <w:pPr>
        <w:pStyle w:val="NormalBold"/>
      </w:pPr>
      <w:r>
        <w:rPr>
          <w:rStyle w:val="HideTWBExt"/>
          <w:b w:val="0"/>
        </w:rPr>
        <w:t>&lt;RepeatBlock-By&gt;&lt;Members&gt;</w:t>
      </w:r>
      <w:r>
        <w:t>Alessandro Ciriani, Paolo Inselvini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32.</w:t>
            </w:r>
            <w:r>
              <w:tab/>
              <w:t xml:space="preserve">uważa, że Komisja i państwa członkowskie powinny udoskonalić </w:t>
            </w:r>
            <w:r>
              <w:rPr>
                <w:b/>
                <w:i/>
              </w:rPr>
              <w:t>mechanizmy finansowania organizacji społeczeństwa obywatelskiego i inicjatyw wzmacniających</w:t>
            </w:r>
            <w:r>
              <w:t xml:space="preserve"> wymiar sprawiedliwości i </w:t>
            </w:r>
            <w:r>
              <w:rPr>
                <w:b/>
                <w:i/>
              </w:rPr>
              <w:t>podtrzymujących</w:t>
            </w:r>
            <w:r>
              <w:t xml:space="preserve"> niezależność sądów; zaleca, aby Komisja opracowała strategię ochrony społeczeństwa obywatelskiego i obrońców praw człowieka;</w:t>
            </w:r>
          </w:p>
        </w:tc>
        <w:tc>
          <w:tcPr>
            <w:tcW w:w="4876" w:type="dxa"/>
            <w:tcBorders>
              <w:top w:val="nil"/>
              <w:left w:val="nil"/>
              <w:bottom w:val="nil"/>
              <w:right w:val="nil"/>
            </w:tcBorders>
          </w:tcPr>
          <w:p w:rsidR="007A0039" w:rsidRPr="00EA7539" w:rsidRDefault="007A0039" w:rsidP="008F6778">
            <w:pPr>
              <w:pStyle w:val="Normal6a"/>
            </w:pPr>
            <w:r>
              <w:t>32.</w:t>
            </w:r>
            <w:r>
              <w:tab/>
              <w:t xml:space="preserve">uważa, że Komisja i państwa członkowskie powinny udoskonalić </w:t>
            </w:r>
            <w:r>
              <w:rPr>
                <w:b/>
                <w:i/>
              </w:rPr>
              <w:t>inicjatywy wzmacniające</w:t>
            </w:r>
            <w:r>
              <w:t xml:space="preserve"> wymiar sprawiedliwości i </w:t>
            </w:r>
            <w:r>
              <w:rPr>
                <w:b/>
                <w:i/>
              </w:rPr>
              <w:t>podtrzymujące</w:t>
            </w:r>
            <w:r>
              <w:t xml:space="preserve"> niezależność sądów; zaleca, aby Komisja opracowała strategię ochrony społeczeństwa obywatelskiego i obrońców praw człowieka;</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{IT}</w:t>
      </w:r>
      <w:r w:rsidRPr="00EA7539">
        <w:t>it</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700</w:t>
      </w:r>
      <w:r>
        <w:rPr>
          <w:rStyle w:val="HideTWBExt"/>
        </w:rPr>
        <w:t>&lt;/NumAm&gt;</w:t>
      </w:r>
    </w:p>
    <w:p w:rsidR="007A0039" w:rsidRPr="00EA7539" w:rsidRDefault="007A0039" w:rsidP="007A0039">
      <w:pPr>
        <w:pStyle w:val="NormalBold"/>
      </w:pPr>
      <w:r>
        <w:rPr>
          <w:rStyle w:val="HideTWBExt"/>
          <w:b w:val="0"/>
        </w:rPr>
        <w:t>&lt;RepeatBlock-By&gt;&lt;Members&gt;</w:t>
      </w:r>
      <w:r>
        <w:t>Romana Tomc</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32.</w:t>
            </w:r>
            <w:r>
              <w:tab/>
              <w:t xml:space="preserve">uważa, że Komisja i państwa członkowskie powinny udoskonalić </w:t>
            </w:r>
            <w:r>
              <w:rPr>
                <w:b/>
                <w:i/>
              </w:rPr>
              <w:t>mechanizmy</w:t>
            </w:r>
            <w:r>
              <w:t xml:space="preserve"> finansowania organizacji społeczeństwa obywatelskiego i inicjatyw wzmacniających wymiar sprawiedliwości i podtrzymujących niezależność sądów; </w:t>
            </w:r>
            <w:r>
              <w:rPr>
                <w:b/>
                <w:i/>
              </w:rPr>
              <w:t>zaleca, aby Komisja opracowała strategię ochrony społeczeństwa obywatelskiego i obrońców praw człowieka;</w:t>
            </w:r>
          </w:p>
        </w:tc>
        <w:tc>
          <w:tcPr>
            <w:tcW w:w="4876" w:type="dxa"/>
            <w:tcBorders>
              <w:top w:val="nil"/>
              <w:left w:val="nil"/>
              <w:bottom w:val="nil"/>
              <w:right w:val="nil"/>
            </w:tcBorders>
          </w:tcPr>
          <w:p w:rsidR="007A0039" w:rsidRPr="00EA7539" w:rsidRDefault="007A0039" w:rsidP="008F6778">
            <w:pPr>
              <w:pStyle w:val="Normal6a"/>
            </w:pPr>
            <w:r>
              <w:t>32.</w:t>
            </w:r>
            <w:r>
              <w:tab/>
              <w:t xml:space="preserve">uważa, że Komisja i państwa członkowskie powinny udoskonalić </w:t>
            </w:r>
            <w:r>
              <w:rPr>
                <w:b/>
                <w:i/>
              </w:rPr>
              <w:t>przejrzystość w mechanizmach</w:t>
            </w:r>
            <w:r>
              <w:t xml:space="preserve"> finansowania organizacji społeczeństwa obywatelskiego i inicjatyw wzmacniających wymiar sprawiedliwości i podtrzymujących niezależność sądów;</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701</w:t>
      </w:r>
      <w:r>
        <w:rPr>
          <w:rStyle w:val="HideTWBExt"/>
        </w:rPr>
        <w:t>&lt;/NumAm&gt;</w:t>
      </w:r>
    </w:p>
    <w:p w:rsidR="007A0039" w:rsidRPr="00EA7539" w:rsidRDefault="007A0039" w:rsidP="007A0039">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Moritz Körner, Isabel Serra Sánchez, Michał Wawrykiewicz, Cecilia Strada</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32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p>
        </w:tc>
        <w:tc>
          <w:tcPr>
            <w:tcW w:w="4876" w:type="dxa"/>
            <w:tcBorders>
              <w:top w:val="nil"/>
              <w:left w:val="nil"/>
              <w:bottom w:val="nil"/>
              <w:right w:val="nil"/>
            </w:tcBorders>
          </w:tcPr>
          <w:p w:rsidR="007A0039" w:rsidRPr="00EA7539" w:rsidRDefault="007A0039" w:rsidP="008F6778">
            <w:pPr>
              <w:pStyle w:val="Normal6a"/>
            </w:pPr>
            <w:r>
              <w:rPr>
                <w:b/>
                <w:i/>
              </w:rPr>
              <w:t>32a.</w:t>
            </w:r>
            <w:r>
              <w:tab/>
            </w:r>
            <w:r>
              <w:rPr>
                <w:b/>
                <w:i/>
              </w:rPr>
              <w:t>zachęca państwa członkowskie do opracowania i wdrożenia kompleksowych programów edukacji obywatelskiej, które pomogą obywatelom w każdym wieku lepiej zrozumieć, czym są instytucje demokratyczne, praworządność i prawa podstawowe;</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702</w:t>
      </w:r>
      <w:r>
        <w:rPr>
          <w:rStyle w:val="HideTWBExt"/>
        </w:rPr>
        <w:t>&lt;/NumAm&gt;</w:t>
      </w:r>
    </w:p>
    <w:p w:rsidR="007A0039" w:rsidRPr="00EA7539" w:rsidRDefault="007A0039" w:rsidP="007A0039">
      <w:pPr>
        <w:pStyle w:val="NormalBold"/>
      </w:pPr>
      <w:r>
        <w:rPr>
          <w:rStyle w:val="HideTWBExt"/>
          <w:b w:val="0"/>
        </w:rPr>
        <w:t>&lt;RepeatBlock-By&gt;&lt;Members&gt;</w:t>
      </w:r>
      <w:r>
        <w:t>Alessandro Ciriani, Paolo Inselvini</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33.</w:t>
            </w:r>
            <w:r>
              <w:tab/>
            </w:r>
            <w:r>
              <w:rPr>
                <w:b/>
                <w:i/>
              </w:rPr>
              <w:t>wzywa Komisję do uwzględnienia nowego filaru dotyczącego zwalczania wszelkich form dyskryminacji w rocznym sprawozdaniu na temat praworządności;</w:t>
            </w:r>
          </w:p>
        </w:tc>
        <w:tc>
          <w:tcPr>
            <w:tcW w:w="4876" w:type="dxa"/>
            <w:tcBorders>
              <w:top w:val="nil"/>
              <w:left w:val="nil"/>
              <w:bottom w:val="nil"/>
              <w:right w:val="nil"/>
            </w:tcBorders>
          </w:tcPr>
          <w:p w:rsidR="007A0039" w:rsidRPr="00EA7539" w:rsidRDefault="007A0039" w:rsidP="008F6778">
            <w:pPr>
              <w:pStyle w:val="Normal6a"/>
            </w:pPr>
            <w:r>
              <w:rPr>
                <w:b/>
                <w:i/>
              </w:rPr>
              <w:t>skreśla się</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{IT}</w:t>
      </w:r>
      <w:r w:rsidRPr="00EA7539">
        <w:t>it</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703</w:t>
      </w:r>
      <w:r>
        <w:rPr>
          <w:rStyle w:val="HideTWBExt"/>
        </w:rPr>
        <w:t>&lt;/NumAm&gt;</w:t>
      </w:r>
    </w:p>
    <w:p w:rsidR="007A0039" w:rsidRPr="00EA7539" w:rsidRDefault="007A0039" w:rsidP="007A0039">
      <w:pPr>
        <w:pStyle w:val="NormalBold"/>
      </w:pPr>
      <w:r>
        <w:rPr>
          <w:rStyle w:val="HideTWBExt"/>
          <w:b w:val="0"/>
        </w:rPr>
        <w:t>&lt;RepeatBlock-By&gt;&lt;Members&gt;</w:t>
      </w:r>
      <w:r>
        <w:t>Erik Kaliňák</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33.</w:t>
            </w:r>
            <w:r>
              <w:tab/>
            </w:r>
            <w:r>
              <w:rPr>
                <w:b/>
                <w:i/>
              </w:rPr>
              <w:t>wzywa Komisję do uwzględnienia nowego filaru dotyczącego zwalczania wszelkich form dyskryminacji w rocznym sprawozdaniu na temat praworządności;</w:t>
            </w:r>
          </w:p>
        </w:tc>
        <w:tc>
          <w:tcPr>
            <w:tcW w:w="4876" w:type="dxa"/>
            <w:tcBorders>
              <w:top w:val="nil"/>
              <w:left w:val="nil"/>
              <w:bottom w:val="nil"/>
              <w:right w:val="nil"/>
            </w:tcBorders>
          </w:tcPr>
          <w:p w:rsidR="007A0039" w:rsidRPr="00EA7539" w:rsidRDefault="007A0039" w:rsidP="008F6778">
            <w:pPr>
              <w:pStyle w:val="Normal6a"/>
            </w:pPr>
            <w:r>
              <w:rPr>
                <w:b/>
                <w:i/>
              </w:rPr>
              <w:t>skreśla się</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{SK}</w:t>
      </w:r>
      <w:r w:rsidRPr="00EA7539">
        <w:t>sk</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704</w:t>
      </w:r>
      <w:r>
        <w:rPr>
          <w:rStyle w:val="HideTWBExt"/>
        </w:rPr>
        <w:t>&lt;/NumAm&gt;</w:t>
      </w:r>
    </w:p>
    <w:p w:rsidR="007A0039" w:rsidRPr="00EA7539" w:rsidRDefault="007A0039" w:rsidP="007A0039">
      <w:pPr>
        <w:pStyle w:val="NormalBold"/>
      </w:pPr>
      <w:r>
        <w:rPr>
          <w:rStyle w:val="HideTWBExt"/>
          <w:b w:val="0"/>
        </w:rPr>
        <w:t>&lt;RepeatBlock-By&gt;&lt;Members&gt;</w:t>
      </w:r>
      <w:r>
        <w:t>Romana Tomc</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33.</w:t>
            </w:r>
            <w:r>
              <w:tab/>
            </w:r>
            <w:r>
              <w:rPr>
                <w:b/>
                <w:i/>
              </w:rPr>
              <w:t>wzywa Komisję do uwzględnienia nowego filaru dotyczącego zwalczania wszelkich form dyskryminacji w rocznym sprawozdaniu na temat praworządności;</w:t>
            </w:r>
          </w:p>
        </w:tc>
        <w:tc>
          <w:tcPr>
            <w:tcW w:w="4876" w:type="dxa"/>
            <w:tcBorders>
              <w:top w:val="nil"/>
              <w:left w:val="nil"/>
              <w:bottom w:val="nil"/>
              <w:right w:val="nil"/>
            </w:tcBorders>
          </w:tcPr>
          <w:p w:rsidR="007A0039" w:rsidRPr="00EA7539" w:rsidRDefault="007A0039" w:rsidP="008F6778">
            <w:pPr>
              <w:pStyle w:val="Normal6a"/>
            </w:pPr>
            <w:r>
              <w:rPr>
                <w:b/>
                <w:i/>
              </w:rPr>
              <w:t>skreśla się</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705</w:t>
      </w:r>
      <w:r>
        <w:rPr>
          <w:rStyle w:val="HideTWBExt"/>
        </w:rPr>
        <w:t>&lt;/NumAm&gt;</w:t>
      </w:r>
    </w:p>
    <w:p w:rsidR="007A0039" w:rsidRPr="00EA7539" w:rsidRDefault="007A0039" w:rsidP="007A0039">
      <w:pPr>
        <w:pStyle w:val="NormalBold"/>
      </w:pPr>
      <w:r>
        <w:rPr>
          <w:rStyle w:val="HideTWBExt"/>
          <w:b w:val="0"/>
        </w:rPr>
        <w:t>&lt;RepeatBlock-By&gt;&lt;Members&gt;</w:t>
      </w:r>
      <w:r>
        <w:t>András László</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rPr>
                <w:b/>
                <w:i/>
              </w:rPr>
              <w:t>33.</w:t>
            </w:r>
            <w:r>
              <w:tab/>
            </w:r>
            <w:r>
              <w:rPr>
                <w:b/>
                <w:i/>
              </w:rPr>
              <w:t>wzywa Komisję do uwzględnienia nowego filaru dotyczącego zwalczania wszelkich form dyskryminacji w rocznym sprawozdaniu na temat praworządności;</w:t>
            </w:r>
          </w:p>
        </w:tc>
        <w:tc>
          <w:tcPr>
            <w:tcW w:w="4876" w:type="dxa"/>
            <w:tcBorders>
              <w:top w:val="nil"/>
              <w:left w:val="nil"/>
              <w:bottom w:val="nil"/>
              <w:right w:val="nil"/>
            </w:tcBorders>
          </w:tcPr>
          <w:p w:rsidR="007A0039" w:rsidRPr="00EA7539" w:rsidRDefault="007A0039" w:rsidP="008F6778">
            <w:pPr>
              <w:pStyle w:val="Normal6a"/>
            </w:pPr>
            <w:r>
              <w:rPr>
                <w:b/>
                <w:i/>
              </w:rPr>
              <w:t>skreśla się</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706</w:t>
      </w:r>
      <w:r>
        <w:rPr>
          <w:rStyle w:val="HideTWBExt"/>
        </w:rPr>
        <w:t>&lt;/NumAm&gt;</w:t>
      </w:r>
    </w:p>
    <w:p w:rsidR="007A0039" w:rsidRPr="00EA7539" w:rsidRDefault="007A0039" w:rsidP="007A0039">
      <w:pPr>
        <w:pStyle w:val="NormalBold"/>
      </w:pPr>
      <w:r>
        <w:rPr>
          <w:rStyle w:val="HideTWBExt"/>
          <w:b w:val="0"/>
        </w:rPr>
        <w:t>&lt;RepeatBlock-By&gt;&lt;Members&gt;</w:t>
      </w:r>
      <w:r>
        <w:t>Krzysztof Śmiszek, Matjaž Nemec, Robert Biedroń, Katarina Barley, Cecilia Strada, Klára Dobrev, Csaba Molnár, Emma Rafowicz, Alessandro Zan, Birgit Sippel</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33.</w:t>
            </w:r>
            <w:r>
              <w:tab/>
              <w:t>wzywa Komisję do uwzględnienia nowego filaru dotyczącego zwalczania wszelkich form dyskryminacji w rocznym sprawozdaniu na temat praworządności;</w:t>
            </w:r>
          </w:p>
        </w:tc>
        <w:tc>
          <w:tcPr>
            <w:tcW w:w="4876" w:type="dxa"/>
            <w:tcBorders>
              <w:top w:val="nil"/>
              <w:left w:val="nil"/>
              <w:bottom w:val="nil"/>
              <w:right w:val="nil"/>
            </w:tcBorders>
          </w:tcPr>
          <w:p w:rsidR="007A0039" w:rsidRPr="00EA7539" w:rsidRDefault="007A0039" w:rsidP="008F6778">
            <w:pPr>
              <w:pStyle w:val="Normal6a"/>
            </w:pPr>
            <w:r>
              <w:t>33.</w:t>
            </w:r>
            <w:r>
              <w:tab/>
              <w:t xml:space="preserve">wzywa Komisję do uwzględnienia nowego filaru dotyczącego zwalczania wszelkich form dyskryminacji w rocznym sprawozdaniu na temat praworządności; </w:t>
            </w:r>
            <w:r>
              <w:rPr>
                <w:b/>
                <w:i/>
              </w:rPr>
              <w:t>wzywa państwa członkowskie do wzmocnienia niezależności i zasobów krajowych instytucji praw człowieka i organów ds. równości oraz zapewnienia ich zdolności do skutecznego monitorowania naruszeń praw człowieka i dyskryminacji oraz przeciwdziałania tym naruszeniom;</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Pr="00EA7539" w:rsidRDefault="007A0039" w:rsidP="007A0039">
      <w:r>
        <w:rPr>
          <w:rStyle w:val="HideTWBExt"/>
        </w:rPr>
        <w:t>&lt;/Amend&gt;</w:t>
      </w:r>
    </w:p>
    <w:p w:rsidR="007A0039" w:rsidRPr="00EA7539" w:rsidRDefault="007A0039" w:rsidP="007A0039">
      <w:pPr>
        <w:pStyle w:val="AmNumberTabs"/>
      </w:pPr>
      <w:r>
        <w:rPr>
          <w:rStyle w:val="HideTWBExt"/>
        </w:rPr>
        <w:t>&lt;Amend&gt;</w:t>
      </w:r>
      <w:r>
        <w:t>Poprawka</w:t>
      </w:r>
      <w:r>
        <w:tab/>
      </w:r>
      <w:r>
        <w:tab/>
      </w:r>
      <w:r>
        <w:rPr>
          <w:rStyle w:val="HideTWBExt"/>
        </w:rPr>
        <w:t>&lt;NumAm&gt;</w:t>
      </w:r>
      <w:r>
        <w:t>707</w:t>
      </w:r>
      <w:r>
        <w:rPr>
          <w:rStyle w:val="HideTWBExt"/>
        </w:rPr>
        <w:t>&lt;/NumAm&gt;</w:t>
      </w:r>
    </w:p>
    <w:p w:rsidR="007A0039" w:rsidRPr="00EA7539" w:rsidRDefault="007A0039" w:rsidP="007A0039">
      <w:pPr>
        <w:pStyle w:val="NormalBold"/>
      </w:pPr>
      <w:r>
        <w:rPr>
          <w:rStyle w:val="HideTWBExt"/>
          <w:b w:val="0"/>
        </w:rPr>
        <w:t>&lt;RepeatBlock-By&gt;&lt;Members&gt;</w:t>
      </w:r>
      <w:r>
        <w:t>Daniel Freund</w:t>
      </w:r>
      <w:r>
        <w:rPr>
          <w:rStyle w:val="HideTWBExt"/>
          <w:b w:val="0"/>
        </w:rPr>
        <w:t>&lt;/Members&gt;</w:t>
      </w:r>
    </w:p>
    <w:p w:rsidR="007A0039" w:rsidRPr="00EA7539" w:rsidRDefault="007A0039" w:rsidP="007A0039">
      <w:pPr>
        <w:pStyle w:val="NormalBold"/>
      </w:pPr>
      <w:r>
        <w:rPr>
          <w:rStyle w:val="HideTWBExt"/>
          <w:b w:val="0"/>
        </w:rPr>
        <w:t>&lt;/RepeatBlock-By&gt;</w:t>
      </w:r>
    </w:p>
    <w:p w:rsidR="007A0039" w:rsidRPr="00EA7539" w:rsidRDefault="007A0039" w:rsidP="007A0039">
      <w:pPr>
        <w:pStyle w:val="NormalBold"/>
      </w:pPr>
      <w:r>
        <w:rPr>
          <w:rStyle w:val="HideTWBExt"/>
        </w:rPr>
        <w:t>&lt;DocAmend&gt;</w:t>
      </w:r>
      <w:r>
        <w:t>Projekt rezolucji</w:t>
      </w:r>
      <w:r>
        <w:rPr>
          <w:rStyle w:val="HideTWBExt"/>
        </w:rPr>
        <w:t>&lt;/DocAmend&gt;</w:t>
      </w:r>
    </w:p>
    <w:p w:rsidR="007A0039" w:rsidRPr="00EA7539" w:rsidRDefault="007A0039" w:rsidP="007A0039">
      <w:pPr>
        <w:pStyle w:val="NormalBold"/>
      </w:pPr>
      <w:r>
        <w:rPr>
          <w:rStyle w:val="HideTWBExt"/>
        </w:rPr>
        <w:t>&lt;Article&gt;</w:t>
      </w:r>
      <w:r>
        <w:t>Ustęp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0039" w:rsidTr="008F6778">
        <w:trPr>
          <w:trHeight w:hRule="exact" w:val="240"/>
          <w:jc w:val="center"/>
        </w:trPr>
        <w:tc>
          <w:tcPr>
            <w:tcW w:w="9752" w:type="dxa"/>
            <w:gridSpan w:val="2"/>
            <w:tcBorders>
              <w:top w:val="nil"/>
              <w:left w:val="nil"/>
              <w:bottom w:val="nil"/>
              <w:right w:val="nil"/>
            </w:tcBorders>
          </w:tcPr>
          <w:p w:rsidR="007A0039" w:rsidRPr="00EA7539" w:rsidRDefault="007A0039" w:rsidP="008F6778"/>
        </w:tc>
      </w:tr>
      <w:tr w:rsidR="007A0039" w:rsidTr="008F6778">
        <w:trPr>
          <w:trHeight w:val="240"/>
          <w:jc w:val="center"/>
        </w:trPr>
        <w:tc>
          <w:tcPr>
            <w:tcW w:w="4876" w:type="dxa"/>
            <w:tcBorders>
              <w:top w:val="nil"/>
              <w:left w:val="nil"/>
              <w:bottom w:val="nil"/>
              <w:right w:val="nil"/>
            </w:tcBorders>
          </w:tcPr>
          <w:p w:rsidR="007A0039" w:rsidRPr="00EA7539" w:rsidRDefault="007A0039" w:rsidP="008F6778">
            <w:pPr>
              <w:pStyle w:val="AmColumnHeading"/>
            </w:pPr>
            <w:r>
              <w:t>Projekt rezolucji</w:t>
            </w:r>
          </w:p>
        </w:tc>
        <w:tc>
          <w:tcPr>
            <w:tcW w:w="4876" w:type="dxa"/>
            <w:tcBorders>
              <w:top w:val="nil"/>
              <w:left w:val="nil"/>
              <w:bottom w:val="nil"/>
              <w:right w:val="nil"/>
            </w:tcBorders>
          </w:tcPr>
          <w:p w:rsidR="007A0039" w:rsidRPr="00EA7539" w:rsidRDefault="007A0039" w:rsidP="008F6778">
            <w:pPr>
              <w:pStyle w:val="AmColumnHeading"/>
            </w:pPr>
            <w:r>
              <w:t>Poprawka</w:t>
            </w:r>
          </w:p>
        </w:tc>
      </w:tr>
      <w:tr w:rsidR="007A0039" w:rsidTr="008F6778">
        <w:trPr>
          <w:jc w:val="center"/>
        </w:trPr>
        <w:tc>
          <w:tcPr>
            <w:tcW w:w="4876" w:type="dxa"/>
            <w:tcBorders>
              <w:top w:val="nil"/>
              <w:left w:val="nil"/>
              <w:bottom w:val="nil"/>
              <w:right w:val="nil"/>
            </w:tcBorders>
          </w:tcPr>
          <w:p w:rsidR="007A0039" w:rsidRPr="00EA7539" w:rsidRDefault="007A0039" w:rsidP="008F6778">
            <w:pPr>
              <w:pStyle w:val="Normal6a"/>
            </w:pPr>
            <w:r>
              <w:t>33.</w:t>
            </w:r>
            <w:r>
              <w:tab/>
              <w:t>wzywa Komisję</w:t>
            </w:r>
            <w:r>
              <w:rPr>
                <w:b/>
                <w:i/>
              </w:rPr>
              <w:t xml:space="preserve"> do uwzględnienia nowego filaru dotyczącego</w:t>
            </w:r>
            <w:r>
              <w:t xml:space="preserve"> zwalczania wszelkich form dyskryminacji w rocznym sprawozdaniu na temat praworządności;</w:t>
            </w:r>
          </w:p>
        </w:tc>
        <w:tc>
          <w:tcPr>
            <w:tcW w:w="4876" w:type="dxa"/>
            <w:tcBorders>
              <w:top w:val="nil"/>
              <w:left w:val="nil"/>
              <w:bottom w:val="nil"/>
              <w:right w:val="nil"/>
            </w:tcBorders>
          </w:tcPr>
          <w:p w:rsidR="007A0039" w:rsidRPr="00EA7539" w:rsidRDefault="007A0039" w:rsidP="008F6778">
            <w:pPr>
              <w:pStyle w:val="Normal6a"/>
            </w:pPr>
            <w:r>
              <w:t>33.</w:t>
            </w:r>
            <w:r>
              <w:tab/>
              <w:t>wzywa Komisję</w:t>
            </w:r>
            <w:r>
              <w:rPr>
                <w:b/>
                <w:i/>
              </w:rPr>
              <w:t>, aby w rocznym sprawozdaniu na temat praworządności uwzględniła nowe filary dotyczące</w:t>
            </w:r>
            <w:r>
              <w:t xml:space="preserve"> zwalczania wszelkich form dyskryminacji</w:t>
            </w:r>
            <w:r>
              <w:rPr>
                <w:b/>
                <w:i/>
              </w:rPr>
              <w:t>, mowy nienawiści i przestępstw wymierzonych w grupy mniejszościowe oraz członków mniejszości narodowych, etnicznych, językowych i religijnych, a także warunków funkcjonowania społeczeństwa obywatelskiego w państwach członkowskich</w:t>
            </w:r>
            <w:r>
              <w:t>;</w:t>
            </w:r>
          </w:p>
        </w:tc>
      </w:tr>
    </w:tbl>
    <w:p w:rsidR="007A0039" w:rsidRPr="00EA7539" w:rsidRDefault="007A0039" w:rsidP="007A0039">
      <w:pPr>
        <w:pStyle w:val="AmOrLang"/>
      </w:pPr>
      <w:r w:rsidRPr="00EA7539">
        <w:t xml:space="preserve">Or. </w:t>
      </w:r>
      <w:r w:rsidRPr="00EA7539">
        <w:rPr>
          <w:rStyle w:val="HideTWBExt"/>
        </w:rPr>
        <w:t>&lt;Original&gt;</w:t>
      </w:r>
      <w:r w:rsidRPr="00EA7539">
        <w:rPr>
          <w:rStyle w:val="HideTWBInt"/>
        </w:rPr>
        <w:t>{EN}</w:t>
      </w:r>
      <w:r w:rsidRPr="00EA7539">
        <w:t>en</w:t>
      </w:r>
      <w:r w:rsidRPr="00EA7539">
        <w:rPr>
          <w:rStyle w:val="HideTWBExt"/>
        </w:rPr>
        <w:t>&lt;/Original&gt;</w:t>
      </w:r>
    </w:p>
    <w:p w:rsidR="007A0039" w:rsidRDefault="007A0039" w:rsidP="007A0039">
      <w:r>
        <w:rPr>
          <w:rStyle w:val="HideTWBExt"/>
        </w:rPr>
        <w:t>&lt;/Amend&gt;</w:t>
      </w:r>
      <w:r w:rsidRPr="007A0039">
        <w:rPr>
          <w:rStyle w:val="HideTWBExt"/>
        </w:rPr>
        <w:t>&lt;/RepeatBlock-Amend&gt;</w:t>
      </w:r>
    </w:p>
    <w:p w:rsidR="000B212D" w:rsidRPr="00EA7539" w:rsidRDefault="000B212D" w:rsidP="007A0039"/>
    <w:sectPr w:rsidR="000B212D" w:rsidRPr="00EA7539" w:rsidSect="00EA753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2538" w:rsidRPr="00EA7539" w:rsidRDefault="00F27B4D">
      <w:r w:rsidRPr="00EA7539">
        <w:separator/>
      </w:r>
    </w:p>
  </w:endnote>
  <w:endnote w:type="continuationSeparator" w:id="0">
    <w:p w:rsidR="00D22538" w:rsidRPr="00EA7539" w:rsidRDefault="00F27B4D">
      <w:r w:rsidRPr="00EA75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539" w:rsidRPr="00EA7539" w:rsidRDefault="00EA7539" w:rsidP="00EA7539">
    <w:pPr>
      <w:pStyle w:val="EPFooter"/>
    </w:pPr>
    <w:r w:rsidRPr="00EA7539">
      <w:t>PE</w:t>
    </w:r>
    <w:r w:rsidRPr="00EA7539">
      <w:rPr>
        <w:rStyle w:val="HideTWBExt"/>
      </w:rPr>
      <w:t>&lt;NoPE&gt;</w:t>
    </w:r>
    <w:r w:rsidRPr="00EA7539">
      <w:t>769.958</w:t>
    </w:r>
    <w:r w:rsidRPr="00EA7539">
      <w:rPr>
        <w:rStyle w:val="HideTWBExt"/>
      </w:rPr>
      <w:t>&lt;/NoPE&gt;&lt;Version&gt;</w:t>
    </w:r>
    <w:r w:rsidRPr="00EA7539">
      <w:t>v01-00</w:t>
    </w:r>
    <w:r w:rsidRPr="00EA7539">
      <w:rPr>
        <w:rStyle w:val="HideTWBExt"/>
      </w:rPr>
      <w:t>&lt;/Version&gt;</w:t>
    </w:r>
    <w:r w:rsidRPr="00EA7539">
      <w:tab/>
    </w:r>
    <w:r w:rsidRPr="00EA7539">
      <w:fldChar w:fldCharType="begin"/>
    </w:r>
    <w:r w:rsidRPr="00EA7539">
      <w:instrText xml:space="preserve"> PAGE  \* MERGEFORMAT </w:instrText>
    </w:r>
    <w:r w:rsidRPr="00EA7539">
      <w:fldChar w:fldCharType="separate"/>
    </w:r>
    <w:r w:rsidR="000C292F">
      <w:rPr>
        <w:noProof/>
      </w:rPr>
      <w:t>4</w:t>
    </w:r>
    <w:r w:rsidRPr="00EA7539">
      <w:fldChar w:fldCharType="end"/>
    </w:r>
    <w:r w:rsidRPr="00EA7539">
      <w:t>/</w:t>
    </w:r>
    <w:r w:rsidR="000C292F">
      <w:fldChar w:fldCharType="begin"/>
    </w:r>
    <w:r w:rsidR="000C292F">
      <w:instrText xml:space="preserve"> NUMPAGES  \* MERGEFORMAT </w:instrText>
    </w:r>
    <w:r w:rsidR="000C292F">
      <w:fldChar w:fldCharType="separate"/>
    </w:r>
    <w:r w:rsidR="000C292F">
      <w:rPr>
        <w:noProof/>
      </w:rPr>
      <w:t>199</w:t>
    </w:r>
    <w:r w:rsidR="000C292F">
      <w:rPr>
        <w:noProof/>
      </w:rPr>
      <w:fldChar w:fldCharType="end"/>
    </w:r>
    <w:r w:rsidRPr="00EA7539">
      <w:tab/>
    </w:r>
    <w:r w:rsidRPr="00EA7539">
      <w:rPr>
        <w:rStyle w:val="HideTWBExt"/>
      </w:rPr>
      <w:t>&lt;PathFdR&gt;</w:t>
    </w:r>
    <w:r w:rsidRPr="00EA7539">
      <w:t>AM\1315575PL.docx</w:t>
    </w:r>
    <w:r w:rsidRPr="00EA7539">
      <w:rPr>
        <w:rStyle w:val="HideTWBExt"/>
      </w:rPr>
      <w:t>&lt;/PathFdR&gt;</w:t>
    </w:r>
  </w:p>
  <w:p w:rsidR="000B212D" w:rsidRPr="00EA7539" w:rsidRDefault="00EA7539" w:rsidP="00EA7539">
    <w:pPr>
      <w:pStyle w:val="EPFooter2"/>
    </w:pPr>
    <w:r w:rsidRPr="00EA7539">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539" w:rsidRPr="00EA7539" w:rsidRDefault="00EA7539" w:rsidP="00EA7539">
    <w:pPr>
      <w:pStyle w:val="EPFooter"/>
    </w:pPr>
    <w:r w:rsidRPr="00EA7539">
      <w:rPr>
        <w:rStyle w:val="HideTWBExt"/>
      </w:rPr>
      <w:t>&lt;PathFdR&gt;</w:t>
    </w:r>
    <w:r w:rsidRPr="00EA7539">
      <w:t>AM\1315575PL.docx</w:t>
    </w:r>
    <w:r w:rsidRPr="00EA7539">
      <w:rPr>
        <w:rStyle w:val="HideTWBExt"/>
      </w:rPr>
      <w:t>&lt;/PathFdR&gt;</w:t>
    </w:r>
    <w:r w:rsidRPr="00EA7539">
      <w:tab/>
    </w:r>
    <w:r w:rsidRPr="00EA7539">
      <w:fldChar w:fldCharType="begin"/>
    </w:r>
    <w:r w:rsidRPr="00EA7539">
      <w:instrText xml:space="preserve"> PAGE  \* MERGEFORMAT </w:instrText>
    </w:r>
    <w:r w:rsidRPr="00EA7539">
      <w:fldChar w:fldCharType="separate"/>
    </w:r>
    <w:r w:rsidR="000C292F">
      <w:rPr>
        <w:noProof/>
      </w:rPr>
      <w:t>3</w:t>
    </w:r>
    <w:r w:rsidRPr="00EA7539">
      <w:fldChar w:fldCharType="end"/>
    </w:r>
    <w:r w:rsidRPr="00EA7539">
      <w:t>/</w:t>
    </w:r>
    <w:r w:rsidR="000C292F">
      <w:fldChar w:fldCharType="begin"/>
    </w:r>
    <w:r w:rsidR="000C292F">
      <w:instrText xml:space="preserve"> NUMPAGES  \* MERGEFORMAT </w:instrText>
    </w:r>
    <w:r w:rsidR="000C292F">
      <w:fldChar w:fldCharType="separate"/>
    </w:r>
    <w:r w:rsidR="000C292F">
      <w:rPr>
        <w:noProof/>
      </w:rPr>
      <w:t>199</w:t>
    </w:r>
    <w:r w:rsidR="000C292F">
      <w:rPr>
        <w:noProof/>
      </w:rPr>
      <w:fldChar w:fldCharType="end"/>
    </w:r>
    <w:r w:rsidRPr="00EA7539">
      <w:tab/>
      <w:t>PE</w:t>
    </w:r>
    <w:r w:rsidRPr="00EA7539">
      <w:rPr>
        <w:rStyle w:val="HideTWBExt"/>
      </w:rPr>
      <w:t>&lt;NoPE&gt;</w:t>
    </w:r>
    <w:r w:rsidRPr="00EA7539">
      <w:t>769.958</w:t>
    </w:r>
    <w:r w:rsidRPr="00EA7539">
      <w:rPr>
        <w:rStyle w:val="HideTWBExt"/>
      </w:rPr>
      <w:t>&lt;/NoPE&gt;&lt;Version&gt;</w:t>
    </w:r>
    <w:r w:rsidRPr="00EA7539">
      <w:t>v01-00</w:t>
    </w:r>
    <w:r w:rsidRPr="00EA7539">
      <w:rPr>
        <w:rStyle w:val="HideTWBExt"/>
      </w:rPr>
      <w:t>&lt;/Version&gt;</w:t>
    </w:r>
  </w:p>
  <w:p w:rsidR="000B212D" w:rsidRPr="00EA7539" w:rsidRDefault="00EA7539" w:rsidP="00EA7539">
    <w:pPr>
      <w:pStyle w:val="EPFooter2"/>
    </w:pPr>
    <w:r w:rsidRPr="00EA7539">
      <w:tab/>
    </w:r>
    <w:r w:rsidRPr="00EA7539">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539" w:rsidRPr="00EA7539" w:rsidRDefault="00EA7539" w:rsidP="00EA7539">
    <w:pPr>
      <w:pStyle w:val="EPFooter"/>
    </w:pPr>
    <w:r w:rsidRPr="00EA7539">
      <w:rPr>
        <w:rStyle w:val="HideTWBExt"/>
      </w:rPr>
      <w:t>&lt;PathFdR&gt;</w:t>
    </w:r>
    <w:r w:rsidRPr="00EA7539">
      <w:t>AM\1315575PL.docx</w:t>
    </w:r>
    <w:r w:rsidRPr="00EA7539">
      <w:rPr>
        <w:rStyle w:val="HideTWBExt"/>
      </w:rPr>
      <w:t>&lt;/PathFdR&gt;</w:t>
    </w:r>
    <w:r w:rsidRPr="00EA7539">
      <w:tab/>
    </w:r>
    <w:r w:rsidRPr="00EA7539">
      <w:tab/>
      <w:t>PE</w:t>
    </w:r>
    <w:r w:rsidRPr="00EA7539">
      <w:rPr>
        <w:rStyle w:val="HideTWBExt"/>
      </w:rPr>
      <w:t>&lt;NoPE&gt;</w:t>
    </w:r>
    <w:r w:rsidRPr="00EA7539">
      <w:t>769.958</w:t>
    </w:r>
    <w:r w:rsidRPr="00EA7539">
      <w:rPr>
        <w:rStyle w:val="HideTWBExt"/>
      </w:rPr>
      <w:t>&lt;/NoPE&gt;&lt;Version&gt;</w:t>
    </w:r>
    <w:r w:rsidRPr="00EA7539">
      <w:t>v01-00</w:t>
    </w:r>
    <w:r w:rsidRPr="00EA7539">
      <w:rPr>
        <w:rStyle w:val="HideTWBExt"/>
      </w:rPr>
      <w:t>&lt;/Version&gt;</w:t>
    </w:r>
  </w:p>
  <w:p w:rsidR="000B212D" w:rsidRPr="00EA7539" w:rsidRDefault="00EA7539" w:rsidP="00EA7539">
    <w:pPr>
      <w:pStyle w:val="EPFooter2"/>
    </w:pPr>
    <w:r w:rsidRPr="00EA7539">
      <w:t>PL</w:t>
    </w:r>
    <w:r w:rsidRPr="00EA7539">
      <w:tab/>
    </w:r>
    <w:r w:rsidRPr="00EA7539">
      <w:rPr>
        <w:b w:val="0"/>
        <w:i/>
        <w:color w:val="C0C0C0"/>
        <w:sz w:val="22"/>
      </w:rPr>
      <w:t>Zjednoczona w różnorodności</w:t>
    </w:r>
    <w:r w:rsidRPr="00EA7539">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2538" w:rsidRPr="00EA7539" w:rsidRDefault="00F27B4D">
      <w:r w:rsidRPr="00EA7539">
        <w:separator/>
      </w:r>
    </w:p>
  </w:footnote>
  <w:footnote w:type="continuationSeparator" w:id="0">
    <w:p w:rsidR="00D22538" w:rsidRPr="00EA7539" w:rsidRDefault="00F27B4D">
      <w:r w:rsidRPr="00EA753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0039" w:rsidRDefault="007A00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0039" w:rsidRDefault="007A00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0039" w:rsidRDefault="007A00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TXTLANGUE" w:val="PL"/>
    <w:docVar w:name="TXTLANGUEMIN" w:val="pl"/>
    <w:docVar w:name="TXTNRPE" w:val="769.958"/>
    <w:docVar w:name="TXTPEorAP" w:val="PE"/>
    <w:docVar w:name="TXTROUTE" w:val="AM\1315575PL.docx"/>
    <w:docVar w:name="TXTVERSION" w:val="01-00"/>
  </w:docVars>
  <w:rsids>
    <w:rsidRoot w:val="00A77B3E"/>
    <w:rsid w:val="000B212D"/>
    <w:rsid w:val="000C292F"/>
    <w:rsid w:val="00525DAD"/>
    <w:rsid w:val="007A0039"/>
    <w:rsid w:val="00A77B3E"/>
    <w:rsid w:val="00CA2A55"/>
    <w:rsid w:val="00D22538"/>
    <w:rsid w:val="00EA7539"/>
    <w:rsid w:val="00F27B4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26089FF"/>
  <w15:docId w15:val="{B339B385-C97F-4A78-9F3D-7E99E8BAA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EA7539"/>
    <w:pPr>
      <w:tabs>
        <w:tab w:val="center" w:pos="4513"/>
        <w:tab w:val="right" w:pos="9026"/>
      </w:tabs>
    </w:pPr>
  </w:style>
  <w:style w:type="character" w:customStyle="1" w:styleId="HeaderChar">
    <w:name w:val="Header Char"/>
    <w:basedOn w:val="DefaultParagraphFont"/>
    <w:link w:val="Header"/>
    <w:rsid w:val="00EA7539"/>
    <w:rPr>
      <w:sz w:val="24"/>
      <w:szCs w:val="24"/>
    </w:rPr>
  </w:style>
  <w:style w:type="paragraph" w:styleId="Footer">
    <w:name w:val="footer"/>
    <w:basedOn w:val="Normal"/>
    <w:link w:val="FooterChar"/>
    <w:semiHidden/>
    <w:unhideWhenUsed/>
    <w:rsid w:val="000C292F"/>
    <w:pPr>
      <w:tabs>
        <w:tab w:val="center" w:pos="4513"/>
        <w:tab w:val="right" w:pos="9026"/>
      </w:tabs>
    </w:pPr>
  </w:style>
  <w:style w:type="character" w:customStyle="1" w:styleId="FooterChar">
    <w:name w:val="Footer Char"/>
    <w:basedOn w:val="DefaultParagraphFont"/>
    <w:link w:val="Footer"/>
    <w:semiHidden/>
    <w:rsid w:val="000C292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199</Pages>
  <Words>36461</Words>
  <Characters>249903</Characters>
  <Application>Microsoft Office Word</Application>
  <DocSecurity>0</DocSecurity>
  <Lines>10670</Lines>
  <Paragraphs>3148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2025-03-20T20:18:00Z</dcterms:created>
  <dcterms:modified xsi:type="dcterms:W3CDTF">2025-03-20T20:18:00Z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1315575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130212</vt:lpwstr>
  </property>
  <property fmtid="{D5CDD505-2E9C-101B-9397-08002B2CF9AE}" pid="7" name="dmxml.render.traceId">
    <vt:lpwstr>67b59b6975409a393da8bdc1bd5554ff</vt:lpwstr>
  </property>
  <property fmtid="{D5CDD505-2E9C-101B-9397-08002B2CF9AE}" pid="8" name="FooterPath">
    <vt:lpwstr>AM\1315575PL.docx</vt:lpwstr>
  </property>
  <property fmtid="{D5CDD505-2E9C-101B-9397-08002B2CF9AE}" pid="9" name="PE Number">
    <vt:lpwstr>769.958</vt:lpwstr>
  </property>
  <property fmtid="{D5CDD505-2E9C-101B-9397-08002B2CF9AE}" pid="10" name="SDLStudio">
    <vt:lpwstr/>
  </property>
  <property fmtid="{D5CDD505-2E9C-101B-9397-08002B2CF9AE}" pid="11" name="UID">
    <vt:lpwstr>eu.europa.europarl-DIN1-2025-0000027563_02.00-xm-01.00_text-xml</vt:lpwstr>
  </property>
  <property fmtid="{D5CDD505-2E9C-101B-9397-08002B2CF9AE}" pid="12" name="LastEdited with">
    <vt:lpwstr>10.0.1 Build [20250114]</vt:lpwstr>
  </property>
  <property fmtid="{D5CDD505-2E9C-101B-9397-08002B2CF9AE}" pid="13" name="Bookout">
    <vt:lpwstr>OK - 2025/03/20 21:17</vt:lpwstr>
  </property>
</Properties>
</file>