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Комисия по граждански свободи, правосъдие и вътрешни работи</w:t>
      </w:r>
      <w:r>
        <w:rPr>
          <w:rStyle w:val="HideTWBExt"/>
        </w:rPr>
        <w:t>&lt;/Commission&gt;</w:t>
      </w:r>
    </w:p>
    <w:p>
      <w:pPr>
        <w:pStyle w:val="LineBottom"/>
      </w:pPr>
      <w:r>
        <w:t xml:space="preserve"> </w:t>
      </w:r>
    </w:p>
    <w:p>
      <w:pPr>
        <w:pStyle w:val="CoverReference"/>
      </w:pPr>
      <w:r>
        <w:rPr>
          <w:rStyle w:val="HideTWBExt"/>
        </w:rPr>
        <w:t>&lt;RefProc&gt;</w:t>
      </w:r>
      <w:r>
        <w:t>2024/2078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{19/02/2025}</w:t>
      </w:r>
      <w:r>
        <w:t>19.2.2025</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708</w:t>
      </w:r>
      <w:r>
        <w:t xml:space="preserve"> - </w:t>
      </w:r>
      <w:r>
        <w:t>796</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Ана Катарина Мендеш</w:t>
      </w:r>
      <w:r>
        <w:rPr>
          <w:rStyle w:val="HideTWBExt"/>
        </w:rPr>
        <w:t>&lt;/Rapporteur&gt;</w:t>
      </w:r>
    </w:p>
    <w:p>
      <w:pPr>
        <w:pStyle w:val="CoverNormal24a"/>
      </w:pPr>
      <w:r>
        <w:rPr>
          <w:rStyle w:val="HideTWBExt"/>
        </w:rPr>
        <w:t>&lt;DocRefPE&gt;</w:t>
      </w:r>
      <w:r>
        <w:t>(PE767.867v01-00)</w:t>
      </w:r>
      <w:r>
        <w:rPr>
          <w:rStyle w:val="HideTWBExt"/>
        </w:rPr>
        <w:t>&lt;/DocRefPE&gt;</w:t>
      </w:r>
    </w:p>
    <w:p>
      <w:pPr>
        <w:pStyle w:val="CoverNormal"/>
      </w:pPr>
      <w:r>
        <w:rPr>
          <w:rStyle w:val="HideTWBExt"/>
        </w:rPr>
        <w:t>&lt;Titre&gt;</w:t>
      </w:r>
      <w:r>
        <w:t>Доклад на Комисията относно върховенството на закона за 2024 г.</w:t>
      </w:r>
      <w:r>
        <w:rPr>
          <w:rStyle w:val="HideTWBExt"/>
        </w:rPr>
        <w:t>&lt;/Titre&gt;</w:t>
      </w:r>
    </w:p>
    <w:p>
      <w:pPr>
        <w:pStyle w:val="CoverNormal24a"/>
      </w:pPr>
      <w:r>
        <w:rPr>
          <w:rStyle w:val="HideTWBExt"/>
        </w:rPr>
        <w:t>&lt;DocRef&gt;</w:t>
      </w:r>
      <w:r>
        <w:t>(2024/2078(INI))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Лорант Винце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настоятелно призовава Комисията да добави към годишния доклад относно върховенството на закона нов стълб, съсредоточен върху засилването на борбата срещу всички форми на дискриминация;</w:t>
            </w:r>
          </w:p>
        </w:tc>
        <w:tc>
          <w:tcPr>
            <w:tcW w:w="4876" w:type="dxa"/>
            <w:tcBorders>
              <w:top w:val="nil"/>
              <w:left w:val="nil"/>
              <w:bottom w:val="nil"/>
              <w:right w:val="nil"/>
            </w:tcBorders>
          </w:tcPr>
          <w:p>
            <w:pPr>
              <w:pStyle w:val="Normal6a"/>
            </w:pPr>
            <w:r>
              <w:t>33.</w:t>
            </w:r>
            <w:r>
              <w:tab/>
            </w:r>
            <w:r>
              <w:t>настоятелно призовава Комисията да добави към годишния доклад относно върховенството на закона нов стълб, съсредоточен върху засилването на борбата срещу всички форми на дискриминация</w:t>
            </w:r>
            <w:r>
              <w:rPr>
                <w:b/>
                <w:i/>
              </w:rPr>
              <w:t>, както е заложено в член 21 от Хартата на основните права на Европейския съюз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Мариуш Камински, Йоахим Станислав Бруджински, Ядвига Вишневска, Мачей Воншик, Яцек Оздоба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настоятелно призовава Комисията да </w:t>
            </w:r>
            <w:r>
              <w:rPr>
                <w:b/>
                <w:i/>
              </w:rPr>
              <w:t>добави</w:t>
            </w:r>
            <w:r>
              <w:t xml:space="preserve"> към годишния доклад относно върховенството на закона нов стълб, съсредоточен върху засилването на борбата срещу всички форми на дискриминация;</w:t>
            </w:r>
          </w:p>
        </w:tc>
        <w:tc>
          <w:tcPr>
            <w:tcW w:w="4876" w:type="dxa"/>
            <w:tcBorders>
              <w:top w:val="nil"/>
              <w:left w:val="nil"/>
              <w:bottom w:val="nil"/>
              <w:right w:val="nil"/>
            </w:tcBorders>
          </w:tcPr>
          <w:p>
            <w:pPr>
              <w:pStyle w:val="Normal6a"/>
            </w:pPr>
            <w:r>
              <w:t>33.</w:t>
            </w:r>
            <w:r>
              <w:tab/>
            </w:r>
            <w:r>
              <w:t xml:space="preserve">настоятелно призовава Комисията да </w:t>
            </w:r>
            <w:r>
              <w:rPr>
                <w:b/>
                <w:i/>
              </w:rPr>
              <w:t>не добавя</w:t>
            </w:r>
            <w:r>
              <w:t xml:space="preserve"> към годишния доклад относно върховенството на закона </w:t>
            </w:r>
            <w:r>
              <w:rPr>
                <w:b/>
                <w:i/>
              </w:rPr>
              <w:t>никакъв</w:t>
            </w:r>
            <w:r>
              <w:t xml:space="preserve"> нов стълб, </w:t>
            </w:r>
            <w:r>
              <w:rPr>
                <w:b/>
                <w:i/>
              </w:rPr>
              <w:t>включително този, който е</w:t>
            </w:r>
            <w:r>
              <w:t xml:space="preserve"> съсредоточен върху засилването на борбата срещу всички форми на дискриминация;</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Алесандро Дзан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настоятелно призовава Комисията да добави към годишния доклад относно върховенството на закона нов стълб, съсредоточен върху засилването на борбата срещу всички форми на дискриминация;</w:t>
            </w:r>
          </w:p>
        </w:tc>
        <w:tc>
          <w:tcPr>
            <w:tcW w:w="4876" w:type="dxa"/>
            <w:tcBorders>
              <w:top w:val="nil"/>
              <w:left w:val="nil"/>
              <w:bottom w:val="nil"/>
              <w:right w:val="nil"/>
            </w:tcBorders>
          </w:tcPr>
          <w:p>
            <w:pPr>
              <w:pStyle w:val="Normal6a"/>
            </w:pPr>
            <w:r>
              <w:t>33.</w:t>
            </w:r>
            <w:r>
              <w:tab/>
            </w:r>
            <w:r>
              <w:t xml:space="preserve">настоятелно призовава Комисията да добави към годишния доклад относно върховенството на закона нов стълб, съсредоточен върху засилването на борбата срещу всички форми на дискриминация </w:t>
            </w:r>
            <w:r>
              <w:rPr>
                <w:b/>
                <w:i/>
              </w:rPr>
              <w:t>и омраза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Никола Бе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настоятелно призовава Комисията да добави към годишния доклад относно върховенството на закона нов стълб, съсредоточен върху засилването на борбата срещу </w:t>
            </w:r>
            <w:r>
              <w:rPr>
                <w:b/>
                <w:i/>
              </w:rPr>
              <w:t>всички форми на дискриминация</w:t>
            </w:r>
            <w:r>
              <w:t>;</w:t>
            </w:r>
          </w:p>
        </w:tc>
        <w:tc>
          <w:tcPr>
            <w:tcW w:w="4876" w:type="dxa"/>
            <w:tcBorders>
              <w:top w:val="nil"/>
              <w:left w:val="nil"/>
              <w:bottom w:val="nil"/>
              <w:right w:val="nil"/>
            </w:tcBorders>
          </w:tcPr>
          <w:p>
            <w:pPr>
              <w:pStyle w:val="Normal6a"/>
            </w:pPr>
            <w:r>
              <w:t>33.</w:t>
            </w:r>
            <w:r>
              <w:tab/>
            </w:r>
            <w:r>
              <w:t xml:space="preserve">настоятелно призовава Комисията да добави към годишния доклад относно върховенството на закона нов стълб, съсредоточен върху засилването на борбата срещу </w:t>
            </w:r>
            <w:r>
              <w:rPr>
                <w:b/>
                <w:i/>
              </w:rPr>
              <w:t>цензурата върху медиите и онлайн съдържанието</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Ана Катарина Мендеш, Клое Ридел, Сандро Руотоло, Франсишку Асиш, Ханес Хайде, Пина Пичерно, Матяж Немец, Ема Рафович, Кшищоф Шмишек, Катарина Барли, Евин Инсир, Хуан Фернандо Лопес Агилар, Начо Санчес Амор, Марко Таркуинио, Хавиер Морено Санчес, Алесандро Дзан, Чечилия Страда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33а.</w:t>
            </w:r>
            <w:r>
              <w:tab/>
            </w:r>
            <w:r>
              <w:rPr>
                <w:b/>
                <w:i/>
              </w:rPr>
              <w:t>призовава държавите членки да прилагат Пакта за миграцията и убежището в съответствие с принципите, залегнали в Договорите, Хартата на основните права на ЕС и международното право;</w:t>
            </w:r>
            <w:r>
              <w:t xml:space="preserve"> </w:t>
            </w:r>
            <w:r>
              <w:rPr>
                <w:b/>
                <w:i/>
              </w:rPr>
              <w:t>призовава държавите членки да гарантират, че гражданите на трети държави се ползват от равни права, равно и хуманно отношение, както и справедлив достъп до процедури за международна закрила при пълно спазване на международното право и принципа на забрана за връщане;</w:t>
            </w:r>
            <w:r>
              <w:t xml:space="preserve"> </w:t>
            </w:r>
            <w:r>
              <w:rPr>
                <w:b/>
                <w:i/>
              </w:rPr>
              <w:t>настоятелно призовава Комисията да гарантира, че при никакви обстоятелства възлагането на външни изпълнители и извънтериториалното управление на миграцията, например двустранни споразумения на държавите членки с трети държави, не подкопават тези принципи и критериите, определени в законодателството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Ракел Гарсия Ермида-ван дер Вале, Фабиен Келер, Софи Вилмес, Абир Ал-Сахлани, Сигрид Фрис,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33а.</w:t>
            </w:r>
            <w:r>
              <w:tab/>
            </w:r>
            <w:r>
              <w:rPr>
                <w:b/>
                <w:i/>
              </w:rPr>
              <w:t>призовава Комисията да преразгледа позицията си относно инициативата Minority SafePack и да предложи законодателни инициативи за гарантиране на насърчаването на правата на малцинствата и езиковите права;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Никола Бе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отново призовава Комисията да продължи да интегрира реактивни инструменти в доклада относно върховенството на закона, например процедурите по член 7 от ДЕС, общия механизъм за обвързване с условия и производствата за установяване на неизпълнение на задължения</w:t>
            </w:r>
            <w:r>
              <w:rPr>
                <w:b/>
                <w:i/>
                <w:vertAlign w:val="superscript"/>
              </w:rPr>
              <w:t>48</w:t>
            </w:r>
            <w:r>
              <w:rPr>
                <w:b/>
                <w:i/>
              </w:rPr>
              <w:t>;</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Унгарски хелзинкски комитет, Disregard for EU values:</w:t>
            </w:r>
            <w:r>
              <w:t xml:space="preserve"> </w:t>
            </w:r>
            <w:r>
              <w:rPr>
                <w:b/>
                <w:i/>
              </w:rPr>
              <w:t>a snapshot of RoL issues in Hungary in light of the Article 7 procedure (Незачитане на ценностите на ЕС:моментна снимка на проблемите, свързани с принципите на правовата държава в Унгария с оглед на процедурата по член 7), 12 ноември 2024 г.</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Алесандро Чириани, Паоло Инселвини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отново призовава Комисията да продължи да интегрира реактивни инструменти в доклада относно върховенството на закона, например процедурите по член 7 от ДЕС, общия механизъм за обвързване с условия и производствата за установяване на неизпълнение на задължения</w:t>
            </w:r>
            <w:r>
              <w:rPr>
                <w:b/>
                <w:i/>
                <w:vertAlign w:val="superscript"/>
              </w:rPr>
              <w:t>48</w:t>
            </w:r>
            <w:r>
              <w:rPr>
                <w:b/>
                <w:i/>
              </w:rPr>
              <w:t>;</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Унгарски хелзинкски комитет, Disregard for EU values:</w:t>
            </w:r>
            <w:r>
              <w:t xml:space="preserve"> </w:t>
            </w:r>
            <w:r>
              <w:rPr>
                <w:b/>
                <w:i/>
              </w:rPr>
              <w:t>a snapshot of RoL issues in Hungary in light of the Article 7 procedure (Незачитане на ценностите на ЕС:моментна снимка на проблемите, свързани с принципите на правовата държава в Унгария с оглед на процедурата по член 7), 12 ноември 2024 г.</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 Хорхе Бусаде Виялба, Марике Елерс, Малика Сорел, Фабрис Леджери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отново призовава Комисията да продължи да интегрира реактивни инструменти в доклада относно върховенството на закона, например процедурите по член 7 от ДЕС, общия механизъм за обвързване с условия и производствата за установяване на неизпълнение на задължения</w:t>
            </w:r>
            <w:r>
              <w:rPr>
                <w:b/>
                <w:i/>
                <w:vertAlign w:val="superscript"/>
              </w:rPr>
              <w:t>48</w:t>
            </w:r>
            <w:r>
              <w:rPr>
                <w:b/>
                <w:i/>
              </w:rPr>
              <w:t>;</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Унгарски хелзинкски комитет, Disregard for EU values:</w:t>
            </w:r>
            <w:r>
              <w:t xml:space="preserve"> </w:t>
            </w:r>
            <w:r>
              <w:rPr>
                <w:b/>
                <w:i/>
              </w:rPr>
              <w:t>a snapshot of RoL issues in Hungary in light of the Article 7 procedure (Незачитане на ценностите на ЕС:моментна снимка на проблемите, свързани с принципите на правовата държава в Унгария с оглед на процедурата по член 7), 12 ноември 2024 г.</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Даниел Фройнд</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отново призовава Комисията да продължи да интегрира реактивни инструменти в доклада относно върховенството на закона, например процедурите по член 7 от ДЕС, </w:t>
            </w:r>
            <w:r>
              <w:rPr>
                <w:b/>
                <w:i/>
              </w:rPr>
              <w:t>общия механизъм за обвързване с условия</w:t>
            </w:r>
            <w:r>
              <w:t xml:space="preserve"> и производствата за установяване на неизпълнение на задължения</w:t>
            </w:r>
            <w:r>
              <w:rPr>
                <w:b/>
                <w:i/>
                <w:vertAlign w:val="superscript"/>
              </w:rPr>
              <w:t>48</w:t>
            </w:r>
            <w:r>
              <w:t>;</w:t>
            </w:r>
          </w:p>
        </w:tc>
        <w:tc>
          <w:tcPr>
            <w:tcW w:w="4876" w:type="dxa"/>
            <w:tcBorders>
              <w:top w:val="nil"/>
              <w:left w:val="nil"/>
              <w:bottom w:val="nil"/>
              <w:right w:val="nil"/>
            </w:tcBorders>
          </w:tcPr>
          <w:p>
            <w:pPr>
              <w:pStyle w:val="Normal6a"/>
            </w:pPr>
            <w:r>
              <w:t>34.</w:t>
            </w:r>
            <w:r>
              <w:tab/>
            </w:r>
            <w:r>
              <w:t xml:space="preserve">отново призовава Комисията да продължи да интегрира реактивни инструменти в доклада относно върховенството на закона, например процедурите по член 7 от ДЕС, </w:t>
            </w:r>
            <w:r>
              <w:rPr>
                <w:b/>
                <w:i/>
              </w:rPr>
              <w:t>Регламента относно обвързаността с условия за спазване на принципите на правовата държава и други бюджетни процедури</w:t>
            </w:r>
            <w:r>
              <w:t xml:space="preserve"> и производствата за установяване на неизпълнение на задължения</w:t>
            </w:r>
            <w:r>
              <w:rPr>
                <w:b/>
                <w:i/>
              </w:rPr>
              <w:t>;</w:t>
            </w:r>
            <w:r>
              <w:t xml:space="preserve"> </w:t>
            </w:r>
            <w:r>
              <w:rPr>
                <w:b/>
                <w:i/>
              </w:rPr>
              <w:t>призовава Комисията системно да прибягва до ускорени процедури и искания за временни мерки пред Съда на ЕС при производства за установяване на неизпълнение на задължения;</w:t>
            </w:r>
            <w:r>
              <w:t xml:space="preserve"> </w:t>
            </w:r>
            <w:r>
              <w:rPr>
                <w:b/>
                <w:i/>
              </w:rPr>
              <w:t>призовава Комисията да не използва „диалог“ с държавите членки или „пилотната“ процедура като отворен начин да се избегне образуването на действителни производства за установяване на неизпълнение на задължения; призовава Комисията да преразгледа своята политика, посочена в нейното съобщение от 2022 г. относно прилагането на правото на ЕС, да не използва искове за установяване на нарушение за „индивидуална“ защита, тъй като тази политика доведе до сериозно лишаване от права за гражданите в целия ЕС, особено когато техните правителства отказват да спазват правото на ЕС или решенията на Съда на ЕС, също така тъй като повечето от тези случаи не са само индивидуални, а разглеждат стратегически и основни въпроси</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Унгарски хелзинкски комитет, Disregard for EU values:</w:t>
            </w:r>
            <w:r>
              <w:t xml:space="preserve"> </w:t>
            </w:r>
            <w:r>
              <w:rPr>
                <w:b/>
                <w:i/>
              </w:rPr>
              <w:t>a snapshot of RoL issues in Hungary in light of the Article 7 procedure (Незачитане на ценностите на ЕС:моментна снимка на проблемите, свързани с принципите на правовата държава в Унгария с оглед на процедурата по член 7), 12 ноември 2024 г.</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Андраш Ласло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отново</w:t>
            </w:r>
            <w:r>
              <w:t xml:space="preserve"> призовава Комисията да </w:t>
            </w:r>
            <w:r>
              <w:rPr>
                <w:b/>
                <w:i/>
              </w:rPr>
              <w:t>продължи да интегрира реактивни инструменти в доклада относно върховенството на закона, например процедурите по член 7 от ДЕС, общия механизъм за обвързване с условия и производствата за установяване на неизпълнение на задължения</w:t>
            </w:r>
            <w:r>
              <w:rPr>
                <w:b/>
                <w:i/>
                <w:vertAlign w:val="superscript"/>
              </w:rPr>
              <w:t>48</w:t>
            </w:r>
            <w:r>
              <w:t>;</w:t>
            </w:r>
          </w:p>
        </w:tc>
        <w:tc>
          <w:tcPr>
            <w:tcW w:w="4876" w:type="dxa"/>
            <w:tcBorders>
              <w:top w:val="nil"/>
              <w:left w:val="nil"/>
              <w:bottom w:val="nil"/>
              <w:right w:val="nil"/>
            </w:tcBorders>
          </w:tcPr>
          <w:p>
            <w:pPr>
              <w:pStyle w:val="Normal6a"/>
            </w:pPr>
            <w:r>
              <w:t>34.</w:t>
            </w:r>
            <w:r>
              <w:tab/>
            </w:r>
            <w:r>
              <w:rPr>
                <w:b/>
                <w:i/>
              </w:rPr>
              <w:t>изразява дълбока загриженост относно положението с принципите на правовата държава в рамките на европейските институции;</w:t>
            </w:r>
            <w:r>
              <w:t xml:space="preserve"> призовава Комисията да </w:t>
            </w:r>
            <w:r>
              <w:rPr>
                <w:b/>
                <w:i/>
              </w:rPr>
              <w:t>разследва зачестяващите нарушения на принципите на правовата държава в тези институции;</w:t>
            </w:r>
            <w:r>
              <w:t xml:space="preserve"> </w:t>
            </w:r>
            <w:r>
              <w:rPr>
                <w:b/>
                <w:i/>
              </w:rPr>
              <w:t>отбелязва с дълбока загриженост предполагаемото участие на бившия член на Комисията, отговарящ за правосъдието, Дидие Рейндерс в схема за изпиране на пари;</w:t>
            </w:r>
            <w:r>
              <w:t xml:space="preserve"> </w:t>
            </w:r>
            <w:r>
              <w:rPr>
                <w:b/>
                <w:i/>
              </w:rPr>
              <w:t>изразява изключителна загриженост, че комисар по правосъдието, за когото се твърди, че е изпуснал над 1 милиона евро чрез закупуване на лотарийни билети, е отговорен за спазването на принципите на правовата държава в Европейския съюз;</w:t>
            </w:r>
            <w:r>
              <w:t xml:space="preserve"> </w:t>
            </w:r>
            <w:r>
              <w:rPr>
                <w:b/>
                <w:i/>
              </w:rPr>
              <w:t>подчертава, че през 2019 г., като кандидат за член на Комисията, Дидие Рейндерс вече е бил обвинен от белгийските органи в изпиране на пари и корупция;</w:t>
            </w:r>
            <w:r>
              <w:t xml:space="preserve"> </w:t>
            </w:r>
            <w:r>
              <w:rPr>
                <w:b/>
                <w:i/>
              </w:rPr>
              <w:t>призовава Комисията да обясни как Дидие Рейндерс е отговарял за портфейла „правосъдие“ по време на 9-ия мандат въпреки сериозните твърдения;</w:t>
            </w:r>
            <w:r>
              <w:t xml:space="preserve"> </w:t>
            </w:r>
            <w:r>
              <w:rPr>
                <w:b/>
                <w:i/>
              </w:rPr>
              <w:t>отново изтъква, че този доклад не може да служи като основа за каквито и да е допълнителни механизми и производства на ЕС</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Унгарски хелзинкски комитет, Disregard for EU values:</w:t>
            </w:r>
            <w:r>
              <w:t xml:space="preserve"> </w:t>
            </w:r>
            <w:r>
              <w:rPr>
                <w:b/>
                <w:i/>
              </w:rPr>
              <w:t>a snapshot of RoL issues in Hungary in light of the Article 7 procedure (Незачитане на ценностите на ЕС:моментна снимка на проблемите, свързани с принципите на правовата държава в Унгария с оглед на процедурата по член 7), 12 ноември 2024 г.</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Мариуш Камински, Йоахим Станислав Бруджински, Ядвига Вишневска, Мачей Воншик, Яцек Оздоба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отново</w:t>
            </w:r>
            <w:r>
              <w:t xml:space="preserve"> призовава Комисията да </w:t>
            </w:r>
            <w:r>
              <w:rPr>
                <w:b/>
                <w:i/>
              </w:rPr>
              <w:t>продължи да интегрира</w:t>
            </w:r>
            <w:r>
              <w:t xml:space="preserve"> реактивни инструменти в доклада относно върховенството на закона, например процедурите по член 7 от ДЕС, общия механизъм за обвързване с условия и производствата за установяване на неизпълнение на задължения</w:t>
            </w:r>
            <w:r>
              <w:rPr>
                <w:vertAlign w:val="superscript"/>
              </w:rPr>
              <w:t>48</w:t>
            </w:r>
            <w:r>
              <w:t>;</w:t>
            </w:r>
          </w:p>
        </w:tc>
        <w:tc>
          <w:tcPr>
            <w:tcW w:w="4876" w:type="dxa"/>
            <w:tcBorders>
              <w:top w:val="nil"/>
              <w:left w:val="nil"/>
              <w:bottom w:val="nil"/>
              <w:right w:val="nil"/>
            </w:tcBorders>
          </w:tcPr>
          <w:p>
            <w:pPr>
              <w:pStyle w:val="Normal6a"/>
            </w:pPr>
            <w:r>
              <w:t>34.</w:t>
            </w:r>
            <w:r>
              <w:tab/>
            </w:r>
            <w:r>
              <w:t xml:space="preserve">призовава Комисията да </w:t>
            </w:r>
            <w:r>
              <w:rPr>
                <w:b/>
                <w:i/>
              </w:rPr>
              <w:t>оцени дали по-нататъшното интегриране на</w:t>
            </w:r>
            <w:r>
              <w:t xml:space="preserve"> реактивни инструменти в доклада относно върховенството на закона, например процедурите по член 7 от ДЕС, общия механизъм за обвързване с условия и производствата за установяване на неизпълнение на задължения</w:t>
            </w:r>
            <w:r>
              <w:rPr>
                <w:vertAlign w:val="superscript"/>
              </w:rPr>
              <w:t>48</w:t>
            </w:r>
            <w:r>
              <w:rPr>
                <w:b/>
                <w:i/>
              </w:rPr>
              <w:t>, е целесъобразно, като се има предвид, че той се използва по възмутително политизиран начин, като най-добрият пример за това е Полша, където след промяна на правителството в полза на Брюксел и Берлин всички критики бяха оттеглени и процедурата по член 7 от ДЕС беше спряна, без да са направени законодателни промени и въпреки откритото нарушение на конституционните принципи на страната</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Унгарски хелзинкски комитет, Disregard for EU values: a snapshot of RoL issues in Hungary in light of the Article 7 procedure (Незачитане на ценностите на ЕС:моментна снимка на проблемите, свързани с принципите на правовата държава в Унгария с оглед на процедурата по член 7), 12 ноември 2024 г.</w:t>
            </w:r>
          </w:p>
        </w:tc>
        <w:tc>
          <w:tcPr>
            <w:tcW w:w="4876" w:type="dxa"/>
            <w:tcBorders>
              <w:top w:val="nil"/>
              <w:left w:val="nil"/>
              <w:bottom w:val="nil"/>
              <w:right w:val="nil"/>
            </w:tcBorders>
          </w:tcPr>
          <w:p>
            <w:pPr>
              <w:pStyle w:val="Normal6a"/>
            </w:pPr>
            <w:r>
              <w:rPr>
                <w:vertAlign w:val="superscript"/>
              </w:rPr>
              <w:t>48</w:t>
            </w:r>
            <w:r>
              <w:t xml:space="preserve"> </w:t>
            </w:r>
            <w:r>
              <w:t>Унгарски хелзинкски комитет, Disregard for EU values: a snapshot of RoL issues in Hungary in light of the Article 7 procedure (Незачитане на ценностите на ЕС: моментна снимка на проблемите, свързани с принципите на правовата държава в Унгария с оглед на процедурата по член 7), 12 ноември 2024 г.</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Никола Минчев, Мориц Кьорнер, Хилде Вотманс, Вероника Цифрова Острихоньова, Абир Ал-Сахлани, Клое Ридел, Фабиен Келер, Луция Яр, Ирена Йовева, Изабел Визелер-Лима, Даниел Фройнд</w:t>
      </w:r>
      <w:r>
        <w:rPr>
          <w:rStyle w:val="HideTWBExt"/>
          <w:b w:val="0"/>
        </w:rPr>
        <w:t>&lt;/Members&gt;</w:t>
      </w:r>
    </w:p>
    <w:p>
      <w:r>
        <w:rPr>
          <w:rStyle w:val="HideTWBExt"/>
          <w:b w:val="0"/>
        </w:rPr>
        <w:t>&lt;AuNomDe&gt;</w:t>
      </w:r>
      <w:r>
        <w:rPr>
          <w:rStyle w:val="HideTWBInt"/>
        </w:rPr>
        <w:t>{LIBE}</w:t>
      </w:r>
      <w:r>
        <w:t>от името на комисията по граждански свободи, правосъдие и вътрешни работи</w:t>
      </w:r>
      <w:r>
        <w:rPr>
          <w:rStyle w:val="HideTWBExt"/>
          <w:b w:val="0"/>
        </w:rPr>
        <w:t>&lt;/AuNomDe&gt;</w:t>
      </w:r>
    </w:p>
    <w:p>
      <w:pPr>
        <w:pStyle w:val="NormalBold"/>
      </w:pPr>
      <w:r>
        <w:rPr>
          <w:rStyle w:val="HideTWBExt"/>
          <w:b w:val="0"/>
        </w:rPr>
        <w:t>&lt;Members&gt;</w:t>
      </w:r>
      <w:r>
        <w:t>Софи Вилмес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отново призовава Комисията да продължи да интегрира реактивни инструменти в доклада относно върховенството на закона, например процедурите по член 7 от ДЕС, общия механизъм за обвързване с условия и производствата за установяване на неизпълнение на задължения</w:t>
            </w:r>
            <w:r>
              <w:rPr>
                <w:vertAlign w:val="superscript"/>
              </w:rPr>
              <w:t>48</w:t>
            </w:r>
            <w:r>
              <w:t>;</w:t>
            </w:r>
          </w:p>
        </w:tc>
        <w:tc>
          <w:tcPr>
            <w:tcW w:w="4876" w:type="dxa"/>
            <w:tcBorders>
              <w:top w:val="nil"/>
              <w:left w:val="nil"/>
              <w:bottom w:val="nil"/>
              <w:right w:val="nil"/>
            </w:tcBorders>
          </w:tcPr>
          <w:p>
            <w:pPr>
              <w:pStyle w:val="Normal6a"/>
            </w:pPr>
            <w:r>
              <w:t>34.</w:t>
            </w:r>
            <w:r>
              <w:tab/>
            </w:r>
            <w:r>
              <w:t>отново призовава Комисията да продължи да интегрира реактивни инструменти в доклада относно върховенството на закона, например процедурите по член 7 от ДЕС, общия механизъм за обвързване с условия и производствата за установяване на неизпълнение на задължения</w:t>
            </w:r>
            <w:r>
              <w:rPr>
                <w:vertAlign w:val="superscript"/>
              </w:rPr>
              <w:t>48</w:t>
            </w:r>
            <w:r>
              <w:t xml:space="preserve">; </w:t>
            </w:r>
            <w:r>
              <w:rPr>
                <w:b/>
                <w:i/>
              </w:rPr>
              <w:t>изисква от Комисията ежегодно да докладва относно прилагането и ефективността на инструментите, използвани срещу нарушения на принципите на правовата държава в държавите членки;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Унгарски хелзинкски комитет, Disregard for EU values: a snapshot of RoL issues in Hungary in light of the Article 7 procedure (Незачитане на ценностите на ЕС:моментна снимка на проблемите, свързани с принципите на правовата държава в Унгария с оглед на процедурата по член 7), 12 ноември 2024 г.</w:t>
            </w:r>
          </w:p>
        </w:tc>
        <w:tc>
          <w:tcPr>
            <w:tcW w:w="4876" w:type="dxa"/>
            <w:tcBorders>
              <w:top w:val="nil"/>
              <w:left w:val="nil"/>
              <w:bottom w:val="nil"/>
              <w:right w:val="nil"/>
            </w:tcBorders>
          </w:tcPr>
          <w:p>
            <w:pPr>
              <w:pStyle w:val="Normal6a"/>
            </w:pPr>
            <w:r>
              <w:rPr>
                <w:vertAlign w:val="superscript"/>
              </w:rPr>
              <w:t>48</w:t>
            </w:r>
            <w:r>
              <w:t xml:space="preserve"> </w:t>
            </w:r>
            <w:r>
              <w:t>Унгарски хелзинкски комитет, Disregard for EU values: a snapshot of RoL issues in Hungary in light of the Article 7 procedure (Незачитане на ценностите на ЕС: моментна снимка на проблемите, свързани с принципите на правовата държава в Унгария с оглед на процедурата по член 7), 12 ноември 2024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Биргит Зипел, Клара Добрев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отново призовава Комисията да </w:t>
            </w:r>
            <w:r>
              <w:rPr>
                <w:b/>
                <w:i/>
              </w:rPr>
              <w:t>продължи да интегрира реактивни инструменти</w:t>
            </w:r>
            <w:r>
              <w:t xml:space="preserve"> в доклада относно върховенството на закона, </w:t>
            </w:r>
            <w:r>
              <w:rPr>
                <w:b/>
                <w:i/>
              </w:rPr>
              <w:t>например процедурите</w:t>
            </w:r>
            <w:r>
              <w:t xml:space="preserve"> по член 7 от ДЕС, </w:t>
            </w:r>
            <w:r>
              <w:rPr>
                <w:b/>
                <w:i/>
              </w:rPr>
              <w:t>общия механизъм</w:t>
            </w:r>
            <w:r>
              <w:t xml:space="preserve"> за обвързване с условия и производствата за установяване на неизпълнение на задължения</w:t>
            </w:r>
            <w:r>
              <w:rPr>
                <w:vertAlign w:val="superscript"/>
              </w:rPr>
              <w:t>48</w:t>
            </w:r>
            <w:r>
              <w:t>;</w:t>
            </w:r>
          </w:p>
        </w:tc>
        <w:tc>
          <w:tcPr>
            <w:tcW w:w="4876" w:type="dxa"/>
            <w:tcBorders>
              <w:top w:val="nil"/>
              <w:left w:val="nil"/>
              <w:bottom w:val="nil"/>
              <w:right w:val="nil"/>
            </w:tcBorders>
          </w:tcPr>
          <w:p>
            <w:pPr>
              <w:pStyle w:val="Normal6a"/>
            </w:pPr>
            <w:r>
              <w:t>34.</w:t>
            </w:r>
            <w:r>
              <w:tab/>
            </w:r>
            <w:r>
              <w:t xml:space="preserve">отново призовава Комисията да </w:t>
            </w:r>
            <w:r>
              <w:rPr>
                <w:b/>
                <w:i/>
              </w:rPr>
              <w:t>отрази по-добре различните инструменти от инструментариума в областта на принципите на правовата държава</w:t>
            </w:r>
            <w:r>
              <w:t xml:space="preserve"> в доклада относно върховенството на закона, </w:t>
            </w:r>
            <w:r>
              <w:rPr>
                <w:b/>
                <w:i/>
              </w:rPr>
              <w:t>по-специално текущите процедури</w:t>
            </w:r>
            <w:r>
              <w:t xml:space="preserve"> по член 7 от ДЕС, </w:t>
            </w:r>
            <w:r>
              <w:rPr>
                <w:b/>
                <w:i/>
              </w:rPr>
              <w:t>механизма</w:t>
            </w:r>
            <w:r>
              <w:t xml:space="preserve"> за обвързване с условия </w:t>
            </w:r>
            <w:r>
              <w:rPr>
                <w:b/>
                <w:i/>
              </w:rPr>
              <w:t>за спазване на принципите на правовата държава, както</w:t>
            </w:r>
            <w:r>
              <w:t xml:space="preserve"> и производствата за установяване на неизпълнение на задължения</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Унгарски хелзинкски комитет, Disregard for EU values: a snapshot of RoL issues in Hungary in light of the Article 7 procedure (Незачитане на ценностите на ЕС:моментна снимка на проблемите, свързани с принципите на правовата държава в Унгария с оглед на процедурата по член 7), 12 ноември 2024 г.</w:t>
            </w:r>
          </w:p>
        </w:tc>
        <w:tc>
          <w:tcPr>
            <w:tcW w:w="4876" w:type="dxa"/>
            <w:tcBorders>
              <w:top w:val="nil"/>
              <w:left w:val="nil"/>
              <w:bottom w:val="nil"/>
              <w:right w:val="nil"/>
            </w:tcBorders>
          </w:tcPr>
          <w:p>
            <w:pPr>
              <w:pStyle w:val="Normal6a"/>
            </w:pPr>
            <w:r>
              <w:rPr>
                <w:vertAlign w:val="superscript"/>
              </w:rPr>
              <w:t>48</w:t>
            </w:r>
            <w:r>
              <w:t xml:space="preserve"> </w:t>
            </w:r>
            <w:r>
              <w:t>Унгарски хелзинкски комитет, Disregard for EU values: a snapshot of RoL issues in Hungary in light of the Article 7 procedure (Незачитане на ценностите на ЕС: моментна снимка на проблемите, свързани с принципите на правовата държава в Унгария с оглед на процедурата по член 7), 12 ноември 2024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Ерик Калиняк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отново призовава Комисията да </w:t>
            </w:r>
            <w:r>
              <w:rPr>
                <w:b/>
                <w:i/>
              </w:rPr>
              <w:t>продължи да интегрира реактивни инструменти в доклада относно върховенството на закона, например процедурите по член 7 от ДЕС, общия механизъм за обвързване с условия и производствата за установяване на неизпълнение на задължения</w:t>
            </w:r>
            <w:r>
              <w:rPr>
                <w:b/>
                <w:i/>
                <w:vertAlign w:val="superscript"/>
              </w:rPr>
              <w:t>48</w:t>
            </w:r>
            <w:r>
              <w:t>;</w:t>
            </w:r>
          </w:p>
        </w:tc>
        <w:tc>
          <w:tcPr>
            <w:tcW w:w="4876" w:type="dxa"/>
            <w:tcBorders>
              <w:top w:val="nil"/>
              <w:left w:val="nil"/>
              <w:bottom w:val="nil"/>
              <w:right w:val="nil"/>
            </w:tcBorders>
          </w:tcPr>
          <w:p>
            <w:pPr>
              <w:pStyle w:val="Normal6a"/>
            </w:pPr>
            <w:r>
              <w:t>34.</w:t>
            </w:r>
            <w:r>
              <w:tab/>
            </w:r>
            <w:r>
              <w:t xml:space="preserve">отново призовава Комисията да </w:t>
            </w:r>
            <w:r>
              <w:rPr>
                <w:b/>
                <w:i/>
              </w:rPr>
              <w:t>се въздържа от създаване на нови механизми и инструменти за защита на принципите на правовата държава, тъй като съществуващите механизми и инструменти са достатъчни</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Унгарски хелзинкски комитет, Disregard for EU values:</w:t>
            </w:r>
            <w:r>
              <w:t xml:space="preserve"> </w:t>
            </w:r>
            <w:r>
              <w:rPr>
                <w:b/>
                <w:i/>
              </w:rPr>
              <w:t>a snapshot of RoL issues in Hungary in light of the Article 7 procedure (Незачитане на ценностите на ЕС:моментна снимка на проблемите, свързани с принципите на правовата държава в Унгария с оглед на процедурата по член 7), 12 ноември 2024 г.</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Михал Ваврикевич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отново призовава Комисията да продължи да интегрира </w:t>
            </w:r>
            <w:r>
              <w:rPr>
                <w:b/>
                <w:i/>
              </w:rPr>
              <w:t>реактивни инструменти</w:t>
            </w:r>
            <w:r>
              <w:t xml:space="preserve"> в доклада относно върховенството на закона, например процедурите по член 7 от ДЕС, общия механизъм за обвързване с условия и производствата за установяване на неизпълнение на задължения</w:t>
            </w:r>
            <w:r>
              <w:rPr>
                <w:vertAlign w:val="superscript"/>
              </w:rPr>
              <w:t>48</w:t>
            </w:r>
            <w:r>
              <w:t>;</w:t>
            </w:r>
          </w:p>
        </w:tc>
        <w:tc>
          <w:tcPr>
            <w:tcW w:w="4876" w:type="dxa"/>
            <w:tcBorders>
              <w:top w:val="nil"/>
              <w:left w:val="nil"/>
              <w:bottom w:val="nil"/>
              <w:right w:val="nil"/>
            </w:tcBorders>
          </w:tcPr>
          <w:p>
            <w:pPr>
              <w:pStyle w:val="Normal6a"/>
            </w:pPr>
            <w:r>
              <w:t>34.</w:t>
            </w:r>
            <w:r>
              <w:tab/>
            </w:r>
            <w:r>
              <w:t xml:space="preserve">отново призовава Комисията да продължи да интегрира </w:t>
            </w:r>
            <w:r>
              <w:rPr>
                <w:b/>
                <w:i/>
              </w:rPr>
              <w:t>мерки за правоприлагане</w:t>
            </w:r>
            <w:r>
              <w:t xml:space="preserve"> в доклада относно върховенството на закона, например процедурите по член 7 от ДЕС, общия механизъм за обвързване с условия и производствата за установяване на неизпълнение на задължения</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Унгарски хелзинкски комитет, Disregard for EU values: a snapshot of RoL issues in Hungary in light of the Article 7 procedure (Незачитане на ценностите на ЕС:моментна снимка на проблемите, свързани с принципите на правовата държава в Унгария с оглед на процедурата по член 7), 12 ноември 2024 г.</w:t>
            </w:r>
          </w:p>
        </w:tc>
        <w:tc>
          <w:tcPr>
            <w:tcW w:w="4876" w:type="dxa"/>
            <w:tcBorders>
              <w:top w:val="nil"/>
              <w:left w:val="nil"/>
              <w:bottom w:val="nil"/>
              <w:right w:val="nil"/>
            </w:tcBorders>
          </w:tcPr>
          <w:p>
            <w:pPr>
              <w:pStyle w:val="Normal6a"/>
            </w:pPr>
            <w:r>
              <w:rPr>
                <w:vertAlign w:val="superscript"/>
              </w:rPr>
              <w:t>48</w:t>
            </w:r>
            <w:r>
              <w:t xml:space="preserve"> </w:t>
            </w:r>
            <w:r>
              <w:t>Унгарски хелзинкски комитет, Disregard for EU values: a snapshot of RoL issues in Hungary in light of the Article 7 procedure (Незачитане на ценностите на ЕС: моментна снимка на проблемите, свързани с принципите на правовата държава в Унгария с оглед на процедурата по член 7), 12 ноември 2024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Биргит Зипел, Клара Добрев, Кшищоф Шмишек, 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34а.</w:t>
            </w:r>
            <w:r>
              <w:tab/>
            </w:r>
            <w:r>
              <w:rPr>
                <w:b/>
                <w:i/>
              </w:rPr>
              <w:t>изразява съжаление, че унгарското правителство не е предприело никакви значими стъпки за изпълнение на препоръките от Доклада относно върховенството на закона за 2024 г.;</w:t>
            </w:r>
            <w:r>
              <w:t xml:space="preserve"> </w:t>
            </w:r>
            <w:r>
              <w:rPr>
                <w:b/>
                <w:i/>
              </w:rPr>
              <w:t>подчертава, че положението със свободата на медиите, принципите на взаимозависимост и взаимоограничаване, корупцията по високите етажи на властта и пространството за организациите на гражданското общество се влошиха още повече след публикуването му;</w:t>
            </w:r>
            <w:r>
              <w:t xml:space="preserve"> </w:t>
            </w:r>
            <w:r>
              <w:rPr>
                <w:b/>
                <w:i/>
              </w:rPr>
              <w:t>подчертава, че съдебната реформа от 2023 г. не успя да постигне съществено подобрение по отношение на независимостта на съдебната система; осъжда неотдавнашната стъпка на правителството да обвърже дългоочакваната корекция на възнагражденията на съдиите с приемането от тяхна страна на по-нататъшно политическо посегателство в ущърб на независимостта на съдебната власт;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Алесандро Дзан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34а.</w:t>
            </w:r>
            <w:r>
              <w:tab/>
            </w:r>
            <w:r>
              <w:rPr>
                <w:b/>
                <w:i/>
              </w:rPr>
              <w:t>призовава Комисията и държавите членки да се борят с дискриминацията, основана на расов или етнически произход, религия или убеждения, националност, политически възгледи, език, увреждане, възраст, пол, включително полова идентичност и изразяване на половата принадлежност, и сексуална ориентация;</w:t>
            </w:r>
            <w:r>
              <w:t xml:space="preserve"> </w:t>
            </w:r>
            <w:r>
              <w:rPr>
                <w:b/>
                <w:i/>
              </w:rPr>
              <w:t>настоятелно призовава Съвета да постигне споразумение по Директива 2008/140/ЕО;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Даниел Фройнд</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34а.</w:t>
            </w:r>
            <w:r>
              <w:tab/>
            </w:r>
            <w:r>
              <w:rPr>
                <w:b/>
                <w:i/>
              </w:rPr>
              <w:t>изразява съжаление, че унгарското правителство не е предприело никакви значими стъпки за изпълнение на препоръките от доклада относно върховенството на закона за 2024 г. и че Унгария е единствената държава членка, която остава съгласно процедурата по член 7, параграф 1 от ДЕС;</w:t>
            </w:r>
            <w:r>
              <w:t xml:space="preserve"> </w:t>
            </w:r>
            <w:r>
              <w:rPr>
                <w:b/>
                <w:i/>
              </w:rPr>
              <w:t>подчертава, че зачитането на принципите на правовата държава непрекъснато се влошава;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Марко Таркуинио, Алесандро Дзан, Дамиен Карем, Мелиса Камара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34а.</w:t>
            </w:r>
            <w:r>
              <w:tab/>
            </w:r>
            <w:r>
              <w:rPr>
                <w:b/>
                <w:i/>
              </w:rPr>
              <w:t>призовава Европейската комисия изрично да включи съображенията, свързани с расовата справедливост, в бъдещите доклади относно върховенството на закона и да изиска от държавите членки да събират съпоставими и надеждни дезагрегирани данни относно равенството, за да се направи пълна оценка на въздействието на структурната дискриминация върху принципите на правовата държава;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Алесандро Дзан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34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34б.</w:t>
            </w:r>
            <w:r>
              <w:tab/>
            </w:r>
            <w:r>
              <w:rPr>
                <w:b/>
                <w:i/>
              </w:rPr>
              <w:t>призовава Комисията и държавите членки да гарантират, че правата на ЛГБТКИА+ се зачитат изцяло на цялата територия на ЕС и че ЛГБТКИА+ лицата могат да живеят в безопасност, да упражняват правата си и да реализират напълно своя потенциал;</w:t>
            </w:r>
            <w:r>
              <w:t xml:space="preserve"> </w:t>
            </w:r>
            <w:r>
              <w:rPr>
                <w:b/>
                <w:i/>
              </w:rPr>
              <w:t>призовава Комисията и Съвета да превърнат правата на ЛГБТКИА+ в хоризонтален приоритет във всички области на политиката;</w:t>
            </w:r>
            <w:r>
              <w:t xml:space="preserve"> </w:t>
            </w:r>
            <w:r>
              <w:rPr>
                <w:b/>
                <w:i/>
              </w:rPr>
              <w:t>призовава Комисията да предложи подходящи законодателни мерки, за да гарантира спазването на тези принципи, както и да разчита на производства за установяване на неизпълнение на задължения срещу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Алесандро Дзан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34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34в.</w:t>
            </w:r>
            <w:r>
              <w:tab/>
            </w:r>
            <w:r>
              <w:rPr>
                <w:b/>
                <w:i/>
              </w:rPr>
              <w:t>отново призовава Комисията да се бори с всички дискриминационни практики и да защитава принципите, залегнали в Хартата на основните права на ЕС;</w:t>
            </w:r>
            <w:r>
              <w:t xml:space="preserve"> </w:t>
            </w:r>
            <w:r>
              <w:rPr>
                <w:b/>
                <w:i/>
              </w:rPr>
              <w:t>настоятелно призовава Комисията да гарантира, че свободното движение на хора в рамките на ЕС, правото на свободно пребиваване и събирането на семейството се зачитат изцяло на територията на ЕС и че всеки гражданин може да се ползва от равни права и да упражнява изцяло своите права;</w:t>
            </w:r>
            <w:r>
              <w:t xml:space="preserve"> </w:t>
            </w:r>
            <w:r>
              <w:rPr>
                <w:b/>
                <w:i/>
              </w:rPr>
              <w:t>призовава Комисията да преработи Директива 2004/38/ЕО, за да включи трансграничното признаване на семейните права, включително родителството за родители от един и същ пол, с оглед на последните решения на Съда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Никола Бе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подчертава, че е важно ключовите етапи във връзка с принципите на правовата държава да бъдат включени в инструменти за финансиране като Механизма за възстановяване и устойчивост;</w:t>
            </w:r>
            <w:r>
              <w:t xml:space="preserve"> </w:t>
            </w:r>
            <w:r>
              <w:rPr>
                <w:b/>
                <w:i/>
              </w:rPr>
              <w:t>изразява съжаление във връзка с отпускането на средства от ЕС на Унгария въпреки недостатъците в рамките на независимостта на съдебната власт и борбата с корупцията в тази държава;</w:t>
            </w:r>
            <w:r>
              <w:t xml:space="preserve"> </w:t>
            </w:r>
            <w:r>
              <w:rPr>
                <w:b/>
                <w:i/>
              </w:rPr>
              <w:t>препоръчва да се спрат плащанията, докато не бъдат изпълнени всички критерии във връзка с принципите на правовата държава;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Ерик Калиняк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подчертава, че е важно ключовите етапи във връзка с принципите на правовата държава да бъдат включени в инструменти за финансиране като Механизма за възстановяване и устойчивост;</w:t>
            </w:r>
            <w:r>
              <w:t xml:space="preserve"> </w:t>
            </w:r>
            <w:r>
              <w:rPr>
                <w:b/>
                <w:i/>
              </w:rPr>
              <w:t>изразява съжаление във връзка с отпускането на средства от ЕС на Унгария въпреки недостатъците в рамките на независимостта на съдебната власт и борбата с корупцията в тази държава;</w:t>
            </w:r>
            <w:r>
              <w:t xml:space="preserve"> </w:t>
            </w:r>
            <w:r>
              <w:rPr>
                <w:b/>
                <w:i/>
              </w:rPr>
              <w:t>препоръчва да се спрат плащанията, докато не бъдат изпълнени всички критерии във връзка с принципите на правовата държава;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 Хорхе Бусаде Виялба, Марике Елерс, Малика Сорел, Фабрис Леджери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подчертава, че е важно ключовите етапи във връзка с принципите на правовата държава да бъдат включени в инструменти за финансиране като Механизма за възстановяване и устойчивост;</w:t>
            </w:r>
            <w:r>
              <w:t xml:space="preserve"> </w:t>
            </w:r>
            <w:r>
              <w:rPr>
                <w:b/>
                <w:i/>
              </w:rPr>
              <w:t>изразява съжаление във връзка с отпускането на средства от ЕС на Унгария въпреки недостатъците в рамките на независимостта на съдебната власт и борбата с корупцията в тази държава;</w:t>
            </w:r>
            <w:r>
              <w:t xml:space="preserve"> </w:t>
            </w:r>
            <w:r>
              <w:rPr>
                <w:b/>
                <w:i/>
              </w:rPr>
              <w:t>препоръчва да се спрат плащанията, докато не бъдат изпълнени всички критерии във връзка с принципите на правовата държава;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Кшищоф Шмишек, Матяж Немец, Роберт Бедрон, Катарина Барли, Чечилия Страда, Клара Добрев, Чаба Молнар, Ема Рафович, Алесандро Дзан, Биргит Зипел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подчертава, че е важно ключовите етапи във връзка с принципите на правовата държава да бъдат включени в инструменти за финансиране като Механизма за възстановяване и устойчивост; изразява съжаление във връзка с отпускането на средства от ЕС на </w:t>
            </w:r>
            <w:r>
              <w:rPr>
                <w:b/>
                <w:i/>
              </w:rPr>
              <w:t>Унгария</w:t>
            </w:r>
            <w:r>
              <w:t xml:space="preserve"> въпреки </w:t>
            </w:r>
            <w:r>
              <w:rPr>
                <w:b/>
                <w:i/>
              </w:rPr>
              <w:t>недостатъците</w:t>
            </w:r>
            <w:r>
              <w:t xml:space="preserve"> в рамките на независимостта на съдебната власт и борбата с корупцията в тази държава; препоръчва да се спрат плащанията, докато не бъдат изпълнени всички критерии във връзка с принципите на правовата държава;</w:t>
            </w:r>
          </w:p>
        </w:tc>
        <w:tc>
          <w:tcPr>
            <w:tcW w:w="4876" w:type="dxa"/>
            <w:tcBorders>
              <w:top w:val="nil"/>
              <w:left w:val="nil"/>
              <w:bottom w:val="nil"/>
              <w:right w:val="nil"/>
            </w:tcBorders>
          </w:tcPr>
          <w:p>
            <w:pPr>
              <w:pStyle w:val="Normal6a"/>
            </w:pPr>
            <w:r>
              <w:t>35.</w:t>
            </w:r>
            <w:r>
              <w:tab/>
            </w:r>
            <w:r>
              <w:t xml:space="preserve">подчертава, че е важно ключовите етапи във връзка с принципите на правовата държава да бъдат включени в инструменти за финансиране като Механизма за възстановяване и устойчивост; изразява съжаление във връзка с отпускането на средства от ЕС на </w:t>
            </w:r>
            <w:r>
              <w:rPr>
                <w:b/>
                <w:i/>
              </w:rPr>
              <w:t>унгарското правителство</w:t>
            </w:r>
            <w:r>
              <w:t xml:space="preserve"> въпреки </w:t>
            </w:r>
            <w:r>
              <w:rPr>
                <w:b/>
                <w:i/>
              </w:rPr>
              <w:t>текущите сериозни недостатъци</w:t>
            </w:r>
            <w:r>
              <w:t xml:space="preserve"> в рамките на независимостта на съдебната власт и борбата с корупцията в тази държава; препоръчва да се спрат плащанията, докато не бъдат изпълнени всички критерии във връзка с принципите на правовата държава; </w:t>
            </w:r>
            <w:r>
              <w:rPr>
                <w:b/>
                <w:i/>
              </w:rPr>
              <w:t>настоятелно призовава Съвета да деблокира следващите стъпки в процедурата по член 7 срещу Унгария, като се имат предвид продължаващите нарушения на ценностите на ЕС, включително атаките срещу независимостта на съдебната власт, свободата на медиите и гражданското общество, които налагат незабавни и решителни действия за защита на принципите на правовата държава в рамките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Андраш Ласло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подчертава, че е важно ключовите етапи във връзка с принципите на правовата държава да бъдат включени в инструменти за финансиране като Механизма за възстановяване и устойчивост;</w:t>
            </w:r>
            <w:r>
              <w:t xml:space="preserve"> </w:t>
            </w:r>
            <w:r>
              <w:rPr>
                <w:b/>
                <w:i/>
              </w:rPr>
              <w:t>изразява съжаление във връзка с отпускането на средства от ЕС на Унгария въпреки недостатъците в рамките на независимостта на съдебната власт и борбата с корупцията в тази държава;</w:t>
            </w:r>
            <w:r>
              <w:t xml:space="preserve"> </w:t>
            </w:r>
            <w:r>
              <w:rPr>
                <w:b/>
                <w:i/>
              </w:rPr>
              <w:t>препоръчва да се спрат плащанията, докато не бъдат изпълнени всички критерии във връзка с принципите на правовата държава</w:t>
            </w:r>
            <w:r>
              <w:t>;</w:t>
            </w:r>
          </w:p>
        </w:tc>
        <w:tc>
          <w:tcPr>
            <w:tcW w:w="4876" w:type="dxa"/>
            <w:tcBorders>
              <w:top w:val="nil"/>
              <w:left w:val="nil"/>
              <w:bottom w:val="nil"/>
              <w:right w:val="nil"/>
            </w:tcBorders>
          </w:tcPr>
          <w:p>
            <w:pPr>
              <w:pStyle w:val="Normal6a"/>
            </w:pPr>
            <w:r>
              <w:t>35.</w:t>
            </w:r>
            <w:r>
              <w:tab/>
            </w:r>
            <w:r>
              <w:rPr>
                <w:b/>
                <w:i/>
              </w:rPr>
              <w:t>отбелязва със загриженост политически пристрастния мониторинг на Комисията на критериите в областта на върховенството на закона чрез инструментариума в тази област;</w:t>
            </w:r>
            <w:r>
              <w:t xml:space="preserve"> </w:t>
            </w:r>
            <w:r>
              <w:rPr>
                <w:b/>
                <w:i/>
              </w:rPr>
              <w:t>призовава Комисията да прекрати политическите атаки срещу десни, консервативни правителства;</w:t>
            </w:r>
            <w:r>
              <w:t xml:space="preserve"> </w:t>
            </w:r>
            <w:r>
              <w:rPr>
                <w:b/>
                <w:i/>
              </w:rPr>
              <w:t>подчертава, че Унгария е подложена на изнудване във финансово и политическо отношение от страна на Комисията поради нейния закон за закрила на детето, Закона за защита на националния суверенитет и силната позиция по отношение на миграционната политика;</w:t>
            </w:r>
            <w:r>
              <w:t xml:space="preserve"> </w:t>
            </w:r>
            <w:r>
              <w:rPr>
                <w:b/>
                <w:i/>
              </w:rPr>
              <w:t>припомня, че Унгария има право да получи всички средства от ЕС, които са задържани неправомерно от Комисията;</w:t>
            </w:r>
            <w:r>
              <w:t xml:space="preserve"> </w:t>
            </w:r>
            <w:r>
              <w:rPr>
                <w:b/>
                <w:i/>
              </w:rPr>
              <w:t>призовава Европейската комисия да освободи оставащите средства от ЕС в размер на 20 милиарда евро, на които Унгария има право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Алесандро Чириани, Паоло Инселвини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подчертава, че е важно</w:t>
            </w:r>
            <w:r>
              <w:t xml:space="preserve"> ключовите етапи във връзка с принципите на правовата държава </w:t>
            </w:r>
            <w:r>
              <w:rPr>
                <w:b/>
                <w:i/>
              </w:rPr>
              <w:t>да бъдат</w:t>
            </w:r>
            <w:r>
              <w:t xml:space="preserve"> включени в инструменти за финансиране като Механизма за възстановяване и устойчивост; </w:t>
            </w:r>
            <w:r>
              <w:rPr>
                <w:b/>
                <w:i/>
              </w:rPr>
              <w:t>изразява съжаление във връзка с отпускането на средства от ЕС на Унгария въпреки недостатъците в рамките на независимостта на съдебната власт и борбата с корупцията в тази държава;</w:t>
            </w:r>
            <w:r>
              <w:t xml:space="preserve"> </w:t>
            </w:r>
            <w:r>
              <w:rPr>
                <w:b/>
                <w:i/>
              </w:rPr>
              <w:t>препоръчва да се спрат плащанията, докато не бъдат изпълнени всички критерии във връзка с принципите на правовата държава;</w:t>
            </w:r>
          </w:p>
        </w:tc>
        <w:tc>
          <w:tcPr>
            <w:tcW w:w="4876" w:type="dxa"/>
            <w:tcBorders>
              <w:top w:val="nil"/>
              <w:left w:val="nil"/>
              <w:bottom w:val="nil"/>
              <w:right w:val="nil"/>
            </w:tcBorders>
          </w:tcPr>
          <w:p>
            <w:pPr>
              <w:pStyle w:val="Normal6a"/>
            </w:pPr>
            <w:r>
              <w:t>35.</w:t>
            </w:r>
            <w:r>
              <w:tab/>
            </w:r>
            <w:r>
              <w:rPr>
                <w:b/>
                <w:i/>
              </w:rPr>
              <w:t>отбелязва, че</w:t>
            </w:r>
            <w:r>
              <w:t xml:space="preserve"> ключовите етапи във връзка с принципите на правовата държава </w:t>
            </w:r>
            <w:r>
              <w:rPr>
                <w:b/>
                <w:i/>
              </w:rPr>
              <w:t>са</w:t>
            </w:r>
            <w:r>
              <w:t xml:space="preserve"> включени в инструменти за финансиране като Механизма за възстановяване и устойчивост;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Биргит Зипел, Клара Добрев, Кшищоф Шмишек, 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подчертава, че е важно ключовите етапи във връзка с принципите на правовата държава да бъдат включени в инструменти за финансиране като Механизма за възстановяване и устойчивост; изразява съжаление във връзка с отпускането на средства от ЕС на </w:t>
            </w:r>
            <w:r>
              <w:rPr>
                <w:b/>
                <w:i/>
              </w:rPr>
              <w:t>Унгария</w:t>
            </w:r>
            <w:r>
              <w:t xml:space="preserve"> въпреки недостатъците в рамките на независимостта на съдебната власт и борбата с корупцията в тази държава; препоръчва да се спрат плащанията, докато </w:t>
            </w:r>
            <w:r>
              <w:rPr>
                <w:b/>
                <w:i/>
              </w:rPr>
              <w:t>не бъдат изпълнени</w:t>
            </w:r>
            <w:r>
              <w:t xml:space="preserve"> всички критерии във връзка с принципите на правовата държава;</w:t>
            </w:r>
          </w:p>
        </w:tc>
        <w:tc>
          <w:tcPr>
            <w:tcW w:w="4876" w:type="dxa"/>
            <w:tcBorders>
              <w:top w:val="nil"/>
              <w:left w:val="nil"/>
              <w:bottom w:val="nil"/>
              <w:right w:val="nil"/>
            </w:tcBorders>
          </w:tcPr>
          <w:p>
            <w:pPr>
              <w:pStyle w:val="Normal6a"/>
            </w:pPr>
            <w:r>
              <w:t>35.</w:t>
            </w:r>
            <w:r>
              <w:tab/>
            </w:r>
            <w:r>
              <w:t xml:space="preserve">подчертава, че е важно ключовите етапи във връзка с принципите на правовата държава да бъдат включени в инструменти за финансиране като Механизма за възстановяване и устойчивост; изразява съжаление във връзка с отпускането на средства от ЕС на </w:t>
            </w:r>
            <w:r>
              <w:rPr>
                <w:b/>
                <w:i/>
              </w:rPr>
              <w:t>унгарското правителство</w:t>
            </w:r>
            <w:r>
              <w:t xml:space="preserve"> въпреки недостатъците в рамките на независимостта на съдебната власт и борбата с корупцията в тази държава; препоръчва да се спрат плащанията </w:t>
            </w:r>
            <w:r>
              <w:rPr>
                <w:b/>
                <w:i/>
              </w:rPr>
              <w:t>към унгарското правителство</w:t>
            </w:r>
            <w:r>
              <w:t xml:space="preserve">, докато </w:t>
            </w:r>
            <w:r>
              <w:rPr>
                <w:b/>
                <w:i/>
              </w:rPr>
              <w:t>то не изпълни</w:t>
            </w:r>
            <w:r>
              <w:t xml:space="preserve"> всички критерии във връзка с принципите на правовата държава; </w:t>
            </w:r>
            <w:r>
              <w:rPr>
                <w:b/>
                <w:i/>
              </w:rPr>
              <w:t>настоятелно призовава Комисията да гарантира, че средствата на ЕС достигат до унгарското население, включително чрез пряко или непряко финансиране за крайните получатели и бенефициери, независимо от унгарското правителство;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Мариуш Камински, Йоахим Станислав Бруджински, Ядвига Вишневска, Мачей Воншик, Яцек Оздоба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подчертава, че </w:t>
            </w:r>
            <w:r>
              <w:rPr>
                <w:b/>
                <w:i/>
              </w:rPr>
              <w:t>е важно</w:t>
            </w:r>
            <w:r>
              <w:t xml:space="preserve"> ключовите етапи във връзка с принципите на правовата държава </w:t>
            </w:r>
            <w:r>
              <w:rPr>
                <w:b/>
                <w:i/>
              </w:rPr>
              <w:t>да бъдат включени</w:t>
            </w:r>
            <w:r>
              <w:t xml:space="preserve"> в инструменти за финансиране като Механизма за възстановяване и устойчивост</w:t>
            </w:r>
            <w:r>
              <w:rPr>
                <w:b/>
                <w:i/>
              </w:rPr>
              <w:t>;</w:t>
            </w:r>
            <w:r>
              <w:t xml:space="preserve"> </w:t>
            </w:r>
            <w:r>
              <w:rPr>
                <w:b/>
                <w:i/>
              </w:rPr>
              <w:t>изразява съжаление във връзка с</w:t>
            </w:r>
            <w:r>
              <w:t xml:space="preserve"> отпускането на средства от ЕС на Унгария </w:t>
            </w:r>
            <w:r>
              <w:rPr>
                <w:b/>
                <w:i/>
              </w:rPr>
              <w:t>въпреки недостатъците</w:t>
            </w:r>
            <w:r>
              <w:t xml:space="preserve"> в рамките на независимостта на съдебната власт и борбата с корупцията в тази държава</w:t>
            </w:r>
            <w:r>
              <w:rPr>
                <w:b/>
                <w:i/>
              </w:rPr>
              <w:t>;</w:t>
            </w:r>
            <w:r>
              <w:t xml:space="preserve"> </w:t>
            </w:r>
            <w:r>
              <w:rPr>
                <w:b/>
                <w:i/>
              </w:rPr>
              <w:t>препоръчва да се спрат плащанията, докато не бъдат изпълнени всички</w:t>
            </w:r>
            <w:r>
              <w:t xml:space="preserve"> критерии във връзка с принципите на правовата държава;</w:t>
            </w:r>
          </w:p>
        </w:tc>
        <w:tc>
          <w:tcPr>
            <w:tcW w:w="4876" w:type="dxa"/>
            <w:tcBorders>
              <w:top w:val="nil"/>
              <w:left w:val="nil"/>
              <w:bottom w:val="nil"/>
              <w:right w:val="nil"/>
            </w:tcBorders>
          </w:tcPr>
          <w:p>
            <w:pPr>
              <w:pStyle w:val="Normal6a"/>
            </w:pPr>
            <w:r>
              <w:t>35.</w:t>
            </w:r>
            <w:r>
              <w:tab/>
            </w:r>
            <w:r>
              <w:t xml:space="preserve">подчертава, че </w:t>
            </w:r>
            <w:r>
              <w:rPr>
                <w:b/>
                <w:i/>
              </w:rPr>
              <w:t>прилагането на</w:t>
            </w:r>
            <w:r>
              <w:t xml:space="preserve"> ключовите етапи във връзка с принципите на правовата държава в инструменти за финансиране като Механизма за възстановяване и устойчивост</w:t>
            </w:r>
            <w:r>
              <w:rPr>
                <w:b/>
                <w:i/>
              </w:rPr>
              <w:t> е несъвместимо със задължението за спазване на Договорите и за следване на подход, основан на обективни критерии;</w:t>
            </w:r>
            <w:r>
              <w:t xml:space="preserve"> </w:t>
            </w:r>
            <w:r>
              <w:rPr>
                <w:b/>
                <w:i/>
              </w:rPr>
              <w:t>отбелязва</w:t>
            </w:r>
            <w:r>
              <w:t xml:space="preserve"> отпускането на средства от ЕС на Унгария</w:t>
            </w:r>
            <w:r>
              <w:rPr>
                <w:b/>
                <w:i/>
              </w:rPr>
              <w:t>, което не противоречи на Договорите, и че предполагаемите недостатъци</w:t>
            </w:r>
            <w:r>
              <w:t xml:space="preserve"> в рамките на независимостта на съдебната власт и борбата с корупцията в тази държава </w:t>
            </w:r>
            <w:r>
              <w:rPr>
                <w:b/>
                <w:i/>
              </w:rPr>
              <w:t>следва да бъдат преодолени в процедури, които са в съответствие с Договорите;</w:t>
            </w:r>
            <w:r>
              <w:t xml:space="preserve"> </w:t>
            </w:r>
            <w:r>
              <w:rPr>
                <w:b/>
                <w:i/>
              </w:rPr>
              <w:t>подчертава, че отпускането на средства от фондовете на ЕС не е свързано с произволни</w:t>
            </w:r>
            <w:r>
              <w:t xml:space="preserve"> критерии във връзка с принципите на правовата държава;</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Даниел Фройнд</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подчертава, че е важно ключовите етапи във връзка с принципите на правовата държава да бъдат включени в инструменти за финансиране като Механизма за възстановяване и устойчивост; изразява съжаление във връзка с отпускането на средства от ЕС на </w:t>
            </w:r>
            <w:r>
              <w:rPr>
                <w:b/>
                <w:i/>
              </w:rPr>
              <w:t>Унгария</w:t>
            </w:r>
            <w:r>
              <w:t xml:space="preserve"> въпреки недостатъците в рамките на независимостта на съдебната власт и борбата с корупцията в тази държава; препоръчва да се спрат плащанията, докато </w:t>
            </w:r>
            <w:r>
              <w:rPr>
                <w:b/>
                <w:i/>
              </w:rPr>
              <w:t>не бъдат изпълнени</w:t>
            </w:r>
            <w:r>
              <w:t xml:space="preserve"> всички критерии във връзка с принципите на правовата държава;</w:t>
            </w:r>
          </w:p>
        </w:tc>
        <w:tc>
          <w:tcPr>
            <w:tcW w:w="4876" w:type="dxa"/>
            <w:tcBorders>
              <w:top w:val="nil"/>
              <w:left w:val="nil"/>
              <w:bottom w:val="nil"/>
              <w:right w:val="nil"/>
            </w:tcBorders>
          </w:tcPr>
          <w:p>
            <w:pPr>
              <w:pStyle w:val="Normal6a"/>
            </w:pPr>
            <w:r>
              <w:t>35.</w:t>
            </w:r>
            <w:r>
              <w:tab/>
            </w:r>
            <w:r>
              <w:t xml:space="preserve">подчертава, че е важно ключовите етапи във връзка с принципите на правовата държава да бъдат включени в инструменти за финансиране като Механизма за възстановяване и устойчивост; изразява съжаление във връзка с отпускането на средства от ЕС на </w:t>
            </w:r>
            <w:r>
              <w:rPr>
                <w:b/>
                <w:i/>
              </w:rPr>
              <w:t>унгарското правителство</w:t>
            </w:r>
            <w:r>
              <w:t xml:space="preserve"> въпреки недостатъците в рамките на независимостта на съдебната власт и борбата с корупцията в тази държава; препоръчва да се спрат плащанията </w:t>
            </w:r>
            <w:r>
              <w:rPr>
                <w:b/>
                <w:i/>
              </w:rPr>
              <w:t>към унгарското правителство</w:t>
            </w:r>
            <w:r>
              <w:t xml:space="preserve">, докато </w:t>
            </w:r>
            <w:r>
              <w:rPr>
                <w:b/>
                <w:i/>
              </w:rPr>
              <w:t>то не изпълни</w:t>
            </w:r>
            <w:r>
              <w:t xml:space="preserve"> всички критерии във връзка с принципите на правовата държава; </w:t>
            </w:r>
            <w:r>
              <w:rPr>
                <w:b/>
                <w:i/>
              </w:rPr>
              <w:t>настоятелно призовава Комисията да гарантира, че средствата на ЕС достигат до унгарското население, като същевременно се запази пълното въздействие на предприетите мерки;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Никола Минчев, Мориц Кьорнер, Вероника Цифрова Острихоньова, Абир Ал-Сахлани, Клое Ридел, Алесандро Дзан, Фабиен Келер, Луция Яр, Ирена Йовева, Изабел Визелер-Лима, Даниел Фройнд</w:t>
      </w:r>
      <w:r>
        <w:rPr>
          <w:rStyle w:val="HideTWBExt"/>
          <w:b w:val="0"/>
        </w:rPr>
        <w:t>&lt;/Members&gt;</w:t>
      </w:r>
    </w:p>
    <w:p>
      <w:r>
        <w:rPr>
          <w:rStyle w:val="HideTWBExt"/>
          <w:b w:val="0"/>
        </w:rPr>
        <w:t>&lt;AuNomDe&gt;</w:t>
      </w:r>
      <w:r>
        <w:rPr>
          <w:rStyle w:val="HideTWBInt"/>
        </w:rPr>
        <w:t>{LIBE}</w:t>
      </w:r>
      <w:r>
        <w:t>от името на комисията по граждански свободи, правосъдие и вътрешни работи</w:t>
      </w:r>
      <w:r>
        <w:rPr>
          <w:rStyle w:val="HideTWBExt"/>
          <w:b w:val="0"/>
        </w:rPr>
        <w:t>&lt;/AuNomDe&gt;</w:t>
      </w:r>
    </w:p>
    <w:p>
      <w:pPr>
        <w:pStyle w:val="NormalBold"/>
      </w:pPr>
      <w:r>
        <w:rPr>
          <w:rStyle w:val="HideTWBExt"/>
          <w:b w:val="0"/>
        </w:rPr>
        <w:t>&lt;Members&gt;</w:t>
      </w:r>
      <w:r>
        <w:t>Софи Вилмес, Хилде Вотманс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подчертава, че е важно ключовите етапи във връзка с принципите на правовата държава да бъдат включени в инструменти за финансиране като Механизма за възстановяване и устойчивост; изразява съжаление във връзка с отпускането на средства от ЕС на Унгария въпреки недостатъците в рамките на независимостта на съдебната власт и борбата с корупцията в тази държава; препоръчва да се спрат плащанията, докато не бъдат изпълнени всички критерии във връзка с принципите на правовата държава;</w:t>
            </w:r>
          </w:p>
        </w:tc>
        <w:tc>
          <w:tcPr>
            <w:tcW w:w="4876" w:type="dxa"/>
            <w:tcBorders>
              <w:top w:val="nil"/>
              <w:left w:val="nil"/>
              <w:bottom w:val="nil"/>
              <w:right w:val="nil"/>
            </w:tcBorders>
          </w:tcPr>
          <w:p>
            <w:pPr>
              <w:pStyle w:val="Normal6a"/>
            </w:pPr>
            <w:r>
              <w:t>35.</w:t>
            </w:r>
            <w:r>
              <w:tab/>
            </w:r>
            <w:r>
              <w:t xml:space="preserve">подчертава, че е важно ключовите етапи във връзка с принципите на правовата държава да бъдат включени в инструменти за финансиране като Механизма за възстановяване и устойчивост; </w:t>
            </w:r>
            <w:r>
              <w:rPr>
                <w:b/>
                <w:i/>
              </w:rPr>
              <w:t>изисква бъдещата МФР да включва стабилни гаранции за принципите на правовата държава, приложими за всички фондове на ЕС;</w:t>
            </w:r>
            <w:r>
              <w:t xml:space="preserve"> изразява съжаление във връзка с отпускането на средства от ЕС на Унгария въпреки недостатъците в рамките на независимостта на съдебната власт и борбата с корупцията в тази държава; препоръчва да се спрат плащанията, докато не бъдат изпълнени всички критерии във връзка с принципите на правовата държава;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Кшищоф Шмишек, Матяж Немец, Роберт Бедрон, Катарина Барли, Чечилия Страда, Клара Добрев, Чаба Молнар, Ема Рафович, Алесандро Дзан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35а.</w:t>
            </w:r>
            <w:r>
              <w:tab/>
            </w:r>
            <w:r>
              <w:rPr>
                <w:b/>
                <w:i/>
              </w:rPr>
              <w:t>изразява дълбока загриженост относно възхода на крайно десния екстремизъм и неговото уронващо въздействие върху демократичните норми и принципите на правовата държава в няколко държави членки;</w:t>
            </w:r>
            <w:r>
              <w:t xml:space="preserve"> </w:t>
            </w:r>
            <w:r>
              <w:rPr>
                <w:b/>
                <w:i/>
              </w:rPr>
              <w:t>призовава за координирани действия на ЕС за противодействие на тази заплаха, включително чрез образование, програми за социално приобщаване и когато е необходимо, правни мерки;</w:t>
            </w:r>
            <w:r>
              <w:t xml:space="preserve"> </w:t>
            </w:r>
            <w:r>
              <w:rPr>
                <w:b/>
                <w:i/>
              </w:rPr>
              <w:t>отбелязва със загриженост, че тези групи активно се насочват към малцинства, включително ЛГБТКИ+ лица, и допринасят за климат на страх и дискриминация;</w:t>
            </w:r>
            <w:r>
              <w:t xml:space="preserve"> </w:t>
            </w:r>
            <w:r>
              <w:rPr>
                <w:b/>
                <w:i/>
              </w:rPr>
              <w:t>призовава Комисията изрично да определи тези групи като заплаха за демокрацията, правата на човека и основните свободи, включително академичната независимост и независимостта на медиите, в своя годишен доклад относно върховенството на закона;</w:t>
            </w:r>
            <w:r>
              <w:t xml:space="preserve"> </w:t>
            </w:r>
            <w:r>
              <w:rPr>
                <w:b/>
                <w:i/>
              </w:rPr>
              <w:t>настоятелно призовава държавите членки да предприемат решителни мерки за противодействие на тяхното влияние чрез стабилни правни рамки, образование, насърчаващо демократичните ценности, и подкрепа за организациите на гражданското общество, които се борят срещу екстремизма;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Ана Катарина Мендеш, Клое Ридел, Сандро Руотоло, Франсишку Асиш, Ханес Хайде, Пина Пичерно, Матяж Немец, Ема Рафович, Кшищоф Шмишек, Катарина Барли, Евин Инсир, Хуан Фернандо Лопес Агилар, Начо Санчес Амор, Марко Таркуинио, Хавиер Морено Санчес, Алесандро Дзан, Исабел Сера Санчес, Чечилия Страда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35а.</w:t>
            </w:r>
            <w:r>
              <w:tab/>
            </w:r>
            <w:r>
              <w:rPr>
                <w:b/>
                <w:i/>
              </w:rPr>
              <w:t>призовава за въвеждането на основан на резултатите инструмент въз основа на зачитането на човешкото достойнство, свободата, демокрацията, равенството, принципите на правовата държава и правата на човека в Регламента за многогодишната финансова рамка с цел по-голямо съответствие между зачитането на тези принципи и отпускането на средства от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Мориц Кьорнер, Малик Азмани, Дайнюс Жалимас, Луция Яр, Фабиен Келер, Софи Вилмес, Ракел Гарсия Ермида-ван дер Вале, Абир Ал-Сахлани, Вероника Цифрова Острихоньова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35а.</w:t>
            </w:r>
            <w:r>
              <w:tab/>
            </w:r>
            <w:r>
              <w:rPr>
                <w:b/>
                <w:i/>
              </w:rPr>
              <w:t>настоява да се въведе по-тясна връзка между констатациите в доклада относно върховенството на закона и разпределението на финансовата подкрепа от бюджета на Съюза под формата на междинни плащания, като се гарантира, че средствата на ЕС са обвързани с постигането на необходимите реформи;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Ана Катарина Мендеш, Клое Ридел, Сандро Руотоло, Франсишку Асиш, Ханес Хайде, Пина Пичерно, Матяж Немец, Ема Рафович, Кшищоф Шмишек, Катарина Барли, Евин Инсир, Хуан Фернандо Лопес Агилар, Начо Санчес Амор, Марко Таркуинио, Хавиер Морено Санчес, Клара Добрев, Чаба Молнар, Мориц Кьорнер, Даниел Фройнд, Чечилия Страда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35б.</w:t>
            </w:r>
            <w:r>
              <w:tab/>
            </w:r>
            <w:r>
              <w:rPr>
                <w:b/>
                <w:i/>
              </w:rPr>
              <w:t>изразява загриженост, че датата на публикуване на годишния доклад относно върховенството на закона не допринася за осигуряването на достатъчна видимост и противоречи на целта на доклада да се предизвика истински обществен дебат относно неговите констатации;</w:t>
            </w:r>
            <w:r>
              <w:t xml:space="preserve"> </w:t>
            </w:r>
            <w:r>
              <w:rPr>
                <w:b/>
                <w:i/>
              </w:rPr>
              <w:t>настоятелно призовава Комисията да преразгледа датата на публикуване и да положи допълнителни усилия, за да направи констатациите му широко известни във всички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Мориц Кьорнер, Малик Азмани, Дайнюс Жалимас, Луция Яр, Фабиен Келер, Софи Вилмес, Ракел Гарсия Ермида-ван дер Вале, Абир Ал-Сахлани, Вероника Цифрова Острихоньова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35б.</w:t>
            </w:r>
            <w:r>
              <w:tab/>
            </w:r>
            <w:r>
              <w:rPr>
                <w:b/>
                <w:i/>
              </w:rPr>
              <w:t>очаква докладът на Комисията относно върховенството на закона за 2025 г. да определи срокове за изпълнение на специфичните за всяка държава препоръки;</w:t>
            </w:r>
            <w:r>
              <w:t xml:space="preserve"> </w:t>
            </w:r>
            <w:r>
              <w:rPr>
                <w:b/>
                <w:i/>
              </w:rPr>
              <w:t>поддържа становището, че замразените средства на ЕС следва да бъдат освободени едва след като бъдат изцяло осъществени значими реформи и след като спазването на принципите на правовата държава бъде постигнато по доказуем начин на практика;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Кшищоф Шмишек, Матяж Немец, Роберт Бедрон, Катарина Барли, Чечилия Страда, Клара Добрев, 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35б.</w:t>
            </w:r>
            <w:r>
              <w:tab/>
            </w:r>
            <w:r>
              <w:rPr>
                <w:b/>
                <w:i/>
              </w:rPr>
              <w:t>насърчава държавите членки да укрепят демокрацията в областта на околната среда, като гарантират пълното прилагане на Орхуската конвенция, по-специално по отношение на достъпа до правосъдие по въпроси на околната среда и защитата на активистите и организациите в областта на околната среда;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Никола Бе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счита, че междуинституционалният диалог и сътрудничеството на равнище ЕС по отношение на принципите на правовата държава следва да бъдат засилени;</w:t>
            </w:r>
            <w:r>
              <w:t xml:space="preserve"> </w:t>
            </w:r>
            <w:r>
              <w:rPr>
                <w:b/>
                <w:i/>
              </w:rPr>
              <w:t>призовава за установяване на постоянен междуинституционален диалог относно принципите на правовата държава, включващ, наред с другото, Парламента, Съвета и Комисията;</w:t>
            </w:r>
            <w:r>
              <w:t xml:space="preserve"> </w:t>
            </w:r>
            <w:r>
              <w:rPr>
                <w:b/>
                <w:i/>
              </w:rPr>
              <w:t>призовава Съвета да направи диалога си относно принципите на правовата държава по-приобщаващ, като покани на заседанията си други институции, като Венецианската комисия, комисаря по правата на човека и представители на Парламента;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Ерик Калиняк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счита, че междуинституционалният диалог и сътрудничеството на равнище ЕС по отношение на принципите на правовата държава следва да бъдат засилени;</w:t>
            </w:r>
            <w:r>
              <w:t xml:space="preserve"> </w:t>
            </w:r>
            <w:r>
              <w:rPr>
                <w:b/>
                <w:i/>
              </w:rPr>
              <w:t>призовава за установяване на постоянен междуинституционален диалог относно принципите на правовата държава, включващ, наред с другото, Парламента, Съвета и Комисията;</w:t>
            </w:r>
            <w:r>
              <w:t xml:space="preserve"> </w:t>
            </w:r>
            <w:r>
              <w:rPr>
                <w:b/>
                <w:i/>
              </w:rPr>
              <w:t>призовава Съвета да направи диалога си относно принципите на правовата държава по-приобщаващ, като покани на заседанията си други институции, като Венецианската комисия, комисаря по правата на човека и представители на Парламента;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Андраш Ласло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счита, че междуинституционалният диалог и сътрудничеството на равнище ЕС по отношение на принципите на правовата държава следва да бъдат засилени;</w:t>
            </w:r>
            <w:r>
              <w:t xml:space="preserve"> </w:t>
            </w:r>
            <w:r>
              <w:rPr>
                <w:b/>
                <w:i/>
              </w:rPr>
              <w:t>призовава за установяване на постоянен междуинституционален диалог относно принципите на правовата държава, включващ, наред с другото, Парламента, Съвета и Комисията;</w:t>
            </w:r>
            <w:r>
              <w:t xml:space="preserve"> </w:t>
            </w:r>
            <w:r>
              <w:rPr>
                <w:b/>
                <w:i/>
              </w:rPr>
              <w:t>призовава Съвета да направи диалога си относно принципите на правовата държава по-приобщаващ, като покани на заседанията си други институции, като Венецианската комисия, комисаря по правата на човека и представители на Парламента;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Даниел Фройнд</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счита, че междуинституционалният диалог и сътрудничеството на равнище ЕС по отношение на принципите на правовата държава следва да бъдат засилени; призовава </w:t>
            </w:r>
            <w:r>
              <w:rPr>
                <w:b/>
                <w:i/>
              </w:rPr>
              <w:t>за установяване на постоянен</w:t>
            </w:r>
            <w:r>
              <w:t xml:space="preserve"> междуинституционален </w:t>
            </w:r>
            <w:r>
              <w:rPr>
                <w:b/>
                <w:i/>
              </w:rPr>
              <w:t>диалог</w:t>
            </w:r>
            <w:r>
              <w:t xml:space="preserve"> относно </w:t>
            </w:r>
            <w:r>
              <w:rPr>
                <w:b/>
                <w:i/>
              </w:rPr>
              <w:t>принципите на правовата държава, включващ, наред с другото, Парламента, Съвета и Комисията</w:t>
            </w:r>
            <w:r>
              <w:t>; призовава Съвета да направи диалога си относно принципите на правовата държава по-приобщаващ, като покани на заседанията си други институции, като Венецианската комисия, комисаря по правата на човека и представители на Парламента;</w:t>
            </w:r>
          </w:p>
        </w:tc>
        <w:tc>
          <w:tcPr>
            <w:tcW w:w="4876" w:type="dxa"/>
            <w:tcBorders>
              <w:top w:val="nil"/>
              <w:left w:val="nil"/>
              <w:bottom w:val="nil"/>
              <w:right w:val="nil"/>
            </w:tcBorders>
          </w:tcPr>
          <w:p>
            <w:pPr>
              <w:pStyle w:val="Normal6a"/>
            </w:pPr>
            <w:r>
              <w:t>36.</w:t>
            </w:r>
            <w:r>
              <w:tab/>
            </w:r>
            <w:r>
              <w:t xml:space="preserve">счита, че междуинституционалният диалог и сътрудничеството на равнище ЕС по отношение на принципите на правовата държава следва да бъдат засилени; </w:t>
            </w:r>
            <w:r>
              <w:rPr>
                <w:b/>
                <w:i/>
              </w:rPr>
              <w:t>изразява съжаление, че досега Комисията и Съветът са отхвърляли предложението на Парламента за сключване на междуинституционално споразумение относно демокрацията, върховенството на закона и основните права;</w:t>
            </w:r>
            <w:r>
              <w:t xml:space="preserve"> </w:t>
            </w:r>
            <w:r>
              <w:rPr>
                <w:b/>
                <w:i/>
              </w:rPr>
              <w:t>отново потвърждава готовността си да възобнови преговорите по това споразумение;</w:t>
            </w:r>
            <w:r>
              <w:t xml:space="preserve"> призовава </w:t>
            </w:r>
            <w:r>
              <w:rPr>
                <w:b/>
                <w:i/>
              </w:rPr>
              <w:t>другите институции междувременно най-малкото да проучат възможностите за по-нататъшно сътрудничество в контекста на предложения</w:t>
            </w:r>
            <w:r>
              <w:t xml:space="preserve"> междуинституционален </w:t>
            </w:r>
            <w:r>
              <w:rPr>
                <w:b/>
                <w:i/>
              </w:rPr>
              <w:t>пилотен проект</w:t>
            </w:r>
            <w:r>
              <w:t xml:space="preserve"> относно </w:t>
            </w:r>
            <w:r>
              <w:rPr>
                <w:b/>
                <w:i/>
              </w:rPr>
              <w:t>демокрацията, върховенството на закона и основните права, което би спомогнало за изграждането на доверие между институциите по практически начин, по-специално чрез споделяне на практики за наблюдение, диалог и срещи</w:t>
            </w:r>
            <w:r>
              <w:t>; призовава Съвета да направи диалога си относно принципите на правовата държава по-приобщаващ, като покани на заседанията си други институции, като Венецианската комисия, комисаря </w:t>
            </w:r>
            <w:r>
              <w:rPr>
                <w:b/>
                <w:i/>
              </w:rPr>
              <w:t>на Съвета на Европа </w:t>
            </w:r>
            <w:r>
              <w:t xml:space="preserve">по правата на човека и представители на Парламента; </w:t>
            </w:r>
            <w:r>
              <w:rPr>
                <w:b/>
                <w:i/>
              </w:rPr>
              <w:t>счита, че диалогът относно принципите на правовата държава на Съвета следва да стане по-интерактивен и съществен, поради което призовава държавите членки да инвестират в подходяща подготовка за този диалог;</w:t>
            </w:r>
            <w:r>
              <w:t xml:space="preserve"> </w:t>
            </w:r>
            <w:r>
              <w:rPr>
                <w:b/>
                <w:i/>
              </w:rPr>
              <w:t>подчертава, че повишената прозрачност би засилила диалога по принципите на правовата държава в рамките на Съюза, и поради това приканва Съвета за публично провеждане на обсъжданията по държави, както и за подробни публични заключения;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 Хорхе Бусаде Виялба, Марике Елерс, Малика Сорел, Фабрис Леджери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счита, че междуинституционалният диалог и сътрудничеството на равнище ЕС по отношение на принципите на правовата държава </w:t>
            </w:r>
            <w:r>
              <w:rPr>
                <w:b/>
                <w:i/>
              </w:rPr>
              <w:t>следва да бъдат засилени;</w:t>
            </w:r>
            <w:r>
              <w:t xml:space="preserve"> </w:t>
            </w:r>
            <w:r>
              <w:rPr>
                <w:b/>
                <w:i/>
              </w:rPr>
              <w:t>призовава за установяване на постоянен междуинституционален диалог относно принципите на правовата държава, включващ, наред с другото, Парламента, Съвета и Комисията;</w:t>
            </w:r>
            <w:r>
              <w:t xml:space="preserve"> </w:t>
            </w:r>
            <w:r>
              <w:rPr>
                <w:b/>
                <w:i/>
              </w:rPr>
              <w:t>призовава Съвета да направи диалога си относно принципите на правовата държава по-приобщаващ, като покани на заседанията си други институции, като Венецианската комисия, комисаря по правата на човека и представители на Парламента</w:t>
            </w:r>
            <w:r>
              <w:t>;</w:t>
            </w:r>
          </w:p>
        </w:tc>
        <w:tc>
          <w:tcPr>
            <w:tcW w:w="4876" w:type="dxa"/>
            <w:tcBorders>
              <w:top w:val="nil"/>
              <w:left w:val="nil"/>
              <w:bottom w:val="nil"/>
              <w:right w:val="nil"/>
            </w:tcBorders>
          </w:tcPr>
          <w:p>
            <w:pPr>
              <w:pStyle w:val="Normal6a"/>
            </w:pPr>
            <w:r>
              <w:t>36.</w:t>
            </w:r>
            <w:r>
              <w:tab/>
            </w:r>
            <w:r>
              <w:t xml:space="preserve">счита, че междуинституционалният диалог и сътрудничеството на равнище ЕС по отношение на принципите на правовата държава </w:t>
            </w:r>
            <w:r>
              <w:rPr>
                <w:b/>
                <w:i/>
              </w:rPr>
              <w:t>и борбата с корупцията следва да бъдат засилени чрез включване на институциите на ЕС в контрола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Никола Минчев, Мориц Кьорнер, Вероника Цифрова Острихоньова, Абир Ал-Сахлани, Клое Ридел, Алесандро Дзан, Фабиен Келер, Луция Яр, Изабел Визелер-Лима, Даниел Фройнд</w:t>
      </w:r>
      <w:r>
        <w:rPr>
          <w:rStyle w:val="HideTWBExt"/>
          <w:b w:val="0"/>
        </w:rPr>
        <w:t>&lt;/Members&gt;</w:t>
      </w:r>
    </w:p>
    <w:p>
      <w:r>
        <w:rPr>
          <w:rStyle w:val="HideTWBExt"/>
          <w:b w:val="0"/>
        </w:rPr>
        <w:t>&lt;AuNomDe&gt;</w:t>
      </w:r>
      <w:r>
        <w:rPr>
          <w:rStyle w:val="HideTWBInt"/>
        </w:rPr>
        <w:t>{LIBE}</w:t>
      </w:r>
      <w:r>
        <w:t>от името на комисията по граждански свободи, правосъдие и вътрешни работи</w:t>
      </w:r>
      <w:r>
        <w:rPr>
          <w:rStyle w:val="HideTWBExt"/>
          <w:b w:val="0"/>
        </w:rPr>
        <w:t>&lt;/AuNomDe&gt;</w:t>
      </w:r>
    </w:p>
    <w:p>
      <w:pPr>
        <w:pStyle w:val="NormalBold"/>
      </w:pPr>
      <w:r>
        <w:rPr>
          <w:rStyle w:val="HideTWBExt"/>
          <w:b w:val="0"/>
        </w:rPr>
        <w:t>&lt;Members&gt;</w:t>
      </w:r>
      <w:r>
        <w:t>Софи Вилмес, Хилде Вотманс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счита, че междуинституционалният диалог и сътрудничеството на равнище ЕС по отношение на принципите на правовата държава следва да бъдат засилени; призовава за установяване на постоянен междуинституционален диалог относно принципите на правовата държава, включващ</w:t>
            </w:r>
            <w:r>
              <w:rPr>
                <w:b/>
                <w:i/>
              </w:rPr>
              <w:t>, наред с другото,</w:t>
            </w:r>
            <w:r>
              <w:t xml:space="preserve"> Парламента, Съвета и Комисията; призовава Съвета да направи диалога си относно принципите на правовата държава по-приобщаващ, като покани на заседанията си други институции, като Венецианската комисия, комисаря по правата на човека и представители на Парламента;</w:t>
            </w:r>
          </w:p>
        </w:tc>
        <w:tc>
          <w:tcPr>
            <w:tcW w:w="4876" w:type="dxa"/>
            <w:tcBorders>
              <w:top w:val="nil"/>
              <w:left w:val="nil"/>
              <w:bottom w:val="nil"/>
              <w:right w:val="nil"/>
            </w:tcBorders>
          </w:tcPr>
          <w:p>
            <w:pPr>
              <w:pStyle w:val="Normal6a"/>
            </w:pPr>
            <w:r>
              <w:t>36.</w:t>
            </w:r>
            <w:r>
              <w:tab/>
            </w:r>
            <w:r>
              <w:t xml:space="preserve">счита, че междуинституционалният диалог и сътрудничеството на равнище ЕС по отношение на принципите на правовата държава следва да бъдат засилени; призовава за установяване на постоянен междуинституционален диалог </w:t>
            </w:r>
            <w:r>
              <w:rPr>
                <w:b/>
                <w:i/>
              </w:rPr>
              <w:t>чрез сключване на междуинституционално споразумение</w:t>
            </w:r>
            <w:r>
              <w:t xml:space="preserve"> относно принципите на правовата държава, включващ Парламента, Съвета и Комисията; призовава Съвета да направи диалога си относно принципите на правовата държава по-приобщаващ, като покани на заседанията си други институции, като Венецианската комисия, комисаря по правата на човека и представители на Парламента</w:t>
            </w:r>
            <w:r>
              <w:rPr>
                <w:b/>
                <w:i/>
              </w:rPr>
              <w:t>, или поне като предоставя на Европейския парламент систематична обратна информация за срещите за диалог относно принципите на правовата държава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Михал Ваврикевич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счита, че междуинституционалният диалог и сътрудничеството на равнище ЕС по отношение на принципите на правовата държава следва да бъдат засилени; призовава за установяване на постоянен междуинституционален диалог относно принципите на правовата държава, включващ, наред с другото, Парламента, Съвета и Комисията; призовава Съвета да направи диалога си относно принципите на правовата държава по-приобщаващ, като покани на заседанията си други институции, като Венецианската комисия, комисаря по правата на човека и представители на Парламента;</w:t>
            </w:r>
          </w:p>
        </w:tc>
        <w:tc>
          <w:tcPr>
            <w:tcW w:w="4876" w:type="dxa"/>
            <w:tcBorders>
              <w:top w:val="nil"/>
              <w:left w:val="nil"/>
              <w:bottom w:val="nil"/>
              <w:right w:val="nil"/>
            </w:tcBorders>
          </w:tcPr>
          <w:p>
            <w:pPr>
              <w:pStyle w:val="Normal6a"/>
            </w:pPr>
            <w:r>
              <w:t>36.</w:t>
            </w:r>
            <w:r>
              <w:tab/>
            </w:r>
            <w:r>
              <w:t xml:space="preserve">счита, че междуинституционалният диалог и сътрудничеството на равнище ЕС по отношение на принципите на правовата държава следва да бъдат засилени; призовава за установяване на постоянен междуинституционален диалог относно принципите на правовата държава, включващ, наред с другото, Парламента, Съвета и Комисията; призовава Съвета да направи диалога си относно принципите на правовата държава по-приобщаващ, като покани на заседанията си други институции, като Венецианската комисия, комисаря по правата на човека и представители на Парламента; </w:t>
            </w:r>
            <w:r>
              <w:rPr>
                <w:b/>
                <w:i/>
              </w:rPr>
              <w:t>настоятелно призовава Съвета да работи с националните парламенти за засилване на демократичния контрол върху спазването от страна на държавите членки на стандартите на ЕС за принципите на правовата държава;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Мариуш Камински, Йоахим Станислав Бруджински, Ядвига Вишневска, Мачей Воншик, Яцек Оздоба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счита, че междуинституционалният</w:t>
            </w:r>
            <w:r>
              <w:t xml:space="preserve"> диалог и сътрудничеството на равнище ЕС по отношение на принципите на правовата държава </w:t>
            </w:r>
            <w:r>
              <w:rPr>
                <w:b/>
                <w:i/>
              </w:rPr>
              <w:t>следва да бъдат засилени;</w:t>
            </w:r>
            <w:r>
              <w:t xml:space="preserve"> </w:t>
            </w:r>
            <w:r>
              <w:rPr>
                <w:b/>
                <w:i/>
              </w:rPr>
              <w:t>призовава за установяване на постоянен междуинституционален диалог относно принципите на правовата държава, включващ, наред с другото, Парламента, Съвета и Комисията;</w:t>
            </w:r>
            <w:r>
              <w:t xml:space="preserve"> </w:t>
            </w:r>
            <w:r>
              <w:rPr>
                <w:b/>
                <w:i/>
              </w:rPr>
              <w:t>призовава Съвета да направи диалога си относно принципите на правовата държава по-приобщаващ, като покани на заседанията си други институции, като Венецианската комисия, комисаря по правата на човека и представители на Парламента</w:t>
            </w:r>
            <w:r>
              <w:t>;</w:t>
            </w:r>
          </w:p>
        </w:tc>
        <w:tc>
          <w:tcPr>
            <w:tcW w:w="4876" w:type="dxa"/>
            <w:tcBorders>
              <w:top w:val="nil"/>
              <w:left w:val="nil"/>
              <w:bottom w:val="nil"/>
              <w:right w:val="nil"/>
            </w:tcBorders>
          </w:tcPr>
          <w:p>
            <w:pPr>
              <w:pStyle w:val="Normal6a"/>
            </w:pPr>
            <w:r>
              <w:t>36.</w:t>
            </w:r>
            <w:r>
              <w:tab/>
            </w:r>
            <w:r>
              <w:rPr>
                <w:b/>
                <w:i/>
              </w:rPr>
              <w:t>отбелязва, че има призиви за засилване на междуинституционалния</w:t>
            </w:r>
            <w:r>
              <w:t xml:space="preserve"> диалог и сътрудничеството на равнище ЕС по отношение на принципите на правовата държава</w:t>
            </w:r>
            <w:r>
              <w:rPr>
                <w:b/>
                <w:i/>
              </w:rPr>
              <w:t>, въпреки че това не е в съответствие с формулировката на Договорите;</w:t>
            </w:r>
            <w:r>
              <w:t xml:space="preserve"> </w:t>
            </w:r>
            <w:r>
              <w:rPr>
                <w:b/>
                <w:i/>
              </w:rPr>
              <w:t>същевременно отбелязва, че по-специално позициите на Парламента често се влияят от партийните интереси на отделни групи, което само засилва предубежденията и политическото измерение на т.нар. „диалог“ относно принципите на правовата държава</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счита, че междуинституционалният диалог и сътрудничеството на равнище ЕС по отношение на принципите на правовата държава следва да бъдат засилени; призовава за установяване на </w:t>
            </w:r>
            <w:r>
              <w:rPr>
                <w:b/>
                <w:i/>
              </w:rPr>
              <w:t>постоянен междуинституционален диалог относно</w:t>
            </w:r>
            <w:r>
              <w:t xml:space="preserve"> принципите на правовата държава, </w:t>
            </w:r>
            <w:r>
              <w:rPr>
                <w:b/>
                <w:i/>
              </w:rPr>
              <w:t>включващ, наред с другото, Парламента,</w:t>
            </w:r>
            <w:r>
              <w:t xml:space="preserve"> Съвета и </w:t>
            </w:r>
            <w:r>
              <w:rPr>
                <w:b/>
                <w:i/>
              </w:rPr>
              <w:t>Комисията;</w:t>
            </w:r>
            <w:r>
              <w:t xml:space="preserve"> </w:t>
            </w:r>
            <w:r>
              <w:rPr>
                <w:b/>
                <w:i/>
              </w:rPr>
              <w:t>призовава Съвета да направи диалога си относно принципите на правовата държава по-приобщаващ, като покани на заседанията си други институции, като Венецианската комисия, комисаря по правата на човека и представители на Парламента</w:t>
            </w:r>
            <w:r>
              <w:t>;</w:t>
            </w:r>
          </w:p>
        </w:tc>
        <w:tc>
          <w:tcPr>
            <w:tcW w:w="4876" w:type="dxa"/>
            <w:tcBorders>
              <w:top w:val="nil"/>
              <w:left w:val="nil"/>
              <w:bottom w:val="nil"/>
              <w:right w:val="nil"/>
            </w:tcBorders>
          </w:tcPr>
          <w:p>
            <w:pPr>
              <w:pStyle w:val="Normal6a"/>
            </w:pPr>
            <w:r>
              <w:t>36.</w:t>
            </w:r>
            <w:r>
              <w:tab/>
            </w:r>
            <w:r>
              <w:t xml:space="preserve">счита, че междуинституционалният диалог и сътрудничеството на равнище ЕС по отношение на принципите на правовата държава следва да бъдат засилени; призовава за установяване на </w:t>
            </w:r>
            <w:r>
              <w:rPr>
                <w:b/>
                <w:i/>
              </w:rPr>
              <w:t>европейски семестър за</w:t>
            </w:r>
            <w:r>
              <w:t xml:space="preserve"> принципите на правовата държава, </w:t>
            </w:r>
            <w:r>
              <w:rPr>
                <w:b/>
                <w:i/>
              </w:rPr>
              <w:t>като се създаде рамката с ключовата роля на</w:t>
            </w:r>
            <w:r>
              <w:t xml:space="preserve"> Съвета и </w:t>
            </w:r>
            <w:r>
              <w:rPr>
                <w:b/>
                <w:i/>
              </w:rPr>
              <w:t>на Европейския парламент, подкрепена от правомощията на Комисията да налага спазването;</w:t>
            </w:r>
            <w:r>
              <w:t xml:space="preserve"> </w:t>
            </w:r>
            <w:r>
              <w:rPr>
                <w:b/>
                <w:i/>
              </w:rPr>
              <w:t>отбелязва, че тази рамка ще се справи с демократичния дефицит и ще гарантира спазването на принципите на правовата държава във всички държави членки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Даниел Фройнд</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36а.</w:t>
            </w:r>
            <w:r>
              <w:tab/>
            </w:r>
            <w:r>
              <w:rPr>
                <w:b/>
                <w:i/>
              </w:rPr>
              <w:t>изразява дълбоко съжаление във връзка с неспособността на Съвета да постигне значим напредък по настоящата процедура по член 7, параграф 1 от ДЕС;</w:t>
            </w:r>
            <w:r>
              <w:t xml:space="preserve"> </w:t>
            </w:r>
            <w:r>
              <w:rPr>
                <w:b/>
                <w:i/>
              </w:rPr>
              <w:t>настоятелно призовава Съвета да гарантира, че по текущите процедури по член 7 се провеждат изслушвания най-малко веднъж на всяко председателство, и да разглежда новите рискове, засягащи принципите на правовата държава, демокрацията и основните права;</w:t>
            </w:r>
            <w:r>
              <w:t xml:space="preserve"> </w:t>
            </w:r>
            <w:r>
              <w:rPr>
                <w:b/>
                <w:i/>
              </w:rPr>
              <w:t>подчертава, че не е необходимо единодушие в Съвета, за да се установи очевиден риск от тежко нарушение на ценностите на Съюза съгласно член 7, параграф 1 от ДЕС, нито да се отправят конкретни препоръки към въпросните държави членки и да се посочат срокове за изпълнението на тези препоръки;</w:t>
            </w:r>
            <w:r>
              <w:t xml:space="preserve"> </w:t>
            </w:r>
            <w:r>
              <w:rPr>
                <w:b/>
                <w:i/>
              </w:rPr>
              <w:t>отново отправя своя призив към Съвета да направи това, като подчертава, че всякакво по-нататъшно забавяне на такова действие би представлявало нарушение на принципите на правовата държава от страна на самия Съвет;</w:t>
            </w:r>
            <w:r>
              <w:t xml:space="preserve"> </w:t>
            </w:r>
            <w:r>
              <w:rPr>
                <w:b/>
                <w:i/>
              </w:rPr>
              <w:t>настоява ролята и правомощията на Парламента да бъдат зачитани;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Биргит Зипел, Клара Добрев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36а.</w:t>
            </w:r>
            <w:r>
              <w:tab/>
            </w:r>
            <w:r>
              <w:rPr>
                <w:b/>
                <w:i/>
              </w:rPr>
              <w:t>припомня дългогодишното си искане за създаване на механизъм на ЕС за демокрацията, принципите на правовата държава и основните права (Пакт за ДПО) под формата на междуинституционално споразумение и призовава Комисията и Съвета да сключат такова междуинституционално споразумение;</w:t>
            </w:r>
            <w:r>
              <w:t xml:space="preserve"> </w:t>
            </w:r>
            <w:r>
              <w:rPr>
                <w:b/>
                <w:i/>
              </w:rPr>
              <w:t>припомня, че новият механизъм следва да интегрира и допълва съществуващите механизми, включително доклада за ПД, следва да бъде основан на доказателства, обективен, насочен към държавите членки и институциите на ЕС, включително с превантивни и корективни мерки, и следва да бъде подпомаган от група независими експерти;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Хавиер Сарсалехос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36а.</w:t>
            </w:r>
            <w:r>
              <w:tab/>
            </w:r>
            <w:r>
              <w:rPr>
                <w:b/>
                <w:i/>
              </w:rPr>
              <w:t>призовава държавите членки да гарантират, че всички законодателни реформи, засягащи разделението на властите, са в пълно съответствие с европейските правни принципи;</w:t>
            </w:r>
            <w:r>
              <w:t xml:space="preserve"> </w:t>
            </w:r>
            <w:r>
              <w:rPr>
                <w:b/>
                <w:i/>
              </w:rPr>
              <w:t>настоятелно призовава Комисията да прецени дали законодателните мерки, които оказват въздействие върху съдебната система, правните предимства или изпълнителния контрол върху съдебните институции, са в съответствие с член 2 от ДЕС и дали могат да оправдаят започването на производство по член 7 от ДЕС;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Лорант Винце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36а.</w:t>
            </w:r>
            <w:r>
              <w:tab/>
            </w:r>
            <w:r>
              <w:rPr>
                <w:b/>
                <w:i/>
              </w:rPr>
              <w:t>счита, че сътрудничеството между ЕС и международни организации, като Съвета на Европа, ОССЕ и Организацията на обединените нации, за насърчаване и защита на демокрацията, принципите на правовата държава, основните свободи и правата на човека, включително правата на малцинствата, следва да бъде допълнително укрепено;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Марике Елерс,  Хорхе Бусаде Виялба, Том Вандендрисе, Фабрис Леджери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36а.</w:t>
            </w:r>
            <w:r>
              <w:tab/>
            </w:r>
            <w:r>
              <w:rPr>
                <w:b/>
                <w:i/>
              </w:rPr>
              <w:t>счита, че сътрудничеството между държавите членки е от особено значение за напредъка на демокрацията, принципите на правовата държава и основните права в рамките на ЕС;</w:t>
            </w:r>
            <w:r>
              <w:t xml:space="preserve"> </w:t>
            </w:r>
            <w:r>
              <w:rPr>
                <w:b/>
                <w:i/>
              </w:rPr>
              <w:t>настоятелно призовава Комисията да спазва собствените си правила в областите на прозрачността, борбата с корупцията и правосъдието;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Кшищоф Шмишек, Матяж Немец, Роберт Бедрон, Катарина Барли, Чечилия Страда, Клара Добрев, Чаба Молнар, Биргит Зипел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36а.</w:t>
            </w:r>
            <w:r>
              <w:tab/>
            </w:r>
            <w:r>
              <w:rPr>
                <w:b/>
                <w:i/>
              </w:rPr>
              <w:t>призовава държавите членки да гарантират, че спешните мерки, приети в отговор на кризи (например пандемии или заплахи за сигурността), подлежат на редовен парламентарен и съдебен контрол и са пропорционални и строго ограничени във времето;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Мориц Кьорнер, Малик Азмани, Дайнюс Жалимас, Луция Яр, Фабиен Келер, Софи Вилмес, Ракел Гарсия Ермида-ван дер Вале, Абир Ал-Сахлани, Вероника Цифрова Острихоньова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36а.</w:t>
            </w:r>
            <w:r>
              <w:tab/>
            </w:r>
            <w:r>
              <w:rPr>
                <w:b/>
                <w:i/>
              </w:rPr>
              <w:t>изразява съжаление, че Комисията не е включила много от многократните искания на Парламента във връзка с докладите на Комисията относно върховенството на закона;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Мориц Кьорнер, Малик Азмани, Дайнюс Жалимас, Луция Яр, Фабиен Келер, Софи Вилмес, Ракел Гарсия Ермида-ван дер Вале, Абир Ал-Сахлани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36б.</w:t>
            </w:r>
            <w:r>
              <w:tab/>
            </w:r>
            <w:r>
              <w:rPr>
                <w:b/>
                <w:i/>
              </w:rPr>
              <w:t>изисква до 31 декември 2025 г. Комисията да издаде съобщение, в което подробно да посочи кои искания, приети от Парламента във връзка с докладите на Комисията относно принципите на правовата държава от 2021 г. насам, ще бъдат изпълнени от Комисията, което тя няма да изпълни, както и конкретните причини за всеки отказ;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Кшищоф Шмишек, Матяж Немец, Роберт Бедрон, Катарина Барли, Чечилия Страда, Клара Добрев, Чаба Молнар,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36б.</w:t>
            </w:r>
            <w:r>
              <w:tab/>
            </w:r>
            <w:r>
              <w:rPr>
                <w:b/>
                <w:i/>
              </w:rPr>
              <w:t>подчертава необходимостта държавите членки да преодолеят неравнопоставеността между половете в съдебната система и други ключови демократични институции;</w:t>
            </w:r>
            <w:r>
              <w:t xml:space="preserve"> </w:t>
            </w:r>
            <w:r>
              <w:rPr>
                <w:b/>
                <w:i/>
              </w:rPr>
              <w:t>препоръчва прилагането на целенасочени мерки за увеличаване на представителството на жените на висши съдебни длъжности и длъжности в публичната администрация;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Марике Елерс,  Хорхе Бусаде Виялба, Том Вандендрисе, Фабрис Леджери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36б.</w:t>
            </w:r>
            <w:r>
              <w:tab/>
            </w:r>
            <w:r>
              <w:rPr>
                <w:b/>
                <w:i/>
              </w:rPr>
              <w:t>призовава Комисията да не използва защитата на принципите на правовата държава и основните права като претекст за оказване на политически натиск върху някои държави членки за промяна на политиките в рамките на компетентността на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Марике Елерс,  Хорхе Бусаде Виялба, Том Вандендрисе, Фабрис Леджери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36в.</w:t>
            </w:r>
            <w:r>
              <w:tab/>
            </w:r>
            <w:r>
              <w:rPr>
                <w:b/>
                <w:i/>
              </w:rPr>
              <w:t>изразява дълбока загриженост, че както в случая с производствата по член 7, мерките съгласно Регламента относно обвързаността с условия за спазване на принципите на правовата държава ще бъдат прилагани с цел по-нататъшно налагане на политически идеали и делегитимиране на определени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Алесандро Чириани, Паоло Инселвини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препоръчва Комисията и държавите членки да наблюдават външната намеса, по-специално използването на социалните мрежи за манипулации и злонамерени цели, включително използването ѝ от лица като Илон Мъск за оказване на влияние върху общественото мнение и разпространение на дезинформация в Европа;</w:t>
            </w:r>
            <w:r>
              <w:t xml:space="preserve"> </w:t>
            </w:r>
            <w:r>
              <w:rPr>
                <w:b/>
                <w:i/>
              </w:rPr>
              <w:t>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Андраш Ласло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препоръчва Комисията и</w:t>
            </w:r>
            <w:r>
              <w:t xml:space="preserve"> държавите членки </w:t>
            </w:r>
            <w:r>
              <w:rPr>
                <w:b/>
                <w:i/>
              </w:rPr>
              <w:t>да наблюдават външната намеса, по-специално използването</w:t>
            </w:r>
            <w:r>
              <w:t xml:space="preserve"> на социалните мрежи </w:t>
            </w:r>
            <w:r>
              <w:rPr>
                <w:b/>
                <w:i/>
              </w:rPr>
              <w:t>за манипулации и злонамерени цели, включително използването ѝ от лица като Илон Мъск за оказване на влияние върху общественото мнение и разпространение на дезинформация в Европа</w:t>
            </w:r>
            <w:r>
              <w:t>; 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c>
          <w:tcPr>
            <w:tcW w:w="4876" w:type="dxa"/>
            <w:tcBorders>
              <w:top w:val="nil"/>
              <w:left w:val="nil"/>
              <w:bottom w:val="nil"/>
              <w:right w:val="nil"/>
            </w:tcBorders>
          </w:tcPr>
          <w:p>
            <w:pPr>
              <w:pStyle w:val="Normal6a"/>
            </w:pPr>
            <w:r>
              <w:t>37.</w:t>
            </w:r>
            <w:r>
              <w:tab/>
            </w:r>
            <w:r>
              <w:rPr>
                <w:b/>
                <w:i/>
              </w:rPr>
              <w:t>изразява загриженост относно намесата на Европейския парламент и на Европейската комисия във вътрешните работи на</w:t>
            </w:r>
            <w:r>
              <w:t xml:space="preserve"> държавите членки</w:t>
            </w:r>
            <w:r>
              <w:rPr>
                <w:b/>
                <w:i/>
              </w:rPr>
              <w:t>;</w:t>
            </w:r>
            <w:r>
              <w:t xml:space="preserve"> </w:t>
            </w:r>
            <w:r>
              <w:rPr>
                <w:b/>
                <w:i/>
              </w:rPr>
              <w:t>припомня, че на 7 януари 2025 г. главният изпълнителен директор на Meta Марк Зукърбърг призна, че Facebook е цензурирал съдържание на политическа основа;</w:t>
            </w:r>
            <w:r>
              <w:t xml:space="preserve"> </w:t>
            </w:r>
            <w:r>
              <w:rPr>
                <w:b/>
                <w:i/>
              </w:rPr>
              <w:t>приветства усилията на Meta да постигне напредък в областта на свободата на словото в своите платформи на социалните мрежи;</w:t>
            </w:r>
            <w:r>
              <w:t xml:space="preserve"> </w:t>
            </w:r>
            <w:r>
              <w:rPr>
                <w:b/>
                <w:i/>
              </w:rPr>
              <w:t>изразява съжаление, че в Европа все още се прилага политически пристрастна проверка на фактите по отношение на платформите</w:t>
            </w:r>
            <w:r>
              <w:t xml:space="preserve"> на социалните мрежи</w:t>
            </w:r>
            <w:r>
              <w:rPr>
                <w:b/>
                <w:i/>
              </w:rPr>
              <w:t>;</w:t>
            </w:r>
            <w:r>
              <w:t xml:space="preserve"> </w:t>
            </w:r>
            <w:r>
              <w:rPr>
                <w:b/>
                <w:i/>
              </w:rPr>
              <w:t>призовава Комисията да прекрати усилията си за цензуриране на десните, консервативни гласове в платформите на социалните мрежи;</w:t>
            </w:r>
            <w:r>
              <w:t xml:space="preserve"> </w:t>
            </w:r>
            <w:r>
              <w:rPr>
                <w:b/>
                <w:i/>
              </w:rPr>
              <w:t>призовава Европейския парламент да създаде анкетна комисия относно цензурата във Facebook;</w:t>
            </w:r>
            <w:r>
              <w:t xml:space="preserve"> </w:t>
            </w:r>
            <w:r>
              <w:rPr>
                <w:b/>
                <w:i/>
              </w:rPr>
              <w:t>приветства усилията на Илон Мъск в борбата за свобода на изразяване</w:t>
            </w:r>
            <w:r>
              <w:t>; 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Никола Бе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препоръчва Комисията и държавите членки да наблюдават външната намеса</w:t>
            </w:r>
            <w:r>
              <w:rPr>
                <w:b/>
                <w:i/>
              </w:rPr>
              <w:t>, по-специално използването на социалните мрежи за манипулации и злонамерени цели, включително използването ѝ от лица като Илон Мъск за оказване на влияние върху общественото мнение и разпространение на дезинформация в Европа;</w:t>
            </w:r>
            <w:r>
              <w:t xml:space="preserve"> </w:t>
            </w:r>
            <w:r>
              <w:rPr>
                <w:b/>
                <w:i/>
              </w:rPr>
              <w:t>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r>
              <w:t>;</w:t>
            </w:r>
          </w:p>
        </w:tc>
        <w:tc>
          <w:tcPr>
            <w:tcW w:w="4876" w:type="dxa"/>
            <w:tcBorders>
              <w:top w:val="nil"/>
              <w:left w:val="nil"/>
              <w:bottom w:val="nil"/>
              <w:right w:val="nil"/>
            </w:tcBorders>
          </w:tcPr>
          <w:p>
            <w:pPr>
              <w:pStyle w:val="Normal6a"/>
            </w:pPr>
            <w:r>
              <w:t>37.</w:t>
            </w:r>
            <w:r>
              <w:tab/>
            </w:r>
            <w:r>
              <w:t>препоръчва Комисията и държавите членки да наблюдават външната намеса;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Мери Кан, Милан Ухрик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препоръчва Комисията </w:t>
            </w:r>
            <w:r>
              <w:rPr>
                <w:b/>
                <w:i/>
              </w:rPr>
              <w:t>и държавите членки да наблюдават външната намеса, по-специално използването на социалните мрежи за манипулации и злонамерени цели, включително използването ѝ от лица като Илон Мъск за оказване на влияние върху общественото мнение и разпространение на дезинформация в Европа;</w:t>
            </w:r>
            <w:r>
              <w:t xml:space="preserve"> </w:t>
            </w:r>
            <w:r>
              <w:rPr>
                <w:b/>
                <w:i/>
              </w:rPr>
              <w:t>подчертава, че Комисията трябва</w:t>
            </w:r>
            <w:r>
              <w:t xml:space="preserve">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c>
          <w:tcPr>
            <w:tcW w:w="4876" w:type="dxa"/>
            <w:tcBorders>
              <w:top w:val="nil"/>
              <w:left w:val="nil"/>
              <w:bottom w:val="nil"/>
              <w:right w:val="nil"/>
            </w:tcBorders>
          </w:tcPr>
          <w:p>
            <w:pPr>
              <w:pStyle w:val="Normal6a"/>
            </w:pPr>
            <w:r>
              <w:t>37.</w:t>
            </w:r>
            <w:r>
              <w:tab/>
            </w:r>
            <w:r>
              <w:t>препоръчва Комисията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Мариуш Камински, Йоахим Станислав Бруджински, Ядвига Вишневска, Мачей Воншик, Яцек Оздоба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препоръчва Комисията и държавите членки да наблюдават външната намеса, по-специално използването на социалните мрежи за манипулации и злонамерени цели, </w:t>
            </w:r>
            <w:r>
              <w:rPr>
                <w:b/>
                <w:i/>
              </w:rPr>
              <w:t>включително използването ѝ от лица като Илон Мъск за оказване на влияние върху общественото мнение и разпространение на дезинформация в Европа</w:t>
            </w:r>
            <w:r>
              <w:t>; 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c>
          <w:tcPr>
            <w:tcW w:w="4876" w:type="dxa"/>
            <w:tcBorders>
              <w:top w:val="nil"/>
              <w:left w:val="nil"/>
              <w:bottom w:val="nil"/>
              <w:right w:val="nil"/>
            </w:tcBorders>
          </w:tcPr>
          <w:p>
            <w:pPr>
              <w:pStyle w:val="Normal6a"/>
            </w:pPr>
            <w:r>
              <w:t>37.</w:t>
            </w:r>
            <w:r>
              <w:tab/>
            </w:r>
            <w:r>
              <w:t xml:space="preserve">препоръчва Комисията и държавите членки да наблюдават външната намеса, по-специално използването на социалните мрежи за манипулации и злонамерени цели, </w:t>
            </w:r>
            <w:r>
              <w:rPr>
                <w:b/>
                <w:i/>
              </w:rPr>
              <w:t>за да се влияе на общественото мнение и да се разпространява дезинформация в Европа;</w:t>
            </w:r>
            <w:r>
              <w:t xml:space="preserve"> </w:t>
            </w:r>
            <w:r>
              <w:rPr>
                <w:b/>
                <w:i/>
              </w:rPr>
              <w:t>отбелязва, че от години Комисията не признава лявото и либерално господстващо положение на социалните мрежи, включително налагането на тази програма от някои столици, международни фондации и институции на ЕС</w:t>
            </w:r>
            <w:r>
              <w:t>; 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Никола Минчев, Мориц Кьорнер, Вероника Цифрова Острихоньова, Абир Ал-Сахлани, Клое Ридел, Фабиен Келер, Луция Яр, Ирена Йовева, Изабел Визелер-Лима</w:t>
      </w:r>
      <w:r>
        <w:rPr>
          <w:rStyle w:val="HideTWBExt"/>
          <w:b w:val="0"/>
        </w:rPr>
        <w:t>&lt;/Members&gt;</w:t>
      </w:r>
    </w:p>
    <w:p>
      <w:r>
        <w:rPr>
          <w:rStyle w:val="HideTWBExt"/>
          <w:b w:val="0"/>
        </w:rPr>
        <w:t>&lt;AuNomDe&gt;</w:t>
      </w:r>
      <w:r>
        <w:rPr>
          <w:rStyle w:val="HideTWBInt"/>
        </w:rPr>
        <w:t>{LIBE}</w:t>
      </w:r>
      <w:r>
        <w:t>от името на комисията по граждански свободи, правосъдие и вътрешни работи</w:t>
      </w:r>
      <w:r>
        <w:rPr>
          <w:rStyle w:val="HideTWBExt"/>
          <w:b w:val="0"/>
        </w:rPr>
        <w:t>&lt;/AuNomDe&gt;</w:t>
      </w:r>
    </w:p>
    <w:p>
      <w:pPr>
        <w:pStyle w:val="NormalBold"/>
      </w:pPr>
      <w:r>
        <w:rPr>
          <w:rStyle w:val="HideTWBExt"/>
          <w:b w:val="0"/>
        </w:rPr>
        <w:t>&lt;Members&gt;</w:t>
      </w:r>
      <w:r>
        <w:t>Софи Вилмес, Хилде Вотманс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препоръчва Комисията и държавите членки да наблюдават външната намеса, по-специално използването на социалните мрежи за манипулации и злонамерени цели, включително използването ѝ от лица като Илон Мъск за оказване на влияние върху общественото мнение и разпространение на дезинформация в Европа; </w:t>
            </w:r>
            <w:r>
              <w:rPr>
                <w:b/>
                <w:i/>
              </w:rPr>
              <w:t>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c>
          <w:tcPr>
            <w:tcW w:w="4876" w:type="dxa"/>
            <w:tcBorders>
              <w:top w:val="nil"/>
              <w:left w:val="nil"/>
              <w:bottom w:val="nil"/>
              <w:right w:val="nil"/>
            </w:tcBorders>
          </w:tcPr>
          <w:p>
            <w:pPr>
              <w:pStyle w:val="Normal6a"/>
            </w:pPr>
            <w:r>
              <w:t>37.</w:t>
            </w:r>
            <w:r>
              <w:tab/>
            </w:r>
            <w:r>
              <w:t>препоръчва Комисията и държавите членки да наблюдават външната намеса, по-специално използването на социалните мрежи за манипулации и злонамерени цели, включително използването ѝ от лица като Илон Мъск за оказване на влияние върху общественото мнение и разпространение на дезинформация в Европа;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Ева Зайончковска-Херник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препоръчва Комисията и държавите членки да наблюдават външната намеса</w:t>
            </w:r>
            <w:r>
              <w:rPr>
                <w:b/>
                <w:i/>
              </w:rPr>
              <w:t>, по-специално използването на социалните мрежи за манипулации и злонамерени цели, включително използването ѝ от лица като Илон Мъск за оказване на влияние върху общественото мнение и разпространение на дезинформация в Европа</w:t>
            </w:r>
            <w:r>
              <w:t>; 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c>
          <w:tcPr>
            <w:tcW w:w="4876" w:type="dxa"/>
            <w:tcBorders>
              <w:top w:val="nil"/>
              <w:left w:val="nil"/>
              <w:bottom w:val="nil"/>
              <w:right w:val="nil"/>
            </w:tcBorders>
          </w:tcPr>
          <w:p>
            <w:pPr>
              <w:pStyle w:val="Normal6a"/>
            </w:pPr>
            <w:r>
              <w:t>37.</w:t>
            </w:r>
            <w:r>
              <w:tab/>
            </w:r>
            <w:r>
              <w:t>препоръчва Комисията и държавите членки да наблюдават външната намеса; 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препоръчва Комисията и държавите членки да наблюдават външната намеса, </w:t>
            </w:r>
            <w:r>
              <w:rPr>
                <w:b/>
                <w:i/>
              </w:rPr>
              <w:t>по-специално</w:t>
            </w:r>
            <w:r>
              <w:t xml:space="preserve"> използването на социалните мрежи за манипулации и злонамерени цели</w:t>
            </w:r>
            <w:r>
              <w:rPr>
                <w:b/>
                <w:i/>
              </w:rPr>
              <w:t>, включително използването ѝ от лица като Илон Мъск за оказване на влияние върху общественото мнение и разпространение на дезинформация в Европа</w:t>
            </w:r>
            <w:r>
              <w:t>; 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c>
          <w:tcPr>
            <w:tcW w:w="4876" w:type="dxa"/>
            <w:tcBorders>
              <w:top w:val="nil"/>
              <w:left w:val="nil"/>
              <w:bottom w:val="nil"/>
              <w:right w:val="nil"/>
            </w:tcBorders>
          </w:tcPr>
          <w:p>
            <w:pPr>
              <w:pStyle w:val="Normal6a"/>
            </w:pPr>
            <w:r>
              <w:t>37.</w:t>
            </w:r>
            <w:r>
              <w:tab/>
            </w:r>
            <w:r>
              <w:t xml:space="preserve">препоръчва Комисията и държавите членки да наблюдават външната намеса, </w:t>
            </w:r>
            <w:r>
              <w:rPr>
                <w:b/>
                <w:i/>
              </w:rPr>
              <w:t>включително</w:t>
            </w:r>
            <w:r>
              <w:t xml:space="preserve"> използването на социалните мрежи за манипулации и злонамерени цели; 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 Хорхе Бусаде Виялба, Марике Елерс, Малика Сорел, Фабрис Леджери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препоръчва Комисията и държавите членки да наблюдават външната намеса</w:t>
            </w:r>
            <w:r>
              <w:rPr>
                <w:b/>
                <w:i/>
              </w:rPr>
              <w:t>, по-специално използването на социалните мрежи за манипулации и злонамерени цели, включително използването ѝ от лица като Илон Мъск за оказване на влияние върху общественото мнение и разпространение на дезинформация в Европа</w:t>
            </w:r>
            <w:r>
              <w:t>; 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c>
          <w:tcPr>
            <w:tcW w:w="4876" w:type="dxa"/>
            <w:tcBorders>
              <w:top w:val="nil"/>
              <w:left w:val="nil"/>
              <w:bottom w:val="nil"/>
              <w:right w:val="nil"/>
            </w:tcBorders>
          </w:tcPr>
          <w:p>
            <w:pPr>
              <w:pStyle w:val="Normal6a"/>
            </w:pPr>
            <w:r>
              <w:t>37.</w:t>
            </w:r>
            <w:r>
              <w:tab/>
            </w:r>
            <w:r>
              <w:t xml:space="preserve">препоръчва Комисията и държавите членки да наблюдават външната намеса </w:t>
            </w:r>
            <w:r>
              <w:rPr>
                <w:b/>
                <w:i/>
              </w:rPr>
              <w:t>и да предприемат ефективни мерки за защита на нашите общи интереси;</w:t>
            </w:r>
            <w:r>
              <w:t xml:space="preserve"> </w:t>
            </w:r>
            <w:r>
              <w:rPr>
                <w:b/>
                <w:i/>
              </w:rPr>
              <w:t>подчертава, че на чуждестранните пропагандни операции може да се противодейства, без да се атакува свободата на изразяване, т.е. чрез подходящо обозначаване на финансирани от чужбина организации или чрез неутрални инициативи, например бележки на общността</w:t>
            </w:r>
            <w:r>
              <w:t>; 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Романа Томц</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препоръчва Комисията и държавите членки да наблюдават външната намеса, по-специално използването на социалните мрежи за манипулации и злонамерени цели</w:t>
            </w:r>
            <w:r>
              <w:rPr>
                <w:b/>
                <w:i/>
              </w:rPr>
              <w:t>, включително използването ѝ от лица като Илон Мъск за оказване на влияние върху общественото мнение и разпространение на дезинформация в Европа</w:t>
            </w:r>
            <w:r>
              <w:t>; 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c>
          <w:tcPr>
            <w:tcW w:w="4876" w:type="dxa"/>
            <w:tcBorders>
              <w:top w:val="nil"/>
              <w:left w:val="nil"/>
              <w:bottom w:val="nil"/>
              <w:right w:val="nil"/>
            </w:tcBorders>
          </w:tcPr>
          <w:p>
            <w:pPr>
              <w:pStyle w:val="Normal6a"/>
            </w:pPr>
            <w:r>
              <w:t>37.</w:t>
            </w:r>
            <w:r>
              <w:tab/>
            </w:r>
            <w:r>
              <w:t>препоръчва Комисията и държавите членки да наблюдават външната намеса, по-специално използването на социалните мрежи за манипулации и злонамерени цели; 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Хавиер Сарсалехос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препоръчва Комисията и държавите членки да наблюдават външната намеса, по-специално използването на социалните мрежи за манипулации и злонамерени цели</w:t>
            </w:r>
            <w:r>
              <w:rPr>
                <w:b/>
                <w:i/>
              </w:rPr>
              <w:t>, включително използването ѝ от лица като Илон Мъск за оказване на влияние върху общественото мнение и разпространение на дезинформация в Европа</w:t>
            </w:r>
            <w:r>
              <w:t>; 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c>
          <w:tcPr>
            <w:tcW w:w="4876" w:type="dxa"/>
            <w:tcBorders>
              <w:top w:val="nil"/>
              <w:left w:val="nil"/>
              <w:bottom w:val="nil"/>
              <w:right w:val="nil"/>
            </w:tcBorders>
          </w:tcPr>
          <w:p>
            <w:pPr>
              <w:pStyle w:val="Normal6a"/>
            </w:pPr>
            <w:r>
              <w:t>37.</w:t>
            </w:r>
            <w:r>
              <w:tab/>
            </w:r>
            <w:r>
              <w:t>препоръчва Комисията и държавите членки да наблюдават външната намеса, по-специално използването на социалните мрежи за манипулации и злонамерени цели; 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Мориц Кьорнер, Малик Азмани, Дайнюс Жалимас, Фабиен Келер, Ракел Гарсия Ермида-ван дер Вале, Вероника Цифрова Острихоньова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препоръчва Комисията и държавите членки да наблюдават външната намеса, </w:t>
            </w:r>
            <w:r>
              <w:rPr>
                <w:b/>
                <w:i/>
              </w:rPr>
              <w:t>по-специално</w:t>
            </w:r>
            <w:r>
              <w:t xml:space="preserve"> използването на социалните мрежи за манипулации </w:t>
            </w:r>
            <w:r>
              <w:rPr>
                <w:b/>
                <w:i/>
              </w:rPr>
              <w:t>и</w:t>
            </w:r>
            <w:r>
              <w:t xml:space="preserve"> злонамерени цели</w:t>
            </w:r>
            <w:r>
              <w:rPr>
                <w:b/>
                <w:i/>
              </w:rPr>
              <w:t>, включително използването ѝ от лица като Илон Мъск за оказване на влияние върху общественото мнение</w:t>
            </w:r>
            <w:r>
              <w:t xml:space="preserve"> и разпространение на дезинформация в Европа; 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c>
          <w:tcPr>
            <w:tcW w:w="4876" w:type="dxa"/>
            <w:tcBorders>
              <w:top w:val="nil"/>
              <w:left w:val="nil"/>
              <w:bottom w:val="nil"/>
              <w:right w:val="nil"/>
            </w:tcBorders>
          </w:tcPr>
          <w:p>
            <w:pPr>
              <w:pStyle w:val="Normal6a"/>
            </w:pPr>
            <w:r>
              <w:t>37.</w:t>
            </w:r>
            <w:r>
              <w:tab/>
            </w:r>
            <w:r>
              <w:t xml:space="preserve">препоръчва Комисията и държавите членки да наблюдават </w:t>
            </w:r>
            <w:r>
              <w:rPr>
                <w:b/>
                <w:i/>
              </w:rPr>
              <w:t>и бързо да се справят с</w:t>
            </w:r>
            <w:r>
              <w:t xml:space="preserve"> външната намеса, </w:t>
            </w:r>
            <w:r>
              <w:rPr>
                <w:b/>
                <w:i/>
              </w:rPr>
              <w:t>включително</w:t>
            </w:r>
            <w:r>
              <w:t xml:space="preserve"> използването на социалните мрежи за манипулации</w:t>
            </w:r>
            <w:r>
              <w:rPr>
                <w:b/>
                <w:i/>
              </w:rPr>
              <w:t>,</w:t>
            </w:r>
            <w:r>
              <w:t xml:space="preserve"> злонамерени цели и разпространение на дезинформация в Европа; 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Алесандро Дзан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препоръчва Комисията и държавите членки да наблюдават външната намеса, по-специално използването на социалните мрежи за манипулации и злонамерени цели, включително използването ѝ от лица като Илон Мъск за оказване на влияние върху общественото мнение и разпространение на дезинформация в Европа; 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c>
          <w:tcPr>
            <w:tcW w:w="4876" w:type="dxa"/>
            <w:tcBorders>
              <w:top w:val="nil"/>
              <w:left w:val="nil"/>
              <w:bottom w:val="nil"/>
              <w:right w:val="nil"/>
            </w:tcBorders>
          </w:tcPr>
          <w:p>
            <w:pPr>
              <w:pStyle w:val="Normal6a"/>
            </w:pPr>
            <w:r>
              <w:t>37.</w:t>
            </w:r>
            <w:r>
              <w:tab/>
            </w:r>
            <w:r>
              <w:t xml:space="preserve">препоръчва Комисията и държавите членки да наблюдават външната намеса, по-специално използването на социалните мрежи за манипулации и злонамерени цели, включително използването ѝ от лица като Илон Мъск </w:t>
            </w:r>
            <w:r>
              <w:rPr>
                <w:b/>
                <w:i/>
              </w:rPr>
              <w:t>и Meta</w:t>
            </w:r>
            <w:r>
              <w:t xml:space="preserve"> за оказване на влияние върху общественото мнение и разпространение на дезинформация в Европа; 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Ерик Калиняк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препоръчва Комисията и държавите членки да наблюдават външната намеса, по-специално </w:t>
            </w:r>
            <w:r>
              <w:rPr>
                <w:b/>
                <w:i/>
              </w:rPr>
              <w:t>използването на социалните мрежи</w:t>
            </w:r>
            <w:r>
              <w:t xml:space="preserve"> за манипулации и злонамерени цели, включително </w:t>
            </w:r>
            <w:r>
              <w:rPr>
                <w:b/>
                <w:i/>
              </w:rPr>
              <w:t>използването ѝ от лица като Илон Мъск</w:t>
            </w:r>
            <w:r>
              <w:t xml:space="preserve"> за оказване на влияние върху общественото мнение и разпространение на дезинформация в Европа; 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c>
          <w:tcPr>
            <w:tcW w:w="4876" w:type="dxa"/>
            <w:tcBorders>
              <w:top w:val="nil"/>
              <w:left w:val="nil"/>
              <w:bottom w:val="nil"/>
              <w:right w:val="nil"/>
            </w:tcBorders>
          </w:tcPr>
          <w:p>
            <w:pPr>
              <w:pStyle w:val="Normal6a"/>
            </w:pPr>
            <w:r>
              <w:t>37.</w:t>
            </w:r>
            <w:r>
              <w:tab/>
            </w:r>
            <w:r>
              <w:t xml:space="preserve">препоръчва Комисията и държавите членки да наблюдават външната намеса, по-специално </w:t>
            </w:r>
            <w:r>
              <w:rPr>
                <w:b/>
                <w:i/>
              </w:rPr>
              <w:t>чрез НПО,</w:t>
            </w:r>
            <w:r>
              <w:t xml:space="preserve"> за манипулации и злонамерени цели, включително </w:t>
            </w:r>
            <w:r>
              <w:rPr>
                <w:b/>
                <w:i/>
              </w:rPr>
              <w:t>случаи, в които НПО се използват</w:t>
            </w:r>
            <w:r>
              <w:t xml:space="preserve"> за оказване на влияние върху общественото мнение и разпространение на дезинформация в Европа; 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Алесандро Дзан, Чечилия Страда, Сандро Руотоло, Пина Пичерно, Марко Таркуинио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37а.</w:t>
            </w:r>
            <w:r>
              <w:tab/>
            </w:r>
            <w:r>
              <w:rPr>
                <w:b/>
                <w:i/>
              </w:rPr>
              <w:t>настоятелно приканва Комисията да осъществява цялостен мониторинг на това, списъците на сигурните държави на произход, съставяни от компетентните национални органи, винаги да зачитат демократичните принципи, а оттам и спазването на принципите на правовата държава, критериите, определени в законодателството на ЕС, да зачитат решенията на Съда на ЕС и да спазват международното право;</w:t>
            </w:r>
            <w:r>
              <w:t xml:space="preserve"> </w:t>
            </w:r>
            <w:r>
              <w:rPr>
                <w:b/>
                <w:i/>
              </w:rPr>
              <w:t>подчертава задължението съгласно правото на ЕС и международното право да се предоставя международна закрила на лица, които са преследвани и/или изложени на тежки посегателства въз основа на расов или етнически произход, религия или убеждения, националност, политически възгледи, език, увреждане, възраст, пол, включително полова идентичност и изразяване на половата принадлежност, и сексуална ориентация;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Алесандро Чириани, Паоло Инселвини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27б.</w:t>
            </w:r>
            <w:r>
              <w:tab/>
            </w:r>
            <w:r>
              <w:rPr>
                <w:b/>
                <w:i/>
              </w:rPr>
              <w:t>подчертава, че е важно да се гарантира основното право на свобода на изразяване, което е стълб на нашите демократични общества.</w:t>
            </w:r>
            <w:r>
              <w:t xml:space="preserve"> </w:t>
            </w:r>
            <w:r>
              <w:rPr>
                <w:b/>
                <w:i/>
              </w:rPr>
              <w:t>Комисията трябва да гарантира правилното прилагане на регулаторната рамка на ЕС за платформите на социалните мрежи, за да защити това право, вместо да дава възможност за политически натиск, който може да задуши честния и открит дебат.</w:t>
            </w:r>
            <w:r>
              <w:t xml:space="preserve"> </w:t>
            </w:r>
            <w:r>
              <w:rPr>
                <w:b/>
                <w:i/>
              </w:rPr>
              <w:t>Въпреки че платформите на социалните мрежи трябва да действат отговорно и да спазват действащите разпоредби, от съществено значение е практиките за модериране на съдържание да не се превръщат в инструмент за политически контрол, порицаване или манипулиране.</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Кшищоф Шмишек, Матяж Немец, Роберт Бедрон, Катарина Барли, Чечилия Страда, Клара Добрев, Чаба Молнар, Ема Рафович, Биргит Зипел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37а.</w:t>
            </w:r>
            <w:r>
              <w:tab/>
            </w:r>
            <w:r>
              <w:rPr>
                <w:b/>
                <w:i/>
              </w:rPr>
              <w:t>призовава държавите членки да повишат прозрачността и отчетността на лобистките дейности, включително създаването или подобряването на задължителни регистри на лобистите и механизми за „законодателен отпечатък“ за проследяване на влиянието върху законодателните процеси;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Никола Минчев, Мориц Кьорнер, Вероника Цифрова Острихоньова, Абир Ал-Сахлани, Клое Ридел, Алесандро Дзан, Фабиен Келер, Луция Яр, Ирена Йовева, Изабел Визелер-Лима</w:t>
      </w:r>
      <w:r>
        <w:rPr>
          <w:rStyle w:val="HideTWBExt"/>
          <w:b w:val="0"/>
        </w:rPr>
        <w:t>&lt;/Members&gt;</w:t>
      </w:r>
    </w:p>
    <w:p>
      <w:r>
        <w:rPr>
          <w:rStyle w:val="HideTWBExt"/>
          <w:b w:val="0"/>
        </w:rPr>
        <w:t>&lt;AuNomDe&gt;</w:t>
      </w:r>
      <w:r>
        <w:rPr>
          <w:rStyle w:val="HideTWBInt"/>
        </w:rPr>
        <w:t>{LIBE}</w:t>
      </w:r>
      <w:r>
        <w:t>от името на комисията по граждански свободи, правосъдие и вътрешни работи</w:t>
      </w:r>
      <w:r>
        <w:rPr>
          <w:rStyle w:val="HideTWBExt"/>
          <w:b w:val="0"/>
        </w:rPr>
        <w:t>&lt;/AuNomDe&gt;</w:t>
      </w:r>
    </w:p>
    <w:p>
      <w:pPr>
        <w:pStyle w:val="NormalBold"/>
      </w:pPr>
      <w:r>
        <w:rPr>
          <w:rStyle w:val="HideTWBExt"/>
          <w:b w:val="0"/>
        </w:rPr>
        <w:t>&lt;Members&gt;</w:t>
      </w:r>
      <w:r>
        <w:t>Софи Вилмес, Хилде Вотманс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37а.</w:t>
            </w:r>
            <w:r>
              <w:tab/>
            </w:r>
            <w:r>
              <w:rPr>
                <w:b/>
                <w:i/>
              </w:rPr>
              <w:t>подчертава, че Комисията трябва да гарантира, че принципите на правовата държава се прилагат правилно в рамките на институциите на ЕС, и призовава за включването на институциите на ЕС в нейната годишна оценка на доклада относно върховенството на закона;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Алесандро Дзан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37а.</w:t>
            </w:r>
            <w:r>
              <w:tab/>
            </w:r>
            <w:r>
              <w:rPr>
                <w:b/>
                <w:i/>
              </w:rPr>
              <w:t>призовава Съвета да приеме решение за включване на речта на омразата и престъпленията от омраза сред престъпленията в списъка по член 83, параграф 1 от ДФЕС;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Алесандро Чириани, Паоло Инселвини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37б.</w:t>
            </w:r>
            <w:r>
              <w:tab/>
            </w:r>
            <w:r>
              <w:rPr>
                <w:b/>
                <w:i/>
              </w:rPr>
              <w:t>изразява загриженост във връзка с нарастващата тенденция за използване на разпоредби, като Законодателния акт за цифровите услуги, за постигане на напредък в политическите позиции и виждания, които могат да подкопаят свободата на изразяване на мнение.</w:t>
            </w:r>
            <w:r>
              <w:t xml:space="preserve"> </w:t>
            </w:r>
            <w:r>
              <w:rPr>
                <w:b/>
                <w:i/>
              </w:rPr>
              <w:t>Платформите на социалните мрежи следва да останат форуми, в които идеите могат да бъдат обменяни свободно, без страх от политически мотивирана цензура.</w:t>
            </w:r>
            <w:r>
              <w:t xml:space="preserve"> </w:t>
            </w:r>
            <w:r>
              <w:rPr>
                <w:b/>
                <w:i/>
              </w:rPr>
              <w:t>ЕС трябва да остане бдителен и да се противопоставя на всеки опит за използване като оръжие на модерирането на съдържание за политически цели, като по този начин се гарантира свободата на изразяване;</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Алесандро Дзан, Кшищоф Шмишек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37в.</w:t>
            </w:r>
            <w:r>
              <w:tab/>
            </w:r>
            <w:r>
              <w:rPr>
                <w:b/>
                <w:i/>
              </w:rPr>
              <w:t>настоятелно призовава Комисията да представи обновена стратегия за равнопоставеност на ЛГБТКИА+ за периода след 2025 г., която изцяло да отговори на настоящите предизвикателства в цяла Европа и да превърне правата на ЛГБТКИА+ лицата в хоризонтален приоритет във всички области на политиката;</w:t>
            </w:r>
            <w:r>
              <w:t xml:space="preserve"> </w:t>
            </w:r>
            <w:r>
              <w:rPr>
                <w:b/>
                <w:i/>
              </w:rPr>
              <w:t>подчертава значението на самоопределението на ЛГБТКИА+ лицата и признаването на тяхната идентичност и права без възрастови ограничения;</w:t>
            </w:r>
            <w:r>
              <w:t xml:space="preserve"> </w:t>
            </w:r>
            <w:r>
              <w:rPr>
                <w:b/>
                <w:i/>
              </w:rPr>
              <w:t>призовава за защита и насърчаване на физическото и психичното здраве на ЛГБТКИА+ лицата;</w:t>
            </w:r>
            <w:r>
              <w:t xml:space="preserve"> </w:t>
            </w:r>
            <w:r>
              <w:rPr>
                <w:b/>
                <w:i/>
              </w:rPr>
              <w:t>настоятелно призовава Комисията да представи законодателни предложения за борба с престъпленията от омраза и речта на омразата въз основа на половата идентичност и сексуалната ориентация и да гарантира равни права за еднополовите двойки;</w:t>
            </w:r>
            <w:r>
              <w:t xml:space="preserve"> </w:t>
            </w:r>
            <w:r>
              <w:rPr>
                <w:b/>
                <w:i/>
              </w:rPr>
              <w:t>настоятелно призовава Комисията да представи предложение за обвързваща забрана от страна на ЕС на конверсионните практики във всички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Алесандро Дзан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37г.</w:t>
            </w:r>
            <w:r>
              <w:tab/>
            </w:r>
            <w:r>
              <w:rPr>
                <w:b/>
                <w:i/>
              </w:rPr>
              <w:t>призовава Комисията и държавите членки да се борят с дискриминацията, основана на расов или етнически произход, религия или убеждения, националност, политически възгледи, език, увреждане, възраст, пол, включително полова идентичност и изразяване на половата принадлежност, и сексуална ориентация;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Никола Бе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приветства инициативата на Комисията за включване на Албания, Черна гора, Северна Македония и Сърбия в годишния ѝ доклад относно върховенството на закона и насърчава внимателната оценка на принципите на правовата държава в тези присъединяващи се държави;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Андраш Ласло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приветства инициативата на Комисията за включване на Албания, Черна гора, Северна Македония и Сърбия в годишния ѝ доклад относно върховенството на закона и насърчава внимателната оценка на принципите на правовата държава в тези присъединяващи се държави;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Мориц Кьорнер, Малик Азмани, Дайнюс Жалимас, Луция Яр, Фабиен Келер, Софи Вилмес, Ракел Гарсия Ермида-ван дер Вале, Абир Ал-Сахлани, Вероника Цифрова Острихоньова, Ана Катарина Мендеш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приветства инициативата на Комисията за включване на Албания, Черна гора, Северна Македония и Сърбия в годишния ѝ доклад относно върховенството на закона и насърчава внимателната оценка на принципите на правовата държава в тези присъединяващи се държави;</w:t>
            </w:r>
          </w:p>
        </w:tc>
        <w:tc>
          <w:tcPr>
            <w:tcW w:w="4876" w:type="dxa"/>
            <w:tcBorders>
              <w:top w:val="nil"/>
              <w:left w:val="nil"/>
              <w:bottom w:val="nil"/>
              <w:right w:val="nil"/>
            </w:tcBorders>
          </w:tcPr>
          <w:p>
            <w:pPr>
              <w:pStyle w:val="Normal6a"/>
            </w:pPr>
            <w:r>
              <w:t>38.</w:t>
            </w:r>
            <w:r>
              <w:tab/>
            </w:r>
            <w:r>
              <w:t xml:space="preserve">приветства </w:t>
            </w:r>
            <w:r>
              <w:rPr>
                <w:b/>
                <w:i/>
              </w:rPr>
              <w:t>разширяването на обхвата на доклада на Комисията относно върховенството на закона, така че да обхване страните кандидатки, като подчертава, че основните ценности на ЕС трябва да бъдат зачитани не само от настоящите държави членки, но и от бъдещите членове по време на процесите на присъединяване;</w:t>
            </w:r>
            <w:r>
              <w:t xml:space="preserve"> </w:t>
            </w:r>
            <w:r>
              <w:rPr>
                <w:b/>
                <w:i/>
              </w:rPr>
              <w:t>приветства</w:t>
            </w:r>
            <w:r>
              <w:t xml:space="preserve"> инициативата на Комисията за включване на Албания, Черна гора, Северна Македония и Сърбия в годишния ѝ доклад относно върховенството на закона и насърчава внимателната оценка на принципите на правовата държава в тези присъединяващи се държави; </w:t>
            </w:r>
            <w:r>
              <w:rPr>
                <w:b/>
                <w:i/>
              </w:rPr>
              <w:t>очаква Комисията да включи всички държави кандидатки в своя доклад относно върховенството на закона за 2025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Никола Минчев, Мориц Кьорнер, Вероника Цифрова Острихоньова, Абир Ал-Сахлани, Клое Ридел, Фабиен Келер, Луция Яр, Ирена Йовева, Изабел Визелер-Лима</w:t>
      </w:r>
      <w:r>
        <w:rPr>
          <w:rStyle w:val="HideTWBExt"/>
          <w:b w:val="0"/>
        </w:rPr>
        <w:t>&lt;/Members&gt;</w:t>
      </w:r>
    </w:p>
    <w:p>
      <w:r>
        <w:rPr>
          <w:rStyle w:val="HideTWBExt"/>
          <w:b w:val="0"/>
        </w:rPr>
        <w:t>&lt;AuNomDe&gt;</w:t>
      </w:r>
      <w:r>
        <w:rPr>
          <w:rStyle w:val="HideTWBInt"/>
        </w:rPr>
        <w:t>{LIBE}</w:t>
      </w:r>
      <w:r>
        <w:t>от името на комисията по граждански свободи, правосъдие и вътрешни работи</w:t>
      </w:r>
      <w:r>
        <w:rPr>
          <w:rStyle w:val="HideTWBExt"/>
          <w:b w:val="0"/>
        </w:rPr>
        <w:t>&lt;/AuNomDe&gt;</w:t>
      </w:r>
    </w:p>
    <w:p>
      <w:pPr>
        <w:pStyle w:val="NormalBold"/>
      </w:pPr>
      <w:r>
        <w:rPr>
          <w:rStyle w:val="HideTWBExt"/>
          <w:b w:val="0"/>
        </w:rPr>
        <w:t>&lt;Members&gt;</w:t>
      </w:r>
      <w:r>
        <w:t>Софи Вилмес, Хилде Вотманс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приветства инициативата на Комисията за включване на Албания, Черна гора, Северна Македония и Сърбия в годишния ѝ доклад относно върховенството на закона и насърчава внимателната оценка на принципите на правовата държава </w:t>
            </w:r>
            <w:r>
              <w:rPr>
                <w:b/>
                <w:i/>
              </w:rPr>
              <w:t>в тези присъединяващи се държави</w:t>
            </w:r>
            <w:r>
              <w:t>;</w:t>
            </w:r>
          </w:p>
        </w:tc>
        <w:tc>
          <w:tcPr>
            <w:tcW w:w="4876" w:type="dxa"/>
            <w:tcBorders>
              <w:top w:val="nil"/>
              <w:left w:val="nil"/>
              <w:bottom w:val="nil"/>
              <w:right w:val="nil"/>
            </w:tcBorders>
          </w:tcPr>
          <w:p>
            <w:pPr>
              <w:pStyle w:val="Normal6a"/>
            </w:pPr>
            <w:r>
              <w:t>38.</w:t>
            </w:r>
            <w:r>
              <w:tab/>
            </w:r>
            <w:r>
              <w:t xml:space="preserve">приветства инициативата на Комисията за включване на Албания, Черна гора, Северна Македония и Сърбия в годишния ѝ доклад относно върховенството на закона и насърчава внимателната оценка на принципите на правовата държава </w:t>
            </w:r>
            <w:r>
              <w:rPr>
                <w:b/>
                <w:i/>
              </w:rPr>
              <w:t>във всички държави в процес на присъединяване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Ерик Калиняк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приветства</w:t>
            </w:r>
            <w:r>
              <w:t xml:space="preserve"> инициативата на Комисията за включване на Албания, Черна гора, Северна Македония и Сърбия в годишния ѝ доклад относно върховенството на закона и насърчава внимателната оценка на принципите на правовата държава в тези присъединяващи се държави;</w:t>
            </w:r>
          </w:p>
        </w:tc>
        <w:tc>
          <w:tcPr>
            <w:tcW w:w="4876" w:type="dxa"/>
            <w:tcBorders>
              <w:top w:val="nil"/>
              <w:left w:val="nil"/>
              <w:bottom w:val="nil"/>
              <w:right w:val="nil"/>
            </w:tcBorders>
          </w:tcPr>
          <w:p>
            <w:pPr>
              <w:pStyle w:val="Normal6a"/>
            </w:pPr>
            <w:r>
              <w:t>38.</w:t>
            </w:r>
            <w:r>
              <w:tab/>
            </w:r>
            <w:r>
              <w:rPr>
                <w:b/>
                <w:i/>
              </w:rPr>
              <w:t>отбелязва</w:t>
            </w:r>
            <w:r>
              <w:t> инициативата на Комисията за включване на Албания, Черна гора, Северна Македония и Сърбия в годишния ѝ доклад относно върховенството на закона и насърчава внимателната оценка на принципите на правовата държава в тези присъединяващи се държави;</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Лукас Мандл, Ханес Хайде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приветства инициативата на Комисията за включване на Албания, Черна гора, Северна Македония и Сърбия в годишния ѝ доклад относно върховенството на закона и насърчава внимателната оценка на принципите на правовата държава </w:t>
            </w:r>
            <w:r>
              <w:rPr>
                <w:b/>
                <w:i/>
              </w:rPr>
              <w:t>в тези присъединяващи се държави</w:t>
            </w:r>
            <w:r>
              <w:t>;</w:t>
            </w:r>
          </w:p>
        </w:tc>
        <w:tc>
          <w:tcPr>
            <w:tcW w:w="4876" w:type="dxa"/>
            <w:tcBorders>
              <w:top w:val="nil"/>
              <w:left w:val="nil"/>
              <w:bottom w:val="nil"/>
              <w:right w:val="nil"/>
            </w:tcBorders>
          </w:tcPr>
          <w:p>
            <w:pPr>
              <w:pStyle w:val="Normal6a"/>
            </w:pPr>
            <w:r>
              <w:t>38.</w:t>
            </w:r>
            <w:r>
              <w:tab/>
            </w:r>
            <w:r>
              <w:t xml:space="preserve">приветства инициативата на Комисията за включване на Албания, Черна гора, Северна Македония и Сърбия в годишния ѝ доклад относно върховенството на закона и насърчава внимателната оценка на принципите на правовата държава </w:t>
            </w:r>
            <w:r>
              <w:rPr>
                <w:b/>
                <w:i/>
              </w:rPr>
              <w:t>във всички държави от Западните Балкани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Емануил Франгос, Геадис Геади, Галато Александраки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приветства инициативата на Комисията за включване на Албания, Черна гора, </w:t>
            </w:r>
            <w:r>
              <w:rPr>
                <w:b/>
                <w:i/>
              </w:rPr>
              <w:t>Северна Македония</w:t>
            </w:r>
            <w:r>
              <w:t xml:space="preserve"> и Сърбия в годишния ѝ доклад относно върховенството на закона и насърчава внимателната оценка на принципите на правовата държава в тези </w:t>
            </w:r>
            <w:r>
              <w:rPr>
                <w:b/>
                <w:i/>
              </w:rPr>
              <w:t>присъединяващи се</w:t>
            </w:r>
            <w:r>
              <w:t xml:space="preserve"> държави;</w:t>
            </w:r>
          </w:p>
        </w:tc>
        <w:tc>
          <w:tcPr>
            <w:tcW w:w="4876" w:type="dxa"/>
            <w:tcBorders>
              <w:top w:val="nil"/>
              <w:left w:val="nil"/>
              <w:bottom w:val="nil"/>
              <w:right w:val="nil"/>
            </w:tcBorders>
          </w:tcPr>
          <w:p>
            <w:pPr>
              <w:pStyle w:val="Normal6a"/>
            </w:pPr>
            <w:r>
              <w:t>38.</w:t>
            </w:r>
            <w:r>
              <w:tab/>
            </w:r>
            <w:r>
              <w:t xml:space="preserve">приветства инициативата на Комисията за включване на Албания, Черна гора, </w:t>
            </w:r>
            <w:r>
              <w:rPr>
                <w:b/>
                <w:i/>
              </w:rPr>
              <w:t>Скопие</w:t>
            </w:r>
            <w:r>
              <w:t xml:space="preserve"> и Сърбия в годишния ѝ доклад относно върховенството на закона и насърчава внимателната оценка на принципите на правовата държава в тези </w:t>
            </w:r>
            <w:r>
              <w:rPr>
                <w:b/>
                <w:i/>
              </w:rPr>
              <w:t>разглеждани</w:t>
            </w:r>
            <w:r>
              <w:t xml:space="preserve"> държави;</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Даниел Фройнд</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възлага на своя председател да предаде настоящата резолюция </w:t>
            </w:r>
            <w:r>
              <w:rPr>
                <w:b/>
                <w:i/>
              </w:rPr>
              <w:t>съответно на</w:t>
            </w:r>
            <w:r>
              <w:t xml:space="preserve"> Съвета </w:t>
            </w:r>
            <w:r>
              <w:rPr>
                <w:b/>
                <w:i/>
              </w:rPr>
              <w:t>и на Комисията</w:t>
            </w:r>
            <w:r>
              <w:t>.</w:t>
            </w:r>
          </w:p>
        </w:tc>
        <w:tc>
          <w:tcPr>
            <w:tcW w:w="4876" w:type="dxa"/>
            <w:tcBorders>
              <w:top w:val="nil"/>
              <w:left w:val="nil"/>
              <w:bottom w:val="nil"/>
              <w:right w:val="nil"/>
            </w:tcBorders>
          </w:tcPr>
          <w:p>
            <w:pPr>
              <w:pStyle w:val="Normal6a"/>
            </w:pPr>
            <w:r>
              <w:t>39.</w:t>
            </w:r>
            <w:r>
              <w:tab/>
            </w:r>
            <w:r>
              <w:t xml:space="preserve">възлага на своя председател да предаде настоящата резолюция </w:t>
            </w:r>
            <w:r>
              <w:rPr>
                <w:b/>
                <w:i/>
              </w:rPr>
              <w:t>на Съвета, Комисията, Агенцията на Европейския съюз за основните права,</w:t>
            </w:r>
            <w:r>
              <w:t xml:space="preserve"> Съвета </w:t>
            </w:r>
            <w:r>
              <w:rPr>
                <w:b/>
                <w:i/>
              </w:rPr>
              <w:t>на Европа и на правителствата и парламентите на държавите членки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Мариуш Камински, Йоахим Станислав Бруджински, Ядвига Вишневска, Мачей Воншик, Яцек Оздоба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възлага на своя председател да предаде настоящата резолюция съответно на Съвета </w:t>
            </w:r>
            <w:r>
              <w:rPr>
                <w:b/>
                <w:i/>
              </w:rPr>
              <w:t>и на Комисията</w:t>
            </w:r>
            <w:r>
              <w:t>.</w:t>
            </w:r>
          </w:p>
        </w:tc>
        <w:tc>
          <w:tcPr>
            <w:tcW w:w="4876" w:type="dxa"/>
            <w:tcBorders>
              <w:top w:val="nil"/>
              <w:left w:val="nil"/>
              <w:bottom w:val="nil"/>
              <w:right w:val="nil"/>
            </w:tcBorders>
          </w:tcPr>
          <w:p>
            <w:pPr>
              <w:pStyle w:val="Normal6a"/>
            </w:pPr>
            <w:r>
              <w:t>39.</w:t>
            </w:r>
            <w:r>
              <w:tab/>
            </w:r>
            <w:r>
              <w:t>възлага на своя председател да предаде настоящата резолюция съответно на Съвета</w:t>
            </w:r>
            <w:r>
              <w:rPr>
                <w:b/>
                <w:i/>
              </w:rPr>
              <w:t>, на Комисията и на държавите членки</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769.959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58</w:t>
    </w:r>
    <w:r>
      <w:fldChar w:fldCharType="end"/>
    </w:r>
    <w:r>
      <w:t>/</w:t>
    </w:r>
    <w:r>
      <w:fldChar w:fldCharType="begin"/>
    </w:r>
    <w:r>
      <w:instrText xml:space="preserve"> NUMPAGES </w:instrText>
    </w:r>
    <w:r>
      <w:fldChar w:fldCharType="separate"/>
    </w:r>
    <w:r>
      <w:t>58</w:t>
    </w:r>
    <w:r>
      <w:fldChar w:fldCharType="end"/>
    </w:r>
    <w:r>
      <w:tab/>
    </w:r>
    <w:r>
      <w:rPr>
        <w:rStyle w:val="HideTWBExt"/>
      </w:rPr>
      <w:t>&lt;PathFdR&gt;</w:t>
    </w:r>
    <w:r>
      <w:t>AM\1315576BG.docx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AM\1315576BG.docx</w:t>
    </w:r>
    <w:r>
      <w:rPr>
        <w:rStyle w:val="HideTWBExt"/>
      </w:rPr>
      <w:t>&lt;/PathFdR&gt;</w:t>
    </w:r>
    <w:r>
      <w:tab/>
    </w:r>
    <w:r>
      <w:fldChar w:fldCharType="begin"/>
    </w:r>
    <w:r>
      <w:instrText xml:space="preserve"> PAGE </w:instrText>
    </w:r>
    <w:r>
      <w:fldChar w:fldCharType="separate"/>
    </w:r>
    <w:r>
      <w:t>57</w:t>
    </w:r>
    <w:r>
      <w:fldChar w:fldCharType="end"/>
    </w:r>
    <w:r>
      <w:t>/</w:t>
    </w:r>
    <w:r>
      <w:fldChar w:fldCharType="begin"/>
    </w:r>
    <w:r>
      <w:instrText xml:space="preserve"> NUMPAGES </w:instrText>
    </w:r>
    <w:r>
      <w:fldChar w:fldCharType="separate"/>
    </w:r>
    <w:r>
      <w:t>58</w:t>
    </w:r>
    <w:r>
      <w:fldChar w:fldCharType="end"/>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AM\1315576BG.docx</w:t>
    </w:r>
    <w:r>
      <w:rPr>
        <w:rStyle w:val="HideTWBExt"/>
      </w:rPr>
      <w:t>&lt;/PathFdR&gt;</w:t>
    </w:r>
    <w:r>
      <w:tab/>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58</Pages>
  <Words>11375</Words>
  <Characters>68791</Characters>
  <Application>Microsoft Office Word</Application>
  <DocSecurity>0</DocSecurity>
  <Lines>1</Lines>
  <Paragraphs>821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1315576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149043</vt:lpwstr>
  </property>
  <property fmtid="{D5CDD505-2E9C-101B-9397-08002B2CF9AE}" pid="7" name="dmxml.render.traceId">
    <vt:lpwstr>67dc8345448446a50a0af422ad6cc0e8</vt:lpwstr>
  </property>
  <property fmtid="{D5CDD505-2E9C-101B-9397-08002B2CF9AE}" pid="8" name="FooterPath">
    <vt:lpwstr>AM\1315576BG.docx</vt:lpwstr>
  </property>
  <property fmtid="{D5CDD505-2E9C-101B-9397-08002B2CF9AE}" pid="9" name="PE Number">
    <vt:lpwstr>769.959</vt:lpwstr>
  </property>
  <property fmtid="{D5CDD505-2E9C-101B-9397-08002B2CF9AE}" pid="10" name="UID">
    <vt:lpwstr>eu.europa.europarl-DIN1-2025-0000027564_02.00-bg-01.00_text-xml</vt:lpwstr>
  </property>
</Properties>
</file>