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19. 2. 2025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Zpráva Komise o právním státu za rok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naléhavě vyzývá Komisi, aby do výroční zprávy o právním státu začlenila nový pilíř týkající se boje proti všem formám diskriminace;</w:t>
            </w:r>
          </w:p>
        </w:tc>
        <w:tc>
          <w:tcPr>
            <w:tcW w:w="4876" w:type="dxa"/>
            <w:tcBorders>
              <w:top w:val="nil"/>
              <w:left w:val="nil"/>
              <w:bottom w:val="nil"/>
              <w:right w:val="nil"/>
            </w:tcBorders>
          </w:tcPr>
          <w:p>
            <w:pPr>
              <w:pStyle w:val="Normal6a"/>
            </w:pPr>
            <w:r>
              <w:t>33.</w:t>
            </w:r>
            <w:r>
              <w:tab/>
            </w:r>
            <w:r>
              <w:t>naléhavě vyzývá Komisi, aby do výroční zprávy o právním státu začlenila nový pilíř týkající se boje proti všem formám diskriminace</w:t>
            </w:r>
            <w:r>
              <w:rPr>
                <w:b/>
                <w:i/>
              </w:rPr>
              <w:t>, jak je zakotveno v článku 21 Listiny základních práv Evropské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naléhavě vyzývá Komisi, aby do výroční zprávy o právním státu </w:t>
            </w:r>
            <w:r>
              <w:rPr>
                <w:b/>
                <w:i/>
              </w:rPr>
              <w:t>začlenila</w:t>
            </w:r>
            <w:r>
              <w:t xml:space="preserve"> nový pilíř </w:t>
            </w:r>
            <w:r>
              <w:rPr>
                <w:b/>
                <w:i/>
              </w:rPr>
              <w:t>týkající se</w:t>
            </w:r>
            <w:r>
              <w:t xml:space="preserve"> boje proti všem formám diskriminace;</w:t>
            </w:r>
          </w:p>
        </w:tc>
        <w:tc>
          <w:tcPr>
            <w:tcW w:w="4876" w:type="dxa"/>
            <w:tcBorders>
              <w:top w:val="nil"/>
              <w:left w:val="nil"/>
              <w:bottom w:val="nil"/>
              <w:right w:val="nil"/>
            </w:tcBorders>
          </w:tcPr>
          <w:p>
            <w:pPr>
              <w:pStyle w:val="Normal6a"/>
            </w:pPr>
            <w:r>
              <w:t>33.</w:t>
            </w:r>
            <w:r>
              <w:tab/>
            </w:r>
            <w:r>
              <w:t xml:space="preserve">naléhavě vyzývá Komisi, aby do výroční zprávy o právním státu </w:t>
            </w:r>
            <w:r>
              <w:rPr>
                <w:b/>
                <w:i/>
              </w:rPr>
              <w:t>nezaváděla žádný</w:t>
            </w:r>
            <w:r>
              <w:t xml:space="preserve"> nový pilíř</w:t>
            </w:r>
            <w:r>
              <w:rPr>
                <w:b/>
                <w:i/>
              </w:rPr>
              <w:t>, včetně</w:t>
            </w:r>
            <w:r>
              <w:t xml:space="preserve"> boje proti všem formám diskriminace;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naléhavě vyzývá Komisi, aby do výroční zprávy o právním státu začlenila nový pilíř týkající se boje proti všem formám diskriminace;</w:t>
            </w:r>
          </w:p>
        </w:tc>
        <w:tc>
          <w:tcPr>
            <w:tcW w:w="4876" w:type="dxa"/>
            <w:tcBorders>
              <w:top w:val="nil"/>
              <w:left w:val="nil"/>
              <w:bottom w:val="nil"/>
              <w:right w:val="nil"/>
            </w:tcBorders>
          </w:tcPr>
          <w:p>
            <w:pPr>
              <w:pStyle w:val="Normal6a"/>
            </w:pPr>
            <w:r>
              <w:t>33.</w:t>
            </w:r>
            <w:r>
              <w:tab/>
            </w:r>
            <w:r>
              <w:t xml:space="preserve">naléhavě vyzývá Komisi, aby do výroční zprávy o právním státu začlenila nový pilíř týkající se boje proti všem formám diskriminace </w:t>
            </w:r>
            <w:r>
              <w:rPr>
                <w:b/>
                <w:i/>
              </w:rPr>
              <w:t>a nenávisti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naléhavě vyzývá Komisi, aby do výroční zprávy o právním státu začlenila nový pilíř týkající se boje proti </w:t>
            </w:r>
            <w:r>
              <w:rPr>
                <w:b/>
                <w:i/>
              </w:rPr>
              <w:t>všem formám diskriminace</w:t>
            </w:r>
            <w:r>
              <w:t>;</w:t>
            </w:r>
          </w:p>
        </w:tc>
        <w:tc>
          <w:tcPr>
            <w:tcW w:w="4876" w:type="dxa"/>
            <w:tcBorders>
              <w:top w:val="nil"/>
              <w:left w:val="nil"/>
              <w:bottom w:val="nil"/>
              <w:right w:val="nil"/>
            </w:tcBorders>
          </w:tcPr>
          <w:p>
            <w:pPr>
              <w:pStyle w:val="Normal6a"/>
            </w:pPr>
            <w:r>
              <w:t>33.</w:t>
            </w:r>
            <w:r>
              <w:tab/>
            </w:r>
            <w:r>
              <w:t xml:space="preserve">naléhavě vyzývá Komisi, aby do výroční zprávy o právním státu začlenila nový pilíř týkající se boje proti </w:t>
            </w:r>
            <w:r>
              <w:rPr>
                <w:b/>
                <w:i/>
              </w:rPr>
              <w:t>cenzuře sdělovacích prostředků a obsahu online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členské státy, aby prováděly Pakt o migraci a azylu v souladu se zásadami zakotvenými ve Smlouvách, Listině základních práv EU a s mezinárodním právem;</w:t>
            </w:r>
            <w:r>
              <w:t xml:space="preserve"> </w:t>
            </w:r>
            <w:r>
              <w:rPr>
                <w:b/>
                <w:i/>
              </w:rPr>
              <w:t>vyzývá členské státy, aby zajistily, že státní příslušníci třetích zemí budou mít stejná práva, nárok na rovné a humánní zacházení a spravedlivý přístup k řízení o mezinárodní ochraně v plném souladu s mezinárodním právem a zásadou nenavracení;</w:t>
            </w:r>
            <w:r>
              <w:t xml:space="preserve"> </w:t>
            </w:r>
            <w:r>
              <w:rPr>
                <w:b/>
                <w:i/>
              </w:rPr>
              <w:t>naléhavě vyzývá Komisi, aby zajistila, že externalizace a extrateritoriální řízení migrace, jako jsou dvoustranné dohody členských států se třetími státy, v žádném případě neohrozí tyto zásady a kritéria stanovená v právních předpisech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Komisi, aby přehodnotila svůj postoj k iniciativě Minority SafePack a předložila legislativní iniciativy na ochranu podpory práv menšin a jazykových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znovu vyzývá Komisi, aby se ve zprávě o právním státu více věnovala nástrojům reakce, jako jsou postupy podle článku 7 SEU, mechanismus obecné podmíněnosti a řízení o nesplnění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znovu vyzývá Komisi, aby se ve zprávě o právním státu více věnovala nástrojům reakce, jako jsou postupy podle článku 7 SEU, mechanismus obecné podmíněnosti a řízení o nesplnění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znovu vyzývá Komisi, aby se ve zprávě o právním státu více věnovala nástrojům reakce, jako jsou postupy podle článku 7 SEU, mechanismus obecné podmíněnosti a řízení o nesplnění povinnosti</w:t>
            </w:r>
            <w:r>
              <w:rPr>
                <w:b/>
                <w:i/>
                <w:vertAlign w:val="superscript"/>
              </w:rPr>
              <w:t>48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znovu vyzývá Komisi, aby se ve zprávě o právním státu více věnovala nástrojům reakce, jako jsou postupy podle článku 7 SEU, </w:t>
            </w:r>
            <w:r>
              <w:rPr>
                <w:b/>
                <w:i/>
              </w:rPr>
              <w:t>mechanismus obecné</w:t>
            </w:r>
            <w:r>
              <w:t xml:space="preserve"> podmíněnosti a řízení o nesplnění povinnosti</w:t>
            </w:r>
            <w:r>
              <w:rPr>
                <w:b/>
                <w:i/>
                <w:vertAlign w:val="superscript"/>
              </w:rPr>
              <w:t>48</w:t>
            </w:r>
            <w:r>
              <w:t>;</w:t>
            </w:r>
          </w:p>
        </w:tc>
        <w:tc>
          <w:tcPr>
            <w:tcW w:w="4876" w:type="dxa"/>
            <w:tcBorders>
              <w:top w:val="nil"/>
              <w:left w:val="nil"/>
              <w:bottom w:val="nil"/>
              <w:right w:val="nil"/>
            </w:tcBorders>
          </w:tcPr>
          <w:p>
            <w:pPr>
              <w:pStyle w:val="Normal6a"/>
            </w:pPr>
            <w:r>
              <w:t>34.</w:t>
            </w:r>
            <w:r>
              <w:tab/>
            </w:r>
            <w:r>
              <w:t xml:space="preserve">znovu vyzývá Komisi, aby se ve zprávě o právním státu více věnovala nástrojům reakce, jako jsou postupy podle článku 7 SEU, </w:t>
            </w:r>
            <w:r>
              <w:rPr>
                <w:b/>
                <w:i/>
              </w:rPr>
              <w:t>nařízení o</w:t>
            </w:r>
            <w:r>
              <w:t xml:space="preserve"> podmíněnosti </w:t>
            </w:r>
            <w:r>
              <w:rPr>
                <w:b/>
                <w:i/>
              </w:rPr>
              <w:t>dodržováním zásady právního státu, a dalších rozpočtových postupů</w:t>
            </w:r>
            <w:r>
              <w:t xml:space="preserve"> a řízení o nesplnění povinnosti</w:t>
            </w:r>
            <w:r>
              <w:rPr>
                <w:b/>
                <w:i/>
              </w:rPr>
              <w:t>;</w:t>
            </w:r>
            <w:r>
              <w:t xml:space="preserve"> </w:t>
            </w:r>
            <w:r>
              <w:rPr>
                <w:b/>
                <w:i/>
              </w:rPr>
              <w:t>vyzývá Komisi, aby systematicky využívala zrychlená řízení a žádosti o předběžná opatření před SDEU v případech řízení pro nesplnění povinnosti;</w:t>
            </w:r>
            <w:r>
              <w:t xml:space="preserve"> </w:t>
            </w:r>
            <w:r>
              <w:rPr>
                <w:b/>
                <w:i/>
              </w:rPr>
              <w:t>vyzývá Komisi, aby nepoužívala „dialog“ s členskými státy nebo „pilotní“ řízení jako otevřený prostředek k tomu, aby se vyhnula zahájení skutečných řízení o nesplnění povinnosti; vyzývá Komisi, aby přehodnotila svou politiku nastíněnou ve svém sdělení z roku 2022 o prosazování práva EU – která nemá oporu ve Smlouvách – nepoužívat žaloby pro nesplnění povinnosti v „jednotlivých případech“, neboť tato praxe má za následek závažné odpírání práv občanům v celé EU, zejména tam, kde místní vlády odmítají dodržovat právní předpisy EU nebo rozsudky SDEU, jelikož povětšinou tyto případy nejsou jednotlivé, ale souvisejí se strategickými a základními problémy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znovu</w:t>
            </w:r>
            <w:r>
              <w:t xml:space="preserve"> vyzývá Komisi, aby </w:t>
            </w:r>
            <w:r>
              <w:rPr>
                <w:b/>
                <w:i/>
              </w:rPr>
              <w:t>se ve zprávě o právním</w:t>
            </w:r>
            <w:r>
              <w:t xml:space="preserve"> státu </w:t>
            </w:r>
            <w:r>
              <w:rPr>
                <w:b/>
                <w:i/>
              </w:rPr>
              <w:t>více věnovala nástrojům reakce, jako jsou postupy podle článku 7 SEU, mechanismus obecné podmíněnosti a řízení o nesplnění povinnosti</w:t>
            </w:r>
            <w:r>
              <w:rPr>
                <w:b/>
                <w:i/>
                <w:vertAlign w:val="superscript"/>
              </w:rPr>
              <w:t>48</w:t>
            </w:r>
            <w:r>
              <w:t>;</w:t>
            </w:r>
          </w:p>
        </w:tc>
        <w:tc>
          <w:tcPr>
            <w:tcW w:w="4876" w:type="dxa"/>
            <w:tcBorders>
              <w:top w:val="nil"/>
              <w:left w:val="nil"/>
              <w:bottom w:val="nil"/>
              <w:right w:val="nil"/>
            </w:tcBorders>
          </w:tcPr>
          <w:p>
            <w:pPr>
              <w:pStyle w:val="Normal6a"/>
            </w:pPr>
            <w:r>
              <w:t>34.</w:t>
            </w:r>
            <w:r>
              <w:tab/>
            </w:r>
            <w:r>
              <w:rPr>
                <w:b/>
                <w:i/>
              </w:rPr>
              <w:t>je hluboce znepokojen situací v oblasti právního státu v evropských orgánech;</w:t>
            </w:r>
            <w:r>
              <w:t xml:space="preserve"> vyzývá Komisi, aby </w:t>
            </w:r>
            <w:r>
              <w:rPr>
                <w:b/>
                <w:i/>
              </w:rPr>
              <w:t>prošetřila rostoucí porušování zásad právního</w:t>
            </w:r>
            <w:r>
              <w:t xml:space="preserve"> státu </w:t>
            </w:r>
            <w:r>
              <w:rPr>
                <w:b/>
                <w:i/>
              </w:rPr>
              <w:t>v těchto orgánech;</w:t>
            </w:r>
            <w:r>
              <w:t xml:space="preserve"> </w:t>
            </w:r>
            <w:r>
              <w:rPr>
                <w:b/>
                <w:i/>
              </w:rPr>
              <w:t>s hlubokým znepokojením bere na vědomí údajné zapojení bývalého komisaře pro spravedlnost Didiera Reynderse do podvodu s praním peněz;</w:t>
            </w:r>
            <w:r>
              <w:t xml:space="preserve"> </w:t>
            </w:r>
            <w:r>
              <w:rPr>
                <w:b/>
                <w:i/>
              </w:rPr>
              <w:t>je velmi znepokojen tím, že komisař pro spravedlnost, který údajně vypral více než 1 milion eur nákupem losů, byl odpovědný za dodržování zásad právního státu v Evropské unii;</w:t>
            </w:r>
            <w:r>
              <w:t xml:space="preserve"> </w:t>
            </w:r>
            <w:r>
              <w:rPr>
                <w:b/>
                <w:i/>
              </w:rPr>
              <w:t>zdůrazňuje, že Didier Reynders byl belgickými orgány obviněn z praní peněz a korupce již v roce 2019 jako nominovaný kandidát na funkci komisaře;</w:t>
            </w:r>
            <w:r>
              <w:t xml:space="preserve"> </w:t>
            </w:r>
            <w:r>
              <w:rPr>
                <w:b/>
                <w:i/>
              </w:rPr>
              <w:t>vyzývá Komisi, aby vysvětlila, jak je možné, že Didier Reynders byl během 9. funkčního období odpovědný za portfolio spravedlnosti navzdory závažným obviněním;</w:t>
            </w:r>
            <w:r>
              <w:t xml:space="preserve"> </w:t>
            </w:r>
            <w:r>
              <w:rPr>
                <w:b/>
                <w:i/>
              </w:rPr>
              <w:t>znovu poznamenává, že tato zpráva nemůže sloužit jako základ pro žádné další mechanismy a postupy EU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znovu</w:t>
            </w:r>
            <w:r>
              <w:t xml:space="preserve"> vyzývá Komisi, aby </w:t>
            </w:r>
            <w:r>
              <w:rPr>
                <w:b/>
                <w:i/>
              </w:rPr>
              <w:t>se ve zprávě o právním státu více věnovala nástrojům reakce</w:t>
            </w:r>
            <w:r>
              <w:t xml:space="preserve">, jako jsou postupy podle článku 7 </w:t>
            </w:r>
            <w:r>
              <w:rPr>
                <w:b/>
                <w:i/>
              </w:rPr>
              <w:t>SEU, mechanismus obecné</w:t>
            </w:r>
            <w:r>
              <w:t xml:space="preserve"> podmíněnosti a řízení o nesplnění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vyzývá Komisi, aby </w:t>
            </w:r>
            <w:r>
              <w:rPr>
                <w:b/>
                <w:i/>
              </w:rPr>
              <w:t>posoudila, zda je další začlenění reaktivních nástrojů do zprávy o právním státu</w:t>
            </w:r>
            <w:r>
              <w:t xml:space="preserve">, jako jsou postupy podle článku 7 </w:t>
            </w:r>
            <w:r>
              <w:rPr>
                <w:b/>
                <w:i/>
              </w:rPr>
              <w:t>Smlouvy o EU, obecný mechanismus</w:t>
            </w:r>
            <w:r>
              <w:t xml:space="preserve"> podmíněnosti a řízení o nesplnění povinnosti</w:t>
            </w:r>
            <w:r>
              <w:rPr>
                <w:vertAlign w:val="superscript"/>
              </w:rPr>
              <w:t>48</w:t>
            </w:r>
            <w:r>
              <w:rPr>
                <w:b/>
                <w:i/>
              </w:rPr>
              <w:t>, vhodné vzhledem k tomu, že byly používány nehorázně zpolitizovaným způsobem, čehož nejlepším příkladem je Polsko, kde po změně vlády na vládu příznivou Bruselu a Berlínu byla veškerá kritika ukončena a postup podle článku 7 Smlouvy o EU byl zastaven, aniž by došlo k jakýmkoli legislativním změnám a navzdory otevřenému porušování ústavních zásad země</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znovu vyzývá Komisi, aby se ve zprávě o právním státu více věnovala nástrojům reakce, jako jsou postupy podle článku 7 SEU, mechanismus obecné podmíněnosti a řízení o nesplnění povinnosti</w:t>
            </w:r>
            <w:r>
              <w:rPr>
                <w:vertAlign w:val="superscript"/>
              </w:rPr>
              <w:t>48</w:t>
            </w:r>
            <w:r>
              <w:t>;</w:t>
            </w:r>
          </w:p>
        </w:tc>
        <w:tc>
          <w:tcPr>
            <w:tcW w:w="4876" w:type="dxa"/>
            <w:tcBorders>
              <w:top w:val="nil"/>
              <w:left w:val="nil"/>
              <w:bottom w:val="nil"/>
              <w:right w:val="nil"/>
            </w:tcBorders>
          </w:tcPr>
          <w:p>
            <w:pPr>
              <w:pStyle w:val="Normal6a"/>
            </w:pPr>
            <w:r>
              <w:t>34.</w:t>
            </w:r>
            <w:r>
              <w:tab/>
            </w:r>
            <w:r>
              <w:t>znovu vyzývá Komisi, aby se ve zprávě o právním státu více věnovala nástrojům reakce, jako jsou postupy podle článku 7 SEU, mechanismus obecné podmíněnosti a řízení o nesplnění povinnosti</w:t>
            </w:r>
            <w:r>
              <w:rPr>
                <w:vertAlign w:val="superscript"/>
              </w:rPr>
              <w:t>48</w:t>
            </w:r>
            <w:r>
              <w:t xml:space="preserve">; </w:t>
            </w:r>
            <w:r>
              <w:rPr>
                <w:b/>
                <w:i/>
              </w:rPr>
              <w:t>žádá Komisi, aby každoročně podávala zprávu o uplatňování a účinnosti nástrojů používaných proti porušování zásad právního státu v členských státech;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r>
              <w:rPr>
                <w:b/>
                <w:i/>
              </w:rPr>
              <w:t>.</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znovu vyzývá Komisi, aby </w:t>
            </w:r>
            <w:r>
              <w:rPr>
                <w:b/>
                <w:i/>
              </w:rPr>
              <w:t>se</w:t>
            </w:r>
            <w:r>
              <w:t xml:space="preserve"> ve zprávě o právním </w:t>
            </w:r>
            <w:r>
              <w:rPr>
                <w:b/>
                <w:i/>
              </w:rPr>
              <w:t>státu více věnovala nástrojům reakce, jako jsou postupy</w:t>
            </w:r>
            <w:r>
              <w:t xml:space="preserve"> podle článku 7 </w:t>
            </w:r>
            <w:r>
              <w:rPr>
                <w:b/>
                <w:i/>
              </w:rPr>
              <w:t>SEU</w:t>
            </w:r>
            <w:r>
              <w:t xml:space="preserve">, mechanismus </w:t>
            </w:r>
            <w:r>
              <w:rPr>
                <w:b/>
                <w:i/>
              </w:rPr>
              <w:t>obecné podmíněnosti a</w:t>
            </w:r>
            <w:r>
              <w:t xml:space="preserve"> řízení o nesplnění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znovu vyzývá Komisi, aby ve zprávě o právním </w:t>
            </w:r>
            <w:r>
              <w:rPr>
                <w:b/>
                <w:i/>
              </w:rPr>
              <w:t>státě lépe zohlednila různé nástroje ze souboru nástrojů právního státu, zejména probíhající řízení</w:t>
            </w:r>
            <w:r>
              <w:t xml:space="preserve"> podle článku 7 </w:t>
            </w:r>
            <w:r>
              <w:rPr>
                <w:b/>
                <w:i/>
              </w:rPr>
              <w:t>Smlouvy o EU</w:t>
            </w:r>
            <w:r>
              <w:t xml:space="preserve">, mechanismus </w:t>
            </w:r>
            <w:r>
              <w:rPr>
                <w:b/>
                <w:i/>
              </w:rPr>
              <w:t>podmíněnosti právního státu a také</w:t>
            </w:r>
            <w:r>
              <w:t xml:space="preserve"> řízení o nesplnění povinnosti</w:t>
            </w:r>
            <w:r>
              <w:rPr>
                <w:vertAlign w:val="superscript"/>
              </w:rPr>
              <w:t>48</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r>
              <w:rPr>
                <w:b/>
                <w:i/>
              </w:rPr>
              <w:t>.</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znovu vyzývá Komisi, aby </w:t>
            </w:r>
            <w:r>
              <w:rPr>
                <w:b/>
                <w:i/>
              </w:rPr>
              <w:t>se ve zprávě o právním státu více věnovala nástrojům reakce, jako jsou postupy podle článku 7 SEU, mechanismus obecné podmíněnosti a řízení o nesplnění povinnosti</w:t>
            </w:r>
            <w:r>
              <w:rPr>
                <w:b/>
                <w:i/>
                <w:vertAlign w:val="superscript"/>
              </w:rPr>
              <w:t>48</w:t>
            </w:r>
            <w:r>
              <w:t>;</w:t>
            </w:r>
          </w:p>
        </w:tc>
        <w:tc>
          <w:tcPr>
            <w:tcW w:w="4876" w:type="dxa"/>
            <w:tcBorders>
              <w:top w:val="nil"/>
              <w:left w:val="nil"/>
              <w:bottom w:val="nil"/>
              <w:right w:val="nil"/>
            </w:tcBorders>
          </w:tcPr>
          <w:p>
            <w:pPr>
              <w:pStyle w:val="Normal6a"/>
            </w:pPr>
            <w:r>
              <w:t>34.</w:t>
            </w:r>
            <w:r>
              <w:tab/>
            </w:r>
            <w:r>
              <w:t xml:space="preserve">znovu vyzývá Komisi, aby </w:t>
            </w:r>
            <w:r>
              <w:rPr>
                <w:b/>
                <w:i/>
              </w:rPr>
              <w:t>nevytvářela nové mechanismy a nástroje na ochranu právního státu, neboť stávající mechanismy a nástroje jsou dostačující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Maďarský helsinský výbor, Disregard for EU values:</w:t>
            </w:r>
            <w:r>
              <w:t xml:space="preserve"> </w:t>
            </w:r>
            <w:r>
              <w:rPr>
                <w:b/>
                <w:i/>
              </w:rPr>
              <w:t>a snapshot of RoL issues in Hungary in light of the Article 7 procedure, 12. listopadu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znovu vyzývá Komisi, aby se ve zprávě o právním státu více věnovala nástrojům </w:t>
            </w:r>
            <w:r>
              <w:rPr>
                <w:b/>
                <w:i/>
              </w:rPr>
              <w:t>reakce</w:t>
            </w:r>
            <w:r>
              <w:t>, jako jsou postupy podle článku 7 SEU, mechanismus obecné podmíněnosti a řízení o nesplnění povinnosti</w:t>
            </w:r>
            <w:r>
              <w:rPr>
                <w:vertAlign w:val="superscript"/>
              </w:rPr>
              <w:t>48</w:t>
            </w:r>
            <w:r>
              <w:t>;</w:t>
            </w:r>
          </w:p>
        </w:tc>
        <w:tc>
          <w:tcPr>
            <w:tcW w:w="4876" w:type="dxa"/>
            <w:tcBorders>
              <w:top w:val="nil"/>
              <w:left w:val="nil"/>
              <w:bottom w:val="nil"/>
              <w:right w:val="nil"/>
            </w:tcBorders>
          </w:tcPr>
          <w:p>
            <w:pPr>
              <w:pStyle w:val="Normal6a"/>
            </w:pPr>
            <w:r>
              <w:t>34.</w:t>
            </w:r>
            <w:r>
              <w:tab/>
            </w:r>
            <w:r>
              <w:t xml:space="preserve">znovu vyzývá Komisi, aby se ve zprávě o právním státu více věnovala nástrojům </w:t>
            </w:r>
            <w:r>
              <w:rPr>
                <w:b/>
                <w:i/>
              </w:rPr>
              <w:t>prosazování práva</w:t>
            </w:r>
            <w:r>
              <w:t>, jako jsou postupy podle článku 7 SEU, mechanismus obecné podmíněnosti a řízení o nesplnění povinnosti</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c>
          <w:tcPr>
            <w:tcW w:w="4876" w:type="dxa"/>
            <w:tcBorders>
              <w:top w:val="nil"/>
              <w:left w:val="nil"/>
              <w:bottom w:val="nil"/>
              <w:right w:val="nil"/>
            </w:tcBorders>
          </w:tcPr>
          <w:p>
            <w:pPr>
              <w:pStyle w:val="Normal6a"/>
            </w:pPr>
            <w:r>
              <w:rPr>
                <w:vertAlign w:val="superscript"/>
              </w:rPr>
              <w:t>48</w:t>
            </w:r>
            <w:r>
              <w:t xml:space="preserve"> </w:t>
            </w:r>
            <w:r>
              <w:t>Maďarský helsinský výbor, Disregard for EU values: a snapshot of RoL issues in Hungary in light of the Article 7 procedure, 12.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vyjadřuje politování nad tím, že maďarská vláda nepodnikla žádné smysluplné kroky k provedení doporučení ze zprávy o právním státě za rok 2024;</w:t>
            </w:r>
            <w:r>
              <w:t xml:space="preserve"> </w:t>
            </w:r>
            <w:r>
              <w:rPr>
                <w:b/>
                <w:i/>
              </w:rPr>
              <w:t>zdůrazňuje, že situace v oblasti svobody sdělovacích prostředků, kontroly a rovnováh, korupce na vysoké úrovni a prostoru pro organizace občanské společnosti se od jejího zveřejnění ještě více zhoršila;</w:t>
            </w:r>
            <w:r>
              <w:t xml:space="preserve"> </w:t>
            </w:r>
            <w:r>
              <w:rPr>
                <w:b/>
                <w:i/>
              </w:rPr>
              <w:t>zdůrazňuje, že reforma soudnictví do roku 2023 nepřinesla žádné podstatné zlepšení, pokud jde o nezávislost soudnictví, a odsuzuje nedávný krok vlády, která spojila dlouho očekávanou nápravu odměňování soudců s jejich souhlasem s dalšími politickými zásahy na úkor nezávislosti soudů;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vyzývá Komisi a členské státy, aby bojovaly proti diskriminaci na základě rasového a etnického původu, náboženského vyznání nebo přesvědčení, národnosti, politických názorů, jazyka, zdravotního postižení, věku, pohlaví, včetně genderové identity a vyjádření pohlavní identity, a sexuální orientace;</w:t>
            </w:r>
            <w:r>
              <w:t xml:space="preserve"> </w:t>
            </w:r>
            <w:r>
              <w:rPr>
                <w:b/>
                <w:i/>
              </w:rPr>
              <w:t>vyzývá Radu, aby dosáhla dohody o směrnici 2008/140/ES;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vyjadřuje politování nad tím, že maďarská vláda nepodnikla žádné smysluplné kroky k provedení doporučení ze zprávy o právním státě pro rok 2024 a že Maďarsko je jediným členským státem, na který se vztahuje postup podle čl. 7 odst. 1 Smlouvy o EU;</w:t>
            </w:r>
            <w:r>
              <w:t xml:space="preserve"> </w:t>
            </w:r>
            <w:r>
              <w:rPr>
                <w:b/>
                <w:i/>
              </w:rPr>
              <w:t>zdůrazňuje, že dodržování zásad právního státu se neustále zhoršuje;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vyzývá Evropskou komisi, aby do budoucích zpráv o právním státě výslovně zahrnula úvahy o rasové spravedlnosti a požadovala po členských státech, aby shromažďovaly srovnatelné a spolehlivé rozčleněné údaje o rovnosti, aby bylo možné plně posoudit dopad strukturální diskriminace na právní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vyzývá Komisi a členské státy, aby zajistily, že práva LGBTQIA+ budou plně respektována na celém území EU a že LGBTQIA+ osoby budou moci žít v bezpečí, uplatňovat svá práva a plně využívat svůj potenciál;</w:t>
            </w:r>
            <w:r>
              <w:t xml:space="preserve"> </w:t>
            </w:r>
            <w:r>
              <w:rPr>
                <w:b/>
                <w:i/>
              </w:rPr>
              <w:t>vyzývá Komisi a Radu, aby se práva LGBTQIA+ stala průřezovou prioritou ve všech oblastech politiky;</w:t>
            </w:r>
            <w:r>
              <w:t xml:space="preserve"> </w:t>
            </w:r>
            <w:r>
              <w:rPr>
                <w:b/>
                <w:i/>
              </w:rPr>
              <w:t>vyzývá Komisi, aby navrhla vhodná legislativní opatření, která zajistí dodržování těchto zásad, a aby se opírala o řízení o nesplnění povinnosti proti členským státům;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znovu vyzývá Komisi, aby bojovala proti všem diskriminačním praktikám a chránila zásady zakotvené v Listině základních práv EU;</w:t>
            </w:r>
            <w:r>
              <w:t xml:space="preserve"> </w:t>
            </w:r>
            <w:r>
              <w:rPr>
                <w:b/>
                <w:i/>
              </w:rPr>
              <w:t>vyzývá Komisi, aby zajistila, že na území EU bude plně respektován volný pohyb osob v rámci EU, právo na svobodný pobyt a slučování rodin a že každý občan bude moci požívat rovných práv a plně svá práva uplatňovat;</w:t>
            </w:r>
            <w:r>
              <w:t xml:space="preserve"> </w:t>
            </w:r>
            <w:r>
              <w:rPr>
                <w:b/>
                <w:i/>
              </w:rPr>
              <w:t>vyzývá Komisi, aby přepracovala směrnici 2004/38/ES tak, aby zahrnovala přeshraniční uznávání rodinných práv, včetně rodičovství rodičů stejného pohlaví, s ohledem na nejnovější rozhodnutí Soudního dvora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zdůrazňuje, že je důležité začlenit milníky v budování právního státu do nástrojů financování, jako je Nástroj pro oživení a odolnost;</w:t>
            </w:r>
            <w:r>
              <w:t xml:space="preserve"> </w:t>
            </w:r>
            <w:r>
              <w:rPr>
                <w:b/>
                <w:i/>
              </w:rPr>
              <w:t>kritizuje skutečnost, že Maďarsku byly poskytnuty finanční prostředky EU navzdory nedostatkům v jeho soudnictví a protikorupčních mechanismech;</w:t>
            </w:r>
            <w:r>
              <w:t xml:space="preserve"> </w:t>
            </w:r>
            <w:r>
              <w:rPr>
                <w:b/>
                <w:i/>
              </w:rPr>
              <w:t>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zdůrazňuje, že je důležité začlenit milníky v budování právního státu do nástrojů financování, jako je Nástroj pro oživení a odolnost;</w:t>
            </w:r>
            <w:r>
              <w:t xml:space="preserve"> </w:t>
            </w:r>
            <w:r>
              <w:rPr>
                <w:b/>
                <w:i/>
              </w:rPr>
              <w:t>kritizuje skutečnost, že Maďarsku byly poskytnuty finanční prostředky EU navzdory nedostatkům v jeho soudnictví a protikorupčních mechanismech;</w:t>
            </w:r>
            <w:r>
              <w:t xml:space="preserve"> </w:t>
            </w:r>
            <w:r>
              <w:rPr>
                <w:b/>
                <w:i/>
              </w:rPr>
              <w:t>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zdůrazňuje, že je důležité začlenit milníky v budování právního státu do nástrojů financování, jako je Nástroj pro oživení a odolnost;</w:t>
            </w:r>
            <w:r>
              <w:t xml:space="preserve"> </w:t>
            </w:r>
            <w:r>
              <w:rPr>
                <w:b/>
                <w:i/>
              </w:rPr>
              <w:t>kritizuje skutečnost, že Maďarsku byly poskytnuty finanční prostředky EU navzdory nedostatkům v jeho soudnictví a protikorupčních mechanismech;</w:t>
            </w:r>
            <w:r>
              <w:t xml:space="preserve"> </w:t>
            </w:r>
            <w:r>
              <w:rPr>
                <w:b/>
                <w:i/>
              </w:rPr>
              <w:t>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Maďarsku</w:t>
            </w:r>
            <w:r>
              <w:t xml:space="preserve"> byly poskytnuty finanční prostředky EU navzdory nedostatkům v jeho soudnictví a protikorupčních mechanismech; 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Maďarské vládě</w:t>
            </w:r>
            <w:r>
              <w:t xml:space="preserve"> byly poskytnuty finanční prostředky EU navzdory </w:t>
            </w:r>
            <w:r>
              <w:rPr>
                <w:b/>
                <w:i/>
              </w:rPr>
              <w:t>setrvalým a závažným</w:t>
            </w:r>
            <w:r>
              <w:t xml:space="preserve"> nedostatkům v jeho soudnictví a protikorupčních mechanismech; doporučuje, aby se vyplácení prostředků pozastavilo do doby, než budou všechna kritéria týkající se právního státu splněna; </w:t>
            </w:r>
            <w:r>
              <w:rPr>
                <w:b/>
                <w:i/>
              </w:rPr>
              <w:t>naléhavě vyzývá Radu, aby odblokovala další kroky v postupu podle článku 7 proti Maďarsku vzhledem k přetrvávajícímu porušování hodnot EU, včetně útoků na nezávislost soudů, svobodu sdělovacích prostředků a občanskou společnost, které vyžadují okamžité a rozhodné kroky na ochranu právního státu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zdůrazňuje, že je důležité začlenit milníky v budování</w:t>
            </w:r>
            <w:r>
              <w:t xml:space="preserve"> právního státu </w:t>
            </w:r>
            <w:r>
              <w:rPr>
                <w:b/>
                <w:i/>
              </w:rPr>
              <w:t>do</w:t>
            </w:r>
            <w:r>
              <w:t xml:space="preserve"> nástrojů </w:t>
            </w:r>
            <w:r>
              <w:rPr>
                <w:b/>
                <w:i/>
              </w:rPr>
              <w:t>financování, jako je Nástroj pro oživení a odolnost;</w:t>
            </w:r>
            <w:r>
              <w:t xml:space="preserve"> </w:t>
            </w:r>
            <w:r>
              <w:rPr>
                <w:b/>
                <w:i/>
              </w:rPr>
              <w:t>kritizuje skutečnost, že Maďarsku byly poskytnuty</w:t>
            </w:r>
            <w:r>
              <w:t xml:space="preserve"> finanční prostředky EU </w:t>
            </w:r>
            <w:r>
              <w:rPr>
                <w:b/>
                <w:i/>
              </w:rPr>
              <w:t>navzdory nedostatkům v jeho soudnictví a protikorupčních mechanismech;</w:t>
            </w:r>
            <w:r>
              <w:t xml:space="preserve"> </w:t>
            </w:r>
            <w:r>
              <w:rPr>
                <w:b/>
                <w:i/>
              </w:rPr>
              <w:t>doporučuje, aby se vyplácení prostředků pozastavilo do doby, než budou všechna kritéria týkající se právního státu splněna</w:t>
            </w:r>
            <w:r>
              <w:t>;</w:t>
            </w:r>
          </w:p>
        </w:tc>
        <w:tc>
          <w:tcPr>
            <w:tcW w:w="4876" w:type="dxa"/>
            <w:tcBorders>
              <w:top w:val="nil"/>
              <w:left w:val="nil"/>
              <w:bottom w:val="nil"/>
              <w:right w:val="nil"/>
            </w:tcBorders>
          </w:tcPr>
          <w:p>
            <w:pPr>
              <w:pStyle w:val="Normal6a"/>
            </w:pPr>
            <w:r>
              <w:t>35.</w:t>
            </w:r>
            <w:r>
              <w:tab/>
            </w:r>
            <w:r>
              <w:rPr>
                <w:b/>
                <w:i/>
              </w:rPr>
              <w:t>se znepokojením konstatuje, že Komise uplatňuje politicky předpojaté monitorování kritérií</w:t>
            </w:r>
            <w:r>
              <w:t xml:space="preserve"> právního státu </w:t>
            </w:r>
            <w:r>
              <w:rPr>
                <w:b/>
                <w:i/>
              </w:rPr>
              <w:t>prostřednictvím souboru</w:t>
            </w:r>
            <w:r>
              <w:t xml:space="preserve"> nástrojů </w:t>
            </w:r>
            <w:r>
              <w:rPr>
                <w:b/>
                <w:i/>
              </w:rPr>
              <w:t>na podporu právního státu;</w:t>
            </w:r>
            <w:r>
              <w:t xml:space="preserve"> </w:t>
            </w:r>
            <w:r>
              <w:rPr>
                <w:b/>
                <w:i/>
              </w:rPr>
              <w:t>vyzývá Komisi, aby zastavila politické útoky proti pravicovým a konzervativním vládám;</w:t>
            </w:r>
            <w:r>
              <w:t xml:space="preserve"> </w:t>
            </w:r>
            <w:r>
              <w:rPr>
                <w:b/>
                <w:i/>
              </w:rPr>
              <w:t>zdůrazňuje, že Komise Maďarsko finančně a politicky vydírá kvůli jeho zákonu o ochraně dětí, zákonu o ochraně národní suverenity a silnému postoji k migrační politice;</w:t>
            </w:r>
            <w:r>
              <w:t xml:space="preserve"> </w:t>
            </w:r>
            <w:r>
              <w:rPr>
                <w:b/>
                <w:i/>
              </w:rPr>
              <w:t>připomíná, že Maďarsko má nárok na všechny</w:t>
            </w:r>
            <w:r>
              <w:t xml:space="preserve"> finanční prostředky EU</w:t>
            </w:r>
            <w:r>
              <w:rPr>
                <w:b/>
                <w:i/>
              </w:rPr>
              <w:t>, které mu jsou Komisí neoprávněně zadržovány;</w:t>
            </w:r>
            <w:r>
              <w:t xml:space="preserve"> </w:t>
            </w:r>
            <w:r>
              <w:rPr>
                <w:b/>
                <w:i/>
              </w:rPr>
              <w:t>vyzývá Evropskou komisi, aby uvolnila zbývajících 20 miliard EUR z fondů EU, na které má Maďarsko oprávněný nárok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zdůrazňuje, že je důležité začlenit</w:t>
            </w:r>
            <w:r>
              <w:t xml:space="preserve"> milníky v budování právního státu do nástrojů financování, jako je Nástroj pro oživení a odolnost; </w:t>
            </w:r>
            <w:r>
              <w:rPr>
                <w:b/>
                <w:i/>
              </w:rPr>
              <w:t>kritizuje skutečnost, že Maďarsku byly poskytnuty finanční prostředky EU navzdory nedostatkům v jeho soudnictví a protikorupčních mechanismech;</w:t>
            </w:r>
            <w:r>
              <w:t xml:space="preserve"> </w:t>
            </w:r>
            <w:r>
              <w:rPr>
                <w:b/>
                <w:i/>
              </w:rPr>
              <w:t>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t>35.</w:t>
            </w:r>
            <w:r>
              <w:tab/>
            </w:r>
            <w:r>
              <w:rPr>
                <w:b/>
                <w:i/>
              </w:rPr>
              <w:t>bere na vědomí, že</w:t>
            </w:r>
            <w:r>
              <w:t xml:space="preserve"> milníky v budování právního státu </w:t>
            </w:r>
            <w:r>
              <w:rPr>
                <w:b/>
                <w:i/>
              </w:rPr>
              <w:t>byly začleněny</w:t>
            </w:r>
            <w:r>
              <w:t xml:space="preserve"> do nástrojů financování, jako je Nástroj pro oživení a odolnost;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Maďarsku</w:t>
            </w:r>
            <w:r>
              <w:t xml:space="preserve"> byly poskytnuty finanční prostředky EU navzdory nedostatkům v jeho soudnictví a protikorupčních mechanismech; doporučuje, aby se vyplácení prostředků </w:t>
            </w:r>
            <w:r>
              <w:rPr>
                <w:b/>
                <w:i/>
              </w:rPr>
              <w:t>pozastavilo do doby, než budou</w:t>
            </w:r>
            <w:r>
              <w:t xml:space="preserve"> všechna kritéria týkající se právního státu </w:t>
            </w:r>
            <w:r>
              <w:rPr>
                <w:b/>
                <w:i/>
              </w:rPr>
              <w:t>splněna</w:t>
            </w:r>
            <w:r>
              <w:t>;</w:t>
            </w:r>
          </w:p>
        </w:tc>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maďarské vládě</w:t>
            </w:r>
            <w:r>
              <w:t xml:space="preserve"> byly poskytnuty finanční prostředky EU navzdory nedostatkům v jeho soudnictví a protikorupčních mechanismech; doporučuje, aby se vyplácení prostředků </w:t>
            </w:r>
            <w:r>
              <w:rPr>
                <w:b/>
                <w:i/>
              </w:rPr>
              <w:t>maďarské vládě pozastavilo, dokud nesplní</w:t>
            </w:r>
            <w:r>
              <w:t xml:space="preserve"> všechna kritéria týkající se právního státu</w:t>
            </w:r>
            <w:r>
              <w:rPr>
                <w:b/>
                <w:i/>
              </w:rPr>
              <w:t>;</w:t>
            </w:r>
            <w:r>
              <w:t xml:space="preserve"> </w:t>
            </w:r>
            <w:r>
              <w:rPr>
                <w:b/>
                <w:i/>
              </w:rPr>
              <w:t>vyzývá Komisi, aby zajistila, že se finanční prostředky EU dostanou k maďarskému obyvatelstvu, a to i prostřednictvím přímého nebo nepřímého financování konečných příjemců a příjemců nezávislých na maďarské vládě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w:t>
            </w:r>
            <w:r>
              <w:rPr>
                <w:b/>
                <w:i/>
              </w:rPr>
              <w:t>je důležité začlenit milníky</w:t>
            </w:r>
            <w:r>
              <w:t xml:space="preserve"> v budování právního státu </w:t>
            </w:r>
            <w:r>
              <w:rPr>
                <w:b/>
                <w:i/>
              </w:rPr>
              <w:t>do nástrojů</w:t>
            </w:r>
            <w:r>
              <w:t xml:space="preserve"> financování, jako je Nástroj pro oživení a odolnost</w:t>
            </w:r>
            <w:r>
              <w:rPr>
                <w:b/>
                <w:i/>
              </w:rPr>
              <w:t>;</w:t>
            </w:r>
            <w:r>
              <w:t xml:space="preserve"> </w:t>
            </w:r>
            <w:r>
              <w:rPr>
                <w:b/>
                <w:i/>
              </w:rPr>
              <w:t>kritizuje skutečnost</w:t>
            </w:r>
            <w:r>
              <w:t xml:space="preserve">, že Maďarsku byly poskytnuty finanční prostředky EU </w:t>
            </w:r>
            <w:r>
              <w:rPr>
                <w:b/>
                <w:i/>
              </w:rPr>
              <w:t>navzdory nedostatkům</w:t>
            </w:r>
            <w:r>
              <w:t xml:space="preserve"> v jeho soudnictví a protikorupčních mechanismech</w:t>
            </w:r>
            <w:r>
              <w:rPr>
                <w:b/>
                <w:i/>
              </w:rPr>
              <w:t>;</w:t>
            </w:r>
            <w:r>
              <w:t xml:space="preserve"> </w:t>
            </w:r>
            <w:r>
              <w:rPr>
                <w:b/>
                <w:i/>
              </w:rPr>
              <w:t>doporučuje, aby se</w:t>
            </w:r>
            <w:r>
              <w:t xml:space="preserve"> vyplácení prostředků </w:t>
            </w:r>
            <w:r>
              <w:rPr>
                <w:b/>
                <w:i/>
              </w:rPr>
              <w:t>pozastavilo do doby, než budou všechna</w:t>
            </w:r>
            <w:r>
              <w:t xml:space="preserve"> kritéria </w:t>
            </w:r>
            <w:r>
              <w:rPr>
                <w:b/>
                <w:i/>
              </w:rPr>
              <w:t>týkající se</w:t>
            </w:r>
            <w:r>
              <w:t xml:space="preserve"> právního státu </w:t>
            </w:r>
            <w:r>
              <w:rPr>
                <w:b/>
                <w:i/>
              </w:rPr>
              <w:t>splněna</w:t>
            </w:r>
            <w:r>
              <w:t>;</w:t>
            </w:r>
          </w:p>
        </w:tc>
        <w:tc>
          <w:tcPr>
            <w:tcW w:w="4876" w:type="dxa"/>
            <w:tcBorders>
              <w:top w:val="nil"/>
              <w:left w:val="nil"/>
              <w:bottom w:val="nil"/>
              <w:right w:val="nil"/>
            </w:tcBorders>
          </w:tcPr>
          <w:p>
            <w:pPr>
              <w:pStyle w:val="Normal6a"/>
            </w:pPr>
            <w:r>
              <w:t>35.</w:t>
            </w:r>
            <w:r>
              <w:tab/>
            </w:r>
            <w:r>
              <w:t xml:space="preserve">zdůrazňuje, že </w:t>
            </w:r>
            <w:r>
              <w:rPr>
                <w:b/>
                <w:i/>
              </w:rPr>
              <w:t>uplatňování milníků</w:t>
            </w:r>
            <w:r>
              <w:t xml:space="preserve"> v budování právního státu </w:t>
            </w:r>
            <w:r>
              <w:rPr>
                <w:b/>
                <w:i/>
              </w:rPr>
              <w:t>v nástrojích</w:t>
            </w:r>
            <w:r>
              <w:t xml:space="preserve"> financování, jako je Nástroj pro oživení a odolnost</w:t>
            </w:r>
            <w:r>
              <w:rPr>
                <w:b/>
                <w:i/>
              </w:rPr>
              <w:t>, není v souladu s povinností dodržovat Smlouvy a řídit se přístupem založeným na objektivních kritériích;</w:t>
            </w:r>
            <w:r>
              <w:t xml:space="preserve"> </w:t>
            </w:r>
            <w:r>
              <w:rPr>
                <w:b/>
                <w:i/>
              </w:rPr>
              <w:t>konstatuje</w:t>
            </w:r>
            <w:r>
              <w:t>, že Maďarsku byly poskytnuty finanční prostředky EU</w:t>
            </w:r>
            <w:r>
              <w:rPr>
                <w:b/>
                <w:i/>
              </w:rPr>
              <w:t>, což není v rozporu se Smlouvami a že údajné nedostatky</w:t>
            </w:r>
            <w:r>
              <w:t xml:space="preserve"> v jeho soudnictví a protikorupčních mechanismech </w:t>
            </w:r>
            <w:r>
              <w:rPr>
                <w:b/>
                <w:i/>
              </w:rPr>
              <w:t>by se měly řešit postupy, jež jsou v souladu se Smlouvami;</w:t>
            </w:r>
            <w:r>
              <w:t xml:space="preserve"> </w:t>
            </w:r>
            <w:r>
              <w:rPr>
                <w:b/>
                <w:i/>
              </w:rPr>
              <w:t>zdůrazňuje, že</w:t>
            </w:r>
            <w:r>
              <w:t xml:space="preserve"> vyplácení prostředků </w:t>
            </w:r>
            <w:r>
              <w:rPr>
                <w:b/>
                <w:i/>
              </w:rPr>
              <w:t>z fondů EU není vázáno na libovolná</w:t>
            </w:r>
            <w:r>
              <w:t xml:space="preserve"> kritéria </w:t>
            </w:r>
            <w:r>
              <w:rPr>
                <w:b/>
                <w:i/>
              </w:rPr>
              <w:t>dodržování</w:t>
            </w:r>
            <w:r>
              <w:t xml:space="preserve"> právního státu;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Maďarsku</w:t>
            </w:r>
            <w:r>
              <w:t xml:space="preserve"> byly poskytnuty finanční prostředky EU navzdory nedostatkům v jeho soudnictví a protikorupčních mechanismech; doporučuje, aby se vyplácení prostředků </w:t>
            </w:r>
            <w:r>
              <w:rPr>
                <w:b/>
                <w:i/>
              </w:rPr>
              <w:t>pozastavilo do doby, než budou</w:t>
            </w:r>
            <w:r>
              <w:t xml:space="preserve"> všechna kritéria týkající se právního státu </w:t>
            </w:r>
            <w:r>
              <w:rPr>
                <w:b/>
                <w:i/>
              </w:rPr>
              <w:t>splněna</w:t>
            </w:r>
            <w:r>
              <w:t>;</w:t>
            </w:r>
          </w:p>
        </w:tc>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kritizuje skutečnost, že </w:t>
            </w:r>
            <w:r>
              <w:rPr>
                <w:b/>
                <w:i/>
              </w:rPr>
              <w:t>maďarské vládě</w:t>
            </w:r>
            <w:r>
              <w:t xml:space="preserve"> byly poskytnuty finanční prostředky EU navzdory nedostatkům v jeho soudnictví a protikorupčních mechanismech; doporučuje, aby se vyplácení prostředků </w:t>
            </w:r>
            <w:r>
              <w:rPr>
                <w:b/>
                <w:i/>
              </w:rPr>
              <w:t>maďarské vládě pozastavilo, dokud nesplní</w:t>
            </w:r>
            <w:r>
              <w:t xml:space="preserve"> všechna kritéria týkající se právního státu</w:t>
            </w:r>
            <w:r>
              <w:rPr>
                <w:b/>
                <w:i/>
              </w:rPr>
              <w:t>;</w:t>
            </w:r>
            <w:r>
              <w:t xml:space="preserve"> </w:t>
            </w:r>
            <w:r>
              <w:rPr>
                <w:b/>
                <w:i/>
              </w:rPr>
              <w:t>naléhavě vyzývá Komisi, aby zajistila, že se finanční prostředky EU dostanou k maďarskému obyvatelstvu, a zároveň zachovala plný dopad přijatých opatření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zdůrazňuje, že je důležité začlenit milníky v budování právního státu do nástrojů financování, jako je Nástroj pro oživení a odolnost; kritizuje skutečnost, že Maďarsku byly poskytnuty finanční prostředky EU navzdory nedostatkům v jeho soudnictví a protikorupčních mechanismech; doporučuje, aby se vyplácení prostředků pozastavilo do doby, než budou všechna kritéria týkající se právního státu splněna;</w:t>
            </w:r>
          </w:p>
        </w:tc>
        <w:tc>
          <w:tcPr>
            <w:tcW w:w="4876" w:type="dxa"/>
            <w:tcBorders>
              <w:top w:val="nil"/>
              <w:left w:val="nil"/>
              <w:bottom w:val="nil"/>
              <w:right w:val="nil"/>
            </w:tcBorders>
          </w:tcPr>
          <w:p>
            <w:pPr>
              <w:pStyle w:val="Normal6a"/>
            </w:pPr>
            <w:r>
              <w:t>35.</w:t>
            </w:r>
            <w:r>
              <w:tab/>
            </w:r>
            <w:r>
              <w:t xml:space="preserve">zdůrazňuje, že je důležité začlenit milníky v budování právního státu do nástrojů financování, jako je Nástroj pro oživení a odolnost; </w:t>
            </w:r>
            <w:r>
              <w:rPr>
                <w:b/>
                <w:i/>
              </w:rPr>
              <w:t>požaduje, aby budoucí víceletý finanční rámec zahrnoval důkladné záruky právního státu platné pro všechny fondy EU;</w:t>
            </w:r>
            <w:r>
              <w:t xml:space="preserve"> kritizuje skutečnost, že Maďarsku byly poskytnuty finanční prostředky EU navzdory nedostatkům v jeho soudnictví a protikorupčních mechanismech; doporučuje, aby se vyplácení prostředků pozastavilo do doby, než budou všechna kritéria týkající se právního státu splněna;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vyjadřuje hluboké znepokojení nad nárůstem krajně pravicového extremismu a jeho destruktivním vlivem na demokratické normy a právní stát v několika členských státech;</w:t>
            </w:r>
            <w:r>
              <w:t xml:space="preserve"> </w:t>
            </w:r>
            <w:r>
              <w:rPr>
                <w:b/>
                <w:i/>
              </w:rPr>
              <w:t>vyzývá ke koordinovanému postupu EU proti této hrozbě, mimo jiné prostřednictvím vzdělávání, programů sociálního začleňování a v případě potřeby i právních opatření;</w:t>
            </w:r>
            <w:r>
              <w:t xml:space="preserve"> </w:t>
            </w:r>
            <w:r>
              <w:rPr>
                <w:b/>
                <w:i/>
              </w:rPr>
              <w:t>se znepokojením konstatuje, že tyto skupiny aktivně útočí na menšiny, včetně LGBTQI+ osob, a přispívají k atmosféře strachu a diskriminace;</w:t>
            </w:r>
            <w:r>
              <w:t xml:space="preserve"> </w:t>
            </w:r>
            <w:r>
              <w:rPr>
                <w:b/>
                <w:i/>
              </w:rPr>
              <w:t>vyzývá Komisi, aby ve své výroční zprávě o právním státě výslovně označila tyto skupiny za hrozbu pro demokracii, lidská práva a základní svobody, včetně nezávislosti akademické obce a sdělovacích prostředků;</w:t>
            </w:r>
            <w:r>
              <w:t xml:space="preserve"> </w:t>
            </w:r>
            <w:r>
              <w:rPr>
                <w:b/>
                <w:i/>
              </w:rPr>
              <w:t>vyzývá členské státy, aby přijaly rozhodná opatření proti jejich vlivu prostřednictvím pevných právních rámců, vzdělávání propagujícího demokratické hodnoty a podpory organizací občanské společnosti bojujících proti extremismu;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k zavedení nástroje založeného na výkonnosti na základě dodržování lidské důstojnosti, svobody, demokracie, rovnosti, právního státu a lidských práv do nařízení o víceletém finančním rámci, aby se dodržování těchto zásad více sladilo s poskytováním prostředků z fondů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trvá na tom, aby bylo zavedeno užší propojení mezi závěry zprávy o právním státě a přidělováním finanční podpory z rozpočtu Unie, a to v logice milníků, které zajistí, že finanční prostředky EU budou vázány na dosažení nezbytných reforem;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je znepokojen tím, že datum zveřejnění výroční zprávy o stavu právního státu nepřispívá k dostatečnému zviditelnění a je v rozporu se zamýšleným účelem zprávy, kterým je vyvolat skutečnou veřejnou diskusi o jejích zjištěních;</w:t>
            </w:r>
            <w:r>
              <w:t xml:space="preserve"> </w:t>
            </w:r>
            <w:r>
              <w:rPr>
                <w:b/>
                <w:i/>
              </w:rPr>
              <w:t>vyzývá Komisi, aby přehodnotila datum zveřejnění a vyvinula další úsilí, aby se její zjištění dostala do povědomí všech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očekává, že zpráva Komise o právním státě do roku 2025 stanoví lhůty pro provádění doporučení pro jednotlivé země;</w:t>
            </w:r>
            <w:r>
              <w:t xml:space="preserve"> </w:t>
            </w:r>
            <w:r>
              <w:rPr>
                <w:b/>
                <w:i/>
              </w:rPr>
              <w:t>trvá na tom, že zmrazené finanční prostředky EU by měly být uvolněny až poté, co budou plně provedeny smysluplné reformy a bude prokazatelně dosaženo dodržování zásad právního státu v praxi;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vybízí členské státy, aby posílily demokracii v oblasti životního prostředí zajištěním plného provádění Aarhuské úmluvy, zejména pokud jde o přístup k právní ochraně v záležitostech životního prostředí a ochranu ekologických aktivistů a organizací;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domnívá se, že je třeba posílit interinstitucionální dialog a spolupráci v oblasti právního státu na úrovni EU;</w:t>
            </w:r>
            <w:r>
              <w:t xml:space="preserve"> </w:t>
            </w:r>
            <w:r>
              <w:rPr>
                <w:b/>
                <w:i/>
              </w:rPr>
              <w:t>vyzývá k tomu, aby byl o právním státu navázán stálý interinstitucionální dialog, do něhož by byl zapojen mimo jiné Parlament, Rada a Komise;</w:t>
            </w:r>
            <w:r>
              <w:t xml:space="preserve"> </w:t>
            </w:r>
            <w:r>
              <w:rPr>
                <w:b/>
                <w:i/>
              </w:rPr>
              <w:t>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domnívá se, že je třeba posílit interinstitucionální dialog a spolupráci v oblasti právního státu na úrovni EU;</w:t>
            </w:r>
            <w:r>
              <w:t xml:space="preserve"> </w:t>
            </w:r>
            <w:r>
              <w:rPr>
                <w:b/>
                <w:i/>
              </w:rPr>
              <w:t>vyzývá k tomu, aby byl o právním státu navázán stálý interinstitucionální dialog, do něhož by byl zapojen mimo jiné Parlament, Rada a Komise;</w:t>
            </w:r>
            <w:r>
              <w:t xml:space="preserve"> </w:t>
            </w:r>
            <w:r>
              <w:rPr>
                <w:b/>
                <w:i/>
              </w:rPr>
              <w:t>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domnívá se, že je třeba posílit interinstitucionální dialog a spolupráci v oblasti právního státu na úrovni EU;</w:t>
            </w:r>
            <w:r>
              <w:t xml:space="preserve"> </w:t>
            </w:r>
            <w:r>
              <w:rPr>
                <w:b/>
                <w:i/>
              </w:rPr>
              <w:t>vyzývá k tomu, aby byl o právním státu navázán stálý interinstitucionální dialog, do něhož by byl zapojen mimo jiné Parlament, Rada a Komise;</w:t>
            </w:r>
            <w:r>
              <w:t xml:space="preserve"> </w:t>
            </w:r>
            <w:r>
              <w:rPr>
                <w:b/>
                <w:i/>
              </w:rPr>
              <w:t>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w:t>
            </w:r>
            <w:r>
              <w:rPr>
                <w:b/>
                <w:i/>
              </w:rPr>
              <w:t>k tomu, aby byl o právním státu navázán stálý interinstitucionální dialog, do něhož by byl zapojen mimo jiné Parlament, Rada a Komise</w:t>
            </w:r>
            <w:r>
              <w:t>; 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w:t>
            </w:r>
            <w:r>
              <w:rPr>
                <w:b/>
                <w:i/>
              </w:rPr>
              <w:t>vyjadřuje politování nad tím, že Komise a Rada doposud odmítají nabídku Parlamentu uzavřít interinstitucionální dohodu týkající se demokracie, právního státu a základních práv;</w:t>
            </w:r>
            <w:r>
              <w:t xml:space="preserve"> </w:t>
            </w:r>
            <w:r>
              <w:rPr>
                <w:b/>
                <w:i/>
              </w:rPr>
              <w:t>znovu potvrzuje svoji ochotu zahájit jednání o této dohodě;</w:t>
            </w:r>
            <w:r>
              <w:t xml:space="preserve"> vyzývá </w:t>
            </w:r>
            <w:r>
              <w:rPr>
                <w:b/>
                <w:i/>
              </w:rPr>
              <w:t>ostatní orgány, aby mezitím alespoň prozkoumaly možnost další spolupráce v rámci navrhovaného interinstitucionálního pilotního projektu zaměřeného na demokracii, právní stát a základní práva, což by pomohlo budovat mezi orgány praktickým způsobem důvěru, zejména sdílením postupů monitorování, dialogu a setkávání</w:t>
            </w:r>
            <w:r>
              <w:t xml:space="preserve">; vyzývá Radu, aby na svá zasedání zvala i další subjekty, jako je Benátská komise, komisař </w:t>
            </w:r>
            <w:r>
              <w:rPr>
                <w:b/>
                <w:i/>
              </w:rPr>
              <w:t>Rady Evropy</w:t>
            </w:r>
            <w:r>
              <w:t xml:space="preserve"> pro lidská práva a zástupci Parlamentu, a zajistila tak dialogu o právním státu větší inkluzivnost; </w:t>
            </w:r>
            <w:r>
              <w:rPr>
                <w:b/>
                <w:i/>
              </w:rPr>
              <w:t>je přesvědčen, že dialog Rady o právním státu by měl být interaktivnější a podstatnější, a proto vyzývá členské státy, aby investovaly do řádné přípravy na tento dialog;</w:t>
            </w:r>
            <w:r>
              <w:t xml:space="preserve"> </w:t>
            </w:r>
            <w:r>
              <w:rPr>
                <w:b/>
                <w:i/>
              </w:rPr>
              <w:t>zdůrazňuje, že větší transparentnost by posílila dialog o právním státu v rámci Unie, a vyzývá proto Radu, aby tyto diskuse o jednotlivých zemích zveřejnila, včetně podrobných veřejných závěrů;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w:t>
            </w:r>
            <w:r>
              <w:rPr>
                <w:b/>
                <w:i/>
              </w:rPr>
              <w:t>na úrovni EU;</w:t>
            </w:r>
            <w:r>
              <w:t xml:space="preserve"> </w:t>
            </w:r>
            <w:r>
              <w:rPr>
                <w:b/>
                <w:i/>
              </w:rPr>
              <w:t>vyzývá k tomu, aby byl o právním státu navázán stálý interinstitucionální dialog, do něhož by byl zapojen mimo jiné Parlament, Rada a Komise;</w:t>
            </w:r>
            <w:r>
              <w:t xml:space="preserve"> </w:t>
            </w:r>
            <w:r>
              <w:rPr>
                <w:b/>
                <w:i/>
              </w:rPr>
              <w:t>vyzývá Radu, aby na svá zasedání zvala i další subjekty, jako je Benátská komise, komisař pro lidská práva a zástupci Parlamentu, a zajistila tak dialogu o právním státu větší inkluzivnost</w:t>
            </w:r>
            <w:r>
              <w:t>;</w:t>
            </w:r>
          </w:p>
        </w:tc>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w:t>
            </w:r>
            <w:r>
              <w:rPr>
                <w:b/>
                <w:i/>
              </w:rPr>
              <w:t>a boje proti korupci zapojením orgánů EU do kontroly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k tomu, aby byl o právním státu navázán stálý interinstitucionální dialog, do něhož by byl zapojen </w:t>
            </w:r>
            <w:r>
              <w:rPr>
                <w:b/>
                <w:i/>
              </w:rPr>
              <w:t>mimo jiné</w:t>
            </w:r>
            <w:r>
              <w:t xml:space="preserve"> Parlament, Rada a Komise; 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k tomu, aby byl o právním státu navázán stálý interinstitucionální dialog </w:t>
            </w:r>
            <w:r>
              <w:rPr>
                <w:b/>
                <w:i/>
              </w:rPr>
              <w:t>prostřednictvím uzavření interinstitucionální dohody</w:t>
            </w:r>
            <w:r>
              <w:t>, do něhož by byl zapojen Parlament, Rada a Komise; vyzývá Radu, aby na svá zasedání zvala i další subjekty, jako je Benátská komise, komisař pro lidská práva a zástupci Parlamentu, a zajistila tak dialogu o právním státu větší inkluzivnost</w:t>
            </w:r>
            <w:r>
              <w:rPr>
                <w:b/>
                <w:i/>
              </w:rPr>
              <w:t>, anebo přinejmenším poskytovala Evropskému parlamentu systematickou zpětnou vazbu ze zasedání v rámci dialogu o právním státě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domnívá se, že je třeba posílit interinstitucionální dialog a spolupráci v oblasti právního státu na úrovni EU; vyzývá k tomu, aby byl o právním státu navázán stálý interinstitucionální dialog, do něhož by byl zapojen mimo jiné Parlament, Rada a Komise; vyzývá Radu, aby na svá zasedání zvala i další subjekty, jako je Benátská komise, komisař pro lidská práva a zástupci Parlamentu, a zajistila tak dialogu o právním státu větší inkluzivnost;</w:t>
            </w:r>
          </w:p>
        </w:tc>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k tomu, aby byl o právním státu navázán stálý interinstitucionální dialog, do něhož by byl zapojen mimo jiné Parlament, Rada a Komise; vyzývá Radu, aby na svá zasedání zvala i další subjekty, jako je Benátská komise, komisař pro lidská práva a zástupci Parlamentu, a zajistila tak dialogu o právním státu větší inkluzivnost; </w:t>
            </w:r>
            <w:r>
              <w:rPr>
                <w:b/>
                <w:i/>
              </w:rPr>
              <w:t>naléhavě vyzývá Radu, aby spolupracovala s vnitrostátními parlamenty s cílem posílit demokratický dohled nad tím, jak členské státy dodržují normy EU v oblasti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domnívá se, že je třeba posílit interinstitucionální dialog a spolupráci</w:t>
            </w:r>
            <w:r>
              <w:t xml:space="preserve"> v oblasti právního státu na úrovni EU</w:t>
            </w:r>
            <w:r>
              <w:rPr>
                <w:b/>
                <w:i/>
              </w:rPr>
              <w:t>;</w:t>
            </w:r>
            <w:r>
              <w:t xml:space="preserve"> </w:t>
            </w:r>
            <w:r>
              <w:rPr>
                <w:b/>
                <w:i/>
              </w:rPr>
              <w:t>vyzývá k tomu, aby byl o právním státu navázán stálý interinstitucionální dialog, do něhož by byl zapojen mimo jiné Parlament, Rada a Komise;</w:t>
            </w:r>
            <w:r>
              <w:t xml:space="preserve"> </w:t>
            </w:r>
            <w:r>
              <w:rPr>
                <w:b/>
                <w:i/>
              </w:rPr>
              <w:t>vyzývá Radu, aby na svá zasedání zvala i další subjekty, jako je Benátská komise, komisař pro lidská práva a zástupci Parlamentu, a zajistila tak</w:t>
            </w:r>
            <w:r>
              <w:t xml:space="preserve"> dialogu o právním státu </w:t>
            </w:r>
            <w:r>
              <w:rPr>
                <w:b/>
                <w:i/>
              </w:rPr>
              <w:t>větší inkluzivnost</w:t>
            </w:r>
            <w:r>
              <w:t>;</w:t>
            </w:r>
          </w:p>
        </w:tc>
        <w:tc>
          <w:tcPr>
            <w:tcW w:w="4876" w:type="dxa"/>
            <w:tcBorders>
              <w:top w:val="nil"/>
              <w:left w:val="nil"/>
              <w:bottom w:val="nil"/>
              <w:right w:val="nil"/>
            </w:tcBorders>
          </w:tcPr>
          <w:p>
            <w:pPr>
              <w:pStyle w:val="Normal6a"/>
            </w:pPr>
            <w:r>
              <w:t>36.</w:t>
            </w:r>
            <w:r>
              <w:tab/>
            </w:r>
            <w:r>
              <w:rPr>
                <w:b/>
                <w:i/>
              </w:rPr>
              <w:t>konstatuje, že zaznívají výzvy k posílení interinstitucionálního dialogu a spolupráce</w:t>
            </w:r>
            <w:r>
              <w:t xml:space="preserve"> v oblasti právního státu na úrovni EU</w:t>
            </w:r>
            <w:r>
              <w:rPr>
                <w:b/>
                <w:i/>
              </w:rPr>
              <w:t>, ačkoli to není v souladu se zněním Smluv;</w:t>
            </w:r>
            <w:r>
              <w:t xml:space="preserve"> </w:t>
            </w:r>
            <w:r>
              <w:rPr>
                <w:b/>
                <w:i/>
              </w:rPr>
              <w:t>zároveň konstatuje, že zejména postoje Parlamentu jsou často ovlivňovány stranickými zájmy jednotlivých skupin, což pouze posiluje předpojatost a politický rozměr tzv. „</w:t>
            </w:r>
            <w:r>
              <w:t>dialogu</w:t>
            </w:r>
            <w:r>
              <w:rPr>
                <w:b/>
                <w:i/>
              </w:rPr>
              <w:t>“</w:t>
            </w:r>
            <w:r>
              <w:t xml:space="preserve"> o právním státu;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k </w:t>
            </w:r>
            <w:r>
              <w:rPr>
                <w:b/>
                <w:i/>
              </w:rPr>
              <w:t>tomu, aby byl o právním státu navázán stálý interinstitucionální dialog, do něhož by byl zapojen mimo jiné Parlament,</w:t>
            </w:r>
            <w:r>
              <w:t xml:space="preserve"> Rada a </w:t>
            </w:r>
            <w:r>
              <w:rPr>
                <w:b/>
                <w:i/>
              </w:rPr>
              <w:t>Komise;</w:t>
            </w:r>
            <w:r>
              <w:t xml:space="preserve"> </w:t>
            </w:r>
            <w:r>
              <w:rPr>
                <w:b/>
                <w:i/>
              </w:rPr>
              <w:t>vyzývá Radu, aby na svá zasedání zvala i další subjekty, jako je Benátská komise, komisař pro lidská práva a zástupci Parlamentu, a zajistila tak dialogu o právním</w:t>
            </w:r>
            <w:r>
              <w:t xml:space="preserve"> státu </w:t>
            </w:r>
            <w:r>
              <w:rPr>
                <w:b/>
                <w:i/>
              </w:rPr>
              <w:t>větší inkluzivnost</w:t>
            </w:r>
            <w:r>
              <w:t>;</w:t>
            </w:r>
          </w:p>
        </w:tc>
        <w:tc>
          <w:tcPr>
            <w:tcW w:w="4876" w:type="dxa"/>
            <w:tcBorders>
              <w:top w:val="nil"/>
              <w:left w:val="nil"/>
              <w:bottom w:val="nil"/>
              <w:right w:val="nil"/>
            </w:tcBorders>
          </w:tcPr>
          <w:p>
            <w:pPr>
              <w:pStyle w:val="Normal6a"/>
            </w:pPr>
            <w:r>
              <w:t>36.</w:t>
            </w:r>
            <w:r>
              <w:tab/>
            </w:r>
            <w:r>
              <w:t xml:space="preserve">domnívá se, že je třeba posílit interinstitucionální dialog a spolupráci v oblasti právního státu na úrovni EU; vyzývá k </w:t>
            </w:r>
            <w:r>
              <w:rPr>
                <w:b/>
                <w:i/>
              </w:rPr>
              <w:t>zavedení evropského semestru pro právní stát, který vytvoří rámec, v něž budou mít klíčovou úlohou</w:t>
            </w:r>
            <w:r>
              <w:t xml:space="preserve"> Rada a </w:t>
            </w:r>
            <w:r>
              <w:rPr>
                <w:b/>
                <w:i/>
              </w:rPr>
              <w:t>Evropský parlament, které bude podporovat Komise, jež má pravomoc prosazovat dodržování předpisů;</w:t>
            </w:r>
            <w:r>
              <w:t xml:space="preserve"> </w:t>
            </w:r>
            <w:r>
              <w:rPr>
                <w:b/>
                <w:i/>
              </w:rPr>
              <w:t>konstatuje, že tento rámec by řešil demokratický deficit a zajistil by dodržování zásad právního</w:t>
            </w:r>
            <w:r>
              <w:t xml:space="preserve"> státu </w:t>
            </w:r>
            <w:r>
              <w:rPr>
                <w:b/>
                <w:i/>
              </w:rPr>
              <w:t>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hluboce lituje toho, že Rada není schopna učinit významný pokrok v rámci probíhajícího postupu podle čl. 7 odst. 1 SEU;</w:t>
            </w:r>
            <w:r>
              <w:t xml:space="preserve"> </w:t>
            </w:r>
            <w:r>
              <w:rPr>
                <w:b/>
                <w:i/>
              </w:rPr>
              <w:t>naléhavě Radu vyzývá, aby zajistila, že se slyšení budou během postupů podle článku 7 konat alespoň jednou za předsednictví, a aby se rovněž zabývala novým vývojem, který má dopad na právní stát, demokracii a základní práva;</w:t>
            </w:r>
            <w:r>
              <w:t xml:space="preserve"> </w:t>
            </w:r>
            <w:r>
              <w:rPr>
                <w:b/>
                <w:i/>
              </w:rPr>
              <w:t>zdůrazňuje, že není třeba jednomyslnosti v Radě, aby bylo možné určit zřejmé riziko závažného porušení hodnot Unie podle čl. 7 odst. 1 SEU či vydat konkrétní doporučení dotčeným členským státům a stanovit lhůty pro provedení těchto doporučení;</w:t>
            </w:r>
            <w:r>
              <w:t xml:space="preserve"> </w:t>
            </w:r>
            <w:r>
              <w:rPr>
                <w:b/>
                <w:i/>
              </w:rPr>
              <w:t>znovu Radu vyzývá, aby tak učinila, a zdůrazňuje, že veškeré další průtahy by představovaly porušení zásady právního státu ze strany samotné Rady;</w:t>
            </w:r>
            <w:r>
              <w:t xml:space="preserve"> </w:t>
            </w:r>
            <w:r>
              <w:rPr>
                <w:b/>
                <w:i/>
              </w:rPr>
              <w:t>trvá na tom, aby byla respektována úloha a pravomoci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připomíná svůj dlouhodobý požadavek na vytvoření mechanismu EU pro demokracii, právní stát a základní práva (Pakt EU o demokracii, právním státu a základních právech) v podobě interinstitucionální dohody a vyzývá Komisi a Radu, aby takovou interinstitucionální dohodu uzavřely;</w:t>
            </w:r>
            <w:r>
              <w:t xml:space="preserve"> </w:t>
            </w:r>
            <w:r>
              <w:rPr>
                <w:b/>
                <w:i/>
              </w:rPr>
              <w:t>připomíná, že nový mechanismus by měl integrovat a doplňovat stávající mechanismy, včetně zprávy o právním státu, měl by být založen na důkazech, měl by být objektivní, zaměřený na členské státy a orgány EU, včetně preventivních a nápravných opatření, a měl by mu být nápomocen panel nezávislých odborníků;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vyzývá členské státy, aby zajistily, že veškeré legislativní reformy ovlivňující dělbu moci budou plně v souladu s evropskými právními zásadami;</w:t>
            </w:r>
            <w:r>
              <w:t xml:space="preserve"> </w:t>
            </w:r>
            <w:r>
              <w:rPr>
                <w:b/>
                <w:i/>
              </w:rPr>
              <w:t>naléhavě vyzývá Komisi, aby posoudila, zda jsou legislativní opatření, která mají dopad na soudnictví, právní výhody nebo výkonnou kontrolu nad soudními institucemi, v souladu s článkem 2 SEU a zda mohou odůvodnit zahájení řízení podle článku 7 SEU;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domnívá se, že by měla být dále posílena spolupráce mezi EU a mezinárodními organizacemi, jako je Rada Evropy, OBSE a OSN, při prosazování a obraně demokracie, právního státu, základních svobod a lidských práv, včetně práv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domnívá se, že spolupráce mezi členskými státy má pro rozvoj demokracie, právního státu a základních práv v rámci EU velký význam;</w:t>
            </w:r>
            <w:r>
              <w:t xml:space="preserve"> </w:t>
            </w:r>
            <w:r>
              <w:rPr>
                <w:b/>
                <w:i/>
              </w:rPr>
              <w:t>naléhavě vyzývá Komisi, aby dodržovala svá vlastní pravidla v otázkách transparentnosti, boje proti korupci a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vyzývá členské státy, aby zajistily, že mimořádná opatření přijatá v reakci na krize (jako jsou pandemie nebo bezpečnostní hrozby) budou podléhat pravidelné parlamentní kontrole a soudnímu přezkumu a budou přísně časově omezená a přiměřená;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vyjadřuje politování nad tím, že Komise nezapracovala mnoho opakovaných žádostí Parlamentu týkajících se jejích zpráv o právním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požaduje, aby Komise vydala do 31. prosince 2025 sdělení, v němž podrobně uvede, které žádosti přijaté Parlamentem v souvislosti se zprávami Komise o právním státu od roku 2021 provede, které neprovede a konkrétní důvody případného zamítnutí;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zdůrazňuje, že je třeba, aby členské státy řešily genderové rozdíly v soudnictví a dalších klíčových demokratických institucích;</w:t>
            </w:r>
            <w:r>
              <w:t xml:space="preserve"> </w:t>
            </w:r>
            <w:r>
              <w:rPr>
                <w:b/>
                <w:i/>
              </w:rPr>
              <w:t>doporučuje zavést cílená opatření ke zvýšení zastoupení žen na vyšších pozicích v soudnictví a veřejné správě;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vyzývá Komisi, aby nevyužívala ochranu právního státu a základních práv jako záminku k politickému nátlaku na některé členské státy a ke snaze nutit je, aby změnily politiky spadající do jejich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vyjadřuje hluboké znepokojení nad tím, že stejně jako v případě řízení podle článku 7 budou v rámci nařízení o podmíněnosti dodržováním zásad právního státu zavedena opatření s cílem podpořit politické ideály a delegitimizovat některé členské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doporučuje, aby Komise 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w:t>
            </w:r>
            <w:r>
              <w:t xml:space="preserve"> </w:t>
            </w:r>
            <w:r>
              <w:rPr>
                <w:b/>
                <w:i/>
              </w:rPr>
              <w:t>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doporučuje, aby Komise 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rPr>
                <w:b/>
                <w:i/>
              </w:rPr>
              <w:t>je znepokojen vměšováním Evropského parlamentu a Evropské komise do vnitřních záležitostí členských států;</w:t>
            </w:r>
            <w:r>
              <w:t xml:space="preserve"> </w:t>
            </w:r>
            <w:r>
              <w:rPr>
                <w:b/>
                <w:i/>
              </w:rPr>
              <w:t>připomíná, že dne 7. ledna 2025 generální ředitel společnosti Meta Mark Zuckerberg připustil, že Facebook cenzuroval obsah z politických důvodů;</w:t>
            </w:r>
            <w:r>
              <w:t xml:space="preserve"> </w:t>
            </w:r>
            <w:r>
              <w:rPr>
                <w:b/>
                <w:i/>
              </w:rPr>
              <w:t>vítá úsilí společnosti Meta o prosazování svobody projevu na jejích platformách sociálních médií;</w:t>
            </w:r>
            <w:r>
              <w:t xml:space="preserve"> </w:t>
            </w:r>
            <w:r>
              <w:rPr>
                <w:b/>
                <w:i/>
              </w:rPr>
              <w:t>vyjadřuje politování nad tím, že v Evropě je stále prosazováno politicky neobjektivní ověřování faktů na platformách sociálních médií;</w:t>
            </w:r>
            <w:r>
              <w:t xml:space="preserve"> </w:t>
            </w:r>
            <w:r>
              <w:rPr>
                <w:b/>
                <w:i/>
              </w:rPr>
              <w:t>vyzývá Komisi, aby zastavila úsilí o cenzuru pravicových a konzervativních hlasů na platformách sociálních médií;</w:t>
            </w:r>
            <w:r>
              <w:t xml:space="preserve"> </w:t>
            </w:r>
            <w:r>
              <w:rPr>
                <w:b/>
                <w:i/>
              </w:rPr>
              <w:t>vyzývá Evropský parlament, aby zřídil vyšetřovací výbor pro cenzuru na Facebooku;</w:t>
            </w:r>
            <w:r>
              <w:t xml:space="preserve"> </w:t>
            </w:r>
            <w:r>
              <w:rPr>
                <w:b/>
                <w:i/>
              </w:rPr>
              <w:t>vítá úsilí Elona Muska v boji za svobodu projevu</w:t>
            </w:r>
            <w:r>
              <w:t>;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w:t>
            </w:r>
            <w:r>
              <w:rPr>
                <w:b/>
                <w:i/>
              </w:rPr>
              <w:t>, a to zejména využívání sociálních médií k manipulaci a nepřátelským účelům, včetně jejich využívání ze strany jednotlivců, např. Elona Muska, k ovlivňování veřejného mínění a šíření dezinformací v Evropě;</w:t>
            </w:r>
            <w:r>
              <w:t xml:space="preserve"> </w:t>
            </w:r>
            <w:r>
              <w:rPr>
                <w:b/>
                <w:i/>
              </w:rPr>
              <w:t>zdůrazňuje, že Komise musí zajistit, aby byly zásady právního státu řádně dodržovány v orgánech a institucích EU, a vyzývá k tomu, aby i orgány a instituce EU byly do výroční hodnotící zprávy Komise o právním státu zahrnuty</w:t>
            </w:r>
            <w:r>
              <w:t>;</w:t>
            </w:r>
          </w:p>
        </w:tc>
        <w:tc>
          <w:tcPr>
            <w:tcW w:w="4876" w:type="dxa"/>
            <w:tcBorders>
              <w:top w:val="nil"/>
              <w:left w:val="nil"/>
              <w:bottom w:val="nil"/>
              <w:right w:val="nil"/>
            </w:tcBorders>
          </w:tcPr>
          <w:p>
            <w:pPr>
              <w:pStyle w:val="Normal6a"/>
            </w:pPr>
            <w:r>
              <w:t>37.</w:t>
            </w:r>
            <w:r>
              <w:tab/>
            </w:r>
            <w:r>
              <w:t>doporučuje, aby Komise a členské státy monitorovaly vměšování zahraničních subjektů;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w:t>
            </w:r>
            <w:r>
              <w:rPr>
                <w:b/>
                <w:i/>
              </w:rPr>
              <w:t>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w:t>
            </w:r>
            <w:r>
              <w:t xml:space="preserve"> </w:t>
            </w:r>
            <w:r>
              <w:rPr>
                <w:b/>
                <w:i/>
              </w:rPr>
              <w:t>zdůrazňuje, že Komise musí zajistit</w:t>
            </w:r>
            <w:r>
              <w: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w:t>
            </w:r>
            <w:r>
              <w:rPr>
                <w:b/>
                <w:i/>
              </w:rPr>
              <w:t>zajistila</w:t>
            </w:r>
            <w:r>
              <w: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využívání sociálních médií k manipulaci a nepřátelským účelům, </w:t>
            </w:r>
            <w:r>
              <w:rPr>
                <w:b/>
                <w:i/>
              </w:rPr>
              <w:t>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využívání sociálních médií k manipulaci a nepřátelským účelům, </w:t>
            </w:r>
            <w:r>
              <w:rPr>
                <w:b/>
                <w:i/>
              </w:rPr>
              <w:t>s cílem ovlivňovat veřejné mínění a šířit dezinformace v Evropě;</w:t>
            </w:r>
            <w:r>
              <w:t xml:space="preserve"> </w:t>
            </w:r>
            <w:r>
              <w:rPr>
                <w:b/>
                <w:i/>
              </w:rPr>
              <w:t>konstatuje, že Komise již řadu let neuznává dominantní postavení liberální levice v sociálních médiích, včetně zavedení této agendy některými hlavními městy, mezinárodními nadacemi a orgány EU</w:t>
            </w:r>
            <w:r>
              <w:t>;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 </w:t>
            </w:r>
            <w:r>
              <w:rPr>
                <w:b/>
                <w:i/>
              </w:rPr>
              <w:t>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w:t>
            </w:r>
            <w:r>
              <w:rPr>
                <w:b/>
                <w:i/>
              </w:rPr>
              <w:t>, a to zejména využívání sociálních médií k manipulaci a nepřátelským účelům,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doporučuje, aby Komise a členské státy monitorovaly vměšování zahraničních subjektů;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w:t>
            </w:r>
            <w:r>
              <w:rPr>
                <w:b/>
                <w:i/>
              </w:rPr>
              <w:t>a to zejména</w:t>
            </w:r>
            <w:r>
              <w:t xml:space="preserve"> využívání sociálních médií k manipulaci a nepřátelským účelům</w:t>
            </w:r>
            <w:r>
              <w:rPr>
                <w:b/>
                <w:i/>
              </w:rPr>
              <w:t>,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w:t>
            </w:r>
            <w:r>
              <w:rPr>
                <w:b/>
                <w:i/>
              </w:rPr>
              <w:t>včetně</w:t>
            </w:r>
            <w:r>
              <w:t xml:space="preserve"> využívání sociálních médií k manipulaci a nepřátelským účelům;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w:t>
            </w:r>
            <w:r>
              <w:rPr>
                <w:b/>
                <w:i/>
              </w:rPr>
              <w:t>, a to zejména využívání sociálních médií k manipulaci a nepřátelským účelům,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w:t>
            </w:r>
            <w:r>
              <w:rPr>
                <w:b/>
                <w:i/>
              </w:rPr>
              <w:t>a přijaly účinná opatření na ochranu našich společných zájmů;</w:t>
            </w:r>
            <w:r>
              <w:t xml:space="preserve"> </w:t>
            </w:r>
            <w:r>
              <w:rPr>
                <w:b/>
                <w:i/>
              </w:rPr>
              <w:t>zdůrazňuje, že proti zahraničním propagandistickým operacím lze bojovat bez porušování svobody projevu, tj. řádným označováním organizací financovaných ze zahraničí nebo neutrálními iniciativami, jako jsou komunitní poznámky</w:t>
            </w:r>
            <w:r>
              <w:t>;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w:t>
            </w:r>
            <w:r>
              <w:rPr>
                <w:b/>
                <w:i/>
              </w:rPr>
              <w:t>,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w:t>
            </w:r>
            <w:r>
              <w:rPr>
                <w:b/>
                <w:i/>
              </w:rPr>
              <w:t>, včetně jejich využívání ze strany jednotlivců, např. Elona Muska, k ovlivňování veřejného mínění a šíření dezinformací v Evropě</w:t>
            </w:r>
            <w:r>
              <w:t>;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w:t>
            </w:r>
            <w:r>
              <w:rPr>
                <w:b/>
                <w:i/>
              </w:rPr>
              <w:t>a to zejména</w:t>
            </w:r>
            <w:r>
              <w:t xml:space="preserve"> využívání sociálních médií k manipulaci </w:t>
            </w:r>
            <w:r>
              <w:rPr>
                <w:b/>
                <w:i/>
              </w:rPr>
              <w:t>a</w:t>
            </w:r>
            <w:r>
              <w:t xml:space="preserve"> nepřátelským účelům</w:t>
            </w:r>
            <w:r>
              <w:rPr>
                <w:b/>
                <w:i/>
              </w:rPr>
              <w:t>, včetně jejich využívání ze strany jednotlivců, např. Elona Muska, k ovlivňování veřejného mínění</w:t>
            </w:r>
            <w:r>
              <w:t xml:space="preserve">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w:t>
            </w:r>
            <w:r>
              <w:rPr>
                <w:b/>
                <w:i/>
              </w:rPr>
              <w:t>a rychle řešily</w:t>
            </w:r>
            <w:r>
              <w:t xml:space="preserve"> vměšování zahraničních subjektů, </w:t>
            </w:r>
            <w:r>
              <w:rPr>
                <w:b/>
                <w:i/>
              </w:rPr>
              <w:t>včetně</w:t>
            </w:r>
            <w:r>
              <w:t xml:space="preserve"> využívání sociálních médií k manipulaci</w:t>
            </w:r>
            <w:r>
              <w:rPr>
                <w:b/>
                <w:i/>
              </w:rPr>
              <w:t>,</w:t>
            </w:r>
            <w:r>
              <w:t xml:space="preserve"> nepřátelským účelům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doporučuje, aby Komise a členské státy monitorovaly vměšování zahraničních subjektů, a to zejména využívání sociálních médií k manipulaci a nepřátelským účelům, včetně jejich využívání ze strany jednotlivců, např. Elona Muska, k ovlivňování veřejného mínění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využívání sociálních médií k manipulaci a nepřátelským účelům, včetně jejich využívání ze strany jednotlivců, např. Elona Muska </w:t>
            </w:r>
            <w:r>
              <w:rPr>
                <w:b/>
                <w:i/>
              </w:rPr>
              <w:t>a společnosti Meta</w:t>
            </w:r>
            <w:r>
              <w:t>, k ovlivňování veřejného mínění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w:t>
            </w:r>
            <w:r>
              <w:rPr>
                <w:b/>
                <w:i/>
              </w:rPr>
              <w:t>využívání sociálních médií</w:t>
            </w:r>
            <w:r>
              <w:t xml:space="preserve"> k manipulaci a nepřátelským účelům, včetně </w:t>
            </w:r>
            <w:r>
              <w:rPr>
                <w:b/>
                <w:i/>
              </w:rPr>
              <w:t>jejich využívání ze strany jednotlivců, např. Elona Muska,</w:t>
            </w:r>
            <w:r>
              <w:t xml:space="preserve"> k ovlivňování veřejného mínění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c>
          <w:tcPr>
            <w:tcW w:w="4876" w:type="dxa"/>
            <w:tcBorders>
              <w:top w:val="nil"/>
              <w:left w:val="nil"/>
              <w:bottom w:val="nil"/>
              <w:right w:val="nil"/>
            </w:tcBorders>
          </w:tcPr>
          <w:p>
            <w:pPr>
              <w:pStyle w:val="Normal6a"/>
            </w:pPr>
            <w:r>
              <w:t>37.</w:t>
            </w:r>
            <w:r>
              <w:tab/>
            </w:r>
            <w:r>
              <w:t xml:space="preserve">doporučuje, aby Komise a členské státy monitorovaly vměšování zahraničních subjektů, a to zejména </w:t>
            </w:r>
            <w:r>
              <w:rPr>
                <w:b/>
                <w:i/>
              </w:rPr>
              <w:t>ze strany nevládních organizací</w:t>
            </w:r>
            <w:r>
              <w:t xml:space="preserve"> k manipulaci a nepřátelským účelům, včetně </w:t>
            </w:r>
            <w:r>
              <w:rPr>
                <w:b/>
                <w:i/>
              </w:rPr>
              <w:t>případů, kdy jsou nevládní organizace využívané</w:t>
            </w:r>
            <w:r>
              <w:t xml:space="preserve"> k ovlivňování veřejného mínění a šíření dezinformací v Evropě; 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naléhavě vyzývá Komisi, aby bedlivě sledovala, aby seznamy bezpečných zemí původu vypracované příslušnými vnitrostátními orgány byly vždy v souladu s demokratickými zásadami, a tudíž se zásadami právního státu, kritérii stanovenými v právních předpisech EU, rozsudky Soudního dvora Evropské unie a mezinárodním právem;</w:t>
            </w:r>
            <w:r>
              <w:t xml:space="preserve"> </w:t>
            </w:r>
            <w:r>
              <w:rPr>
                <w:b/>
                <w:i/>
              </w:rPr>
              <w:t>vyzdvihuje povinnost podle práva EU a mezinárodního práva poskytovat mezinárodní ochranu osobám, které jsou pronásledovány a/nebo vystaveny vážné újmě na základě rasového a etnického původu, náboženského vyznání nebo přesvědčení, národnosti, politických názorů, jazyka, zdravotního postižení, věku, pohlaví, včetně genderové identity a vyjádření pohlavní identity, a sexuální orientace;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zdůrazňuje, že je důležité chránit základní právo na svobodu projevu, které je pilířem našich demokratických společností.</w:t>
            </w:r>
            <w:r>
              <w:t xml:space="preserve"> </w:t>
            </w:r>
            <w:r>
              <w:rPr>
                <w:b/>
                <w:i/>
              </w:rPr>
              <w:t>Komise musí zajistit řádné uplatňování regulačního rámce EU pro platformy sociálních médií s cílem chránit toto právo namísto toho, aby umožnila politický tlak, který by mohl utlumit otevřenou a upřímnou diskusi.</w:t>
            </w:r>
            <w:r>
              <w:t xml:space="preserve"> </w:t>
            </w:r>
            <w:r>
              <w:rPr>
                <w:b/>
                <w:i/>
              </w:rPr>
              <w:t>Ačkoli platformy sociálních médií musí jednat odpovědně a dodržovat platné předpisy, je nezbytné, aby se postupy moderování obsahu nestaly nástrojem politické kontroly, cenzury nebo manipulace.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vyzývá členské státy, aby zvýšily transparentnost a odpovědnost lobbistických činností, včetně zřízení nebo zlepšení povinných registrů lobbistů a mechanismů „legislativní stopy“ pro sledování vlivu na legislativní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zdůrazňuje, že Komise musí zajistit, aby byly zásady právního státu řádně dodržovány v orgánech a institucích EU, a vyzývá k tomu, aby i orgány a instituce EU byly do výroční hodnotící zprávy Komise o právním státu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vyzývá Radu, aby přijala rozhodnutí o zařazení nenávistných verbálních projevů a trestných činů z nenávisti mezi trestné činy na seznam podle čl. 83 odst. 1 SFEU;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vyjadřuje znepokojení nad rostoucí tendencí využívat právní předpisy, jako je akt o digitálních službách, k prosazování politických postojů a vizí, které by mohly oslabit svobodu projevu.</w:t>
            </w:r>
            <w:r>
              <w:t xml:space="preserve"> </w:t>
            </w:r>
            <w:r>
              <w:rPr>
                <w:b/>
                <w:i/>
              </w:rPr>
              <w:t>Platformy sociálních médií by měly zůstat fóry, na nichž si lze svobodně vyměňovat názory bez obav z politicky motivované cenzury.</w:t>
            </w:r>
            <w:r>
              <w:t xml:space="preserve"> </w:t>
            </w:r>
            <w:r>
              <w:rPr>
                <w:b/>
                <w:i/>
              </w:rPr>
              <w:t>EU musí zůstat ostražitá a postavit se proti veškerým pokusům o využívání moderace obsahu pro politické účely, a chránit tak svobodu projevu;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naléhavě vyzývá Komisi, aby předložila obnovenou strategii pro rovnost LGBTQIA+ osob na období po roce 2025, která by plně řešila současné výzvy v celé Evropě a učinila z práv LGBTQIA+ osob průřezovou prioritu ve všech oblastech politiky;</w:t>
            </w:r>
            <w:r>
              <w:t xml:space="preserve"> </w:t>
            </w:r>
            <w:r>
              <w:rPr>
                <w:b/>
                <w:i/>
              </w:rPr>
              <w:t>zdůrazňuje význam sebeurčení LGBTQIA+ osob a uznávání jejich identity a práv bez omezení věku;</w:t>
            </w:r>
            <w:r>
              <w:t xml:space="preserve"> </w:t>
            </w:r>
            <w:r>
              <w:rPr>
                <w:b/>
                <w:i/>
              </w:rPr>
              <w:t>vyzývá k ochraně a podpoře fyzického a duševního zdraví LGBTQIA+ osob;</w:t>
            </w:r>
            <w:r>
              <w:t xml:space="preserve"> </w:t>
            </w:r>
            <w:r>
              <w:rPr>
                <w:b/>
                <w:i/>
              </w:rPr>
              <w:t>naléhavě vyzývá Komisi, aby předložila legislativní návrhy na boj proti trestným činům z nenávisti a nenávistným verbálním projevům na základě genderové identity a sexuální orientace a aby párům stejného pohlaví zaručila rovná práva;</w:t>
            </w:r>
            <w:r>
              <w:t xml:space="preserve"> </w:t>
            </w:r>
            <w:r>
              <w:rPr>
                <w:b/>
                <w:i/>
              </w:rPr>
              <w:t>naléhavě vyzývá Komisi, aby předložila návrh závazného zákazu konverzních praktik EU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vyzývá Komisi a členské státy, aby bojovaly proti diskriminaci na základě rasového a etnického původu, náboženského vyznání nebo přesvědčení, národnosti, politických názorů, jazyka, zdravotního postižení, věku, pohlaví, včetně genderové identity a vyjádření pohlavní identity, a sexuální orientace;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vítá iniciativu Komise, jejímž cílem je zahrnout do její výroční zprávy o právním státu Albánii, Černou Horu, Severní Makedonii a Srbsko, a vybízí k tomu, aby byl stav právního státu v těchto přistupujících zemích zevrubně posouzen;</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vítá iniciativu Komise, jejímž cílem je zahrnout do její výroční zprávy o právním státu Albánii, Černou Horu, Severní Makedonii a Srbsko, a vybízí k tomu, aby byl stav právního státu v těchto přistupujících zemích zevrubně posouzen;</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vítá iniciativu Komise, jejímž cílem je zahrnout do její výroční zprávy o právním státu Albánii, Černou Horu, Severní Makedonii a Srbsko, a vybízí k tomu, aby byl stav právního státu v těchto přistupujících zemích zevrubně posouzen;</w:t>
            </w:r>
          </w:p>
        </w:tc>
        <w:tc>
          <w:tcPr>
            <w:tcW w:w="4876" w:type="dxa"/>
            <w:tcBorders>
              <w:top w:val="nil"/>
              <w:left w:val="nil"/>
              <w:bottom w:val="nil"/>
              <w:right w:val="nil"/>
            </w:tcBorders>
          </w:tcPr>
          <w:p>
            <w:pPr>
              <w:pStyle w:val="Normal6a"/>
            </w:pPr>
            <w:r>
              <w:t>38.</w:t>
            </w:r>
            <w:r>
              <w:tab/>
            </w:r>
            <w:r>
              <w:t xml:space="preserve">vítá </w:t>
            </w:r>
            <w:r>
              <w:rPr>
                <w:b/>
                <w:i/>
              </w:rPr>
              <w:t>rozšíření zprávy Komise o právním státu na kandidátské země, čímž se zdůrazňuje, že základní hodnoty EU musí respektovat nejen současné členské státy, ale i budoucí členové během přístupových procesů;</w:t>
            </w:r>
            <w:r>
              <w:t xml:space="preserve"> </w:t>
            </w:r>
            <w:r>
              <w:rPr>
                <w:b/>
                <w:i/>
              </w:rPr>
              <w:t>vítá</w:t>
            </w:r>
            <w:r>
              <w:t xml:space="preserve"> iniciativu Komise, jejímž cílem je zahrnout do její výroční zprávy o právním státu Albánii, Černou Horu, Severní Makedonii a Srbsko, a vybízí k tomu, aby byl stav právního státu v těchto přistupujících zemích zevrubně posouzen; </w:t>
            </w:r>
            <w:r>
              <w:rPr>
                <w:b/>
                <w:i/>
              </w:rPr>
              <w:t>očekává, že Komise zahrne všechny kandidátské země do své zprávy o právním státu za rok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Severní Makedonii a Srbsko, a vybízí k tomu, aby byl stav právního státu </w:t>
            </w:r>
            <w:r>
              <w:rPr>
                <w:b/>
                <w:i/>
              </w:rPr>
              <w:t>v těchto přistupujících</w:t>
            </w:r>
            <w:r>
              <w:t xml:space="preserve"> zemích </w:t>
            </w:r>
            <w:r>
              <w:rPr>
                <w:b/>
                <w:i/>
              </w:rPr>
              <w:t>zevrubně posouzen</w:t>
            </w:r>
            <w:r>
              <w:t>;</w:t>
            </w:r>
          </w:p>
        </w:tc>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Severní Makedonii a Srbsko, a vybízí k tomu, aby byl </w:t>
            </w:r>
            <w:r>
              <w:rPr>
                <w:b/>
                <w:i/>
              </w:rPr>
              <w:t>zevrubně posouzen</w:t>
            </w:r>
            <w:r>
              <w:t xml:space="preserve"> stav právního státu </w:t>
            </w:r>
            <w:r>
              <w:rPr>
                <w:b/>
                <w:i/>
              </w:rPr>
              <w:t>ve všech</w:t>
            </w:r>
            <w:r>
              <w:t xml:space="preserve"> zemích </w:t>
            </w:r>
            <w:r>
              <w:rPr>
                <w:b/>
                <w:i/>
              </w:rPr>
              <w:t>v procesu přistoupení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vítá</w:t>
            </w:r>
            <w:r>
              <w:t xml:space="preserve"> iniciativu Komise, jejímž cílem je zahrnout do její výroční zprávy o právním státu Albánii, Černou Horu, Severní Makedonii a Srbsko, a vybízí k tomu, aby byl stav právního státu v těchto přistupujících zemích zevrubně posouzen;</w:t>
            </w:r>
          </w:p>
        </w:tc>
        <w:tc>
          <w:tcPr>
            <w:tcW w:w="4876" w:type="dxa"/>
            <w:tcBorders>
              <w:top w:val="nil"/>
              <w:left w:val="nil"/>
              <w:bottom w:val="nil"/>
              <w:right w:val="nil"/>
            </w:tcBorders>
          </w:tcPr>
          <w:p>
            <w:pPr>
              <w:pStyle w:val="Normal6a"/>
            </w:pPr>
            <w:r>
              <w:t>38.</w:t>
            </w:r>
            <w:r>
              <w:tab/>
            </w:r>
            <w:r>
              <w:rPr>
                <w:b/>
                <w:i/>
              </w:rPr>
              <w:t>bere na vědomí</w:t>
            </w:r>
            <w:r>
              <w:t xml:space="preserve"> iniciativu Komise, jejímž cílem je zahrnout do její výroční zprávy o právním státu Albánii, Černou Horu, Severní Makedonii a Srbsko, a vybízí k tomu, aby byl stav právního státu v těchto přistupujících zemích zevrubně posouzen;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Severní Makedonii a Srbsko, a vybízí k tomu, aby byl stav právního státu </w:t>
            </w:r>
            <w:r>
              <w:rPr>
                <w:b/>
                <w:i/>
              </w:rPr>
              <w:t>v těchto přistupujících</w:t>
            </w:r>
            <w:r>
              <w:t xml:space="preserve"> zemích zevrubně posouzen;</w:t>
            </w:r>
          </w:p>
        </w:tc>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Severní Makedonii a Srbsko, a vybízí k tomu, aby byl stav právního státu </w:t>
            </w:r>
            <w:r>
              <w:rPr>
                <w:b/>
                <w:i/>
              </w:rPr>
              <w:t>ve všech</w:t>
            </w:r>
            <w:r>
              <w:t xml:space="preserve"> zemích </w:t>
            </w:r>
            <w:r>
              <w:rPr>
                <w:b/>
                <w:i/>
              </w:rPr>
              <w:t>západního Balkánu</w:t>
            </w:r>
            <w:r>
              <w:t xml:space="preserve"> zevrubně posouzen;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w:t>
            </w:r>
            <w:r>
              <w:rPr>
                <w:b/>
                <w:i/>
              </w:rPr>
              <w:t>Severní Makedonii</w:t>
            </w:r>
            <w:r>
              <w:t xml:space="preserve"> a Srbsko, a vybízí k tomu, aby byl stav právního státu v těchto </w:t>
            </w:r>
            <w:r>
              <w:rPr>
                <w:b/>
                <w:i/>
              </w:rPr>
              <w:t>přistupujících zemích zevrubně posouzen</w:t>
            </w:r>
            <w:r>
              <w:t>;</w:t>
            </w:r>
          </w:p>
        </w:tc>
        <w:tc>
          <w:tcPr>
            <w:tcW w:w="4876" w:type="dxa"/>
            <w:tcBorders>
              <w:top w:val="nil"/>
              <w:left w:val="nil"/>
              <w:bottom w:val="nil"/>
              <w:right w:val="nil"/>
            </w:tcBorders>
          </w:tcPr>
          <w:p>
            <w:pPr>
              <w:pStyle w:val="Normal6a"/>
            </w:pPr>
            <w:r>
              <w:t>38.</w:t>
            </w:r>
            <w:r>
              <w:tab/>
            </w:r>
            <w:r>
              <w:t xml:space="preserve">vítá iniciativu Komise, jejímž cílem je zahrnout do její výroční zprávy o právním státu Albánii, Černou Horu, </w:t>
            </w:r>
            <w:r>
              <w:rPr>
                <w:b/>
                <w:i/>
              </w:rPr>
              <w:t>Skopje</w:t>
            </w:r>
            <w:r>
              <w:t xml:space="preserve"> a Srbsko, a vybízí k tomu, aby byl </w:t>
            </w:r>
            <w:r>
              <w:rPr>
                <w:b/>
                <w:i/>
              </w:rPr>
              <w:t>zevrubně posouzen</w:t>
            </w:r>
            <w:r>
              <w:t xml:space="preserve"> stav právního státu v těchto </w:t>
            </w:r>
            <w:r>
              <w:rPr>
                <w:b/>
                <w:i/>
              </w:rPr>
              <w:t>zemích, jejichž přistoupení se zvažuje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pověřuje svou předsedkyni, aby předala toto usnesení Radě </w:t>
            </w:r>
            <w:r>
              <w:rPr>
                <w:b/>
                <w:i/>
              </w:rPr>
              <w:t>a Komisi</w:t>
            </w:r>
            <w:r>
              <w:t>.</w:t>
            </w:r>
          </w:p>
        </w:tc>
        <w:tc>
          <w:tcPr>
            <w:tcW w:w="4876" w:type="dxa"/>
            <w:tcBorders>
              <w:top w:val="nil"/>
              <w:left w:val="nil"/>
              <w:bottom w:val="nil"/>
              <w:right w:val="nil"/>
            </w:tcBorders>
          </w:tcPr>
          <w:p>
            <w:pPr>
              <w:pStyle w:val="Normal6a"/>
            </w:pPr>
            <w:r>
              <w:t>39.</w:t>
            </w:r>
            <w:r>
              <w:tab/>
            </w:r>
            <w:r>
              <w:t>pověřuje svou předsedkyni, aby předala toto usnesení Radě</w:t>
            </w:r>
            <w:r>
              <w:rPr>
                <w:b/>
                <w:i/>
              </w:rPr>
              <w:t>, Komisi, Agentuře Evropské unie pro základní práva, Radě Evropy a vládám a parlamentům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pověřuje svou předsedkyni, aby předala toto usnesení Radě </w:t>
            </w:r>
            <w:r>
              <w:rPr>
                <w:b/>
                <w:i/>
              </w:rPr>
              <w:t>a Komisi</w:t>
            </w:r>
            <w:r>
              <w:t>.</w:t>
            </w:r>
          </w:p>
        </w:tc>
        <w:tc>
          <w:tcPr>
            <w:tcW w:w="4876" w:type="dxa"/>
            <w:tcBorders>
              <w:top w:val="nil"/>
              <w:left w:val="nil"/>
              <w:bottom w:val="nil"/>
              <w:right w:val="nil"/>
            </w:tcBorders>
          </w:tcPr>
          <w:p>
            <w:pPr>
              <w:pStyle w:val="Normal6a"/>
            </w:pPr>
            <w:r>
              <w:t>39.</w:t>
            </w:r>
            <w:r>
              <w:tab/>
            </w:r>
            <w:r>
              <w:t>pověřuje svou předsedkyni, aby předala toto usnesení Radě</w:t>
            </w:r>
            <w:r>
              <w:rPr>
                <w:b/>
                <w:i/>
              </w:rPr>
              <w:t>, Komisi a členským státům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AM\1315576CS.docx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AM\1315576CS.docx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AM\1315576CS.docx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10060</Words>
  <Characters>58572</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149067</vt:lpwstr>
  </property>
  <property fmtid="{D5CDD505-2E9C-101B-9397-08002B2CF9AE}" pid="7" name="dmxml.render.traceId">
    <vt:lpwstr>67dd1639edc7ddeaca2fc6499d299447</vt:lpwstr>
  </property>
  <property fmtid="{D5CDD505-2E9C-101B-9397-08002B2CF9AE}" pid="8" name="FooterPath">
    <vt:lpwstr>AM\1315576CS.docx</vt:lpwstr>
  </property>
  <property fmtid="{D5CDD505-2E9C-101B-9397-08002B2CF9AE}" pid="9" name="PE Number">
    <vt:lpwstr>769.959</vt:lpwstr>
  </property>
  <property fmtid="{D5CDD505-2E9C-101B-9397-08002B2CF9AE}" pid="10" name="UID">
    <vt:lpwstr>eu.europa.europarl-DIN1-2025-0000027564_02.00-cs-01.00_text-xml</vt:lpwstr>
  </property>
</Properties>
</file>