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Udvalget om Borgernes Rettigheder og Retlige og Indre Anliggender</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Kommissionens rapport om retsstatssituationen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opfordrer indtrængende Kommissionen til </w:t>
            </w:r>
            <w:r>
              <w:rPr>
                <w:b/>
                <w:i/>
              </w:rPr>
              <w:t>at tilføje en ny søjle til den årlige rapport om retsstatssituationen om at bekæmpe</w:t>
            </w:r>
            <w:r>
              <w:t xml:space="preserve"> alle former for forskelsbehandling;</w:t>
            </w:r>
          </w:p>
        </w:tc>
        <w:tc>
          <w:tcPr>
            <w:tcW w:w="4876" w:type="dxa"/>
            <w:tcBorders>
              <w:top w:val="nil"/>
              <w:left w:val="nil"/>
              <w:bottom w:val="nil"/>
              <w:right w:val="nil"/>
            </w:tcBorders>
          </w:tcPr>
          <w:p>
            <w:pPr>
              <w:pStyle w:val="Normal6a"/>
            </w:pPr>
            <w:r>
              <w:t>33.</w:t>
            </w:r>
            <w:r>
              <w:tab/>
            </w:r>
            <w:r>
              <w:t xml:space="preserve">opfordrer indtrængende Kommissionen til </w:t>
            </w:r>
            <w:r>
              <w:rPr>
                <w:b/>
                <w:i/>
              </w:rPr>
              <w:t>i sin årlige rapport om retsstatssituationen at tilføje en ny søjle om bekæmpelse af</w:t>
            </w:r>
            <w:r>
              <w:t xml:space="preserve"> alle former for forskelsbehandling </w:t>
            </w:r>
            <w:r>
              <w:rPr>
                <w:b/>
                <w:i/>
              </w:rPr>
              <w:t>som fastsat i artikel 21 i Den Europæiske Unions charter om grundlæggende rettigheder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opfordrer indtrængende Kommissionen til at tilføje </w:t>
            </w:r>
            <w:r>
              <w:rPr>
                <w:b/>
                <w:i/>
              </w:rPr>
              <w:t>en ny søjle</w:t>
            </w:r>
            <w:r>
              <w:t xml:space="preserve"> til den årlige rapport om retsstatssituationen </w:t>
            </w:r>
            <w:r>
              <w:rPr>
                <w:b/>
                <w:i/>
              </w:rPr>
              <w:t>om at bekæmpe</w:t>
            </w:r>
            <w:r>
              <w:t xml:space="preserve"> alle former for forskelsbehandling;</w:t>
            </w:r>
          </w:p>
        </w:tc>
        <w:tc>
          <w:tcPr>
            <w:tcW w:w="4876" w:type="dxa"/>
            <w:tcBorders>
              <w:top w:val="nil"/>
              <w:left w:val="nil"/>
              <w:bottom w:val="nil"/>
              <w:right w:val="nil"/>
            </w:tcBorders>
          </w:tcPr>
          <w:p>
            <w:pPr>
              <w:pStyle w:val="Normal6a"/>
            </w:pPr>
            <w:r>
              <w:t>33.</w:t>
            </w:r>
            <w:r>
              <w:tab/>
            </w:r>
            <w:r>
              <w:t xml:space="preserve">opfordrer indtrængende Kommissionen til </w:t>
            </w:r>
            <w:r>
              <w:rPr>
                <w:b/>
                <w:i/>
              </w:rPr>
              <w:t>ikke</w:t>
            </w:r>
            <w:r>
              <w:t xml:space="preserve"> at tilføje </w:t>
            </w:r>
            <w:r>
              <w:rPr>
                <w:b/>
                <w:i/>
              </w:rPr>
              <w:t>nogen nye søjler</w:t>
            </w:r>
            <w:r>
              <w:t xml:space="preserve"> til den årlige rapport om retsstatssituationen</w:t>
            </w:r>
            <w:r>
              <w:rPr>
                <w:b/>
                <w:i/>
              </w:rPr>
              <w:t>, herunder heller ikke en søjle om bekæmpelse af</w:t>
            </w:r>
            <w:r>
              <w:t xml:space="preserve"> alle former for forskelsbehandling;</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opfordrer indtrængende Kommissionen til </w:t>
            </w:r>
            <w:r>
              <w:rPr>
                <w:b/>
                <w:i/>
              </w:rPr>
              <w:t>at tilføje en ny søjle til den årlige rapport om retsstatssituationen om at bekæmpe</w:t>
            </w:r>
            <w:r>
              <w:t xml:space="preserve"> alle former for forskelsbehandling;</w:t>
            </w:r>
          </w:p>
        </w:tc>
        <w:tc>
          <w:tcPr>
            <w:tcW w:w="4876" w:type="dxa"/>
            <w:tcBorders>
              <w:top w:val="nil"/>
              <w:left w:val="nil"/>
              <w:bottom w:val="nil"/>
              <w:right w:val="nil"/>
            </w:tcBorders>
          </w:tcPr>
          <w:p>
            <w:pPr>
              <w:pStyle w:val="Normal6a"/>
            </w:pPr>
            <w:r>
              <w:t>33.</w:t>
            </w:r>
            <w:r>
              <w:tab/>
            </w:r>
            <w:r>
              <w:t xml:space="preserve">opfordrer indtrængende Kommissionen til </w:t>
            </w:r>
            <w:r>
              <w:rPr>
                <w:b/>
                <w:i/>
              </w:rPr>
              <w:t>i sin årlige rapport om retsstatssituationen at tilføje en ny søjle om bekæmpelse af</w:t>
            </w:r>
            <w:r>
              <w:t xml:space="preserve"> alle former for forskelsbehandling </w:t>
            </w:r>
            <w:r>
              <w:rPr>
                <w:b/>
                <w:i/>
              </w:rPr>
              <w:t>og had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opfordrer indtrængende Kommissionen til </w:t>
            </w:r>
            <w:r>
              <w:rPr>
                <w:b/>
                <w:i/>
              </w:rPr>
              <w:t>at tilføje en ny søjle til den årlige rapport om retsstatssituationen om at bekæmpe alle former for forskelsbehandling</w:t>
            </w:r>
            <w:r>
              <w:t>;</w:t>
            </w:r>
          </w:p>
        </w:tc>
        <w:tc>
          <w:tcPr>
            <w:tcW w:w="4876" w:type="dxa"/>
            <w:tcBorders>
              <w:top w:val="nil"/>
              <w:left w:val="nil"/>
              <w:bottom w:val="nil"/>
              <w:right w:val="nil"/>
            </w:tcBorders>
          </w:tcPr>
          <w:p>
            <w:pPr>
              <w:pStyle w:val="Normal6a"/>
            </w:pPr>
            <w:r>
              <w:t>33.</w:t>
            </w:r>
            <w:r>
              <w:tab/>
            </w:r>
            <w:r>
              <w:t xml:space="preserve">opfordrer indtrængende Kommissionen til </w:t>
            </w:r>
            <w:r>
              <w:rPr>
                <w:b/>
                <w:i/>
              </w:rPr>
              <w:t>i sin årlige rapport om retsstatssituationen at tilføje en ny søjle om censurering af medier og onlineindhold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opfordrer medlemsstaterne til at gennemføre pagten om migration og asyl i overensstemmelse med principperne i traktaterne og EU's charter om grundlæggende rettigheder og folkeretten;</w:t>
            </w:r>
            <w:r>
              <w:t xml:space="preserve"> </w:t>
            </w:r>
            <w:r>
              <w:rPr>
                <w:b/>
                <w:i/>
              </w:rPr>
              <w:t>opfordrer medlemsstaterne til at sørge for, at tredjelandsstatsborgere sikres ligeret, ligebehandling og human behandling samt fair adgang til procedurer for international beskyttelse i fuld overensstemmelse med folkeretten og med princippet om non-refoulement;</w:t>
            </w:r>
            <w:r>
              <w:t xml:space="preserve"> </w:t>
            </w:r>
            <w:r>
              <w:rPr>
                <w:b/>
                <w:i/>
              </w:rPr>
              <w:t>opfordrer indtrængende Kommissionen til at sikre, at eksternalisering og ekstraterritorial migrationsstyring, såsom medlemsstaternes bilaterale aftaler med tredjelande, under ingen omstændigheder undergraver disse principper eller de kriterier, der er fastsat i EU-lovgivningen;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opfordrer Kommissionen til at genoverveje sin holdning til Minority SafePack-initiativet og til at fremsætte lovgivningsmæssige initiativer til at sikre fremme af mindretalsrettigheder og sprogrettigheder;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gentager sin opfordring til Kommissionen om yderligere at integrere reaktive værktøjer i rapporten om retsstatssituationen, såsom procedurerne i henhold til artikel 7 i TEU, den generelle konditionalitetsmekanisme og traktatbrudsprocedurer</w:t>
            </w:r>
            <w:r>
              <w:rPr>
                <w:b/>
                <w:i/>
                <w:vertAlign w:val="superscript"/>
              </w:rPr>
              <w:t>48</w:t>
            </w:r>
            <w:r>
              <w:rPr>
                <w:b/>
                <w:i/>
              </w:rPr>
              <w:t>;</w:t>
            </w:r>
          </w:p>
        </w:tc>
        <w:tc>
          <w:tcPr>
            <w:tcW w:w="4876" w:type="dxa"/>
            <w:tcBorders>
              <w:top w:val="nil"/>
              <w:left w:val="nil"/>
              <w:bottom w:val="nil"/>
              <w:right w:val="nil"/>
            </w:tcBorders>
          </w:tcPr>
          <w:p>
            <w:pPr>
              <w:pStyle w:val="Normal6a"/>
            </w:pPr>
            <w:r>
              <w:rPr>
                <w:b/>
                <w:i/>
              </w:rPr>
              <w:t>udgår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Den ungarske Helsinki-komité, "Disregard for EU values:</w:t>
            </w:r>
            <w:r>
              <w:t xml:space="preserve"> </w:t>
            </w:r>
            <w:r>
              <w:rPr>
                <w:b/>
                <w:i/>
              </w:rPr>
              <w:t>a snapshot of RoL issues in Hungary in light of the Article 7 procedure" (Overtrædelse af EU's værdier:</w:t>
            </w:r>
            <w:r>
              <w:t xml:space="preserve"> </w:t>
            </w:r>
            <w:r>
              <w:rPr>
                <w:b/>
                <w:i/>
              </w:rPr>
              <w:t>et øjebliksbillede af spørgsmål vedrørende retsstatsprincippet i Ungarn i lyset af artikel 7-proceduren),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gentager sin opfordring til Kommissionen om yderligere at integrere reaktive værktøjer i rapporten om retsstatssituationen, såsom procedurerne i henhold til artikel 7 i TEU, den generelle konditionalitetsmekanisme og traktatbrudsprocedurer</w:t>
            </w:r>
            <w:r>
              <w:rPr>
                <w:b/>
                <w:i/>
                <w:vertAlign w:val="superscript"/>
              </w:rPr>
              <w:t>48</w:t>
            </w:r>
            <w:r>
              <w:rPr>
                <w:b/>
                <w:i/>
              </w:rPr>
              <w:t>;</w:t>
            </w:r>
          </w:p>
        </w:tc>
        <w:tc>
          <w:tcPr>
            <w:tcW w:w="4876" w:type="dxa"/>
            <w:tcBorders>
              <w:top w:val="nil"/>
              <w:left w:val="nil"/>
              <w:bottom w:val="nil"/>
              <w:right w:val="nil"/>
            </w:tcBorders>
          </w:tcPr>
          <w:p>
            <w:pPr>
              <w:pStyle w:val="Normal6a"/>
            </w:pPr>
            <w:r>
              <w:rPr>
                <w:b/>
                <w:i/>
              </w:rPr>
              <w:t>udgår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Den ungarske Helsinki-komité, "Disregard for EU values:</w:t>
            </w:r>
            <w:r>
              <w:t xml:space="preserve"> </w:t>
            </w:r>
            <w:r>
              <w:rPr>
                <w:b/>
                <w:i/>
              </w:rPr>
              <w:t>a snapshot of RoL issues in Hungary in light of the Article 7 procedure" (Overtrædelse af EU's værdier:</w:t>
            </w:r>
            <w:r>
              <w:t xml:space="preserve"> </w:t>
            </w:r>
            <w:r>
              <w:rPr>
                <w:b/>
                <w:i/>
              </w:rPr>
              <w:t>et øjebliksbillede af spørgsmål vedrørende retsstatsprincippet i Ungarn i lyset af artikel 7-proceduren),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gentager sin opfordring til Kommissionen om yderligere at integrere reaktive værktøjer i rapporten om retsstatssituationen, såsom procedurerne i henhold til artikel 7 i TEU, den generelle konditionalitetsmekanisme og traktatbrudsprocedurer</w:t>
            </w:r>
            <w:r>
              <w:rPr>
                <w:b/>
                <w:i/>
                <w:vertAlign w:val="superscript"/>
              </w:rPr>
              <w:t>48</w:t>
            </w:r>
            <w:r>
              <w:rPr>
                <w:b/>
                <w:i/>
              </w:rPr>
              <w:t>;</w:t>
            </w:r>
          </w:p>
        </w:tc>
        <w:tc>
          <w:tcPr>
            <w:tcW w:w="4876" w:type="dxa"/>
            <w:tcBorders>
              <w:top w:val="nil"/>
              <w:left w:val="nil"/>
              <w:bottom w:val="nil"/>
              <w:right w:val="nil"/>
            </w:tcBorders>
          </w:tcPr>
          <w:p>
            <w:pPr>
              <w:pStyle w:val="Normal6a"/>
            </w:pPr>
            <w:r>
              <w:rPr>
                <w:b/>
                <w:i/>
              </w:rPr>
              <w:t>udgår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Den ungarske Helsinki-komité, "Disregard for EU values:</w:t>
            </w:r>
            <w:r>
              <w:t xml:space="preserve"> </w:t>
            </w:r>
            <w:r>
              <w:rPr>
                <w:b/>
                <w:i/>
              </w:rPr>
              <w:t>a snapshot of RoL issues in Hungary in light of the Article 7 procedure" (Overtrædelse af EU's værdier:</w:t>
            </w:r>
            <w:r>
              <w:t xml:space="preserve"> </w:t>
            </w:r>
            <w:r>
              <w:rPr>
                <w:b/>
                <w:i/>
              </w:rPr>
              <w:t>et øjebliksbillede af spørgsmål vedrørende retsstatsprincippet i Ungarn i lyset af artikel 7-proceduren),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gentager sin opfordring til Kommissionen om yderligere at integrere reaktive værktøjer i rapporten om retsstatssituationen, såsom procedurerne i henhold til artikel 7 i TEU, </w:t>
            </w:r>
            <w:r>
              <w:rPr>
                <w:b/>
                <w:i/>
              </w:rPr>
              <w:t>den generelle konditionalitetsmekanisme</w:t>
            </w:r>
            <w:r>
              <w:t xml:space="preserve"> og traktatbrudsprocedurer</w:t>
            </w:r>
            <w:r>
              <w:rPr>
                <w:b/>
                <w:i/>
                <w:vertAlign w:val="superscript"/>
              </w:rPr>
              <w:t>48</w:t>
            </w:r>
            <w:r>
              <w:t>;</w:t>
            </w:r>
          </w:p>
        </w:tc>
        <w:tc>
          <w:tcPr>
            <w:tcW w:w="4876" w:type="dxa"/>
            <w:tcBorders>
              <w:top w:val="nil"/>
              <w:left w:val="nil"/>
              <w:bottom w:val="nil"/>
              <w:right w:val="nil"/>
            </w:tcBorders>
          </w:tcPr>
          <w:p>
            <w:pPr>
              <w:pStyle w:val="Normal6a"/>
            </w:pPr>
            <w:r>
              <w:t>34.</w:t>
            </w:r>
            <w:r>
              <w:tab/>
            </w:r>
            <w:r>
              <w:t xml:space="preserve">gentager sin opfordring til Kommissionen om yderligere at integrere reaktive værktøjer i rapporten om retsstatssituationen, såsom procedurerne i henhold til artikel 7 i TEU, </w:t>
            </w:r>
            <w:r>
              <w:rPr>
                <w:b/>
                <w:i/>
              </w:rPr>
              <w:t>forordningen om konditionalitet vedrørende retsstatsprincippet</w:t>
            </w:r>
            <w:r>
              <w:t> og traktatbrudsprocedurer</w:t>
            </w:r>
            <w:r>
              <w:rPr>
                <w:b/>
                <w:i/>
              </w:rPr>
              <w:t>;</w:t>
            </w:r>
            <w:r>
              <w:t xml:space="preserve"> </w:t>
            </w:r>
            <w:r>
              <w:rPr>
                <w:b/>
                <w:i/>
              </w:rPr>
              <w:t>opfordrer Kommissionen til systematisk at gøre brug af fremskyndede procedurer og anmodninger om foreløbige forholdsregler ved EU-Domstolen i traktatbrudssager;</w:t>
            </w:r>
            <w:r>
              <w:t xml:space="preserve"> </w:t>
            </w:r>
            <w:r>
              <w:rPr>
                <w:b/>
                <w:i/>
              </w:rPr>
              <w:t>opfordrer Kommissionen til ikke at anvende "dialog" med medlemsstaterne eller "pilot"-proceduren som et tidsubegrænset middel til at undgå at indlede egentlige traktatbrudsprocedurer; opfordrer Kommissionen til at revidere sin politik som skitseret i sin meddelelse af 2022 om håndhævelse af EU-retten, om ikke at anvende traktatbrudssager i "individuelle" sager, da denne politik har ført til en alvorlig forringelse af rettighederne for borgere i hele EU, navnlig når deres egne regeringer nægter at efterleve EU-retten eller EU-Domstolens domme, og eftersom de fleste af disse sager ikke kun vedrører individuelle forhold, men også strategiske og grundlæggende spørgsmål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Den ungarske Helsinki-komité, "Disregard for EU values:</w:t>
            </w:r>
            <w:r>
              <w:t xml:space="preserve"> </w:t>
            </w:r>
            <w:r>
              <w:rPr>
                <w:b/>
                <w:i/>
              </w:rPr>
              <w:t>a snapshot of RoL issues in Hungary in light of the Article 7 procedure" (Overtrædelse af EU's værdier:</w:t>
            </w:r>
            <w:r>
              <w:t xml:space="preserve"> </w:t>
            </w:r>
            <w:r>
              <w:rPr>
                <w:b/>
                <w:i/>
              </w:rPr>
              <w:t>et øjebliksbillede af spørgsmål vedrørende retsstatsprincippet i Ungarn i lyset af artikel 7-proceduren),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gentager sin opfordring til Kommissionen om yderligere at integrere reaktive værktøjer i rapporten om retsstatssituationen, såsom procedurerne i henhold til artikel 7 i TEU, den generelle konditionalitetsmekanisme og traktatbrudsprocedurer</w:t>
            </w:r>
            <w:r>
              <w:rPr>
                <w:b/>
                <w:i/>
                <w:vertAlign w:val="superscript"/>
              </w:rPr>
              <w:t>48</w:t>
            </w:r>
            <w:r>
              <w:t>;</w:t>
            </w:r>
          </w:p>
        </w:tc>
        <w:tc>
          <w:tcPr>
            <w:tcW w:w="4876" w:type="dxa"/>
            <w:tcBorders>
              <w:top w:val="nil"/>
              <w:left w:val="nil"/>
              <w:bottom w:val="nil"/>
              <w:right w:val="nil"/>
            </w:tcBorders>
          </w:tcPr>
          <w:p>
            <w:pPr>
              <w:pStyle w:val="Normal6a"/>
            </w:pPr>
            <w:r>
              <w:t>34.</w:t>
            </w:r>
            <w:r>
              <w:tab/>
            </w:r>
            <w:r>
              <w:rPr>
                <w:b/>
                <w:i/>
              </w:rPr>
              <w:t>er dybt bekymret over retsstatssituationen internt i EU's institutioner;</w:t>
            </w:r>
            <w:r>
              <w:t xml:space="preserve"> </w:t>
            </w:r>
            <w:r>
              <w:rPr>
                <w:b/>
                <w:i/>
              </w:rPr>
              <w:t>opfordrer Kommissionen til at undersøge de stadigt flere krænkelser af retsstatsprincippet i disse institutioner;</w:t>
            </w:r>
            <w:r>
              <w:t xml:space="preserve"> </w:t>
            </w:r>
            <w:r>
              <w:rPr>
                <w:b/>
                <w:i/>
              </w:rPr>
              <w:t>bemærker med dyb bekymring den påståede involvering af den tidligere kommissær for retlige anliggender, Didier Reynders, i en sag om hvidvask af penge;</w:t>
            </w:r>
            <w:r>
              <w:t xml:space="preserve"> </w:t>
            </w:r>
            <w:r>
              <w:rPr>
                <w:b/>
                <w:i/>
              </w:rPr>
              <w:t>er yderst bekymret over, at en kommissær med ansvar for retsvæsenet, som angiveligt har hvidvasket over 1 mio. EUR ved at købe lotterisedler, var ansvarlig for at opretholde retsstatsprincippet i Den Europæiske Union;</w:t>
            </w:r>
            <w:r>
              <w:t xml:space="preserve"> </w:t>
            </w:r>
            <w:r>
              <w:rPr>
                <w:b/>
                <w:i/>
              </w:rPr>
              <w:t>understreger, at Didier Reynders som indstillet kommissær allerede i 2019 var blevet anklaget for hvidvask af penge og korruption af de belgiske myndigheder;</w:t>
            </w:r>
            <w:r>
              <w:t xml:space="preserve"> </w:t>
            </w:r>
            <w:r>
              <w:rPr>
                <w:b/>
                <w:i/>
              </w:rPr>
              <w:t>opfordrer Kommissionen til at forklare, hvordan Didier Reynders kunne være ansvarlig for retsporteføljen i den niende mandatperiode på trods af de alvorlige anklager;</w:t>
            </w:r>
            <w:r>
              <w:t xml:space="preserve"> </w:t>
            </w:r>
            <w:r>
              <w:rPr>
                <w:b/>
                <w:i/>
              </w:rPr>
              <w:t>gentager, at denne rapport ikke kan danne grundlag for eventuelle yderligere EU-mekanismer og -procedurer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Den ungarske Helsinki-komité, "Disregard for EU values:</w:t>
            </w:r>
            <w:r>
              <w:t xml:space="preserve"> </w:t>
            </w:r>
            <w:r>
              <w:rPr>
                <w:b/>
                <w:i/>
              </w:rPr>
              <w:t>a snapshot of RoL issues in Hungary in light of the Article 7 procedure" (Overtrædelse af EU's værdier:</w:t>
            </w:r>
            <w:r>
              <w:t xml:space="preserve"> </w:t>
            </w:r>
            <w:r>
              <w:rPr>
                <w:b/>
                <w:i/>
              </w:rPr>
              <w:t>et øjebliksbillede af spørgsmål vedrørende retsstatsprincippet i Ungarn i lyset af artikel 7-proceduren),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gentager sin opfordring til Kommissionen om</w:t>
            </w:r>
            <w:r>
              <w:t xml:space="preserve"> yderligere </w:t>
            </w:r>
            <w:r>
              <w:rPr>
                <w:b/>
                <w:i/>
              </w:rPr>
              <w:t>at integrere</w:t>
            </w:r>
            <w:r>
              <w:t xml:space="preserve"> reaktive værktøjer i rapporten om retsstatssituationen, såsom procedurerne i henhold til artikel 7 i TEU, den generelle konditionalitetsmekanisme og </w:t>
            </w:r>
            <w:r>
              <w:rPr>
                <w:b/>
                <w:i/>
              </w:rPr>
              <w:t>traktatbrudsprocedurer</w:t>
            </w:r>
            <w:r>
              <w:rPr>
                <w:vertAlign w:val="superscript"/>
              </w:rPr>
              <w:t>48</w:t>
            </w:r>
            <w:r>
              <w:t>;</w:t>
            </w:r>
          </w:p>
        </w:tc>
        <w:tc>
          <w:tcPr>
            <w:tcW w:w="4876" w:type="dxa"/>
            <w:tcBorders>
              <w:top w:val="nil"/>
              <w:left w:val="nil"/>
              <w:bottom w:val="nil"/>
              <w:right w:val="nil"/>
            </w:tcBorders>
          </w:tcPr>
          <w:p>
            <w:pPr>
              <w:pStyle w:val="Normal6a"/>
            </w:pPr>
            <w:r>
              <w:t>34.</w:t>
            </w:r>
            <w:r>
              <w:tab/>
            </w:r>
            <w:r>
              <w:rPr>
                <w:b/>
                <w:i/>
              </w:rPr>
              <w:t>opfordrer Kommissionen til at vurdere, om en</w:t>
            </w:r>
            <w:r>
              <w:t xml:space="preserve"> yderligere </w:t>
            </w:r>
            <w:r>
              <w:rPr>
                <w:b/>
                <w:i/>
              </w:rPr>
              <w:t>integration af</w:t>
            </w:r>
            <w:r>
              <w:t xml:space="preserve"> reaktive værktøjer i rapporten om retsstatssituationen, såsom procedurerne i henhold til artikel 7 i TEU, den generelle konditionalitetsmekanisme og </w:t>
            </w:r>
            <w:r>
              <w:rPr>
                <w:b/>
                <w:i/>
              </w:rPr>
              <w:t>traktatbrudsprocedurerne</w:t>
            </w:r>
            <w:r>
              <w:rPr>
                <w:vertAlign w:val="superscript"/>
              </w:rPr>
              <w:t>48</w:t>
            </w:r>
            <w:r>
              <w:rPr>
                <w:b/>
                <w:i/>
              </w:rPr>
              <w:t>, er hensigtsmæssig, eftersom den er blevet anvendt på en skandaløst politiseret måde, hvorpå det bedste eksempel er Polen, hvor al kritik ophørte efter regeringsskiftet til en regering, der er velvilligt indstillet over for Bruxelles og Berlin, og proceduren i henhold til artikel 7 i TEU blev indstillet, uden at landet havde foretaget nogen lovgivningsmæssige ændringer, og på trods af den åbenlyse krænkelse af landets forfatningsmæssige principper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Overtrædelse</w:t>
            </w:r>
            <w:r>
              <w:t xml:space="preserve"> af EU's værdier: et øjebliksbillede af spørgsmål vedrørende retsstatsprincippet i Ungarn i lyset af artikel 7-proceduren), 12. november 2024.</w:t>
            </w:r>
          </w:p>
        </w:tc>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Tilsidesættelse</w:t>
            </w:r>
            <w:r>
              <w:t xml:space="preserve"> af EU's værdier: et øjebliksbillede af spørgsmål vedrørende retsstatsprincippet i Ungarn i lyset af artikel 7-proceduren),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for Udvalget om Borgernes Rettigheder og Retlige og Indre Anliggender</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gentager sin opfordring til Kommissionen om yderligere at integrere reaktive værktøjer i </w:t>
            </w:r>
            <w:r>
              <w:rPr>
                <w:b/>
                <w:i/>
              </w:rPr>
              <w:t>rapporten</w:t>
            </w:r>
            <w:r>
              <w:t xml:space="preserve"> om retsstatssituationen, såsom procedurerne i henhold til artikel 7 i TEU, den generelle konditionalitetsmekanisme og traktatbrudsprocedurer</w:t>
            </w:r>
            <w:r>
              <w:rPr>
                <w:vertAlign w:val="superscript"/>
              </w:rPr>
              <w:t>48</w:t>
            </w:r>
            <w:r>
              <w:t>;</w:t>
            </w:r>
          </w:p>
        </w:tc>
        <w:tc>
          <w:tcPr>
            <w:tcW w:w="4876" w:type="dxa"/>
            <w:tcBorders>
              <w:top w:val="nil"/>
              <w:left w:val="nil"/>
              <w:bottom w:val="nil"/>
              <w:right w:val="nil"/>
            </w:tcBorders>
          </w:tcPr>
          <w:p>
            <w:pPr>
              <w:pStyle w:val="Normal6a"/>
            </w:pPr>
            <w:r>
              <w:t>34.</w:t>
            </w:r>
            <w:r>
              <w:tab/>
            </w:r>
            <w:r>
              <w:t xml:space="preserve">gentager sin opfordring til Kommissionen om yderligere at integrere reaktive værktøjer i </w:t>
            </w:r>
            <w:r>
              <w:rPr>
                <w:b/>
                <w:i/>
              </w:rPr>
              <w:t>sin rapport</w:t>
            </w:r>
            <w:r>
              <w:t xml:space="preserve"> om retsstatssituationen, såsom procedurerne i henhold til artikel 7 i TEU, den generelle konditionalitetsmekanisme og traktatbrudsprocedurer</w:t>
            </w:r>
            <w:r>
              <w:rPr>
                <w:vertAlign w:val="superscript"/>
              </w:rPr>
              <w:t>48</w:t>
            </w:r>
            <w:r>
              <w:t xml:space="preserve">; </w:t>
            </w:r>
            <w:r>
              <w:rPr>
                <w:b/>
                <w:i/>
              </w:rPr>
              <w:t>anmoder Kommissionen om årligt at aflægge rapport om anvendelsen og effektiviteten af de værktøjer, der anvendes mod tilsidesættelser af retsstatsprincippet i medlemsstaterne;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Overtrædelse</w:t>
            </w:r>
            <w:r>
              <w:t xml:space="preserve"> af EU's værdier: et øjebliksbillede af spørgsmål vedrørende retsstatsprincippet i Ungarn i lyset af artikel 7-proceduren), 12. november 2024.</w:t>
            </w:r>
          </w:p>
        </w:tc>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Tilsidesættelse</w:t>
            </w:r>
            <w:r>
              <w:t xml:space="preserve"> af EU's værdier: et øjebliksbillede af spørgsmål vedrørende retsstatsprincippet i Ungarn i lyset af artikel 7-proceduren),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gentager sin opfordring til Kommissionen om </w:t>
            </w:r>
            <w:r>
              <w:rPr>
                <w:b/>
                <w:i/>
              </w:rPr>
              <w:t>yderligere at integrere reaktive værktøjer i rapporten</w:t>
            </w:r>
            <w:r>
              <w:t xml:space="preserve"> om retsstatssituationen, </w:t>
            </w:r>
            <w:r>
              <w:rPr>
                <w:b/>
                <w:i/>
              </w:rPr>
              <w:t>såsom procedurerne</w:t>
            </w:r>
            <w:r>
              <w:t xml:space="preserve"> i henhold til artikel 7 i TEU, </w:t>
            </w:r>
            <w:r>
              <w:rPr>
                <w:b/>
                <w:i/>
              </w:rPr>
              <w:t>den generelle konditionalitetsmekanisme og</w:t>
            </w:r>
            <w:r>
              <w:t xml:space="preserve"> traktatbrudsprocedurer</w:t>
            </w:r>
            <w:r>
              <w:rPr>
                <w:vertAlign w:val="superscript"/>
              </w:rPr>
              <w:t>48</w:t>
            </w:r>
            <w:r>
              <w:t>;</w:t>
            </w:r>
          </w:p>
        </w:tc>
        <w:tc>
          <w:tcPr>
            <w:tcW w:w="4876" w:type="dxa"/>
            <w:tcBorders>
              <w:top w:val="nil"/>
              <w:left w:val="nil"/>
              <w:bottom w:val="nil"/>
              <w:right w:val="nil"/>
            </w:tcBorders>
          </w:tcPr>
          <w:p>
            <w:pPr>
              <w:pStyle w:val="Normal6a"/>
            </w:pPr>
            <w:r>
              <w:t>34.</w:t>
            </w:r>
            <w:r>
              <w:tab/>
            </w:r>
            <w:r>
              <w:t xml:space="preserve">gentager sin opfordring til Kommissionen om </w:t>
            </w:r>
            <w:r>
              <w:rPr>
                <w:b/>
                <w:i/>
              </w:rPr>
              <w:t>bedre at afspejle de forskellige instrumenter fra retstatsværktøjskassen i sin rapport</w:t>
            </w:r>
            <w:r>
              <w:t xml:space="preserve"> om retsstatssituationen, </w:t>
            </w:r>
            <w:r>
              <w:rPr>
                <w:b/>
                <w:i/>
              </w:rPr>
              <w:t>navnlig igangværende procedurer</w:t>
            </w:r>
            <w:r>
              <w:t xml:space="preserve"> i henhold til artikel 7 i TEU, </w:t>
            </w:r>
            <w:r>
              <w:rPr>
                <w:b/>
                <w:i/>
              </w:rPr>
              <w:t>konditionalitetsmekanismen vedrørende retsstatsprincippet samt</w:t>
            </w:r>
            <w:r>
              <w:t xml:space="preserve"> traktatbrudsprocedurer</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Overtrædelse</w:t>
            </w:r>
            <w:r>
              <w:t xml:space="preserve"> af EU's værdier: et øjebliksbillede af spørgsmål vedrørende retsstatsprincippet i Ungarn i lyset af artikel 7-proceduren), 12. november 2024.</w:t>
            </w:r>
          </w:p>
        </w:tc>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Tilsidesættelse</w:t>
            </w:r>
            <w:r>
              <w:t xml:space="preserve"> af EU's værdier: et øjebliksbillede af spørgsmål vedrørende retsstatsprincippet i Ungarn i lyset af artikel 7-proceduren),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gentager sin opfordring til Kommissionen om </w:t>
            </w:r>
            <w:r>
              <w:rPr>
                <w:b/>
                <w:i/>
              </w:rPr>
              <w:t>yderligere at integrere reaktive værktøjer i rapporten om retsstatssituationen, såsom procedurerne i henhold til artikel 7 i TEU, den generelle konditionalitetsmekanisme og traktatbrudsprocedurer</w:t>
            </w:r>
            <w:r>
              <w:rPr>
                <w:b/>
                <w:i/>
                <w:vertAlign w:val="superscript"/>
              </w:rPr>
              <w:t>48</w:t>
            </w:r>
            <w:r>
              <w:t>;</w:t>
            </w:r>
          </w:p>
        </w:tc>
        <w:tc>
          <w:tcPr>
            <w:tcW w:w="4876" w:type="dxa"/>
            <w:tcBorders>
              <w:top w:val="nil"/>
              <w:left w:val="nil"/>
              <w:bottom w:val="nil"/>
              <w:right w:val="nil"/>
            </w:tcBorders>
          </w:tcPr>
          <w:p>
            <w:pPr>
              <w:pStyle w:val="Normal6a"/>
            </w:pPr>
            <w:r>
              <w:t>34.</w:t>
            </w:r>
            <w:r>
              <w:tab/>
            </w:r>
            <w:r>
              <w:t xml:space="preserve">gentager sin opfordring til Kommissionen om </w:t>
            </w:r>
            <w:r>
              <w:rPr>
                <w:b/>
                <w:i/>
              </w:rPr>
              <w:t>ikke at indføre nogen nye mekanismer eller instrumenter til beskyttelse af retsstatsprincippet, eftersom de eksisterende mekanismer og instrumenter er tilstrækkelige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Den ungarske Helsinki-komité, "Disregard for EU values:</w:t>
            </w:r>
            <w:r>
              <w:t xml:space="preserve"> </w:t>
            </w:r>
            <w:r>
              <w:rPr>
                <w:b/>
                <w:i/>
              </w:rPr>
              <w:t>a snapshot of RoL issues in Hungary in light of the Article 7 procedure" (Overtrædelse af EU's værdier:</w:t>
            </w:r>
            <w:r>
              <w:t xml:space="preserve"> </w:t>
            </w:r>
            <w:r>
              <w:rPr>
                <w:b/>
                <w:i/>
              </w:rPr>
              <w:t>et øjebliksbillede af spørgsmål vedrørende retsstatsprincippet i Ungarn i lyset af artikel 7-proceduren),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gentager sin opfordring til Kommissionen om yderligere at integrere </w:t>
            </w:r>
            <w:r>
              <w:rPr>
                <w:b/>
                <w:i/>
              </w:rPr>
              <w:t>reaktive værktøjer i rapporten</w:t>
            </w:r>
            <w:r>
              <w:t xml:space="preserve"> om retsstatssituationen, såsom procedurerne i henhold til artikel 7 i TEU, den generelle konditionalitetsmekanisme og traktatbrudsprocedurer</w:t>
            </w:r>
            <w:r>
              <w:rPr>
                <w:vertAlign w:val="superscript"/>
              </w:rPr>
              <w:t>48</w:t>
            </w:r>
            <w:r>
              <w:t>;</w:t>
            </w:r>
          </w:p>
        </w:tc>
        <w:tc>
          <w:tcPr>
            <w:tcW w:w="4876" w:type="dxa"/>
            <w:tcBorders>
              <w:top w:val="nil"/>
              <w:left w:val="nil"/>
              <w:bottom w:val="nil"/>
              <w:right w:val="nil"/>
            </w:tcBorders>
          </w:tcPr>
          <w:p>
            <w:pPr>
              <w:pStyle w:val="Normal6a"/>
            </w:pPr>
            <w:r>
              <w:t>34.</w:t>
            </w:r>
            <w:r>
              <w:tab/>
            </w:r>
            <w:r>
              <w:t xml:space="preserve">gentager sin opfordring til Kommissionen om yderligere at integrere </w:t>
            </w:r>
            <w:r>
              <w:rPr>
                <w:b/>
                <w:i/>
              </w:rPr>
              <w:t>håndhævelsesforanstaltninger i sin rapport</w:t>
            </w:r>
            <w:r>
              <w:t xml:space="preserve"> om retsstatssituationen, såsom procedurerne i henhold til artikel 7 i TEU, den generelle konditionalitetsmekanisme og traktatbrudsprocedurer</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Overtrædelse</w:t>
            </w:r>
            <w:r>
              <w:t xml:space="preserve"> af EU's værdier: et øjebliksbillede af spørgsmål vedrørende retsstatsprincippet i Ungarn i lyset af artikel 7-proceduren), 12. november 2024.</w:t>
            </w:r>
          </w:p>
        </w:tc>
        <w:tc>
          <w:tcPr>
            <w:tcW w:w="4876" w:type="dxa"/>
            <w:tcBorders>
              <w:top w:val="nil"/>
              <w:left w:val="nil"/>
              <w:bottom w:val="nil"/>
              <w:right w:val="nil"/>
            </w:tcBorders>
          </w:tcPr>
          <w:p>
            <w:pPr>
              <w:pStyle w:val="Normal6a"/>
            </w:pPr>
            <w:r>
              <w:rPr>
                <w:vertAlign w:val="superscript"/>
              </w:rPr>
              <w:t>48</w:t>
            </w:r>
            <w:r>
              <w:t xml:space="preserve"> </w:t>
            </w:r>
            <w:r>
              <w:t>Den ungarske Helsinki-komité</w:t>
            </w:r>
            <w:r>
              <w:rPr>
                <w:b/>
                <w:i/>
              </w:rPr>
              <w:t>:</w:t>
            </w:r>
            <w:r>
              <w:t xml:space="preserve"> "Disregard for EU values: a snapshot of RoL issues in Hungary in light of the Article 7 procedure" (</w:t>
            </w:r>
            <w:r>
              <w:rPr>
                <w:b/>
                <w:i/>
              </w:rPr>
              <w:t>Tilsidesættelse</w:t>
            </w:r>
            <w:r>
              <w:t xml:space="preserve"> af EU's værdier: et øjebliksbillede af spørgsmål vedrørende retsstatsprincippet i Ungarn i lyset af artikel 7-proceduren),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beklager, at den ungarske regering ikke har taget nogen meningsfulde skridt i retning af at gennemføre henstillingerne i rapporten om retsstatssituationen for 2024;</w:t>
            </w:r>
            <w:r>
              <w:t xml:space="preserve"> </w:t>
            </w:r>
            <w:r>
              <w:rPr>
                <w:b/>
                <w:i/>
              </w:rPr>
              <w:t>understreger, at situationen med hensyn til mediefrihed, kontrolmekanismer med henblik på magtbalance, korruption på højt niveau og råderum for civilsamfundsorganisationer er blevet yderligere forværret siden offentliggørelsen;</w:t>
            </w:r>
            <w:r>
              <w:t xml:space="preserve"> </w:t>
            </w:r>
            <w:r>
              <w:rPr>
                <w:b/>
                <w:i/>
              </w:rPr>
              <w:t>fremhæver, at reformen af retsvæsenet i 2023 ikke har medført nogen væsentlig forbedring med hensyn til retsvæsenets uafhængighed; fordømmer regeringens nylige skridt til at gøre den længe ventede justering af dommernes lønninger betinget af deres accept af yderligere politisk indtrængen på retsområdet til skade for retsvæsenets uafhængighed;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opfordrer Kommissionen og medlemsstaterne til at bekæmpe forskelsbehandling på grund af race og etnisk oprindelse, religion eller tro, nationalitet, politisk overbevisning, sprog, handicap, alder, køn, herunder kønsidentitet og kønsudtryk, og seksuel orientering;</w:t>
            </w:r>
            <w:r>
              <w:t xml:space="preserve"> </w:t>
            </w:r>
            <w:r>
              <w:rPr>
                <w:b/>
                <w:i/>
              </w:rPr>
              <w:t>opfordrer indtrængende Rådet til at nå til enighed om direktiv 2008/140/EF;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beklager, at den ungarske regering ikke har taget nogen betydningsfulde skridt i retning af at gennemføre henstillingerne fra rapporten om retsstatssituationen for 2024, og at Ungarn er den eneste medlemsstat, der stadig er omfattet af proceduren i henhold til artikel 7, stk. 1, i TEU;</w:t>
            </w:r>
            <w:r>
              <w:t xml:space="preserve"> </w:t>
            </w:r>
            <w:r>
              <w:rPr>
                <w:b/>
                <w:i/>
              </w:rPr>
              <w:t>understreger, at respekten for retsstatsprincippet konstant er blevet forværret;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opfordrer Kommissionen til udtrykkeligt at medtage en vurdering af racemæssig retfærdighed i sine fremtidige rapporter om retsstatssituationen og til at pålægge medlemsstaterne at indsamle sammenlignelige og solide opdelte data om ligestilling for fuldt ud at vurdere indvirkningen af strukturel forskelsbehandling på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opfordrer Kommissionen og medlemsstaterne til at sikre, at LGBTQIA+-personers rettigheder bliver respekteret fuldt ud i hele EU, og at LGBTQIA+-personer kan leve i sikkerhed, udøve deres rettigheder og tilstræbe selvrealisering;</w:t>
            </w:r>
            <w:r>
              <w:t xml:space="preserve"> </w:t>
            </w:r>
            <w:r>
              <w:rPr>
                <w:b/>
                <w:i/>
              </w:rPr>
              <w:t>opfordrer Kommissionen og Rådet til at gøre LGBTQIA+-rettigheder til en tværgående prioritet på tværs af alle politikområder;</w:t>
            </w:r>
            <w:r>
              <w:t xml:space="preserve"> </w:t>
            </w:r>
            <w:r>
              <w:rPr>
                <w:b/>
                <w:i/>
              </w:rPr>
              <w:t>opfordrer Kommissionen til at foreslå passende lovgivningsmæssige foranstaltninger for at sikre overholdelsen af disse principper og til at gøre brug af traktatbrudsprocedurer mod medlemsstaterne;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34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gentager sin opfordring til Kommissionen om at bekæmpe enhver diskriminerende praksis og værne om de principper, der er nedfældet i EU's charter om grundlæggende rettigheder;</w:t>
            </w:r>
            <w:r>
              <w:t xml:space="preserve"> </w:t>
            </w:r>
            <w:r>
              <w:rPr>
                <w:b/>
                <w:i/>
              </w:rPr>
              <w:t>opfordrer indtrængende Kommissionen til at sikre, at den frie bevægelighed for personer inden for EU, retten til frit at tage ophold og retten til familiesammenføring respekteres fuldt ud på EU's område, og til at sikre, at alle borgere kan nyde godt af lige rettigheder og fuldt ud kan udøve deres rettigheder;</w:t>
            </w:r>
            <w:r>
              <w:t xml:space="preserve"> </w:t>
            </w:r>
            <w:r>
              <w:rPr>
                <w:b/>
                <w:i/>
              </w:rPr>
              <w:t>opfordrer Kommissionen til at omarbejde direktiv 2004/38/EF med henblik på at medtage grænseoverskridende anerkendelse af familierettigheder, herunder forældreskab for forældre af samme køn, i lyset af EU-Domstolens seneste afgørelser;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understreger betydningen af at indarbejde milepæle for retsstatsprincippet i finansieringsinstrumenter såsom genopretnings- og resiliensfaciliteten;</w:t>
            </w:r>
            <w:r>
              <w:t xml:space="preserve"> </w:t>
            </w:r>
            <w:r>
              <w:rPr>
                <w:b/>
                <w:i/>
              </w:rPr>
              <w:t>beklager dybt frigivelsen af EU-midler til Ungarn på trods af mangler i landets retlige uafhængighed og rammer for bekæmpelse af korruption;</w:t>
            </w:r>
            <w:r>
              <w:t xml:space="preserve"> </w:t>
            </w:r>
            <w:r>
              <w:rPr>
                <w:b/>
                <w:i/>
              </w:rPr>
              <w:t>anbefaler at suspendere udbetalinger, indtil alle retsstatsprincippets benchmarks er opfyldt;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understreger betydningen af at indarbejde milepæle for retsstatsprincippet i finansieringsinstrumenter såsom genopretnings- og resiliensfaciliteten;</w:t>
            </w:r>
            <w:r>
              <w:t xml:space="preserve"> </w:t>
            </w:r>
            <w:r>
              <w:rPr>
                <w:b/>
                <w:i/>
              </w:rPr>
              <w:t>beklager dybt frigivelsen af EU-midler til Ungarn på trods af mangler i landets retlige uafhængighed og rammer for bekæmpelse af korruption;</w:t>
            </w:r>
            <w:r>
              <w:t xml:space="preserve"> </w:t>
            </w:r>
            <w:r>
              <w:rPr>
                <w:b/>
                <w:i/>
              </w:rPr>
              <w:t>anbefaler at suspendere udbetalinger, indtil alle retsstatsprincippets benchmarks er opfyldt;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understreger betydningen af at indarbejde milepæle for retsstatsprincippet i finansieringsinstrumenter såsom genopretnings- og resiliensfaciliteten;</w:t>
            </w:r>
            <w:r>
              <w:t xml:space="preserve"> </w:t>
            </w:r>
            <w:r>
              <w:rPr>
                <w:b/>
                <w:i/>
              </w:rPr>
              <w:t>beklager dybt frigivelsen af EU-midler til Ungarn på trods af mangler i landets retlige uafhængighed og rammer for bekæmpelse af korruption;</w:t>
            </w:r>
            <w:r>
              <w:t xml:space="preserve"> </w:t>
            </w:r>
            <w:r>
              <w:rPr>
                <w:b/>
                <w:i/>
              </w:rPr>
              <w:t>anbefaler at suspendere udbetalinger, indtil alle retsstatsprincippets benchmarks er opfyldt;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beklager dybt frigivelsen af EU-midler til </w:t>
            </w:r>
            <w:r>
              <w:rPr>
                <w:b/>
                <w:i/>
              </w:rPr>
              <w:t>Ungarn</w:t>
            </w:r>
            <w:r>
              <w:t xml:space="preserve"> på trods af mangler i landets retlige uafhængighed og rammer for </w:t>
            </w:r>
            <w:r>
              <w:rPr>
                <w:b/>
                <w:i/>
              </w:rPr>
              <w:t>bekæmpelse af korruption</w:t>
            </w:r>
            <w:r>
              <w:t>; anbefaler at suspendere udbetalinger, indtil alle retsstatsprincippets benchmarks er opfyldt;</w:t>
            </w:r>
          </w:p>
        </w:tc>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beklager dybt frigivelsen af EU-midler til </w:t>
            </w:r>
            <w:r>
              <w:rPr>
                <w:b/>
                <w:i/>
              </w:rPr>
              <w:t>den ungarske regering</w:t>
            </w:r>
            <w:r>
              <w:t xml:space="preserve"> på trods af </w:t>
            </w:r>
            <w:r>
              <w:rPr>
                <w:b/>
                <w:i/>
              </w:rPr>
              <w:t>vedvarende og alvorlige</w:t>
            </w:r>
            <w:r>
              <w:t xml:space="preserve"> mangler i landets retlige uafhængighed og rammer for </w:t>
            </w:r>
            <w:r>
              <w:rPr>
                <w:b/>
                <w:i/>
              </w:rPr>
              <w:t>korruptionsbekæmpelse</w:t>
            </w:r>
            <w:r>
              <w:t xml:space="preserve">; anbefaler at suspendere udbetalinger, indtil alle retsstatsprincippets benchmarks er opfyldt; </w:t>
            </w:r>
            <w:r>
              <w:rPr>
                <w:b/>
                <w:i/>
              </w:rPr>
              <w:t>opfordrer indtrængende Rådet til at ophæve blokeringen af de næste skridt i artikel 7-proceduren mod Ungarn i betragtning af de vedvarende krænkelser af EU's værdier, herunder angreb på retsvæsenets uafhængighed, mediefriheden og civilsamfundet, som kræver øjeblikkelig og resolut handling for at beskytte retsstatsprincippet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understreger betydningen af at indarbejde milepæle</w:t>
            </w:r>
            <w:r>
              <w:t xml:space="preserve"> for retsstatsprincippet </w:t>
            </w:r>
            <w:r>
              <w:rPr>
                <w:b/>
                <w:i/>
              </w:rPr>
              <w:t>i finansieringsinstrumenter såsom genopretnings- og resiliensfaciliteten;</w:t>
            </w:r>
            <w:r>
              <w:t xml:space="preserve"> </w:t>
            </w:r>
            <w:r>
              <w:rPr>
                <w:b/>
                <w:i/>
              </w:rPr>
              <w:t>beklager dybt frigivelsen af EU-midler til</w:t>
            </w:r>
            <w:r>
              <w:t xml:space="preserve"> Ungarn </w:t>
            </w:r>
            <w:r>
              <w:rPr>
                <w:b/>
                <w:i/>
              </w:rPr>
              <w:t>på trods af mangler i landets retlige uafhængighed og rammer for bekæmpelse af korruption;</w:t>
            </w:r>
            <w:r>
              <w:t xml:space="preserve"> </w:t>
            </w:r>
            <w:r>
              <w:rPr>
                <w:b/>
                <w:i/>
              </w:rPr>
              <w:t>anbefaler at suspendere udbetalinger, indtil alle retsstatsprincippets benchmarks er opfyldt</w:t>
            </w:r>
            <w:r>
              <w:t>;</w:t>
            </w:r>
          </w:p>
        </w:tc>
        <w:tc>
          <w:tcPr>
            <w:tcW w:w="4876" w:type="dxa"/>
            <w:tcBorders>
              <w:top w:val="nil"/>
              <w:left w:val="nil"/>
              <w:bottom w:val="nil"/>
              <w:right w:val="nil"/>
            </w:tcBorders>
          </w:tcPr>
          <w:p>
            <w:pPr>
              <w:pStyle w:val="Normal6a"/>
            </w:pPr>
            <w:r>
              <w:t>35.</w:t>
            </w:r>
            <w:r>
              <w:tab/>
            </w:r>
            <w:r>
              <w:rPr>
                <w:b/>
                <w:i/>
              </w:rPr>
              <w:t>bemærker med bekymring Kommissionens politisk tendentiøse overvågning af benchmarks for retsstatsprincippet gennem værktøjskassen</w:t>
            </w:r>
            <w:r>
              <w:t xml:space="preserve"> for retsstatsprincippet</w:t>
            </w:r>
            <w:r>
              <w:rPr>
                <w:b/>
                <w:i/>
              </w:rPr>
              <w:t>;</w:t>
            </w:r>
            <w:r>
              <w:t xml:space="preserve"> </w:t>
            </w:r>
            <w:r>
              <w:rPr>
                <w:b/>
                <w:i/>
              </w:rPr>
              <w:t>opfordrer Kommissionen til at indstille sine politiske angreb på højreorienterede, konservative regeringer;</w:t>
            </w:r>
            <w:r>
              <w:t xml:space="preserve"> </w:t>
            </w:r>
            <w:r>
              <w:rPr>
                <w:b/>
                <w:i/>
              </w:rPr>
              <w:t>understreger, at</w:t>
            </w:r>
            <w:r>
              <w:t xml:space="preserve"> Ungarn </w:t>
            </w:r>
            <w:r>
              <w:rPr>
                <w:b/>
                <w:i/>
              </w:rPr>
              <w:t>bliver udsat for finansiel og politisk afpresning af Kommissionen på grund af landets lov om beskyttelse af børn, dets lov om beskyttelse af den nationale suverænitet og dets markante holdning til migrationspolitikken;</w:t>
            </w:r>
            <w:r>
              <w:t xml:space="preserve"> </w:t>
            </w:r>
            <w:r>
              <w:rPr>
                <w:b/>
                <w:i/>
              </w:rPr>
              <w:t>minder om, at Ungarn er berettiget til alle de EU-midler, som Kommissionen uretmæssigt tilbageholder;</w:t>
            </w:r>
            <w:r>
              <w:t xml:space="preserve"> </w:t>
            </w:r>
            <w:r>
              <w:rPr>
                <w:b/>
                <w:i/>
              </w:rPr>
              <w:t>opfordrer Kommissionen til at frigive de resterende 20 mia. EUR i EU-midler, som retmæssigt tilkommer Ungarn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understreger betydningen af at indarbejde</w:t>
            </w:r>
            <w:r>
              <w:t xml:space="preserve"> milepæle for retsstatsprincippet i finansieringsinstrumenter såsom genopretnings- og resiliensfaciliteten; </w:t>
            </w:r>
            <w:r>
              <w:rPr>
                <w:b/>
                <w:i/>
              </w:rPr>
              <w:t>beklager dybt frigivelsen af EU-midler til Ungarn på trods af mangler i landets retlige uafhængighed og rammer for bekæmpelse af korruption;</w:t>
            </w:r>
            <w:r>
              <w:t xml:space="preserve"> </w:t>
            </w:r>
            <w:r>
              <w:rPr>
                <w:b/>
                <w:i/>
              </w:rPr>
              <w:t>anbefaler at suspendere udbetalinger, indtil alle retsstatsprincippets benchmarks er opfyldt;</w:t>
            </w:r>
          </w:p>
        </w:tc>
        <w:tc>
          <w:tcPr>
            <w:tcW w:w="4876" w:type="dxa"/>
            <w:tcBorders>
              <w:top w:val="nil"/>
              <w:left w:val="nil"/>
              <w:bottom w:val="nil"/>
              <w:right w:val="nil"/>
            </w:tcBorders>
          </w:tcPr>
          <w:p>
            <w:pPr>
              <w:pStyle w:val="Normal6a"/>
            </w:pPr>
            <w:r>
              <w:t>35.</w:t>
            </w:r>
            <w:r>
              <w:tab/>
            </w:r>
            <w:r>
              <w:rPr>
                <w:b/>
                <w:i/>
              </w:rPr>
              <w:t>bemærker, at</w:t>
            </w:r>
            <w:r>
              <w:t xml:space="preserve"> milepæle for retsstatsprincippet </w:t>
            </w:r>
            <w:r>
              <w:rPr>
                <w:b/>
                <w:i/>
              </w:rPr>
              <w:t>er blevet indarbejdet</w:t>
            </w:r>
            <w:r>
              <w:t xml:space="preserve"> i finansieringsinstrumenter såsom genopretnings- og resiliensfaciliteten;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beklager dybt frigivelsen af EU-midler til </w:t>
            </w:r>
            <w:r>
              <w:rPr>
                <w:b/>
                <w:i/>
              </w:rPr>
              <w:t>Ungarn</w:t>
            </w:r>
            <w:r>
              <w:t xml:space="preserve"> på trods af mangler i landets retlige uafhængighed og rammer for </w:t>
            </w:r>
            <w:r>
              <w:rPr>
                <w:b/>
                <w:i/>
              </w:rPr>
              <w:t>bekæmpelse af korruption</w:t>
            </w:r>
            <w:r>
              <w:t xml:space="preserve">; anbefaler at suspendere </w:t>
            </w:r>
            <w:r>
              <w:rPr>
                <w:b/>
                <w:i/>
              </w:rPr>
              <w:t>udbetalinger</w:t>
            </w:r>
            <w:r>
              <w:t xml:space="preserve">, indtil </w:t>
            </w:r>
            <w:r>
              <w:rPr>
                <w:b/>
                <w:i/>
              </w:rPr>
              <w:t>alle retsstatsprincippets benchmarks er opfyldt</w:t>
            </w:r>
            <w:r>
              <w:t>;</w:t>
            </w:r>
          </w:p>
        </w:tc>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beklager dybt frigivelsen af EU-midler til </w:t>
            </w:r>
            <w:r>
              <w:rPr>
                <w:b/>
                <w:i/>
              </w:rPr>
              <w:t>den ungarske regering</w:t>
            </w:r>
            <w:r>
              <w:t xml:space="preserve"> på trods af mangler i landets retlige uafhængighed og rammer for </w:t>
            </w:r>
            <w:r>
              <w:rPr>
                <w:b/>
                <w:i/>
              </w:rPr>
              <w:t>korruptionsbekæmpelse</w:t>
            </w:r>
            <w:r>
              <w:t xml:space="preserve">; anbefaler at suspendere </w:t>
            </w:r>
            <w:r>
              <w:rPr>
                <w:b/>
                <w:i/>
              </w:rPr>
              <w:t>udbetalingerne til den ungarske regering</w:t>
            </w:r>
            <w:r>
              <w:t xml:space="preserve">, indtil </w:t>
            </w:r>
            <w:r>
              <w:rPr>
                <w:b/>
                <w:i/>
              </w:rPr>
              <w:t>den har fyldestgjort samtlige milepæle for retsstatsprincippet;</w:t>
            </w:r>
            <w:r>
              <w:t xml:space="preserve"> </w:t>
            </w:r>
            <w:r>
              <w:rPr>
                <w:b/>
                <w:i/>
              </w:rPr>
              <w:t>opfordrer indtrængende Kommissionen til at sikre, at EU-midlerne når ud til den ungarske befolkning, bl.a. gennem direkte eller indirekte finansiering til slutmodtagere og endelige støttemodtagere, der er uafhængige af den ungarske regering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understreger </w:t>
            </w:r>
            <w:r>
              <w:rPr>
                <w:b/>
                <w:i/>
              </w:rPr>
              <w:t>betydningen af at indarbejde</w:t>
            </w:r>
            <w:r>
              <w:t xml:space="preserve"> milepæle for retsstatsprincippet i finansieringsinstrumenter såsom genopretnings- og resiliensfaciliteten</w:t>
            </w:r>
            <w:r>
              <w:rPr>
                <w:b/>
                <w:i/>
              </w:rPr>
              <w:t>;</w:t>
            </w:r>
            <w:r>
              <w:t xml:space="preserve"> </w:t>
            </w:r>
            <w:r>
              <w:rPr>
                <w:b/>
                <w:i/>
              </w:rPr>
              <w:t>beklager dybt</w:t>
            </w:r>
            <w:r>
              <w:t xml:space="preserve"> frigivelsen af EU-midler til Ungarn </w:t>
            </w:r>
            <w:r>
              <w:rPr>
                <w:b/>
                <w:i/>
              </w:rPr>
              <w:t>på trods af</w:t>
            </w:r>
            <w:r>
              <w:t xml:space="preserve"> mangler i landets retlige uafhængighed og rammer for </w:t>
            </w:r>
            <w:r>
              <w:rPr>
                <w:b/>
                <w:i/>
              </w:rPr>
              <w:t>bekæmpelse af korruption;</w:t>
            </w:r>
            <w:r>
              <w:t xml:space="preserve"> </w:t>
            </w:r>
            <w:r>
              <w:rPr>
                <w:b/>
                <w:i/>
              </w:rPr>
              <w:t>anbefaler at suspendere udbetalinger, indtil alle retsstatsprincippets benchmarks er opfyldt</w:t>
            </w:r>
            <w:r>
              <w:t>;</w:t>
            </w:r>
          </w:p>
        </w:tc>
        <w:tc>
          <w:tcPr>
            <w:tcW w:w="4876" w:type="dxa"/>
            <w:tcBorders>
              <w:top w:val="nil"/>
              <w:left w:val="nil"/>
              <w:bottom w:val="nil"/>
              <w:right w:val="nil"/>
            </w:tcBorders>
          </w:tcPr>
          <w:p>
            <w:pPr>
              <w:pStyle w:val="Normal6a"/>
            </w:pPr>
            <w:r>
              <w:t>35.</w:t>
            </w:r>
            <w:r>
              <w:tab/>
            </w:r>
            <w:r>
              <w:t>understreger</w:t>
            </w:r>
            <w:r>
              <w:rPr>
                <w:b/>
                <w:i/>
              </w:rPr>
              <w:t>, at anvendelsen af</w:t>
            </w:r>
            <w:r>
              <w:t xml:space="preserve"> milepæle for retsstatsprincippet i </w:t>
            </w:r>
            <w:r>
              <w:rPr>
                <w:b/>
                <w:i/>
              </w:rPr>
              <w:t>forbindelse med</w:t>
            </w:r>
            <w:r>
              <w:t xml:space="preserve"> finansieringsinstrumenter såsom genopretnings- og resiliensfaciliteten </w:t>
            </w:r>
            <w:r>
              <w:rPr>
                <w:b/>
                <w:i/>
              </w:rPr>
              <w:t>er uforenelig med forpligtelsen til at overholde traktaterne og anlægge en tilgang baseret på objektive kriterier;</w:t>
            </w:r>
            <w:r>
              <w:t xml:space="preserve"> </w:t>
            </w:r>
            <w:r>
              <w:rPr>
                <w:b/>
                <w:i/>
              </w:rPr>
              <w:t>bemærker</w:t>
            </w:r>
            <w:r>
              <w:t xml:space="preserve"> frigivelsen af EU-midler til Ungarn</w:t>
            </w:r>
            <w:r>
              <w:rPr>
                <w:b/>
                <w:i/>
              </w:rPr>
              <w:t>, hvilket ikke er i strid med traktaterne, og at påståede</w:t>
            </w:r>
            <w:r>
              <w:t xml:space="preserve"> mangler i landets retlige uafhængighed og rammer for </w:t>
            </w:r>
            <w:r>
              <w:rPr>
                <w:b/>
                <w:i/>
              </w:rPr>
              <w:t>korruptionsbekæmpelse bør afhjælpes gennem procedurer, der er i overensstemmelse med traktaterne;</w:t>
            </w:r>
            <w:r>
              <w:t xml:space="preserve"> </w:t>
            </w:r>
            <w:r>
              <w:rPr>
                <w:b/>
                <w:i/>
              </w:rPr>
              <w:t>understreger, at udbetaling af EU-midler ikke er knyttet til vilkårlige kriterier for retsstatsprincippet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beklager dybt frigivelsen af EU-midler til </w:t>
            </w:r>
            <w:r>
              <w:rPr>
                <w:b/>
                <w:i/>
              </w:rPr>
              <w:t>Ungarn</w:t>
            </w:r>
            <w:r>
              <w:t xml:space="preserve"> på trods af mangler i landets retlige uafhængighed og rammer for </w:t>
            </w:r>
            <w:r>
              <w:rPr>
                <w:b/>
                <w:i/>
              </w:rPr>
              <w:t>bekæmpelse af korruption</w:t>
            </w:r>
            <w:r>
              <w:t xml:space="preserve">; anbefaler at suspendere </w:t>
            </w:r>
            <w:r>
              <w:rPr>
                <w:b/>
                <w:i/>
              </w:rPr>
              <w:t>udbetalinger</w:t>
            </w:r>
            <w:r>
              <w:t xml:space="preserve">, indtil </w:t>
            </w:r>
            <w:r>
              <w:rPr>
                <w:b/>
                <w:i/>
              </w:rPr>
              <w:t>alle retsstatsprincippets benchmarks er opfyldt</w:t>
            </w:r>
            <w:r>
              <w:t>;</w:t>
            </w:r>
          </w:p>
        </w:tc>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beklager dybt frigivelsen af EU-midler til </w:t>
            </w:r>
            <w:r>
              <w:rPr>
                <w:b/>
                <w:i/>
              </w:rPr>
              <w:t>den ungarske regering</w:t>
            </w:r>
            <w:r>
              <w:t xml:space="preserve"> på trods af mangler i landets retlige uafhængighed og rammer for </w:t>
            </w:r>
            <w:r>
              <w:rPr>
                <w:b/>
                <w:i/>
              </w:rPr>
              <w:t>korruptionsbekæmpelse</w:t>
            </w:r>
            <w:r>
              <w:t xml:space="preserve">; anbefaler at suspendere </w:t>
            </w:r>
            <w:r>
              <w:rPr>
                <w:b/>
                <w:i/>
              </w:rPr>
              <w:t>udbetalingerne til den ungarske regering</w:t>
            </w:r>
            <w:r>
              <w:t xml:space="preserve">, indtil </w:t>
            </w:r>
            <w:r>
              <w:rPr>
                <w:b/>
                <w:i/>
              </w:rPr>
              <w:t>den har fyldestgjort samtlige milepæle for retsstatsprincippet;</w:t>
            </w:r>
            <w:r>
              <w:t xml:space="preserve"> </w:t>
            </w:r>
            <w:r>
              <w:rPr>
                <w:b/>
                <w:i/>
              </w:rPr>
              <w:t>opfordrer indtrængende Kommissionen til at sikre, at EU-midlerne når ud til den ungarske befolkning uden derved at svække virkningen af de trufne foranstaltninger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for Udvalget om Borgernes Rettigheder og Retlige og Indre Anliggender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understreger betydningen af at indarbejde milepæle for retsstatsprincippet i finansieringsinstrumenter såsom genopretnings- og resiliensfaciliteten; beklager dybt frigivelsen af EU-midler til Ungarn på trods af mangler i landets retlige uafhængighed og rammer for bekæmpelse af korruption; anbefaler at suspendere udbetalinger, indtil alle retsstatsprincippets benchmarks er opfyldt;</w:t>
            </w:r>
          </w:p>
        </w:tc>
        <w:tc>
          <w:tcPr>
            <w:tcW w:w="4876" w:type="dxa"/>
            <w:tcBorders>
              <w:top w:val="nil"/>
              <w:left w:val="nil"/>
              <w:bottom w:val="nil"/>
              <w:right w:val="nil"/>
            </w:tcBorders>
          </w:tcPr>
          <w:p>
            <w:pPr>
              <w:pStyle w:val="Normal6a"/>
            </w:pPr>
            <w:r>
              <w:t>35.</w:t>
            </w:r>
            <w:r>
              <w:tab/>
            </w:r>
            <w:r>
              <w:t xml:space="preserve">understreger betydningen af at indarbejde milepæle for retsstatsprincippet i finansieringsinstrumenter såsom genopretnings- og resiliensfaciliteten; </w:t>
            </w:r>
            <w:r>
              <w:rPr>
                <w:b/>
                <w:i/>
              </w:rPr>
              <w:t>anmoder om, at den fremtidige FFR skal indeholde solide retsstatsgarantier, som skal gælde for alle EU-midler;</w:t>
            </w:r>
            <w:r>
              <w:t xml:space="preserve"> beklager dybt frigivelsen af EU-midler til Ungarn på trods af mangler i landets retlige uafhængighed og rammer for bekæmpelse af korruption; anbefaler at suspendere udbetalinger, indtil alle retsstatsprincippets benchmarks er opfyldt;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udtrykker dyb bekymring over stigningen i højreekstremisme og dens nedbrydende indflydelse på demokratiske normer og retsstatsprincippet i flere medlemsstater;</w:t>
            </w:r>
            <w:r>
              <w:t xml:space="preserve"> </w:t>
            </w:r>
            <w:r>
              <w:rPr>
                <w:b/>
                <w:i/>
              </w:rPr>
              <w:t>opfordrer til en samordnet EU-indsats for at imødegå denne trussel, bl.a. gennem uddannelse, programmer for social inklusion og om nødvendigt retslige skridt;</w:t>
            </w:r>
            <w:r>
              <w:t xml:space="preserve"> </w:t>
            </w:r>
            <w:r>
              <w:rPr>
                <w:b/>
                <w:i/>
              </w:rPr>
              <w:t>bemærker med bekymring, at disse grupper målrettet angriber mindretal, herunder LGBTQI+-personer, og bidrager til at skabe en stemning af frygt og forskelsbehandling;</w:t>
            </w:r>
            <w:r>
              <w:t xml:space="preserve"> </w:t>
            </w:r>
            <w:r>
              <w:rPr>
                <w:b/>
                <w:i/>
              </w:rPr>
              <w:t>opfordrer Kommissionen til i sin årlige rapport om retsstatssituationen udtrykkeligt at udpege sådanne grupper som en trussel mod demokratiet, menneskerettighederne og de grundlæggende frihedsrettigheder, herunder akademisk uafhængighed og mediernes uafhængighed;</w:t>
            </w:r>
            <w:r>
              <w:t xml:space="preserve"> </w:t>
            </w:r>
            <w:r>
              <w:rPr>
                <w:b/>
                <w:i/>
              </w:rPr>
              <w:t>opfordrer indtrængende medlemsstaterne til at agere resolut for at imødegå disse gruppers indflydelse gennem solide retlige rammer, uddannelse til fremme af demokratiske værdier og støtte til civilsamfundsorganisationer, som bekæmper ekstremisme;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opfordrer til at indføre et resultatbaseret instrument i forordningen om den flerårige finansielle ramme, som skal bygge på respekt for menneskers værdighed, frihed, demokrati, ligestilling, retsstatsprincippet og menneskerettighederne, med henblik på at forstærke koblingen mellem respekten for disse principper og tildelingen af EU-midler;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forlanger, at der bliver etableret en tættere forbindelse mellem konklusionerne i rapporten om retsstatssituationen og tildeling af finansiel støtte under EU-budgettet efter samme logik som milepælene, således at det sikres, at EU-midlerne er knyttet til indførelsen af de nødvendige reformer;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frygter, at den valgte dato for offentliggørelse af den årlige rapport om retsstatssituationen ikke er befordrende for at skabe tilstrækkelig synlighed, og at dette modarbejder rapportens tilsigtede formål om at give anledning til en reel offentlig debat om dens konklusioner;</w:t>
            </w:r>
            <w:r>
              <w:t xml:space="preserve"> </w:t>
            </w:r>
            <w:r>
              <w:rPr>
                <w:b/>
                <w:i/>
              </w:rPr>
              <w:t>opfordrer indtrængende Kommissionen til at genoverveje offentliggørelsesdatoen og gøre mere for at udbrede kendskabet til dens konklusioner i samtlige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forventer, at Kommissionens rapport om retsstatssituationen 2025 vil indeholde frister for gennemførelsen af landespecifikke henstillinger;</w:t>
            </w:r>
            <w:r>
              <w:t xml:space="preserve"> </w:t>
            </w:r>
            <w:r>
              <w:rPr>
                <w:b/>
                <w:i/>
              </w:rPr>
              <w:t>fastholder, at indefrosne EU-midler først bør frigives, når hensigtsmæssige reformer er blevet gennemført fuldt ud, og det er påvist, at retsstatsprincippet bliver efterlevet i praksis;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35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opfordrer medlemsstaterne til at styrke miljødemokratiet ved at sikre fuld gennemførelse af Aarhus-konventionen, navnlig hvad angår adgang til domstolsprøvelse inden for det miljøretslige område samt beskyttelse af miljøaktivister og -organisationer;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mener, at den interinstitutionelle dialog og samarbejde om retsstatsprincippet på EU-plan bør styrkes;</w:t>
            </w:r>
            <w:r>
              <w:t xml:space="preserve"> </w:t>
            </w:r>
            <w:r>
              <w:rPr>
                <w:b/>
                <w:i/>
              </w:rPr>
              <w:t>opfordrer til, at der etableres en permanent interinstitutionel dialog om retsstatsprincippet, der bl.a. involverer Parlamentet, Rådet og Kommissionen;</w:t>
            </w:r>
            <w:r>
              <w:t xml:space="preserve"> </w:t>
            </w:r>
            <w:r>
              <w:rPr>
                <w:b/>
                <w:i/>
              </w:rPr>
              <w:t>opfordrer Rådet til at gøre sin dialog om retsstatsprincippet mere inklusiv ved at indbyde andre institutioner såsom Venedigkommissionen, menneskerettighedskommissæren og repræsentanter for Parlamentet til sine møder;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mener, at den interinstitutionelle dialog og samarbejde om retsstatsprincippet på EU-plan bør styrkes;</w:t>
            </w:r>
            <w:r>
              <w:t xml:space="preserve"> </w:t>
            </w:r>
            <w:r>
              <w:rPr>
                <w:b/>
                <w:i/>
              </w:rPr>
              <w:t>opfordrer til, at der etableres en permanent interinstitutionel dialog om retsstatsprincippet, der bl.a. involverer Parlamentet, Rådet og Kommissionen;</w:t>
            </w:r>
            <w:r>
              <w:t xml:space="preserve"> </w:t>
            </w:r>
            <w:r>
              <w:rPr>
                <w:b/>
                <w:i/>
              </w:rPr>
              <w:t>opfordrer Rådet til at gøre sin dialog om retsstatsprincippet mere inklusiv ved at indbyde andre institutioner såsom Venedigkommissionen, menneskerettighedskommissæren og repræsentanter for Parlamentet til sine møder;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mener, at den interinstitutionelle dialog og samarbejde om retsstatsprincippet på EU-plan bør styrkes;</w:t>
            </w:r>
            <w:r>
              <w:t xml:space="preserve"> </w:t>
            </w:r>
            <w:r>
              <w:rPr>
                <w:b/>
                <w:i/>
              </w:rPr>
              <w:t>opfordrer til, at der etableres en permanent interinstitutionel dialog om retsstatsprincippet, der bl.a. involverer Parlamentet, Rådet og Kommissionen;</w:t>
            </w:r>
            <w:r>
              <w:t xml:space="preserve"> </w:t>
            </w:r>
            <w:r>
              <w:rPr>
                <w:b/>
                <w:i/>
              </w:rPr>
              <w:t>opfordrer Rådet til at gøre sin dialog om retsstatsprincippet mere inklusiv ved at indbyde andre institutioner såsom Venedigkommissionen, menneskerettighedskommissæren og repræsentanter for Parlamentet til sine møder;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mener, at den interinstitutionelle dialog og samarbejde om retsstatsprincippet på EU-plan bør styrkes; </w:t>
            </w:r>
            <w:r>
              <w:rPr>
                <w:b/>
                <w:i/>
              </w:rPr>
              <w:t>opfordrer til, at der etableres en permanent interinstitutionel dialog om</w:t>
            </w:r>
            <w:r>
              <w:t xml:space="preserve"> retsstatsprincippet</w:t>
            </w:r>
            <w:r>
              <w:rPr>
                <w:b/>
                <w:i/>
              </w:rPr>
              <w:t>, der bl.a. involverer Parlamentet, Rådet og Kommissionen</w:t>
            </w:r>
            <w:r>
              <w:t xml:space="preserve">; opfordrer Rådet til at gøre sin dialog om retsstatsprincippet mere inklusiv ved at indbyde andre institutioner </w:t>
            </w:r>
            <w:r>
              <w:rPr>
                <w:b/>
                <w:i/>
              </w:rPr>
              <w:t>såsom</w:t>
            </w:r>
            <w:r>
              <w:t xml:space="preserve"> Venedigkommissionen, </w:t>
            </w:r>
            <w:r>
              <w:rPr>
                <w:b/>
                <w:i/>
              </w:rPr>
              <w:t>menneskerettighedskommissæren</w:t>
            </w:r>
            <w:r>
              <w:t xml:space="preserve"> og repræsentanter for Parlamentet </w:t>
            </w:r>
            <w:r>
              <w:rPr>
                <w:b/>
                <w:i/>
              </w:rPr>
              <w:t>til sine møder</w:t>
            </w:r>
            <w:r>
              <w:t>;</w:t>
            </w:r>
          </w:p>
        </w:tc>
        <w:tc>
          <w:tcPr>
            <w:tcW w:w="4876" w:type="dxa"/>
            <w:tcBorders>
              <w:top w:val="nil"/>
              <w:left w:val="nil"/>
              <w:bottom w:val="nil"/>
              <w:right w:val="nil"/>
            </w:tcBorders>
          </w:tcPr>
          <w:p>
            <w:pPr>
              <w:pStyle w:val="Normal6a"/>
            </w:pPr>
            <w:r>
              <w:t>36.</w:t>
            </w:r>
            <w:r>
              <w:tab/>
            </w:r>
            <w:r>
              <w:t xml:space="preserve">mener, at den interinstitutionelle dialog og </w:t>
            </w:r>
            <w:r>
              <w:rPr>
                <w:b/>
                <w:i/>
              </w:rPr>
              <w:t>det interinstitutionelle </w:t>
            </w:r>
            <w:r>
              <w:t xml:space="preserve">samarbejde om retsstatsprincippet på EU-plan bør styrkes; </w:t>
            </w:r>
            <w:r>
              <w:rPr>
                <w:b/>
                <w:i/>
              </w:rPr>
              <w:t>beklager, at Kommissionen og Rådet hidtil har afvist Parlamentets tilbud om at indgå en interinstitutionel aftale om demokrati, retsstatsprincippet og de grundlæggende rettigheder;</w:t>
            </w:r>
            <w:r>
              <w:t xml:space="preserve"> </w:t>
            </w:r>
            <w:r>
              <w:rPr>
                <w:b/>
                <w:i/>
              </w:rPr>
              <w:t>bekræfter på ny sin vilje til at genoptage forhandlingerne om en sådan aftale;</w:t>
            </w:r>
            <w:r>
              <w:t xml:space="preserve"> </w:t>
            </w:r>
            <w:r>
              <w:rPr>
                <w:b/>
                <w:i/>
              </w:rPr>
              <w:t>opfordrer i mellemtiden de øvrige institutioner til i det mindste at undersøge mulighederne for et udvidet samarbejde i forbindelse med det foreslåede interinstitutionelle pilotprojekt om demokrati,</w:t>
            </w:r>
            <w:r>
              <w:t xml:space="preserve"> retsstatsprincippet </w:t>
            </w:r>
            <w:r>
              <w:rPr>
                <w:b/>
                <w:i/>
              </w:rPr>
              <w:t>og grundlæggende rettigheder, som vil bidrage til at øge tilliden imellem institutionerne på en konkret måde, navnlig ved at dele overvågnings-, dialog- og mødepraksisser med hinanden</w:t>
            </w:r>
            <w:r>
              <w:t>; opfordrer Rådet til at gøre sin dialog om retsstatsprincippet mere inklusiv ved at indbyde andre institutioner </w:t>
            </w:r>
            <w:r>
              <w:rPr>
                <w:b/>
                <w:i/>
              </w:rPr>
              <w:t>til sine samlinger, f.eks.</w:t>
            </w:r>
            <w:r>
              <w:t xml:space="preserve"> Venedigkommissionen, </w:t>
            </w:r>
            <w:r>
              <w:rPr>
                <w:b/>
                <w:i/>
              </w:rPr>
              <w:t>Europarådets menneskerettighedskommissær</w:t>
            </w:r>
            <w:r>
              <w:t xml:space="preserve"> og repræsentanter for Parlamentet</w:t>
            </w:r>
            <w:r>
              <w:rPr>
                <w:b/>
                <w:i/>
              </w:rPr>
              <w:t>;</w:t>
            </w:r>
            <w:r>
              <w:t xml:space="preserve"> </w:t>
            </w:r>
            <w:r>
              <w:rPr>
                <w:b/>
                <w:i/>
              </w:rPr>
              <w:t>mener, at Rådets dialog om retsstatsprincippet bør gøres mere interaktiv og substantiel, og appellerer derfor til medlemsstaterne om at investere i passende forberedelser på denne dialog;</w:t>
            </w:r>
            <w:r>
              <w:t xml:space="preserve"> </w:t>
            </w:r>
            <w:r>
              <w:rPr>
                <w:b/>
                <w:i/>
              </w:rPr>
              <w:t>understreger, at større gennemsigtighed vil fremme dialogen om retsstatsprincippet i Unionen, og opfordrer derfor Rådet til at offentliggøre disse landespecifikke drøftelser, herunder detaljerede, offentligt tilgængelige konklusioner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mener, at den interinstitutionelle dialog og </w:t>
            </w:r>
            <w:r>
              <w:rPr>
                <w:b/>
                <w:i/>
              </w:rPr>
              <w:t>samarbejde om retsstatsprincippet</w:t>
            </w:r>
            <w:r>
              <w:t xml:space="preserve"> på EU-plan </w:t>
            </w:r>
            <w:r>
              <w:rPr>
                <w:b/>
                <w:i/>
              </w:rPr>
              <w:t>bør styrkes;</w:t>
            </w:r>
            <w:r>
              <w:t xml:space="preserve"> </w:t>
            </w:r>
            <w:r>
              <w:rPr>
                <w:b/>
                <w:i/>
              </w:rPr>
              <w:t>opfordrer til, at der etableres en permanent interinstitutionel dialog</w:t>
            </w:r>
            <w:r>
              <w:t xml:space="preserve"> om retsstatsprincippet</w:t>
            </w:r>
            <w:r>
              <w:rPr>
                <w:b/>
                <w:i/>
              </w:rPr>
              <w:t>, der bl.a. involverer Parlamentet, Rådet og Kommissionen;</w:t>
            </w:r>
            <w:r>
              <w:t xml:space="preserve"> </w:t>
            </w:r>
            <w:r>
              <w:rPr>
                <w:b/>
                <w:i/>
              </w:rPr>
              <w:t>opfordrer Rådet til at gøre sin dialog om retsstatsprincippet mere inklusiv</w:t>
            </w:r>
            <w:r>
              <w:t xml:space="preserve"> ved at </w:t>
            </w:r>
            <w:r>
              <w:rPr>
                <w:b/>
                <w:i/>
              </w:rPr>
              <w:t>indbyde andre institutioner såsom Venedigkommissionen, menneskerettighedskommissæren og repræsentanter for Parlamentet til sine møder</w:t>
            </w:r>
            <w:r>
              <w:t>;</w:t>
            </w:r>
          </w:p>
        </w:tc>
        <w:tc>
          <w:tcPr>
            <w:tcW w:w="4876" w:type="dxa"/>
            <w:tcBorders>
              <w:top w:val="nil"/>
              <w:left w:val="nil"/>
              <w:bottom w:val="nil"/>
              <w:right w:val="nil"/>
            </w:tcBorders>
          </w:tcPr>
          <w:p>
            <w:pPr>
              <w:pStyle w:val="Normal6a"/>
            </w:pPr>
            <w:r>
              <w:t>36.</w:t>
            </w:r>
            <w:r>
              <w:tab/>
            </w:r>
            <w:r>
              <w:t xml:space="preserve">mener, at den interinstitutionelle dialog og </w:t>
            </w:r>
            <w:r>
              <w:rPr>
                <w:b/>
                <w:i/>
              </w:rPr>
              <w:t>det interinstitutionelle samarbejde</w:t>
            </w:r>
            <w:r>
              <w:t xml:space="preserve"> på EU-plan om retsstatsprincippet </w:t>
            </w:r>
            <w:r>
              <w:rPr>
                <w:b/>
                <w:i/>
              </w:rPr>
              <w:t>og om korruptionsbekæmpelse bør styrkes</w:t>
            </w:r>
            <w:r>
              <w:t xml:space="preserve"> ved at </w:t>
            </w:r>
            <w:r>
              <w:rPr>
                <w:b/>
                <w:i/>
              </w:rPr>
              <w:t>inddrage EU-institutionerne i tilsynsarbejdet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for Udvalget om Borgernes Rettigheder og Retlige og Indre Anliggender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mener, at den interinstitutionelle dialog og samarbejde om retsstatsprincippet på EU-plan bør styrkes; opfordrer til, at der etableres en permanent interinstitutionel dialog om retsstatsprincippet</w:t>
            </w:r>
            <w:r>
              <w:rPr>
                <w:b/>
                <w:i/>
              </w:rPr>
              <w:t>, der bl.a. involverer</w:t>
            </w:r>
            <w:r>
              <w:t xml:space="preserve"> Parlamentet, Rådet og Kommissionen; opfordrer Rådet til at gøre sin dialog om retsstatsprincippet mere inklusiv ved at indbyde andre institutioner </w:t>
            </w:r>
            <w:r>
              <w:rPr>
                <w:b/>
                <w:i/>
              </w:rPr>
              <w:t>såsom</w:t>
            </w:r>
            <w:r>
              <w:t xml:space="preserve"> Venedigkommissionen, </w:t>
            </w:r>
            <w:r>
              <w:rPr>
                <w:b/>
                <w:i/>
              </w:rPr>
              <w:t>menneskerettighedskommissæren</w:t>
            </w:r>
            <w:r>
              <w:t xml:space="preserve"> og repræsentanter for Parlamentet </w:t>
            </w:r>
            <w:r>
              <w:rPr>
                <w:b/>
                <w:i/>
              </w:rPr>
              <w:t>til sine møder</w:t>
            </w:r>
            <w:r>
              <w:t>;</w:t>
            </w:r>
          </w:p>
        </w:tc>
        <w:tc>
          <w:tcPr>
            <w:tcW w:w="4876" w:type="dxa"/>
            <w:tcBorders>
              <w:top w:val="nil"/>
              <w:left w:val="nil"/>
              <w:bottom w:val="nil"/>
              <w:right w:val="nil"/>
            </w:tcBorders>
          </w:tcPr>
          <w:p>
            <w:pPr>
              <w:pStyle w:val="Normal6a"/>
            </w:pPr>
            <w:r>
              <w:t>36.</w:t>
            </w:r>
            <w:r>
              <w:tab/>
            </w:r>
            <w:r>
              <w:t xml:space="preserve">mener, at den interinstitutionelle dialog og </w:t>
            </w:r>
            <w:r>
              <w:rPr>
                <w:b/>
                <w:i/>
              </w:rPr>
              <w:t>det interinstitutionelle </w:t>
            </w:r>
            <w:r>
              <w:t xml:space="preserve">samarbejde om retsstatsprincippet på EU-plan bør styrkes; opfordrer til, at der etableres en permanent interinstitutionel dialog </w:t>
            </w:r>
            <w:r>
              <w:rPr>
                <w:b/>
                <w:i/>
              </w:rPr>
              <w:t>gennem indgåelse af en interinstitutionel aftale</w:t>
            </w:r>
            <w:r>
              <w:t xml:space="preserve"> om retsstatsprincippet </w:t>
            </w:r>
            <w:r>
              <w:rPr>
                <w:b/>
                <w:i/>
              </w:rPr>
              <w:t>med deltagelse af</w:t>
            </w:r>
            <w:r>
              <w:t xml:space="preserve"> Parlamentet, Rådet og Kommissionen; opfordrer Rådet til at gøre sin dialog om retsstatsprincippet mere inklusiv ved at indbyde andre institutioner </w:t>
            </w:r>
            <w:r>
              <w:rPr>
                <w:b/>
                <w:i/>
              </w:rPr>
              <w:t>til sine samlinger, f.eks.</w:t>
            </w:r>
            <w:r>
              <w:t xml:space="preserve"> Venedigkommissionen, </w:t>
            </w:r>
            <w:r>
              <w:rPr>
                <w:b/>
                <w:i/>
              </w:rPr>
              <w:t>Europarådets menneskerettighedskommissær</w:t>
            </w:r>
            <w:r>
              <w:t> og repræsentanter for Parlamentet</w:t>
            </w:r>
            <w:r>
              <w:rPr>
                <w:b/>
                <w:i/>
              </w:rPr>
              <w:t>, eller i det mindste systematisk at give Parlamentet feedback om retsstatsdialogmøderne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mener, at den interinstitutionelle dialog og samarbejde om retsstatsprincippet på EU-plan bør styrkes; opfordrer til, at der etableres en permanent interinstitutionel dialog om retsstatsprincippet, der bl.a. involverer Parlamentet, Rådet og Kommissionen; opfordrer Rådet til at gøre sin dialog om retsstatsprincippet mere inklusiv ved at indbyde andre institutioner såsom Venedigkommissionen, menneskerettighedskommissæren og repræsentanter for Parlamentet til sine møder;</w:t>
            </w:r>
          </w:p>
        </w:tc>
        <w:tc>
          <w:tcPr>
            <w:tcW w:w="4876" w:type="dxa"/>
            <w:tcBorders>
              <w:top w:val="nil"/>
              <w:left w:val="nil"/>
              <w:bottom w:val="nil"/>
              <w:right w:val="nil"/>
            </w:tcBorders>
          </w:tcPr>
          <w:p>
            <w:pPr>
              <w:pStyle w:val="Normal6a"/>
            </w:pPr>
            <w:r>
              <w:t>36.</w:t>
            </w:r>
            <w:r>
              <w:tab/>
            </w:r>
            <w:r>
              <w:t xml:space="preserve">mener, at den interinstitutionelle dialog og </w:t>
            </w:r>
            <w:r>
              <w:rPr>
                <w:b/>
                <w:i/>
              </w:rPr>
              <w:t>det interinstitutionelle </w:t>
            </w:r>
            <w:r>
              <w:t xml:space="preserve">samarbejde om retsstatsprincippet på EU-plan bør styrkes; opfordrer til, at der etableres en permanent interinstitutionel dialog om retsstatsprincippet, der bl.a. involverer Parlamentet, Rådet og Kommissionen; opfordrer Rådet til at gøre sin dialog om retsstatsprincippet mere inklusiv ved at indbyde andre institutioner såsom Venedigkommissionen, menneskerettighedskommissæren og repræsentanter for Parlamentet til sine møder; </w:t>
            </w:r>
            <w:r>
              <w:rPr>
                <w:b/>
                <w:i/>
              </w:rPr>
              <w:t>opfordrer indtrængende Rådet til at samarbejde med de nationale parlamenter for at styrke det demokratiske tilsyn med medlemsstaternes overholdelse af EU's retsstatsstandarder;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mener, at</w:t>
            </w:r>
            <w:r>
              <w:t xml:space="preserve"> den interinstitutionelle dialog og </w:t>
            </w:r>
            <w:r>
              <w:rPr>
                <w:b/>
                <w:i/>
              </w:rPr>
              <w:t>samarbejde om retsstatsprincippet</w:t>
            </w:r>
            <w:r>
              <w:t xml:space="preserve"> på EU-plan </w:t>
            </w:r>
            <w:r>
              <w:rPr>
                <w:b/>
                <w:i/>
              </w:rPr>
              <w:t>bør styrkes;</w:t>
            </w:r>
            <w:r>
              <w:t xml:space="preserve"> </w:t>
            </w:r>
            <w:r>
              <w:rPr>
                <w:b/>
                <w:i/>
              </w:rPr>
              <w:t>opfordrer til, at der etableres en permanent interinstitutionel dialog om retsstatsprincippet, der bl.a. involverer Parlamentet, Rådet og Kommissionen;</w:t>
            </w:r>
            <w:r>
              <w:t xml:space="preserve"> </w:t>
            </w:r>
            <w:r>
              <w:rPr>
                <w:b/>
                <w:i/>
              </w:rPr>
              <w:t>opfordrer Rådet til at gøre sin dialog om retsstatsprincippet mere inklusiv ved at indbyde andre institutioner såsom Venedigkommissionen, menneskerettighedskommissæren og repræsentanter for Parlamentet til sine møder</w:t>
            </w:r>
            <w:r>
              <w:t>;</w:t>
            </w:r>
          </w:p>
        </w:tc>
        <w:tc>
          <w:tcPr>
            <w:tcW w:w="4876" w:type="dxa"/>
            <w:tcBorders>
              <w:top w:val="nil"/>
              <w:left w:val="nil"/>
              <w:bottom w:val="nil"/>
              <w:right w:val="nil"/>
            </w:tcBorders>
          </w:tcPr>
          <w:p>
            <w:pPr>
              <w:pStyle w:val="Normal6a"/>
            </w:pPr>
            <w:r>
              <w:t>36.</w:t>
            </w:r>
            <w:r>
              <w:tab/>
            </w:r>
            <w:r>
              <w:rPr>
                <w:b/>
                <w:i/>
              </w:rPr>
              <w:t>konstaterer, at der er fremsat ønske om at styrke</w:t>
            </w:r>
            <w:r>
              <w:t xml:space="preserve"> den interinstitutionelle dialog og </w:t>
            </w:r>
            <w:r>
              <w:rPr>
                <w:b/>
                <w:i/>
              </w:rPr>
              <w:t>det interinstitutionelle samarbejde</w:t>
            </w:r>
            <w:r>
              <w:t xml:space="preserve"> på EU-plan </w:t>
            </w:r>
            <w:r>
              <w:rPr>
                <w:b/>
                <w:i/>
              </w:rPr>
              <w:t>om retsstatsprincippet, selv om dette ikke er i overensstemmelse med traktaternes ordlyd;</w:t>
            </w:r>
            <w:r>
              <w:t xml:space="preserve"> </w:t>
            </w:r>
            <w:r>
              <w:rPr>
                <w:b/>
                <w:i/>
              </w:rPr>
              <w:t>bemærker samtidig, at navnlig Parlamentets holdninger ofte påvirkes af de politiske gruppers forskellige partiinteresser, hvilket kun tjener til at forstærke den partiskhed og den partipolitiske dimension, der karakteriserer den såkaldte "dialog" om retsstatsprincippet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mener, at den interinstitutionelle dialog og samarbejde om retsstatsprincippet på EU-plan bør styrkes; opfordrer til, at der </w:t>
            </w:r>
            <w:r>
              <w:rPr>
                <w:b/>
                <w:i/>
              </w:rPr>
              <w:t>etableres en permanent interinstitutionel dialog om</w:t>
            </w:r>
            <w:r>
              <w:t xml:space="preserve"> retsstatsprincippet, </w:t>
            </w:r>
            <w:r>
              <w:rPr>
                <w:b/>
                <w:i/>
              </w:rPr>
              <w:t>der bl.a. involverer Parlamentet,</w:t>
            </w:r>
            <w:r>
              <w:t xml:space="preserve"> Rådet og </w:t>
            </w:r>
            <w:r>
              <w:rPr>
                <w:b/>
                <w:i/>
              </w:rPr>
              <w:t>Kommissionen;</w:t>
            </w:r>
            <w:r>
              <w:t xml:space="preserve"> </w:t>
            </w:r>
            <w:r>
              <w:rPr>
                <w:b/>
                <w:i/>
              </w:rPr>
              <w:t>opfordrer Rådet til at gøre sin dialog om retsstatsprincippet mere inklusiv ved at indbyde andre institutioner såsom Venedigkommissionen, menneskerettighedskommissæren og repræsentanter for Parlamentet til sine møder</w:t>
            </w:r>
            <w:r>
              <w:t>;</w:t>
            </w:r>
          </w:p>
        </w:tc>
        <w:tc>
          <w:tcPr>
            <w:tcW w:w="4876" w:type="dxa"/>
            <w:tcBorders>
              <w:top w:val="nil"/>
              <w:left w:val="nil"/>
              <w:bottom w:val="nil"/>
              <w:right w:val="nil"/>
            </w:tcBorders>
          </w:tcPr>
          <w:p>
            <w:pPr>
              <w:pStyle w:val="Normal6a"/>
            </w:pPr>
            <w:r>
              <w:t>36.</w:t>
            </w:r>
            <w:r>
              <w:tab/>
            </w:r>
            <w:r>
              <w:t xml:space="preserve">mener, at den interinstitutionelle dialog og </w:t>
            </w:r>
            <w:r>
              <w:rPr>
                <w:b/>
                <w:i/>
              </w:rPr>
              <w:t>det interinstitutionelle</w:t>
            </w:r>
            <w:r>
              <w:t xml:space="preserve"> samarbejde om retsstatsprincippet på EU-plan bør styrkes; opfordrer til, at der </w:t>
            </w:r>
            <w:r>
              <w:rPr>
                <w:b/>
                <w:i/>
              </w:rPr>
              <w:t>oprettes et europæisk semester for</w:t>
            </w:r>
            <w:r>
              <w:t xml:space="preserve"> retsstatsprincippet, </w:t>
            </w:r>
            <w:r>
              <w:rPr>
                <w:b/>
                <w:i/>
              </w:rPr>
              <w:t>som skal udgøre rammen og have</w:t>
            </w:r>
            <w:r>
              <w:t xml:space="preserve"> Rådet og </w:t>
            </w:r>
            <w:r>
              <w:rPr>
                <w:b/>
                <w:i/>
              </w:rPr>
              <w:t>Europa-Parlamentet som nøgleaktører, og som skal understøttes af Kommissionens beføjelse til at håndhæve overholdelsen;</w:t>
            </w:r>
            <w:r>
              <w:t xml:space="preserve"> </w:t>
            </w:r>
            <w:r>
              <w:rPr>
                <w:b/>
                <w:i/>
              </w:rPr>
              <w:t>bemærker, at denne ramme vil afhjælpe det demokratiske underskud og sikre overholdelsen af retsstatsprincippet i samtlige medlemsstater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finder det dybt beklageligt, at Rådet ikke har formået at gøre reelle fremskridt i forbindelse med de igangværende procedurer i henhold til artikel 7, stk. 1, i TEU;</w:t>
            </w:r>
            <w:r>
              <w:t xml:space="preserve"> </w:t>
            </w:r>
            <w:r>
              <w:rPr>
                <w:b/>
                <w:i/>
              </w:rPr>
              <w:t>opfordrer indtrængende Rådet til at sikre, at der mindst én gang under hvert formandskab afholdes høringer vedrørende de igangværende procedurer i henhold til artikel 7 i TEU, og til også at tage stilling til nye udviklingstendenser, som indvirker på retsstatsprincippet, demokratiet og de grundlæggende rettigheder;</w:t>
            </w:r>
            <w:r>
              <w:t xml:space="preserve"> </w:t>
            </w:r>
            <w:r>
              <w:rPr>
                <w:b/>
                <w:i/>
              </w:rPr>
              <w:t>påpeger, at der ikke kræves enstemmighed i Rådet for hverken at fastslå en klar risiko for alvorlig tilsidesættelse af Unionens værdier i henhold til artikel 7, stk. 1, i TEU, eller at rette konkrete henstillinger til de pågældende medlemsstater og fastsætte frister for gennemførelsen af disse henstillinger;</w:t>
            </w:r>
            <w:r>
              <w:t xml:space="preserve"> </w:t>
            </w:r>
            <w:r>
              <w:rPr>
                <w:b/>
                <w:i/>
              </w:rPr>
              <w:t>gentager sin opfordring til Rådet om at gøre dette og understreger, at enhver yderligere udskydelse heraf er ensbetydende med, at Rådet selv overtræder retsstatsprincippet;</w:t>
            </w:r>
            <w:r>
              <w:t xml:space="preserve"> </w:t>
            </w:r>
            <w:r>
              <w:rPr>
                <w:b/>
                <w:i/>
              </w:rPr>
              <w:t>insisterer på, at Europa-Parlamentets rolle og beføjelser respekteres;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minder om sit mangeårige krav om oprettelse af en EU-mekanisme for demokrati, retsstatsprincippet og grundlæggende rettigheder i form af en interinstitutionel aftale og opfordrer Kommissionen og Rådet til at indgå en sådan interinstitutionel aftale;</w:t>
            </w:r>
            <w:r>
              <w:t xml:space="preserve"> </w:t>
            </w:r>
            <w:r>
              <w:rPr>
                <w:b/>
                <w:i/>
              </w:rPr>
              <w:t>minder om, at den nye mekanisme bør integrere og supplere eksisterende mekanismer, herunder rapporten om retsstatssituationen, bør være evidensbaseret, objektiv og rettet mod EU's medlemsstater og institutioner med forebyggende og korrigerende foranstaltninger og bør bistås af et panel af uafhængige eksperter;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opfordrer medlemsstaterne til at sikre, at alle lovgivningsmæssige reformer, der påvirker magtens tredeling, fuldt ud overholder de europæiske retsprincipper;</w:t>
            </w:r>
            <w:r>
              <w:t xml:space="preserve"> </w:t>
            </w:r>
            <w:r>
              <w:rPr>
                <w:b/>
                <w:i/>
              </w:rPr>
              <w:t>opfordrer indtrængende Kommissionen til at vurdere, om lovgivningsmæssige foranstaltninger, der påvirker retsvæsenet, juridiske fordele eller den udøvende kontrol med retsinstitutioner er i overensstemmelse med artikel 2 i TEU, og om de kan begrunde indledning af procedurer i henhold til artikel 7 i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mener, at samarbejdet mellem EU og internationale organisationer såsom Europarådet, OSCE og De Forenede Nationer om fremme og forsvar af demokrati, retsstatsprincippet, de grundlæggende frihedsrettigheder og menneskerettighederne, herunder mindretals rettigheder, bør styrkes yderligere;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mener, at samarbejde medlemsstaterne imellem er af særlig relevans for fremme af demokrati, retsstatsprincippet og grundlæggende rettigheder i EU;</w:t>
            </w:r>
            <w:r>
              <w:t xml:space="preserve"> </w:t>
            </w:r>
            <w:r>
              <w:rPr>
                <w:b/>
                <w:i/>
              </w:rPr>
              <w:t>opfordrer indtrængende Kommissionen til at opretholde sine egne regler om gennemsigtighed, korruptionsbekæmpelse og retshåndhævelse;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opfordrer medlemsstaterne til at sikre, at nødforanstaltninger, der vedtages som reaktion på kriser (såsom pandemier eller sikkerhedstrusler), er underlagt regelmæssig parlamentarisk kontrol og domstolsprøvelse og er strengt tidsbegrænsede og forholdsmæssige;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beklager dybt, at Kommissionen ikke har indarbejdet mange af Parlamentets gentagne anmodninger vedrørende Kommissionens rapporter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forlanger, at Kommissionen senest den 31. december 2025 udsender en meddelelse med nærmere oplysninger om, hvilke af de anmodninger, som Parlamentet har vedtaget vedrørende Kommissionens rapporter om retsstatssituationen siden 2021, som Kommissionen vil gennemføre, hvilke af anmodningerne den ikke vil gennemføre, samt de konkrete årsager til eventuelle afslag;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understreger behovet for, at medlemsstaterne gør noget ved den kønsbestemte forskel i retsvæsenet og andre centrale demokratiske institutioner;</w:t>
            </w:r>
            <w:r>
              <w:t xml:space="preserve"> </w:t>
            </w:r>
            <w:r>
              <w:rPr>
                <w:b/>
                <w:i/>
              </w:rPr>
              <w:t>anbefaler, at der træffes målrettede foranstaltninger til at øge kvinders repræsentation på lederposter inden for retsvæsenet og den offentlige forvaltning;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opfordrer Kommissionen til ikke at bruge beskyttelsen af retsstatsprincippet og de grundlæggende rettigheder som påskud for at udøve politisk pres på visse medlemsstater til at ændre politikker, der henhører under medlemsstaternes kompetence;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36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udtrykker sin dybe bekymring over, at foranstaltninger i henhold til forordningen om konditionalitet vedrørende retsstatsprincippet, i lighed med artikel 7-procedurer, vil blive gennemført for at fremme politiske idealer og svække visse medlemsstaters legitimitet;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anbefaler, at Kommissionen og medlemsstaterne overvåger udenlandsk indblanding, navnlig brug af sociale medier til manipulation og ondsindede formål, herunder enkeltpersoners brug heraf såsom Elon Musk til at påvirke den offentlige mening og sprede desinformation i Europa;</w:t>
            </w:r>
            <w:r>
              <w:t xml:space="preserve"> </w:t>
            </w:r>
            <w:r>
              <w:rPr>
                <w:b/>
                <w:i/>
              </w:rPr>
              <w:t>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anbefaler, at Kommissionen og medlemsstaterne overvåger udenlandsk indblanding, navnlig brug af</w:t>
            </w:r>
            <w:r>
              <w:t xml:space="preserve"> sociale </w:t>
            </w:r>
            <w:r>
              <w:rPr>
                <w:b/>
                <w:i/>
              </w:rPr>
              <w:t>medier til manipulation og ondsindede formål, herunder enkeltpersoners brug heraf såsom Elon Musk</w:t>
            </w:r>
            <w:r>
              <w:t xml:space="preserve"> til at </w:t>
            </w:r>
            <w:r>
              <w:rPr>
                <w:b/>
                <w:i/>
              </w:rPr>
              <w:t>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rPr>
                <w:b/>
                <w:i/>
              </w:rPr>
              <w:t>er bekymret over Europa-Parlamentets og Europa-Kommissionens indblanding i medlemsstaternes indre anliggender;</w:t>
            </w:r>
            <w:r>
              <w:t xml:space="preserve"> </w:t>
            </w:r>
            <w:r>
              <w:rPr>
                <w:b/>
                <w:i/>
              </w:rPr>
              <w:t>minder om, at Metas administrerende direktør, Mark Zuckerberg, den 7. januar 2025 indrømmede, at Facebook havde censureret indhold på et politisk grundlag;</w:t>
            </w:r>
            <w:r>
              <w:t xml:space="preserve"> </w:t>
            </w:r>
            <w:r>
              <w:rPr>
                <w:b/>
                <w:i/>
              </w:rPr>
              <w:t>bifalder Metas bestræbelser på at fremme ytringsfriheden på sine sociale medieplatforme;</w:t>
            </w:r>
            <w:r>
              <w:t xml:space="preserve"> </w:t>
            </w:r>
            <w:r>
              <w:rPr>
                <w:b/>
                <w:i/>
              </w:rPr>
              <w:t>beklager dybt, at der fortsat foregår politisk tendentiøs faktatjekning på</w:t>
            </w:r>
            <w:r>
              <w:t xml:space="preserve"> sociale </w:t>
            </w:r>
            <w:r>
              <w:rPr>
                <w:b/>
                <w:i/>
              </w:rPr>
              <w:t>medieplatforme i Europa;</w:t>
            </w:r>
            <w:r>
              <w:t xml:space="preserve"> </w:t>
            </w:r>
            <w:r>
              <w:rPr>
                <w:b/>
                <w:i/>
              </w:rPr>
              <w:t>opfordrer Kommissionen til at ophøre med sine bestræbelser på at censurere højreorienterede og konservative røster på sociale medieplatforme;</w:t>
            </w:r>
            <w:r>
              <w:t xml:space="preserve"> </w:t>
            </w:r>
            <w:r>
              <w:rPr>
                <w:b/>
                <w:i/>
              </w:rPr>
              <w:t>opfordrer Europa-Parlamentet</w:t>
            </w:r>
            <w:r>
              <w:t xml:space="preserve"> til at </w:t>
            </w:r>
            <w:r>
              <w:rPr>
                <w:b/>
                <w:i/>
              </w:rPr>
              <w:t>nedsætte et undersøgelsesudvalg om censur på Facebook;</w:t>
            </w:r>
            <w:r>
              <w:t xml:space="preserve"> </w:t>
            </w:r>
            <w:r>
              <w:rPr>
                <w:b/>
                <w:i/>
              </w:rPr>
              <w:t>glæder sig over Elon Musks indsats i kampen for ytringsfrihed</w:t>
            </w:r>
            <w:r>
              <w:t>;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anbefaler, at Kommissionen og medlemsstaterne overvåger udenlandsk indblanding</w:t>
            </w:r>
            <w:r>
              <w:rPr>
                <w:b/>
                <w:i/>
              </w:rPr>
              <w:t>, navnlig brug af sociale medier til manipulation og ondsindede formål, herunder enkeltpersoners brug heraf såsom Elon Musk til at påvirke den offentlige mening og sprede desinformation i Europa;</w:t>
            </w:r>
            <w:r>
              <w:t xml:space="preserve"> </w:t>
            </w:r>
            <w:r>
              <w:rPr>
                <w:b/>
                <w:i/>
              </w:rPr>
              <w:t>understreger, at Kommissionen skal sikre, at retsstatsprincippet gennemføres korrekt i EU-institutionerne, og opfordrer til, at EU-institutionerne inddrages i Kommissionens årlige evaluering af rapporten om retsstatssituationen</w:t>
            </w:r>
            <w:r>
              <w:t>;</w:t>
            </w:r>
          </w:p>
        </w:tc>
        <w:tc>
          <w:tcPr>
            <w:tcW w:w="4876" w:type="dxa"/>
            <w:tcBorders>
              <w:top w:val="nil"/>
              <w:left w:val="nil"/>
              <w:bottom w:val="nil"/>
              <w:right w:val="nil"/>
            </w:tcBorders>
          </w:tcPr>
          <w:p>
            <w:pPr>
              <w:pStyle w:val="Normal6a"/>
            </w:pPr>
            <w:r>
              <w:t>37.</w:t>
            </w:r>
            <w:r>
              <w:tab/>
            </w:r>
            <w:r>
              <w:t>anbefaler, at Kommissionen og medlemsstaterne overvåger udenlandsk indblanding;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w:t>
            </w:r>
            <w:r>
              <w:rPr>
                <w:b/>
                <w:i/>
              </w:rPr>
              <w:t>og medlemsstaterne overvåger udenlandsk indblanding, navnlig brug af sociale medier til manipulation og ondsindede formål, herunder enkeltpersoners brug heraf såsom Elon Musk til at påvirke den offentlige mening og sprede desinformation i Europa;</w:t>
            </w:r>
            <w:r>
              <w:t xml:space="preserve"> </w:t>
            </w:r>
            <w:r>
              <w:rPr>
                <w:b/>
                <w:i/>
              </w:rPr>
              <w:t>understreger, at Kommissionen skal</w:t>
            </w:r>
            <w:r>
              <w:t xml:space="preserve">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w:t>
            </w:r>
            <w:r>
              <w:rPr>
                <w:b/>
                <w:i/>
              </w:rPr>
              <w:t>pålægges at</w:t>
            </w:r>
            <w:r>
              <w:t xml:space="preserve">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manipulation</w:t>
            </w:r>
            <w:r>
              <w:t xml:space="preserve"> og ondsindede formål</w:t>
            </w:r>
            <w:r>
              <w:rPr>
                <w:b/>
                <w:i/>
              </w:rPr>
              <w:t>, herunder enkeltpersoners brug heraf såsom Elon Musk til at 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manipulering</w:t>
            </w:r>
            <w:r>
              <w:t xml:space="preserve"> og ondsindede formål</w:t>
            </w:r>
            <w:r>
              <w:rPr>
                <w:b/>
                <w:i/>
              </w:rPr>
              <w:t> med henblik på at påvirke folkeopinionen og sprede desinformation i Europa;</w:t>
            </w:r>
            <w:r>
              <w:t xml:space="preserve"> </w:t>
            </w:r>
            <w:r>
              <w:rPr>
                <w:b/>
                <w:i/>
              </w:rPr>
              <w:t>bemærker, at Kommissionen i årevis har undladt at anerkende den venstreliberale dominans på de sociale medier, herunder visse hovedstæders, internationale stiftelsers og EU-institutioners diktering af denne dagsorden</w:t>
            </w:r>
            <w:r>
              <w:t>;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for Udvalget om Borgernes Rettigheder og Retlige og Indre Anliggender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manipulation og ondsindede formål, herunder enkeltpersoners brug heraf såsom Elon Musk til at påvirke den offentlige mening og sprede desinformation i Europa; </w:t>
            </w:r>
            <w:r>
              <w:rPr>
                <w:b/>
                <w:i/>
              </w:rPr>
              <w:t>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anbefaler, at Kommissionen og medlemsstaterne overvåger udenlandsk indblanding, navnlig brug af sociale medier til manipulation og ondsindede formål, herunder enkeltpersoners brug heraf såsom Elon Musk til at påvirke den offentlige mening og sprede desinformation i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anbefaler, at Kommissionen og medlemsstaterne overvåger udenlandsk indblanding</w:t>
            </w:r>
            <w:r>
              <w:rPr>
                <w:b/>
                <w:i/>
              </w:rPr>
              <w:t>, navnlig brug af sociale medier til manipulation og ondsindede formål, herunder enkeltpersoners brug heraf såsom Elon Musk til at 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anbefaler, at Kommissionen og medlemsstaterne overvåger udenlandsk indblanding;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w:t>
            </w:r>
            <w:r>
              <w:rPr>
                <w:b/>
                <w:i/>
              </w:rPr>
              <w:t>navnlig</w:t>
            </w:r>
            <w:r>
              <w:t xml:space="preserve"> brug af sociale medier til </w:t>
            </w:r>
            <w:r>
              <w:rPr>
                <w:b/>
                <w:i/>
              </w:rPr>
              <w:t>manipulation</w:t>
            </w:r>
            <w:r>
              <w:t xml:space="preserve"> og ondsindede formål</w:t>
            </w:r>
            <w:r>
              <w:rPr>
                <w:b/>
                <w:i/>
              </w:rPr>
              <w:t>, herunder enkeltpersoners brug heraf såsom Elon Musk til at 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w:t>
            </w:r>
            <w:r>
              <w:rPr>
                <w:b/>
                <w:i/>
              </w:rPr>
              <w:t>herunder</w:t>
            </w:r>
            <w:r>
              <w:t xml:space="preserve"> brug af sociale medier til </w:t>
            </w:r>
            <w:r>
              <w:rPr>
                <w:b/>
                <w:i/>
              </w:rPr>
              <w:t>manipulering</w:t>
            </w:r>
            <w:r>
              <w:t xml:space="preserve"> og ondsindede formål;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anbefaler, at Kommissionen og medlemsstaterne overvåger udenlandsk indblanding</w:t>
            </w:r>
            <w:r>
              <w:rPr>
                <w:b/>
                <w:i/>
              </w:rPr>
              <w:t>, navnlig brug af sociale medier til manipulation og ondsindede formål, herunder enkeltpersoners brug heraf såsom Elon Musk til at 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w:t>
            </w:r>
            <w:r>
              <w:rPr>
                <w:b/>
                <w:i/>
              </w:rPr>
              <w:t>og træffer effektive foranstaltninger til at beskytte vores fælles interesser;</w:t>
            </w:r>
            <w:r>
              <w:t xml:space="preserve"> </w:t>
            </w:r>
            <w:r>
              <w:rPr>
                <w:b/>
                <w:i/>
              </w:rPr>
              <w:t>understreger, at udenlandske propagandaoperationer kan bekæmpes uden at angribe ytringsfriheden, dvs. ved korrekt markering af udenlandsk finansierede organisationer eller med neutrale initiativer såsom "beskeder fra fællesskabet"</w:t>
            </w:r>
            <w:r>
              <w:t>;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manipulation</w:t>
            </w:r>
            <w:r>
              <w:t xml:space="preserve"> og ondsindede formål</w:t>
            </w:r>
            <w:r>
              <w:rPr>
                <w:b/>
                <w:i/>
              </w:rPr>
              <w:t>, herunder enkeltpersoners brug heraf såsom Elon Musk til at 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manipulering</w:t>
            </w:r>
            <w:r>
              <w:t xml:space="preserve"> og ondsindede formål;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manipulation</w:t>
            </w:r>
            <w:r>
              <w:t xml:space="preserve"> og ondsindede formål</w:t>
            </w:r>
            <w:r>
              <w:rPr>
                <w:b/>
                <w:i/>
              </w:rPr>
              <w:t>, herunder enkeltpersoners brug heraf såsom Elon Musk til at påvirke den offentlige mening og sprede desinformation i Europa</w:t>
            </w:r>
            <w:r>
              <w:t>;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manipulering</w:t>
            </w:r>
            <w:r>
              <w:t xml:space="preserve"> og ondsindede formål;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w:t>
            </w:r>
            <w:r>
              <w:rPr>
                <w:b/>
                <w:i/>
              </w:rPr>
              <w:t>udenlandsk indblanding, navnlig brug af sociale medier til manipulation og ondsindede formål</w:t>
            </w:r>
            <w:r>
              <w:t xml:space="preserve">, herunder </w:t>
            </w:r>
            <w:r>
              <w:rPr>
                <w:b/>
                <w:i/>
              </w:rPr>
              <w:t>enkeltpersoners brug heraf såsom Elon Musk til at påvirke den offentlige mening og sprede</w:t>
            </w:r>
            <w:r>
              <w:t xml:space="preserve"> desinformation i Europa;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w:t>
            </w:r>
            <w:r>
              <w:rPr>
                <w:b/>
                <w:i/>
              </w:rPr>
              <w:t>og hurtigt griber ind over for udenlandsk indblanding</w:t>
            </w:r>
            <w:r>
              <w:t xml:space="preserve">, herunder </w:t>
            </w:r>
            <w:r>
              <w:rPr>
                <w:b/>
                <w:i/>
              </w:rPr>
              <w:t>brug af sociale medier til manipulering, ondsindede formål og spredning af</w:t>
            </w:r>
            <w:r>
              <w:t xml:space="preserve"> desinformation i Europa;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manipulation</w:t>
            </w:r>
            <w:r>
              <w:t xml:space="preserve"> og ondsindede formål, herunder enkeltpersoners </w:t>
            </w:r>
            <w:r>
              <w:rPr>
                <w:b/>
                <w:i/>
              </w:rPr>
              <w:t>brug heraf såsom Elon Musk</w:t>
            </w:r>
            <w:r>
              <w:t xml:space="preserve"> til at påvirke </w:t>
            </w:r>
            <w:r>
              <w:rPr>
                <w:b/>
                <w:i/>
              </w:rPr>
              <w:t>den offentlige mening</w:t>
            </w:r>
            <w:r>
              <w:t xml:space="preserve"> og sprede desinformation i Europa;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manipulering</w:t>
            </w:r>
            <w:r>
              <w:t xml:space="preserve"> og ondsindede formål, herunder enkeltpersoners </w:t>
            </w:r>
            <w:r>
              <w:rPr>
                <w:b/>
                <w:i/>
              </w:rPr>
              <w:t>(eksempelvis Elon Musks og Metas) brug af sociale medier</w:t>
            </w:r>
            <w:r>
              <w:t xml:space="preserve"> til at påvirke </w:t>
            </w:r>
            <w:r>
              <w:rPr>
                <w:b/>
                <w:i/>
              </w:rPr>
              <w:t>folkeopinionen</w:t>
            </w:r>
            <w:r>
              <w:t xml:space="preserve"> og sprede desinformation i Europa;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brug af sociale medier til </w:t>
            </w:r>
            <w:r>
              <w:rPr>
                <w:b/>
                <w:i/>
              </w:rPr>
              <w:t>manipulation</w:t>
            </w:r>
            <w:r>
              <w:t xml:space="preserve"> og ondsindede formål, herunder </w:t>
            </w:r>
            <w:r>
              <w:rPr>
                <w:b/>
                <w:i/>
              </w:rPr>
              <w:t>enkeltpersoners brug heraf såsom Elon Musk</w:t>
            </w:r>
            <w:r>
              <w:t xml:space="preserve"> til at påvirke </w:t>
            </w:r>
            <w:r>
              <w:rPr>
                <w:b/>
                <w:i/>
              </w:rPr>
              <w:t>den offentlige mening</w:t>
            </w:r>
            <w:r>
              <w:t xml:space="preserve"> og sprede desinformation i Europa; understreger, at Kommissionen skal sikre, at retsstatsprincippet gennemføres korrekt i EU-institutionerne, og opfordrer til, at EU-institutionerne inddrages i Kommissionens årlige evaluering af rapporten om retsstatssituationen;</w:t>
            </w:r>
          </w:p>
        </w:tc>
        <w:tc>
          <w:tcPr>
            <w:tcW w:w="4876" w:type="dxa"/>
            <w:tcBorders>
              <w:top w:val="nil"/>
              <w:left w:val="nil"/>
              <w:bottom w:val="nil"/>
              <w:right w:val="nil"/>
            </w:tcBorders>
          </w:tcPr>
          <w:p>
            <w:pPr>
              <w:pStyle w:val="Normal6a"/>
            </w:pPr>
            <w:r>
              <w:t>37.</w:t>
            </w:r>
            <w:r>
              <w:tab/>
            </w:r>
            <w:r>
              <w:t xml:space="preserve">anbefaler, at Kommissionen og medlemsstaterne overvåger udenlandsk indblanding, navnlig </w:t>
            </w:r>
            <w:r>
              <w:rPr>
                <w:b/>
                <w:i/>
              </w:rPr>
              <w:t>NGO'ers</w:t>
            </w:r>
            <w:r>
              <w:t xml:space="preserve"> brug af sociale medier til </w:t>
            </w:r>
            <w:r>
              <w:rPr>
                <w:b/>
                <w:i/>
              </w:rPr>
              <w:t>manipulering</w:t>
            </w:r>
            <w:r>
              <w:t xml:space="preserve"> og ondsindede formål, herunder </w:t>
            </w:r>
            <w:r>
              <w:rPr>
                <w:b/>
                <w:i/>
              </w:rPr>
              <w:t>NGO'ers brug af sociale medier</w:t>
            </w:r>
            <w:r>
              <w:t> til at påvirke </w:t>
            </w:r>
            <w:r>
              <w:rPr>
                <w:b/>
                <w:i/>
              </w:rPr>
              <w:t>folkeopinionen</w:t>
            </w:r>
            <w:r>
              <w:t> og sprede desinformation i Europa; 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opfordrer indtrængende Kommissionen til fuldt ud at kontrollere, at de kompetente nationale myndigheders fortegnelser over sikre oprindelseslande til enhver tid er i overensstemmelse med de demokratiske principper, og dermed overholdelsen af retsstatsprincippet, samt de kriterier, der er fastsat i EU-retten, og at de efterlever EU-Domstolens domme og overholder folkeretten;</w:t>
            </w:r>
            <w:r>
              <w:t xml:space="preserve"> </w:t>
            </w:r>
            <w:r>
              <w:rPr>
                <w:b/>
                <w:i/>
              </w:rPr>
              <w:t>understreger forpligtelsen i henhold til EU-retten og folkeretten til at yde international beskyttelse til personer, der bliver forfulgt og/eller udsat for alvorlig overlast på grund af race eller etnisk oprindelse, religion eller tro, nationalitet, politisk overbevisning, sprog, handicap, alder, køn, herunder kønsidentitet og kønsudtryk, eller seksuel orientering;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understreger vigtigheden af at beskytte den grundlæggende ret til ytringsfrihed, som er en grundpille i vores demokratiske samfund.</w:t>
            </w:r>
            <w:r>
              <w:t xml:space="preserve"> </w:t>
            </w:r>
            <w:r>
              <w:rPr>
                <w:b/>
                <w:i/>
              </w:rPr>
              <w:t>Kommissionen skal sikre korrekt anvendelse af EU's lovgivningsmæssige ramme for sociale medieplatforme for at beskytte denne ret i stedet for at muliggøre politisk pres, der kan kvæle en ærlig og åben debat.</w:t>
            </w:r>
            <w:r>
              <w:t xml:space="preserve"> </w:t>
            </w:r>
            <w:r>
              <w:rPr>
                <w:b/>
                <w:i/>
              </w:rPr>
              <w:t>Selv om sociale medieplatforme skal agere ansvarligt og overholde gældende regler, er det afgørende, at praksis for moderering af indhold ikke bliver et redskab til at udøvre politisk kontrol, censur eller manipulering.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opfordrer medlemsstaterne til at øge gennemsigtigheden og ansvarligheden i forbindelse med lobbyvirksomhed, herunder oprettelse eller forbedring af obligatoriske lobbyregistre og mekanismer med "lovgivningsmæssige fodaftryk" til sporing af indflydelse på lovgivningsprocesserne;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for Udvalget om Borgernes Rettigheder og Retlige og Indre Anliggender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understreger, at Kommissionen skal sikre, at retsstatsprincippet gennemføres korrekt i EU-institutionerne, og opfordrer til, at EU-institutionerne inddrages i Kommissionens årlige evaluering af rapporten om retsstatssituationen;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opfordrer Rådet til at vedtage en afgørelse om at medtage hadefuld tale og hadforbrydelser som strafbare handlinger på listen i henhold til artikel 83, stk. 1, i TEUF;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udtrykker bekymring over den stigende tendens til at udnytte forordninger, såsom forordningen om digitale tjenester, til at fremme politiske holdninger og visioner, som kan undergrave ytringsfriheden.</w:t>
            </w:r>
            <w:r>
              <w:t xml:space="preserve"> </w:t>
            </w:r>
            <w:r>
              <w:rPr>
                <w:b/>
                <w:i/>
              </w:rPr>
              <w:t>Sociale medieplatforme bør fortsat være fora, hvor man frit kan udveksle idéer uden frygt for politisk motiveret censur.</w:t>
            </w:r>
            <w:r>
              <w:t xml:space="preserve"> </w:t>
            </w:r>
            <w:r>
              <w:rPr>
                <w:b/>
                <w:i/>
              </w:rPr>
              <w:t>EU er nødt til fortsat at være årvågen og modsætte sig ethvert forsøg på at bruge moderering af indhold som våben til politiske formål, således at ytringsfriheden beskyttes;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opfordrer indtrængende Kommissionen til at fremlægge en fornyet LGBTQIA+-ligestillingsstrategi for perioden efter 2025, som fuldt ud tager fat på de aktuelle udfordringer i hele Europa og gør LGBTQIA+-rettigheder til en tværgående prioritet på tværs af alle politikområder;</w:t>
            </w:r>
            <w:r>
              <w:t xml:space="preserve"> </w:t>
            </w:r>
            <w:r>
              <w:rPr>
                <w:b/>
                <w:i/>
              </w:rPr>
              <w:t>understreger betydningen af LGBTQIA+-personers selvbestemmelse og anerkendelse af deres identitet og rettigheder uden aldersbegrænsning;</w:t>
            </w:r>
            <w:r>
              <w:t xml:space="preserve"> </w:t>
            </w:r>
            <w:r>
              <w:rPr>
                <w:b/>
                <w:i/>
              </w:rPr>
              <w:t>opfordrer til beskyttelse og fremme af LGBTQIA+-personers fysiske og mentale sundhed;</w:t>
            </w:r>
            <w:r>
              <w:t xml:space="preserve"> </w:t>
            </w:r>
            <w:r>
              <w:rPr>
                <w:b/>
                <w:i/>
              </w:rPr>
              <w:t>opfordrer indtrængende Kommissionen til at fremsætte lovgivningsforslag til bekæmpelse af hadforbrydelser og hadefuld tale på grund af kønsidentitet og seksuel orientering og til at garantere lige rettigheder for par af samme køn;</w:t>
            </w:r>
            <w:r>
              <w:t xml:space="preserve"> </w:t>
            </w:r>
            <w:r>
              <w:rPr>
                <w:b/>
                <w:i/>
              </w:rPr>
              <w:t>opfordrer indtrængende Kommissionen til at fremsætte forslag om et bindende EU-forbud mod såkaldt omvendelsesterapi i samtlige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37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opfordrer Kommissionen og medlemsstaterne til at bekæmpe forskelsbehandling på grund af race og etnisk oprindelse, religion eller tro, nationalitet, politisk overbevisning, sprog, handicap, alder, køn, herunder kønsidentitet og kønsudtryk, og seksuel orientering;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glæder sig over Kommissionens initiativ til at medtage Albanien, Montenegro, Nordmakedonien og Serbien i sin årlige rapport om retsstatssituationen og opfordrer til en tæt evaluering af retsstatsprincippet i disse tiltrædelseslande;</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glæder sig over Kommissionens initiativ til at medtage Albanien, Montenegro, Nordmakedonien og Serbien i sin årlige rapport om retsstatssituationen og opfordrer til en tæt evaluering af retsstatsprincippet i disse tiltrædelseslande;</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glæder sig over Kommissionens initiativ til at medtage Albanien, Montenegro, Nordmakedonien og Serbien i sin årlige rapport om retsstatssituationen og opfordrer til </w:t>
            </w:r>
            <w:r>
              <w:rPr>
                <w:b/>
                <w:i/>
              </w:rPr>
              <w:t>en tæt evaluering af retsstatsprincippet</w:t>
            </w:r>
            <w:r>
              <w:t xml:space="preserve"> i disse tiltrædelseslande;</w:t>
            </w:r>
          </w:p>
        </w:tc>
        <w:tc>
          <w:tcPr>
            <w:tcW w:w="4876" w:type="dxa"/>
            <w:tcBorders>
              <w:top w:val="nil"/>
              <w:left w:val="nil"/>
              <w:bottom w:val="nil"/>
              <w:right w:val="nil"/>
            </w:tcBorders>
          </w:tcPr>
          <w:p>
            <w:pPr>
              <w:pStyle w:val="Normal6a"/>
            </w:pPr>
            <w:r>
              <w:t>38.</w:t>
            </w:r>
            <w:r>
              <w:tab/>
            </w:r>
            <w:r>
              <w:t>glæder sig over</w:t>
            </w:r>
            <w:r>
              <w:rPr>
                <w:b/>
                <w:i/>
              </w:rPr>
              <w:t>, at Kommissionens rapport om retsstatssituationen er blevet udvidet til også at omfatte kandidatlande, hvilket understreger, at EU's grundlæggende værdier ikke kun skal respekteres af de nuværende medlemsstater, men også af fremtidige medlemmer under tiltrædelsesprocessen;</w:t>
            </w:r>
            <w:r>
              <w:t xml:space="preserve"> </w:t>
            </w:r>
            <w:r>
              <w:rPr>
                <w:b/>
                <w:i/>
              </w:rPr>
              <w:t>glæder sig over</w:t>
            </w:r>
            <w:r>
              <w:t xml:space="preserve"> Kommissionens initiativ til at medtage Albanien, Montenegro, Nordmakedonien og Serbien i sin årlige rapport om retsstatssituationen og opfordrer til </w:t>
            </w:r>
            <w:r>
              <w:rPr>
                <w:b/>
                <w:i/>
              </w:rPr>
              <w:t>nøje at evaluere retsstatssituationen</w:t>
            </w:r>
            <w:r>
              <w:t xml:space="preserve"> i disse tiltrædelseslande; </w:t>
            </w:r>
            <w:r>
              <w:rPr>
                <w:b/>
                <w:i/>
              </w:rPr>
              <w:t>forventer, at Kommissionen medtager alle kandidatlandene i sin rapport om retsstatssituationen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for Udvalget om Borgernes Rettigheder og Retlige og Indre Anliggender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glæder sig over Kommissionens initiativ til at medtage Albanien, Montenegro, Nordmakedonien og Serbien i sin årlige rapport om retsstatssituationen og opfordrer til </w:t>
            </w:r>
            <w:r>
              <w:rPr>
                <w:b/>
                <w:i/>
              </w:rPr>
              <w:t>en tæt evaluering af retsstatsprincippet</w:t>
            </w:r>
            <w:r>
              <w:t xml:space="preserve"> i disse tiltrædelseslande;</w:t>
            </w:r>
          </w:p>
        </w:tc>
        <w:tc>
          <w:tcPr>
            <w:tcW w:w="4876" w:type="dxa"/>
            <w:tcBorders>
              <w:top w:val="nil"/>
              <w:left w:val="nil"/>
              <w:bottom w:val="nil"/>
              <w:right w:val="nil"/>
            </w:tcBorders>
          </w:tcPr>
          <w:p>
            <w:pPr>
              <w:pStyle w:val="Normal6a"/>
            </w:pPr>
            <w:r>
              <w:t>38.</w:t>
            </w:r>
            <w:r>
              <w:tab/>
            </w:r>
            <w:r>
              <w:t xml:space="preserve">glæder sig over Kommissionens initiativ til at medtage Albanien, Montenegro, Nordmakedonien og Serbien i sin årlige rapport om retsstatssituationen og opfordrer til </w:t>
            </w:r>
            <w:r>
              <w:rPr>
                <w:b/>
                <w:i/>
              </w:rPr>
              <w:t>nøje at evaluere retsstatssituationen</w:t>
            </w:r>
            <w:r>
              <w:t> i disse tiltrædelseslande;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glæder sig over</w:t>
            </w:r>
            <w:r>
              <w:t xml:space="preserve"> Kommissionens initiativ til at medtage Albanien, Montenegro, Nordmakedonien og Serbien i sin årlige rapport om retsstatssituationen og opfordrer til </w:t>
            </w:r>
            <w:r>
              <w:rPr>
                <w:b/>
                <w:i/>
              </w:rPr>
              <w:t>en tæt evaluering af retsstatsprincippet</w:t>
            </w:r>
            <w:r>
              <w:t xml:space="preserve"> i disse tiltrædelseslande;</w:t>
            </w:r>
          </w:p>
        </w:tc>
        <w:tc>
          <w:tcPr>
            <w:tcW w:w="4876" w:type="dxa"/>
            <w:tcBorders>
              <w:top w:val="nil"/>
              <w:left w:val="nil"/>
              <w:bottom w:val="nil"/>
              <w:right w:val="nil"/>
            </w:tcBorders>
          </w:tcPr>
          <w:p>
            <w:pPr>
              <w:pStyle w:val="Normal6a"/>
            </w:pPr>
            <w:r>
              <w:t>38.</w:t>
            </w:r>
            <w:r>
              <w:tab/>
            </w:r>
            <w:r>
              <w:rPr>
                <w:b/>
                <w:i/>
              </w:rPr>
              <w:t>noterer sig</w:t>
            </w:r>
            <w:r>
              <w:t xml:space="preserve"> Kommissionens initiativ til at medtage Albanien, Montenegro, Nordmakedonien og Serbien i sin årlige rapport om retsstatssituationen og opfordrer til </w:t>
            </w:r>
            <w:r>
              <w:rPr>
                <w:b/>
                <w:i/>
              </w:rPr>
              <w:t>nøje at evaluere retsstatssituationen</w:t>
            </w:r>
            <w:r>
              <w:t> i disse tiltrædelseslande;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glæder sig over Kommissionens initiativ til at medtage Albanien, Montenegro, Nordmakedonien og Serbien i sin årlige rapport om retsstatssituationen og opfordrer til </w:t>
            </w:r>
            <w:r>
              <w:rPr>
                <w:b/>
                <w:i/>
              </w:rPr>
              <w:t>en tæt evaluering af retsstatsprincippet i disse tiltrædelseslande</w:t>
            </w:r>
            <w:r>
              <w:t>;</w:t>
            </w:r>
          </w:p>
        </w:tc>
        <w:tc>
          <w:tcPr>
            <w:tcW w:w="4876" w:type="dxa"/>
            <w:tcBorders>
              <w:top w:val="nil"/>
              <w:left w:val="nil"/>
              <w:bottom w:val="nil"/>
              <w:right w:val="nil"/>
            </w:tcBorders>
          </w:tcPr>
          <w:p>
            <w:pPr>
              <w:pStyle w:val="Normal6a"/>
            </w:pPr>
            <w:r>
              <w:t>38.</w:t>
            </w:r>
            <w:r>
              <w:tab/>
            </w:r>
            <w:r>
              <w:t xml:space="preserve">glæder sig over Kommissionens initiativ til at medtage Albanien, Montenegro, Nordmakedonien og Serbien i sin årlige rapport om retsstatssituationen og opfordrer til </w:t>
            </w:r>
            <w:r>
              <w:rPr>
                <w:b/>
                <w:i/>
              </w:rPr>
              <w:t>nøje at evaluere retsstatssituationen i alle landene på Vestbalkan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glæder sig over Kommissionens initiativ til at medtage Albanien, Montenegro, </w:t>
            </w:r>
            <w:r>
              <w:rPr>
                <w:b/>
                <w:i/>
              </w:rPr>
              <w:t>Nordmakedonien</w:t>
            </w:r>
            <w:r>
              <w:t xml:space="preserve"> og Serbien i sin årlige rapport om retsstatssituationen og opfordrer til </w:t>
            </w:r>
            <w:r>
              <w:rPr>
                <w:b/>
                <w:i/>
              </w:rPr>
              <w:t>en tæt evaluering af retsstatsprincippet</w:t>
            </w:r>
            <w:r>
              <w:t xml:space="preserve"> i disse </w:t>
            </w:r>
            <w:r>
              <w:rPr>
                <w:b/>
                <w:i/>
              </w:rPr>
              <w:t>tiltrædelseslande</w:t>
            </w:r>
            <w:r>
              <w:t>;</w:t>
            </w:r>
          </w:p>
        </w:tc>
        <w:tc>
          <w:tcPr>
            <w:tcW w:w="4876" w:type="dxa"/>
            <w:tcBorders>
              <w:top w:val="nil"/>
              <w:left w:val="nil"/>
              <w:bottom w:val="nil"/>
              <w:right w:val="nil"/>
            </w:tcBorders>
          </w:tcPr>
          <w:p>
            <w:pPr>
              <w:pStyle w:val="Normal6a"/>
            </w:pPr>
            <w:r>
              <w:t>38.</w:t>
            </w:r>
            <w:r>
              <w:tab/>
            </w:r>
            <w:r>
              <w:t xml:space="preserve">glæder sig over Kommissionens initiativ til at medtage Albanien, Montenegro, </w:t>
            </w:r>
            <w:r>
              <w:rPr>
                <w:b/>
                <w:i/>
              </w:rPr>
              <w:t>Skopje</w:t>
            </w:r>
            <w:r>
              <w:t xml:space="preserve"> og Serbien i sin årlige rapport om retsstatssituationen og opfordrer til </w:t>
            </w:r>
            <w:r>
              <w:rPr>
                <w:b/>
                <w:i/>
              </w:rPr>
              <w:t>nøje at evaluere retsstatssituationen</w:t>
            </w:r>
            <w:r>
              <w:t xml:space="preserve"> i disse </w:t>
            </w:r>
            <w:r>
              <w:rPr>
                <w:b/>
                <w:i/>
              </w:rPr>
              <w:t>lande, hvis medlemskab er under overvejelse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pålægger sin formand at sende denne beslutning til Rådet </w:t>
            </w:r>
            <w:r>
              <w:rPr>
                <w:b/>
                <w:i/>
              </w:rPr>
              <w:t>og Kommissionen</w:t>
            </w:r>
            <w:r>
              <w:t>.</w:t>
            </w:r>
          </w:p>
        </w:tc>
        <w:tc>
          <w:tcPr>
            <w:tcW w:w="4876" w:type="dxa"/>
            <w:tcBorders>
              <w:top w:val="nil"/>
              <w:left w:val="nil"/>
              <w:bottom w:val="nil"/>
              <w:right w:val="nil"/>
            </w:tcBorders>
          </w:tcPr>
          <w:p>
            <w:pPr>
              <w:pStyle w:val="Normal6a"/>
            </w:pPr>
            <w:r>
              <w:t>39.</w:t>
            </w:r>
            <w:r>
              <w:tab/>
            </w:r>
            <w:r>
              <w:t>pålægger sin formand at sende denne beslutning til Rådet</w:t>
            </w:r>
            <w:r>
              <w:rPr>
                <w:b/>
                <w:i/>
              </w:rPr>
              <w:t>, Kommissionen, Den Europæiske Unions Agentur for Grundlæggende Rettigheder, Europarådet samt til medlemsstaternes regeringer og parlamenter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pålægger sin formand at sende denne beslutning til Rådet </w:t>
            </w:r>
            <w:r>
              <w:rPr>
                <w:b/>
                <w:i/>
              </w:rPr>
              <w:t>og Kommissionen</w:t>
            </w:r>
            <w:r>
              <w:t>.</w:t>
            </w:r>
          </w:p>
        </w:tc>
        <w:tc>
          <w:tcPr>
            <w:tcW w:w="4876" w:type="dxa"/>
            <w:tcBorders>
              <w:top w:val="nil"/>
              <w:left w:val="nil"/>
              <w:bottom w:val="nil"/>
              <w:right w:val="nil"/>
            </w:tcBorders>
          </w:tcPr>
          <w:p>
            <w:pPr>
              <w:pStyle w:val="Normal6a"/>
            </w:pPr>
            <w:r>
              <w:t>39.</w:t>
            </w:r>
            <w:r>
              <w:tab/>
            </w:r>
            <w:r>
              <w:t>pålægger sin formand at sende denne beslutning til Rådet</w:t>
            </w:r>
            <w:r>
              <w:rPr>
                <w:b/>
                <w:i/>
              </w:rPr>
              <w:t>, Kommissionen og medlemsstaterne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AM\1315576DA.docx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AM\1315576DA.docx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AM\1315576DA.docx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9711</Words>
  <Characters>66047</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148416</vt:lpwstr>
  </property>
  <property fmtid="{D5CDD505-2E9C-101B-9397-08002B2CF9AE}" pid="7" name="dmxml.render.traceId">
    <vt:lpwstr>67dbd2cb9823135d3f6705d7d5ece6d2</vt:lpwstr>
  </property>
  <property fmtid="{D5CDD505-2E9C-101B-9397-08002B2CF9AE}" pid="8" name="FooterPath">
    <vt:lpwstr>AM\1315576DA.docx</vt:lpwstr>
  </property>
  <property fmtid="{D5CDD505-2E9C-101B-9397-08002B2CF9AE}" pid="9" name="PE Number">
    <vt:lpwstr>769.959</vt:lpwstr>
  </property>
  <property fmtid="{D5CDD505-2E9C-101B-9397-08002B2CF9AE}" pid="10" name="UID">
    <vt:lpwstr>eu.europa.europarl-DIN1-2025-0000027564_02.00-da-01.00_text-xml</vt:lpwstr>
  </property>
</Properties>
</file>