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Έκθεση της Επιτροπής του 2024 για το κράτος δικαίου</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w:t>
            </w:r>
          </w:p>
        </w:tc>
        <w:tc>
          <w:tcPr>
            <w:tcW w:w="4876" w:type="dxa"/>
            <w:tcBorders>
              <w:top w:val="nil"/>
              <w:left w:val="nil"/>
              <w:bottom w:val="nil"/>
              <w:right w:val="nil"/>
            </w:tcBorders>
          </w:tcPr>
          <w:p>
            <w:pPr>
              <w:pStyle w:val="Normal6a"/>
            </w:pPr>
            <w:r>
              <w:t>33.</w:t>
            </w:r>
            <w:r>
              <w:tab/>
            </w:r>
            <w:r>
              <w:t>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w:t>
            </w:r>
            <w:r>
              <w:rPr>
                <w:b/>
                <w:i/>
              </w:rPr>
              <w:t>, όπως κατοχυρώνεται στο άρθρο 21 του Χάρτη των Θεμελιωδών Δικαιωμάτων της Ευρωπαϊκής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καλεί επιτακτικά την Επιτροπή να εισαγάγει έναν νέο πυλώνα στην ετήσια έκθεση για το κράτος δικαίου </w:t>
            </w:r>
            <w:r>
              <w:rPr>
                <w:b/>
                <w:i/>
              </w:rPr>
              <w:t>που να εστιάζει στην καταπολέμηση</w:t>
            </w:r>
            <w:r>
              <w:t xml:space="preserve"> κάθε μορφής διακρίσεων·</w:t>
            </w:r>
          </w:p>
        </w:tc>
        <w:tc>
          <w:tcPr>
            <w:tcW w:w="4876" w:type="dxa"/>
            <w:tcBorders>
              <w:top w:val="nil"/>
              <w:left w:val="nil"/>
              <w:bottom w:val="nil"/>
              <w:right w:val="nil"/>
            </w:tcBorders>
          </w:tcPr>
          <w:p>
            <w:pPr>
              <w:pStyle w:val="Normal6a"/>
            </w:pPr>
            <w:r>
              <w:t>33.</w:t>
            </w:r>
            <w:r>
              <w:tab/>
            </w:r>
            <w:r>
              <w:t xml:space="preserve">καλεί επιτακτικά την Επιτροπή να </w:t>
            </w:r>
            <w:r>
              <w:rPr>
                <w:b/>
                <w:i/>
              </w:rPr>
              <w:t>μην</w:t>
            </w:r>
            <w:r>
              <w:t xml:space="preserve"> εισαγάγει έναν νέο πυλώνα στην ετήσια έκθεση για το κράτος δικαίου</w:t>
            </w:r>
            <w:r>
              <w:rPr>
                <w:b/>
                <w:i/>
              </w:rPr>
              <w:t>, συμπεριλαμβανομένης της καταπολέμησης</w:t>
            </w:r>
            <w:r>
              <w:t xml:space="preserve"> κάθε μορφής διακρίσεων·</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w:t>
            </w:r>
          </w:p>
        </w:tc>
        <w:tc>
          <w:tcPr>
            <w:tcW w:w="4876" w:type="dxa"/>
            <w:tcBorders>
              <w:top w:val="nil"/>
              <w:left w:val="nil"/>
              <w:bottom w:val="nil"/>
              <w:right w:val="nil"/>
            </w:tcBorders>
          </w:tcPr>
          <w:p>
            <w:pPr>
              <w:pStyle w:val="Normal6a"/>
            </w:pPr>
            <w:r>
              <w:t>33.</w:t>
            </w:r>
            <w:r>
              <w:tab/>
            </w:r>
            <w:r>
              <w:t xml:space="preserve">καλεί επιτακτικά την Επιτροπή να εισαγάγει έναν νέο πυλώνα στην ετήσια έκθεση για το κράτος δικαίου που να εστιάζει στην καταπολέμηση κάθε μορφής διακρίσεων </w:t>
            </w:r>
            <w:r>
              <w:rPr>
                <w:b/>
                <w:i/>
              </w:rPr>
              <w:t>και μίσους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καλεί επιτακτικά την Επιτροπή να εισαγάγει έναν νέο πυλώνα στην ετήσια έκθεση για το κράτος δικαίου που να εστιάζει στην καταπολέμηση </w:t>
            </w:r>
            <w:r>
              <w:rPr>
                <w:b/>
                <w:i/>
              </w:rPr>
              <w:t>κάθε μορφής διακρίσεων</w:t>
            </w:r>
            <w:r>
              <w:t>·</w:t>
            </w:r>
          </w:p>
        </w:tc>
        <w:tc>
          <w:tcPr>
            <w:tcW w:w="4876" w:type="dxa"/>
            <w:tcBorders>
              <w:top w:val="nil"/>
              <w:left w:val="nil"/>
              <w:bottom w:val="nil"/>
              <w:right w:val="nil"/>
            </w:tcBorders>
          </w:tcPr>
          <w:p>
            <w:pPr>
              <w:pStyle w:val="Normal6a"/>
            </w:pPr>
            <w:r>
              <w:t>33.</w:t>
            </w:r>
            <w:r>
              <w:tab/>
            </w:r>
            <w:r>
              <w:t xml:space="preserve">καλεί επιτακτικά την Επιτροπή να εισαγάγει έναν νέο πυλώνα στην ετήσια έκθεση για το κράτος δικαίου που να εστιάζει στην καταπολέμηση </w:t>
            </w:r>
            <w:r>
              <w:rPr>
                <w:b/>
                <w:i/>
              </w:rPr>
              <w:t>της λογοκρισίας των μέσων ενημέρωσης και του διαδικτυακού περιεχομένου</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α.</w:t>
            </w:r>
            <w:r>
              <w:tab/>
            </w:r>
            <w:r>
              <w:rPr>
                <w:b/>
                <w:i/>
              </w:rPr>
              <w:t>καλεί τα κράτη μέλη να εφαρμόσουν το σύμφωνο για τη μετανάστευση και το άσυλο σύμφωνα με τις αρχές που κατοχυρώνονται στις Συνθήκες και στον Χάρτη των Θεμελιωδών Δικαιωμάτων της ΕΕ και στο διεθνές δίκαιο·</w:t>
            </w:r>
            <w:r>
              <w:t xml:space="preserve"> </w:t>
            </w:r>
            <w:r>
              <w:rPr>
                <w:b/>
                <w:i/>
              </w:rPr>
              <w:t>καλεί τα κράτη μέλη να διασφαλίσουν ότι οι υπήκοοι τρίτων χωρών απολαμβάνουν ίσα δικαιώματα, ίση και ανθρώπινη μεταχείριση, καθώς και δίκαιη πρόσβαση σε διαδικασίες διεθνούς προστασίας σε πλήρη συμμόρφωση με το διεθνές δίκαιο και την αρχή της μη επαναπροώθησης·</w:t>
            </w:r>
            <w:r>
              <w:t xml:space="preserve"> </w:t>
            </w:r>
            <w:r>
              <w:rPr>
                <w:b/>
                <w:i/>
              </w:rPr>
              <w:t>καλεί την Επιτροπή να διασφαλίσει ότι σε καμία περίπτωση η ανάθεση σε τρίτους και η εξωεδαφική διαχείριση της μετανάστευσης, όπως οι διμερείς συμφωνίες των κρατών μελών με τρίτες χώρες, δεν υπονομεύουν αυτές τις αρχές και τα κριτήρια που ορίζονται στη νομοθεσία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α.</w:t>
            </w:r>
            <w:r>
              <w:tab/>
            </w:r>
            <w:r>
              <w:rPr>
                <w:b/>
                <w:i/>
              </w:rPr>
              <w:t>καλεί την Επιτροπή να επανεξετάσει τη θέση της σχετικά με την πρωτοβουλία Minority SafePack και να προτείνει νομοθετικές πρωτοβουλίες για τη διασφάλιση της προώθησης των δικαιωμάτων των μειονοτήτων και των γλωσσικών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b/>
                <w:i/>
                <w:vertAlign w:val="superscript"/>
              </w:rPr>
              <w:t>48</w:t>
            </w:r>
            <w:r>
              <w:rPr>
                <w:b/>
                <w:i/>
              </w:rPr>
              <w:t>·</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Ουγγρική Επιτροπή του Ελσίνκι, Disregard for EU values:</w:t>
            </w:r>
            <w:r>
              <w:t xml:space="preserve"> </w:t>
            </w:r>
            <w:r>
              <w:rPr>
                <w:b/>
                <w:i/>
              </w:rPr>
              <w:t>a snapshot of RoL issues in Hungary in light of the Article 7 procedure [Περιφρόνηση των ενωσιακών αξιών:</w:t>
            </w:r>
            <w:r>
              <w:t xml:space="preserve"> </w:t>
            </w:r>
            <w:r>
              <w:rPr>
                <w:b/>
                <w:i/>
              </w:rPr>
              <w:t>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b/>
                <w:i/>
                <w:vertAlign w:val="superscript"/>
              </w:rPr>
              <w:t>48</w:t>
            </w:r>
            <w:r>
              <w:rPr>
                <w:b/>
                <w:i/>
              </w:rPr>
              <w:t>·</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Ουγγρική Επιτροπή του Ελσίνκι, Disregard for EU values:</w:t>
            </w:r>
            <w:r>
              <w:t xml:space="preserve"> </w:t>
            </w:r>
            <w:r>
              <w:rPr>
                <w:b/>
                <w:i/>
              </w:rPr>
              <w:t>a snapshot of RoL issues in Hungary in light of the Article 7 procedure [Περιφρόνηση των ενωσιακών αξιών:</w:t>
            </w:r>
            <w:r>
              <w:t xml:space="preserve"> </w:t>
            </w:r>
            <w:r>
              <w:rPr>
                <w:b/>
                <w:i/>
              </w:rPr>
              <w:t>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b/>
                <w:i/>
                <w:vertAlign w:val="superscript"/>
              </w:rPr>
              <w:t>48</w:t>
            </w:r>
            <w:r>
              <w:rPr>
                <w:b/>
                <w:i/>
              </w:rPr>
              <w:t>·</w:t>
            </w:r>
          </w:p>
        </w:tc>
        <w:tc>
          <w:tcPr>
            <w:tcW w:w="4876" w:type="dxa"/>
            <w:tcBorders>
              <w:top w:val="nil"/>
              <w:left w:val="nil"/>
              <w:bottom w:val="nil"/>
              <w:right w:val="nil"/>
            </w:tcBorders>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Ουγγρική Επιτροπή του Ελσίνκι, Disregard for EU values:</w:t>
            </w:r>
            <w:r>
              <w:t xml:space="preserve"> </w:t>
            </w:r>
            <w:r>
              <w:rPr>
                <w:b/>
                <w:i/>
              </w:rPr>
              <w:t>a snapshot of RoL issues in Hungary in light of the Article 7 procedure [Περιφρόνηση των ενωσιακών αξιών:</w:t>
            </w:r>
            <w:r>
              <w:t xml:space="preserve"> </w:t>
            </w:r>
            <w:r>
              <w:rPr>
                <w:b/>
                <w:i/>
              </w:rPr>
              <w:t>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w:t>
            </w:r>
            <w:r>
              <w:rPr>
                <w:b/>
                <w:i/>
              </w:rPr>
              <w:t>γενικός</w:t>
            </w:r>
            <w:r>
              <w:t xml:space="preserve"> μηχανισμός αιρεσιμότητας και οι διαδικασίες επί παραβάσει</w:t>
            </w:r>
            <w:r>
              <w:rPr>
                <w:b/>
                <w:i/>
                <w:vertAlign w:val="superscript"/>
              </w:rPr>
              <w:t>48</w:t>
            </w:r>
            <w:r>
              <w:t>·</w:t>
            </w:r>
          </w:p>
        </w:tc>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μηχανισμός αιρεσιμότητας </w:t>
            </w:r>
            <w:r>
              <w:rPr>
                <w:b/>
                <w:i/>
              </w:rPr>
              <w:t>για το κράτος δικαίου και άλλες διαδικασίες του προϋπολογισμού, καθώς</w:t>
            </w:r>
            <w:r>
              <w:t xml:space="preserve"> και οι διαδικασίες επί παραβάσει</w:t>
            </w:r>
            <w:r>
              <w:rPr>
                <w:b/>
                <w:i/>
              </w:rPr>
              <w:t>·</w:t>
            </w:r>
            <w:r>
              <w:t xml:space="preserve"> </w:t>
            </w:r>
            <w:r>
              <w:rPr>
                <w:b/>
                <w:i/>
              </w:rPr>
              <w:t>καλεί την Επιτροπή να προσφεύγει συστηματικά σε ταχείες διαδικασίες και αιτήσεις λήψης προσωρινών μέτρων ενώπιον του ΔΕΕ σε διαδικασίες επί παραβάσει·</w:t>
            </w:r>
            <w:r>
              <w:t xml:space="preserve"> </w:t>
            </w:r>
            <w:r>
              <w:rPr>
                <w:b/>
                <w:i/>
              </w:rPr>
              <w:t>καλεί την Επιτροπή να μην χρησιμοποιεί τον «διάλογο» με τα κράτη μέλη ή την «πιλοτική» διαδικασία ως μέσο ανοικτού τύπου για να αποφεύγει την κίνηση πραγματικών διαδικασιών επί παραβάσει· καλεί την Επιτροπή να αναθεωρήσει την πολιτική της, η οποία περιγράφεται στην ανακοίνωσή της του 2022 για την επιβολή του δικαίου της ΕΕ και η οποία συνίσταται στη μη χρησιμοποίηση διαδικασιών επί παραβάσει για «ατομική» έννομη προστασία, καθώς η πολιτική αυτή έχει οδηγήσει σε σοβαρή στέρηση των δικαιωμάτων των πολιτών σε ολόκληρη την ΕΕ, ιδίως όταν οι κυβερνήσεις τους αρνούνται να συμμορφωθούν με το δίκαιο της ΕΕ ή τις αποφάσεις του ΔΕΕ, δεδομένου ότι οι περισσότερες από τις υποθέσεις αυτές δεν είναι μόνον ατομικές αλλά αφορούν στρατηγικά και θεμελιώδη ζητήματα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Ουγγρική Επιτροπή του Ελσίνκι, Disregard for EU values:</w:t>
            </w:r>
            <w:r>
              <w:t xml:space="preserve"> </w:t>
            </w:r>
            <w:r>
              <w:rPr>
                <w:b/>
                <w:i/>
              </w:rPr>
              <w:t>a snapshot of RoL issues in Hungary in light of the Article 7 procedure [Περιφρόνηση των ενωσιακών αξιών:</w:t>
            </w:r>
            <w:r>
              <w:t xml:space="preserve"> </w:t>
            </w:r>
            <w:r>
              <w:rPr>
                <w:b/>
                <w:i/>
              </w:rPr>
              <w:t>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επαναλαμβάνει την έκκλησή του προς</w:t>
            </w:r>
            <w:r>
              <w:t xml:space="preserve"> την Επιτροπή να </w:t>
            </w:r>
            <w:r>
              <w:rPr>
                <w:b/>
                <w:i/>
              </w:rPr>
              <w:t>ενσωματώσει περαιτέρω εργαλεία αντίδρασης στην έκθεση</w:t>
            </w:r>
            <w:r>
              <w:t xml:space="preserve"> για το </w:t>
            </w:r>
            <w:r>
              <w:rPr>
                <w:b/>
                <w:i/>
              </w:rPr>
              <w:t>κράτος δικαίου, όπως οι διαδικασίες του άρθρου 7 ΣΕΕ, ο γενικός μηχανισμός αιρεσιμότητας και οι διαδικασίες επί παραβάσει</w:t>
            </w:r>
            <w:r>
              <w:rPr>
                <w:b/>
                <w:i/>
                <w:vertAlign w:val="superscript"/>
              </w:rPr>
              <w:t>48</w:t>
            </w:r>
            <w:r>
              <w:t>·</w:t>
            </w:r>
          </w:p>
        </w:tc>
        <w:tc>
          <w:tcPr>
            <w:tcW w:w="4876" w:type="dxa"/>
            <w:tcBorders>
              <w:top w:val="nil"/>
              <w:left w:val="nil"/>
              <w:bottom w:val="nil"/>
              <w:right w:val="nil"/>
            </w:tcBorders>
          </w:tcPr>
          <w:p>
            <w:pPr>
              <w:pStyle w:val="Normal6a"/>
            </w:pPr>
            <w:r>
              <w:t>34.</w:t>
            </w:r>
            <w:r>
              <w:tab/>
            </w:r>
            <w:r>
              <w:rPr>
                <w:b/>
                <w:i/>
              </w:rPr>
              <w:t>εκφράζει τη βαθιά του ανησυχία για την κατάσταση του κράτους δικαίου εντός των ευρωπαϊκών θεσμικών οργάνων·</w:t>
            </w:r>
            <w:r>
              <w:t xml:space="preserve"> </w:t>
            </w:r>
            <w:r>
              <w:rPr>
                <w:b/>
                <w:i/>
              </w:rPr>
              <w:t>καλεί</w:t>
            </w:r>
            <w:r>
              <w:t xml:space="preserve"> την Επιτροπή να </w:t>
            </w:r>
            <w:r>
              <w:rPr>
                <w:b/>
                <w:i/>
              </w:rPr>
              <w:t>διερευνήσει τις αυξανόμενες παραβιάσεις του κράτους δικαίου σε αυτά τα θεσμικά όργανα·</w:t>
            </w:r>
            <w:r>
              <w:t xml:space="preserve"> </w:t>
            </w:r>
            <w:r>
              <w:rPr>
                <w:b/>
                <w:i/>
              </w:rPr>
              <w:t>σημειώνει με βαθιά ανησυχία την εικαζόμενη συμμετοχή του πρώην Επιτρόπου Δικαιοσύνης, Didier Reynders, σε ένα σύστημα νομιμοποίησης εσόδων από παράνομες δραστηριότητες·</w:t>
            </w:r>
            <w:r>
              <w:t xml:space="preserve"> </w:t>
            </w:r>
            <w:r>
              <w:rPr>
                <w:b/>
                <w:i/>
              </w:rPr>
              <w:t>εκφράζει την έντονη ανησυχία του</w:t>
            </w:r>
            <w:r>
              <w:t xml:space="preserve"> για το </w:t>
            </w:r>
            <w:r>
              <w:rPr>
                <w:b/>
                <w:i/>
              </w:rPr>
              <w:t>γεγονός ότι ένας Επίτροπος Δικαιοσύνης, ο οποίος φέρεται να νομιμοποίησε πάνω από 1 εκατομμύριο EUR αγοράζοντας λαχεία, ήταν υπεύθυνος για την προάσπιση του κράτους δικαίου στην Ευρωπαϊκή Ένωση·</w:t>
            </w:r>
            <w:r>
              <w:t xml:space="preserve"> </w:t>
            </w:r>
            <w:r>
              <w:rPr>
                <w:b/>
                <w:i/>
              </w:rPr>
              <w:t>τονίζει ότι ήδη το 2019, ως ορισθείς επίτροπος, ο Didier Reynders είχε κατηγορηθεί από τις βελγικές αρχές για νομιμοποίηση εσόδων από παράνομες δραστηριότητες και διαφθορά·</w:t>
            </w:r>
            <w:r>
              <w:t xml:space="preserve"> </w:t>
            </w:r>
            <w:r>
              <w:rPr>
                <w:b/>
                <w:i/>
              </w:rPr>
              <w:t>καλεί την Επιτροπή να εξηγήσει πώς ο Didier Reynders κατείχε το χαρτοφυλάκιο Δικαιοσύνης κατά την 9η θητεία παρά τους σοβαρούς ισχυρισμούς</w:t>
            </w:r>
            <w:r>
              <w:t xml:space="preserve">· </w:t>
            </w:r>
            <w:r>
              <w:rPr>
                <w:b/>
                <w:i/>
              </w:rPr>
              <w:t>επαναλαμβάνει ότι η έκθεση αυτή δεν μπορεί να χρησιμεύσει ως βάση για τυχόν περαιτέρω μηχανισμούς και διαδικασίες της ΕΕ·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Ουγγρική Επιτροπή του Ελσίνκι, Disregard for EU values:</w:t>
            </w:r>
            <w:r>
              <w:t xml:space="preserve"> </w:t>
            </w:r>
            <w:r>
              <w:rPr>
                <w:b/>
                <w:i/>
              </w:rPr>
              <w:t>a snapshot of RoL issues in Hungary in light of the Article 7 procedure [Περιφρόνηση των ενωσιακών αξιών:</w:t>
            </w:r>
            <w:r>
              <w:t xml:space="preserve"> </w:t>
            </w:r>
            <w:r>
              <w:rPr>
                <w:b/>
                <w:i/>
              </w:rPr>
              <w:t>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επαναλαμβάνει την έκκλησή του προς την Επιτροπή να ενσωματώσει</w:t>
            </w:r>
            <w:r>
              <w:t xml:space="preserve">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vertAlign w:val="superscript"/>
              </w:rPr>
              <w:t>48</w:t>
            </w:r>
            <w:r>
              <w:t>·</w:t>
            </w:r>
          </w:p>
        </w:tc>
        <w:tc>
          <w:tcPr>
            <w:tcW w:w="4876" w:type="dxa"/>
            <w:tcBorders>
              <w:top w:val="nil"/>
              <w:left w:val="nil"/>
              <w:bottom w:val="nil"/>
              <w:right w:val="nil"/>
            </w:tcBorders>
          </w:tcPr>
          <w:p>
            <w:pPr>
              <w:pStyle w:val="Normal6a"/>
            </w:pPr>
            <w:r>
              <w:t>34.</w:t>
            </w:r>
            <w:r>
              <w:tab/>
            </w:r>
            <w:r>
              <w:rPr>
                <w:b/>
                <w:i/>
              </w:rPr>
              <w:t>καλεί την Επιτροπή να αξιολογήσει κατά πόσον είναι σκόπιμο να ενσωματώνει</w:t>
            </w:r>
            <w:r>
              <w:t xml:space="preserve">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vertAlign w:val="superscript"/>
              </w:rPr>
              <w:t>48</w:t>
            </w:r>
            <w:r>
              <w:rPr>
                <w:b/>
                <w:i/>
              </w:rPr>
              <w:t>, δεδομένου ότι έχουν χρησιμοποιηθεί με σκανδαλώδη πολιτικό τρόπο, με την Πολωνία να αποτελεί το καλύτερο παράδειγμα, καθώς, μετά την αλλαγή σε μία κυβέρνηση ευνοϊκή για τις Βρυξέλλες και το Βερολίνο, σταμάτησε κάθε κριτική και διακόπηκε η διαδικασία του άρθρου 7 ΣΕΕ, χωρίς νομοθετικές αλλαγές και παρά την ανοικτή παραβίαση των συνταγματικών αρχών του κράτους</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vertAlign w:val="superscript"/>
              </w:rPr>
              <w:t>48</w:t>
            </w:r>
            <w:r>
              <w:t>·</w:t>
            </w:r>
          </w:p>
        </w:tc>
        <w:tc>
          <w:tcPr>
            <w:tcW w:w="4876" w:type="dxa"/>
            <w:tcBorders>
              <w:top w:val="nil"/>
              <w:left w:val="nil"/>
              <w:bottom w:val="nil"/>
              <w:right w:val="nil"/>
            </w:tcBorders>
          </w:tcPr>
          <w:p>
            <w:pPr>
              <w:pStyle w:val="Normal6a"/>
            </w:pPr>
            <w:r>
              <w:t>34.</w:t>
            </w:r>
            <w:r>
              <w:tab/>
            </w:r>
            <w:r>
              <w:t>επαναλαμβάνει την έκκλησή του προς την Επιτροπή να ενσωματώσει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vertAlign w:val="superscript"/>
              </w:rPr>
              <w:t>48</w:t>
            </w:r>
            <w:r>
              <w:t xml:space="preserve">· </w:t>
            </w:r>
            <w:r>
              <w:rPr>
                <w:b/>
                <w:i/>
              </w:rPr>
              <w:t>ζητεί από την Επιτροπή να υποβάλλει ετησίως έκθεση σχετικά με την εφαρμογή και την αποτελεσματικότητα των εργαλείων που χρησιμοποιούνται κατά των παραβιάσεων των αρχών του κράτους δικαίου στα κράτη μέλη·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w:t>
            </w:r>
            <w:r>
              <w:rPr>
                <w:b/>
                <w:i/>
              </w:rPr>
              <w:t>ενσωματώσει περαιτέρω εργαλεία αντίδρασης</w:t>
            </w:r>
            <w:r>
              <w:t xml:space="preserve"> στην έκθεση για το κράτος δικαίου, </w:t>
            </w:r>
            <w:r>
              <w:rPr>
                <w:b/>
                <w:i/>
              </w:rPr>
              <w:t>όπως οι</w:t>
            </w:r>
            <w:r>
              <w:t xml:space="preserve"> διαδικασίες του άρθρου 7 ΣΕΕ, </w:t>
            </w:r>
            <w:r>
              <w:rPr>
                <w:b/>
                <w:i/>
              </w:rPr>
              <w:t>ο γενικός μηχανισμός</w:t>
            </w:r>
            <w:r>
              <w:t xml:space="preserve"> αιρεσιμότητας </w:t>
            </w:r>
            <w:r>
              <w:rPr>
                <w:b/>
                <w:i/>
              </w:rPr>
              <w:t>και οι</w:t>
            </w:r>
            <w:r>
              <w:t xml:space="preserve"> διαδικασίες επί παραβάσει</w:t>
            </w:r>
            <w:r>
              <w:rPr>
                <w:vertAlign w:val="superscript"/>
              </w:rPr>
              <w:t>48</w:t>
            </w:r>
            <w:r>
              <w:t>·</w:t>
            </w:r>
          </w:p>
        </w:tc>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w:t>
            </w:r>
            <w:r>
              <w:rPr>
                <w:b/>
                <w:i/>
              </w:rPr>
              <w:t>αποτυπώσει καλύτερα τα διάφορα μέσα από την εργαλειοθήκη του κράτους δικαίου</w:t>
            </w:r>
            <w:r>
              <w:t xml:space="preserve"> στην έκθεση για το κράτος δικαίου, </w:t>
            </w:r>
            <w:r>
              <w:rPr>
                <w:b/>
                <w:i/>
              </w:rPr>
              <w:t>ιδίως τις εν εξελίξει</w:t>
            </w:r>
            <w:r>
              <w:t xml:space="preserve"> διαδικασίες του άρθρου 7 ΣΕΕ, </w:t>
            </w:r>
            <w:r>
              <w:rPr>
                <w:b/>
                <w:i/>
              </w:rPr>
              <w:t>τον μηχανισμό</w:t>
            </w:r>
            <w:r>
              <w:t xml:space="preserve"> αιρεσιμότητας </w:t>
            </w:r>
            <w:r>
              <w:rPr>
                <w:b/>
                <w:i/>
              </w:rPr>
              <w:t>για το κράτος δικαίου, καθώς και τις</w:t>
            </w:r>
            <w:r>
              <w:t xml:space="preserve"> διαδικασίες επί παραβάσει</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w:t>
            </w:r>
            <w:r>
              <w:rPr>
                <w:b/>
                <w:i/>
              </w:rPr>
              <w:t>ενσωματώσει περαιτέρω εργαλεία αντίδρασης στην έκθεση για το κράτος δικαίου, όπως οι διαδικασίες του άρθρου 7 ΣΕΕ, ο γενικός μηχανισμός αιρεσιμότητας και οι διαδικασίες επί παραβάσει</w:t>
            </w:r>
            <w:r>
              <w:rPr>
                <w:b/>
                <w:i/>
                <w:vertAlign w:val="superscript"/>
              </w:rPr>
              <w:t>48</w:t>
            </w:r>
            <w:r>
              <w:t>·</w:t>
            </w:r>
          </w:p>
        </w:tc>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w:t>
            </w:r>
            <w:r>
              <w:rPr>
                <w:b/>
                <w:i/>
              </w:rPr>
              <w:t>μην δημιουργεί νέους μηχανισμούς και εργαλεία για την προστασία του κράτους δικαίου, καθώς επαρκούν οι υπάρχοντες μηχανισμοί και εργαλεία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Ουγγρική Επιτροπή του Ελσίνκι, Disregard for EU values:</w:t>
            </w:r>
            <w:r>
              <w:t xml:space="preserve"> </w:t>
            </w:r>
            <w:r>
              <w:rPr>
                <w:b/>
                <w:i/>
              </w:rPr>
              <w:t>a snapshot of RoL issues in Hungary in light of the Article 7 procedure [Περιφρόνηση των ενωσιακών αξιών:</w:t>
            </w:r>
            <w:r>
              <w:t xml:space="preserve"> </w:t>
            </w:r>
            <w:r>
              <w:rPr>
                <w:b/>
                <w:i/>
              </w:rPr>
              <w:t>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ενσωματώσει περαιτέρω </w:t>
            </w:r>
            <w:r>
              <w:rPr>
                <w:b/>
                <w:i/>
              </w:rPr>
              <w:t>εργαλεία αντίδρασης</w:t>
            </w:r>
            <w:r>
              <w:t xml:space="preserve"> στην έκθεση για το κράτος δικαίου, όπως οι διαδικασίες του άρθρου 7 ΣΕΕ, ο γενικός μηχανισμός αιρεσιμότητας και οι διαδικασίες επί παραβάσει</w:t>
            </w:r>
            <w:r>
              <w:rPr>
                <w:vertAlign w:val="superscript"/>
              </w:rPr>
              <w:t>48</w:t>
            </w:r>
            <w:r>
              <w:t>·</w:t>
            </w:r>
          </w:p>
        </w:tc>
        <w:tc>
          <w:tcPr>
            <w:tcW w:w="4876" w:type="dxa"/>
            <w:tcBorders>
              <w:top w:val="nil"/>
              <w:left w:val="nil"/>
              <w:bottom w:val="nil"/>
              <w:right w:val="nil"/>
            </w:tcBorders>
          </w:tcPr>
          <w:p>
            <w:pPr>
              <w:pStyle w:val="Normal6a"/>
            </w:pPr>
            <w:r>
              <w:t>34.</w:t>
            </w:r>
            <w:r>
              <w:tab/>
            </w:r>
            <w:r>
              <w:t xml:space="preserve">επαναλαμβάνει την έκκλησή του προς την Επιτροπή να ενσωματώσει περαιτέρω </w:t>
            </w:r>
            <w:r>
              <w:rPr>
                <w:b/>
                <w:i/>
              </w:rPr>
              <w:t>μέτρα επιβολής</w:t>
            </w:r>
            <w:r>
              <w:t xml:space="preserve"> στην έκθεση για το κράτος δικαίου, όπως οι διαδικασίες του άρθρου 7 ΣΕΕ, ο γενικός μηχανισμός αιρεσιμότητας και οι διαδικασίες επί παραβάσει</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c>
          <w:tcPr>
            <w:tcW w:w="4876" w:type="dxa"/>
            <w:tcBorders>
              <w:top w:val="nil"/>
              <w:left w:val="nil"/>
              <w:bottom w:val="nil"/>
              <w:right w:val="nil"/>
            </w:tcBorders>
          </w:tcPr>
          <w:p>
            <w:pPr>
              <w:pStyle w:val="Normal6a"/>
            </w:pPr>
            <w:r>
              <w:rPr>
                <w:vertAlign w:val="superscript"/>
              </w:rPr>
              <w:t>48</w:t>
            </w:r>
            <w:r>
              <w:t xml:space="preserve"> </w:t>
            </w:r>
            <w:r>
              <w:t>Ουγγρική Επιτροπή του Ελσίνκι, Disregard for EU values: a snapshot of RoL issues in Hungary in light of the Article 7 procedure [Περιφρόνηση των ενωσιακών αξιών: στιγμιότυπο των ζητημάτων κράτους δικαίου στην Ουγγαρία υπό το πρίσμα της διαδικασίας του άρθρου 7], 12 Νοεμβρίου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α.</w:t>
            </w:r>
            <w:r>
              <w:tab/>
            </w:r>
            <w:r>
              <w:rPr>
                <w:b/>
                <w:i/>
              </w:rPr>
              <w:t>εκφράζει τη λύπη του για το γεγονός ότι η ουγγρική κυβέρνηση δεν έχει λάβει ουσιαστικά μέτρα για την εφαρμογή των συστάσεων της έκθεσης του 2024 για το κράτος δικαίου·</w:t>
            </w:r>
            <w:r>
              <w:t xml:space="preserve"> </w:t>
            </w:r>
            <w:r>
              <w:rPr>
                <w:b/>
                <w:i/>
              </w:rPr>
              <w:t>τονίζει ότι η κατάσταση της ελευθερίας των μέσων ενημέρωσης, των ελέγχων και ισορροπιών, της διαφθοράς σε υψηλό επίπεδο και του χώρου για τις οργανώσεις της κοινωνίας των πολιτών έχει επιδεινωθεί ακόμη περισσότερο από τη δημοσίευσή της·</w:t>
            </w:r>
            <w:r>
              <w:t xml:space="preserve"> </w:t>
            </w:r>
            <w:r>
              <w:rPr>
                <w:b/>
                <w:i/>
              </w:rPr>
              <w:t>επισημαίνει ότι η μεταρρύθμιση του δικαστικού συστήματος του 2023 δεν κατάφερε να επιφέρει ουσιαστική βελτίωση όσον αφορά την ανεξαρτησία της δικαιοσύνης, καταδικάζει την πρόσφατη κίνηση της κυβέρνησης να συνδέσει τη διόρθωση των αποδοχών των δικαστών, η οποία είχε καθυστερήσει πολύ, με την αποδοχή περαιτέρω πολιτικής παρείσφρησης εις βάρος της ανεξαρτησίας της δικαιοσύνης·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α.</w:t>
            </w:r>
            <w:r>
              <w:tab/>
            </w:r>
            <w:r>
              <w:rPr>
                <w:b/>
                <w:i/>
              </w:rPr>
              <w:t>καλεί την Επιτροπή και τα κράτη μέλη να καταπολεμήσουν τις διακρίσεις λόγω φυλετικής και εθνοτικής καταγωγής, θρησκείας ή πεποιθήσεων, εθνικότητας, πολιτικών φρονημάτων, γλώσσας, αναπηρίας, ηλικίας, φύλου, συμπεριλαμβανομένης της ταυτότητας και της έκφρασης φύλου, και γενετήσιου προσανατολισμού·</w:t>
            </w:r>
            <w:r>
              <w:t xml:space="preserve"> </w:t>
            </w:r>
            <w:r>
              <w:rPr>
                <w:b/>
                <w:i/>
              </w:rPr>
              <w:t>καλεί το Συμβούλιο να καταλήξει σε συμφωνία σχετικά με την οδηγία 2008/140/ΕΚ·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α.</w:t>
            </w:r>
            <w:r>
              <w:tab/>
            </w:r>
            <w:r>
              <w:rPr>
                <w:b/>
                <w:i/>
              </w:rPr>
              <w:t>εκφράζει τη λύπη του για το γεγονός ότι η ουγγρική κυβέρνηση δεν έχει λάβει ουσιαστικά μέτρα για την εφαρμογή των συστάσεων της έκθεσης του 2024 για το κράτος δικαίου, και ότι η Ουγγαρία είναι το μόνο κράτος μέλος που παραμένει στη διαδικασία του άρθρου 7 παράγραφος 1 της ΣΕΕ·</w:t>
            </w:r>
            <w:r>
              <w:t xml:space="preserve"> </w:t>
            </w:r>
            <w:r>
              <w:rPr>
                <w:b/>
                <w:i/>
              </w:rPr>
              <w:t>τονίζει ότι ο σεβασμός του κράτους δικαίου επιδεινώνεται συνεχώς·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α.</w:t>
            </w:r>
            <w:r>
              <w:tab/>
            </w:r>
            <w:r>
              <w:rPr>
                <w:b/>
                <w:i/>
              </w:rPr>
              <w:t>καλεί την Ευρωπαϊκή Επιτροπή να ενσωματώσει ρητά ζητήματα φυλετικής δικαιοσύνης στις μελλοντικές εκθέσεις για το κράτος δικαίου και να απαιτήσει από τα κράτη μέλη να συλλέξουν συγκρίσιμα και αξιόπιστα αναλυτικά δεδομένα για την ισότητα, προκειμένου να αξιολογήσει πλήρως τον αντίκτυπο των διαρθρωτικών διακρίσεων στο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β.</w:t>
            </w:r>
            <w:r>
              <w:tab/>
            </w:r>
            <w:r>
              <w:rPr>
                <w:b/>
                <w:i/>
              </w:rPr>
              <w:t>καλεί την Επιτροπή και τα κράτη μέλη να διασφαλίσουν ότι τα δικαιώματα των ΛΟΑΤΚΙ+ γίνονται πλήρως σεβαστά σε ολόκληρη την επικράτεια της ΕΕ και ότι τα άτομα ΛΟΑΤΚΙ+ μπορούν να ζουν με ασφάλεια, να ασκούν τα δικαιώματά τους και να αξιοποιούν πλήρως τις δυνατότητές τους·</w:t>
            </w:r>
            <w:r>
              <w:t xml:space="preserve"> </w:t>
            </w:r>
            <w:r>
              <w:rPr>
                <w:b/>
                <w:i/>
              </w:rPr>
              <w:t>καλεί την Επιτροπή και το Συμβούλιο να καταστήσουν τα δικαιώματα των ΛΟΑΤΚΙ+ οριζόντια προτεραιότητα σε όλους τους τομείς πολιτικής·</w:t>
            </w:r>
            <w:r>
              <w:t xml:space="preserve"> </w:t>
            </w:r>
            <w:r>
              <w:rPr>
                <w:b/>
                <w:i/>
              </w:rPr>
              <w:t>καλεί την Επιτροπή να προτείνει κατάλληλα νομοθετικά μέτρα για να διασφαλίσει την τήρηση των αρχών αυτών, καθώς και να βασιστεί σε διαδικασίες επί παραβάσει κατά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γ.</w:t>
            </w:r>
            <w:r>
              <w:tab/>
            </w:r>
            <w:r>
              <w:rPr>
                <w:b/>
                <w:i/>
              </w:rPr>
              <w:t>επαναλαμβάνει την έκκλησή του προς την Επιτροπή να καταπολεμήσει όλες τις πρακτικές που εισάγουν διακρίσεις και να διαφυλάξει τις αρχές που κατοχυρώνονται στον Χάρτη των Θεμελιωδών Δικαιωμάτων της ΕΕ·</w:t>
            </w:r>
            <w:r>
              <w:t xml:space="preserve"> </w:t>
            </w:r>
            <w:r>
              <w:rPr>
                <w:b/>
                <w:i/>
              </w:rPr>
              <w:t>καλεί την Επιτροπή να διασφαλίσει ότι η ελεύθερη κυκλοφορία των προσώπων εντός της ΕΕ, το δικαίωμα ελεύθερης διαμονής και η οικογενειακή επανένωση γίνονται πλήρως σεβαστά στο έδαφος της ΕΕ και ότι κάθε πολίτης μπορεί να απολαμβάνει ίσα δικαιώματα και να ασκεί πλήρως τα δικαιώματά του·</w:t>
            </w:r>
            <w:r>
              <w:t xml:space="preserve"> </w:t>
            </w:r>
            <w:r>
              <w:rPr>
                <w:b/>
                <w:i/>
              </w:rPr>
              <w:t>καλεί την Επιτροπή να αναδιατυπώσει την οδηγία 2004/38/ΕΚ προκειμένου να συμπεριλάβει τη διασυνοριακή αναγνώριση των οικογενειακών δικαιωμάτων, συμπεριλαμβανομένης της γονικής σχέσης για τους γονείς του ίδιου φύλου, υπό το πρίσμα των τελευταίων αποφάσεων του Δικαστηρίου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τονίζει τη σημασία να ενσωματωθούν τα ορόσημα του κράτους δικαίου σε χρηματοδοτικά μέσα όπως ο ΜΑΑ·</w:t>
            </w:r>
            <w:r>
              <w:t xml:space="preserve"> </w:t>
            </w:r>
            <w:r>
              <w:rPr>
                <w:b/>
                <w:i/>
              </w:rPr>
              <w:t>αποδοκιμάζει την αποδέσμευση ενωσιακών κονδυλίων στην Ουγγαρία παρά τις ελλείψεις στην εν λόγω χώρα όσον αφορά τη δικαστική ανεξαρτησία και τα πλαίσια καταπολέμησης της διαφθοράς·</w:t>
            </w:r>
            <w:r>
              <w:t xml:space="preserve"> </w:t>
            </w:r>
            <w:r>
              <w:rPr>
                <w:b/>
                <w:i/>
              </w:rPr>
              <w:t>συνιστά να ανασταλούν οι εκταμιεύσεις ωσότου εκπληρωθούν όλα τα κριτήρια αναφοράς του κράτους δικαίου·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τονίζει τη σημασία να ενσωματωθούν τα ορόσημα του κράτους δικαίου σε χρηματοδοτικά μέσα όπως ο ΜΑΑ·</w:t>
            </w:r>
            <w:r>
              <w:t xml:space="preserve"> </w:t>
            </w:r>
            <w:r>
              <w:rPr>
                <w:b/>
                <w:i/>
              </w:rPr>
              <w:t>αποδοκιμάζει την αποδέσμευση ενωσιακών κονδυλίων στην Ουγγαρία παρά τις ελλείψεις στην εν λόγω χώρα όσον αφορά τη δικαστική ανεξαρτησία και τα πλαίσια καταπολέμησης της διαφθοράς·</w:t>
            </w:r>
            <w:r>
              <w:t xml:space="preserve"> </w:t>
            </w:r>
            <w:r>
              <w:rPr>
                <w:b/>
                <w:i/>
              </w:rPr>
              <w:t>συνιστά να ανασταλούν οι εκταμιεύσεις ωσότου εκπληρωθούν όλα τα κριτήρια αναφοράς του κράτους δικαίου·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τονίζει τη σημασία να ενσωματωθούν τα ορόσημα του κράτους δικαίου σε χρηματοδοτικά μέσα όπως ο ΜΑΑ·</w:t>
            </w:r>
            <w:r>
              <w:t xml:space="preserve"> </w:t>
            </w:r>
            <w:r>
              <w:rPr>
                <w:b/>
                <w:i/>
              </w:rPr>
              <w:t>αποδοκιμάζει την αποδέσμευση ενωσιακών κονδυλίων στην Ουγγαρία παρά τις ελλείψεις στην εν λόγω χώρα όσον αφορά τη δικαστική ανεξαρτησία και τα πλαίσια καταπολέμησης της διαφθοράς·</w:t>
            </w:r>
            <w:r>
              <w:t xml:space="preserve"> </w:t>
            </w:r>
            <w:r>
              <w:rPr>
                <w:b/>
                <w:i/>
              </w:rPr>
              <w:t>συνιστά να ανασταλούν οι εκταμιεύσεις ωσότου εκπληρωθούν όλα τα κριτήρια αναφοράς του κράτους δικαίου·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w:t>
            </w:r>
            <w:r>
              <w:rPr>
                <w:b/>
                <w:i/>
              </w:rPr>
              <w:t>Ουγγαρία</w:t>
            </w:r>
            <w:r>
              <w:t xml:space="preserve">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ωσότου εκπληρωθούν όλα τα κριτήρια αναφοράς του κράτους δικαίου·</w:t>
            </w:r>
          </w:p>
        </w:tc>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w:t>
            </w:r>
            <w:r>
              <w:rPr>
                <w:b/>
                <w:i/>
              </w:rPr>
              <w:t>ουγγρική κυβέρνηση</w:t>
            </w:r>
            <w:r>
              <w:t xml:space="preserve"> παρά τις </w:t>
            </w:r>
            <w:r>
              <w:rPr>
                <w:b/>
                <w:i/>
              </w:rPr>
              <w:t>συνεχείς και σοβαρές</w:t>
            </w:r>
            <w:r>
              <w:t xml:space="preserve"> ελλείψεις στην εν λόγω χώρα όσον αφορά τη δικαστική ανεξαρτησία και τα πλαίσια καταπολέμησης της διαφθοράς· συνιστά να ανασταλούν οι εκταμιεύσεις ωσότου εκπληρωθούν όλα τα κριτήρια αναφοράς του κράτους δικαίου· </w:t>
            </w:r>
            <w:r>
              <w:rPr>
                <w:b/>
                <w:i/>
              </w:rPr>
              <w:t>καλεί το Συμβούλιο να ξεμπλοκάρει τα επόμενα βήματα της διαδικασίας του άρθρου 7 κατά της Ουγγαρίας, δεδομένων των συνεχιζόμενων παραβιάσεων των αξιών της ΕΕ, συμπεριλαμβανομένων των επιθέσεων κατά της ανεξαρτησίας της δικαιοσύνης, της ελευθερίας των μέσων ενημέρωσης και της κοινωνίας των πολιτών, οι οποίες απαιτούν άμεση και αποφασιστική δράση για την προστασία του κράτους δικαίου εντός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τονίζει τη σημασία να ενσωματωθούν τα ορόσημα του κράτους</w:t>
            </w:r>
            <w:r>
              <w:t xml:space="preserve"> δικαίου </w:t>
            </w:r>
            <w:r>
              <w:rPr>
                <w:b/>
                <w:i/>
              </w:rPr>
              <w:t>σε χρηματοδοτικά μέσα όπως ο ΜΑΑ·</w:t>
            </w:r>
            <w:r>
              <w:t xml:space="preserve"> </w:t>
            </w:r>
            <w:r>
              <w:rPr>
                <w:b/>
                <w:i/>
              </w:rPr>
              <w:t>αποδοκιμάζει την αποδέσμευση ενωσιακών κονδυλίων στην</w:t>
            </w:r>
            <w:r>
              <w:t xml:space="preserve"> Ουγγαρία </w:t>
            </w:r>
            <w:r>
              <w:rPr>
                <w:b/>
                <w:i/>
              </w:rPr>
              <w:t>παρά τις ελλείψεις στην εν λόγω χώρα</w:t>
            </w:r>
            <w:r>
              <w:t xml:space="preserve"> όσον αφορά τη </w:t>
            </w:r>
            <w:r>
              <w:rPr>
                <w:b/>
                <w:i/>
              </w:rPr>
              <w:t>δικαστική ανεξαρτησία και τα πλαίσια καταπολέμησης της διαφθοράς·</w:t>
            </w:r>
            <w:r>
              <w:t xml:space="preserve"> </w:t>
            </w:r>
            <w:r>
              <w:rPr>
                <w:b/>
                <w:i/>
              </w:rPr>
              <w:t>συνιστά να ανασταλούν οι εκταμιεύσεις ωσότου εκπληρωθούν όλα τα κριτήρια αναφοράς του κράτους δικαίου</w:t>
            </w:r>
            <w:r>
              <w:t>·</w:t>
            </w:r>
          </w:p>
        </w:tc>
        <w:tc>
          <w:tcPr>
            <w:tcW w:w="4876" w:type="dxa"/>
            <w:tcBorders>
              <w:top w:val="nil"/>
              <w:left w:val="nil"/>
              <w:bottom w:val="nil"/>
              <w:right w:val="nil"/>
            </w:tcBorders>
          </w:tcPr>
          <w:p>
            <w:pPr>
              <w:pStyle w:val="Normal6a"/>
            </w:pPr>
            <w:r>
              <w:t>35.</w:t>
            </w:r>
            <w:r>
              <w:tab/>
            </w:r>
            <w:r>
              <w:rPr>
                <w:b/>
                <w:i/>
              </w:rPr>
              <w:t>σημειώνει με ανησυχία την πολιτικά μεροληπτική στάση της Επιτροπής κατά την παρακολούθηση των οροσήμων για το κράτος</w:t>
            </w:r>
            <w:r>
              <w:t xml:space="preserve"> δικαίου </w:t>
            </w:r>
            <w:r>
              <w:rPr>
                <w:b/>
                <w:i/>
              </w:rPr>
              <w:t>μέσω της εργαλειοθήκης για το κράτος δικαίου·</w:t>
            </w:r>
            <w:r>
              <w:t xml:space="preserve"> </w:t>
            </w:r>
            <w:r>
              <w:rPr>
                <w:b/>
                <w:i/>
              </w:rPr>
              <w:t>καλεί την Επιτροπή να σταματήσει τις πολιτικές επιθέσεις κατά δεξιών, συντηρητικών κυβερνήσεων·</w:t>
            </w:r>
            <w:r>
              <w:t xml:space="preserve"> </w:t>
            </w:r>
            <w:r>
              <w:rPr>
                <w:b/>
                <w:i/>
              </w:rPr>
              <w:t>τονίζει ότι η</w:t>
            </w:r>
            <w:r>
              <w:t xml:space="preserve"> Ουγγαρία </w:t>
            </w:r>
            <w:r>
              <w:rPr>
                <w:b/>
                <w:i/>
              </w:rPr>
              <w:t>εκβιάζεται οικονομικά και πολιτικά από την Επιτροπή λόγω του νόμου της για την προστασία των παιδιών, του νόμου για την προστασία της εθνικής κυριαρχίας και της ισχυρής στάσης της</w:t>
            </w:r>
            <w:r>
              <w:t xml:space="preserve"> όσον αφορά τη </w:t>
            </w:r>
            <w:r>
              <w:rPr>
                <w:b/>
                <w:i/>
              </w:rPr>
              <w:t>μεταναστευτική πολιτική·</w:t>
            </w:r>
            <w:r>
              <w:t xml:space="preserve"> </w:t>
            </w:r>
            <w:r>
              <w:rPr>
                <w:b/>
                <w:i/>
              </w:rPr>
              <w:t>υπενθυμίζει ότι η Ουγγαρία δικαιούται όλα τα κονδύλια της ΕΕ που έχουν παρανόμως παρακρατηθεί από την Επιτροπή·</w:t>
            </w:r>
            <w:r>
              <w:t xml:space="preserve"> </w:t>
            </w:r>
            <w:r>
              <w:rPr>
                <w:b/>
                <w:i/>
              </w:rPr>
              <w:t>καλεί την Ευρωπαϊκή Επιτροπή να αποδεσμεύσει τα υπόλοιπα 20 δισεκατομμύρια ευρώ της ΕΕ, τα οποία δικαιούται νομίμως η Ουγγαρία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τονίζει τη σημασία να ενσωματωθούν τα ορόσημα</w:t>
            </w:r>
            <w:r>
              <w:t xml:space="preserve"> του κράτους δικαίου σε χρηματοδοτικά μέσα όπως ο ΜΑΑ· </w:t>
            </w:r>
            <w:r>
              <w:rPr>
                <w:b/>
                <w:i/>
              </w:rPr>
              <w:t>αποδοκιμάζει την αποδέσμευση ενωσιακών κονδυλίων στην Ουγγαρία παρά τις ελλείψεις στην εν λόγω χώρα όσον αφορά τη δικαστική ανεξαρτησία και τα πλαίσια καταπολέμησης της διαφθοράς·</w:t>
            </w:r>
            <w:r>
              <w:t xml:space="preserve"> </w:t>
            </w:r>
            <w:r>
              <w:rPr>
                <w:b/>
                <w:i/>
              </w:rPr>
              <w:t>συνιστά να ανασταλούν οι εκταμιεύσεις ωσότου εκπληρωθούν όλα τα κριτήρια αναφοράς του κράτους δικαίου·</w:t>
            </w:r>
          </w:p>
        </w:tc>
        <w:tc>
          <w:tcPr>
            <w:tcW w:w="4876" w:type="dxa"/>
            <w:tcBorders>
              <w:top w:val="nil"/>
              <w:left w:val="nil"/>
              <w:bottom w:val="nil"/>
              <w:right w:val="nil"/>
            </w:tcBorders>
          </w:tcPr>
          <w:p>
            <w:pPr>
              <w:pStyle w:val="Normal6a"/>
            </w:pPr>
            <w:r>
              <w:t>35.</w:t>
            </w:r>
            <w:r>
              <w:tab/>
            </w:r>
            <w:r>
              <w:rPr>
                <w:b/>
                <w:i/>
              </w:rPr>
              <w:t>σημειώνει την ενσωμάτωση των ορόσημων</w:t>
            </w:r>
            <w:r>
              <w:t xml:space="preserve"> του κράτους δικαίου σε χρηματοδοτικά μέσα όπως ο ΜΑΑ·</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w:t>
            </w:r>
            <w:r>
              <w:rPr>
                <w:b/>
                <w:i/>
              </w:rPr>
              <w:t>Ουγγαρία</w:t>
            </w:r>
            <w:r>
              <w:t xml:space="preserve">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ωσότου </w:t>
            </w:r>
            <w:r>
              <w:rPr>
                <w:b/>
                <w:i/>
              </w:rPr>
              <w:t>εκπληρωθούν</w:t>
            </w:r>
            <w:r>
              <w:t xml:space="preserve"> όλα τα κριτήρια αναφοράς του κράτους δικαίου·</w:t>
            </w:r>
          </w:p>
        </w:tc>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w:t>
            </w:r>
            <w:r>
              <w:rPr>
                <w:b/>
                <w:i/>
              </w:rPr>
              <w:t>ουγγρική κυβέρνηση</w:t>
            </w:r>
            <w:r>
              <w:t xml:space="preserve">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w:t>
            </w:r>
            <w:r>
              <w:rPr>
                <w:b/>
                <w:i/>
              </w:rPr>
              <w:t>προς την ουγγρική κυβέρνηση</w:t>
            </w:r>
            <w:r>
              <w:t xml:space="preserve"> ωσότου </w:t>
            </w:r>
            <w:r>
              <w:rPr>
                <w:b/>
                <w:i/>
              </w:rPr>
              <w:t>εκπληρώσει</w:t>
            </w:r>
            <w:r>
              <w:t xml:space="preserve"> όλα τα κριτήρια αναφοράς του κράτους δικαίου· </w:t>
            </w:r>
            <w:r>
              <w:rPr>
                <w:b/>
                <w:i/>
              </w:rPr>
              <w:t>καλεί την Επιτροπή να διασφαλίσει ότι τα κονδύλια της ΕΕ φθάνουν στον ουγγρικό πληθυσμό, μεταξύ άλλων μέσω άμεσης ή έμμεσης χρηματοδότησης για τελικούς αποδέκτες και δικαιούχους ανεξάρτητους από την ουγγρική κυβέρνηση·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τονίζει </w:t>
            </w:r>
            <w:r>
              <w:rPr>
                <w:b/>
                <w:i/>
              </w:rPr>
              <w:t>τη σημασία να ενσωματωθούν τα ορόσημα</w:t>
            </w:r>
            <w:r>
              <w:t xml:space="preserve"> του κράτους δικαίου σε χρηματοδοτικά μέσα όπως ο ΜΑΑ</w:t>
            </w:r>
            <w:r>
              <w:rPr>
                <w:b/>
                <w:i/>
              </w:rPr>
              <w:t>·</w:t>
            </w:r>
            <w:r>
              <w:t xml:space="preserve"> </w:t>
            </w:r>
            <w:r>
              <w:rPr>
                <w:b/>
                <w:i/>
              </w:rPr>
              <w:t>αποδοκιμάζει</w:t>
            </w:r>
            <w:r>
              <w:t xml:space="preserve"> την αποδέσμευση ενωσιακών κονδυλίων στην Ουγγαρία </w:t>
            </w:r>
            <w:r>
              <w:rPr>
                <w:b/>
                <w:i/>
              </w:rPr>
              <w:t>παρά τις</w:t>
            </w:r>
            <w:r>
              <w:t xml:space="preserve"> ελλείψεις στην εν λόγω χώρα όσον αφορά τη δικαστική ανεξαρτησία και τα πλαίσια καταπολέμησης της διαφθοράς</w:t>
            </w:r>
            <w:r>
              <w:rPr>
                <w:b/>
                <w:i/>
              </w:rPr>
              <w:t>·</w:t>
            </w:r>
            <w:r>
              <w:t xml:space="preserve"> </w:t>
            </w:r>
            <w:r>
              <w:rPr>
                <w:b/>
                <w:i/>
              </w:rPr>
              <w:t>συνιστά να ανασταλούν</w:t>
            </w:r>
            <w:r>
              <w:t xml:space="preserve"> οι εκταμιεύσεις </w:t>
            </w:r>
            <w:r>
              <w:rPr>
                <w:b/>
                <w:i/>
              </w:rPr>
              <w:t>ωσότου εκπληρωθούν όλα τα</w:t>
            </w:r>
            <w:r>
              <w:t xml:space="preserve"> κριτήρια </w:t>
            </w:r>
            <w:r>
              <w:rPr>
                <w:b/>
                <w:i/>
              </w:rPr>
              <w:t>αναφοράς του κράτους</w:t>
            </w:r>
            <w:r>
              <w:t xml:space="preserve"> δικαίου·</w:t>
            </w:r>
          </w:p>
        </w:tc>
        <w:tc>
          <w:tcPr>
            <w:tcW w:w="4876" w:type="dxa"/>
            <w:tcBorders>
              <w:top w:val="nil"/>
              <w:left w:val="nil"/>
              <w:bottom w:val="nil"/>
              <w:right w:val="nil"/>
            </w:tcBorders>
          </w:tcPr>
          <w:p>
            <w:pPr>
              <w:pStyle w:val="Normal6a"/>
            </w:pPr>
            <w:r>
              <w:t>35.</w:t>
            </w:r>
            <w:r>
              <w:tab/>
            </w:r>
            <w:r>
              <w:t xml:space="preserve">τονίζει </w:t>
            </w:r>
            <w:r>
              <w:rPr>
                <w:b/>
                <w:i/>
              </w:rPr>
              <w:t>ότι η εφαρμογή των οροσήμων</w:t>
            </w:r>
            <w:r>
              <w:t xml:space="preserve"> του κράτους δικαίου σε χρηματοδοτικά μέσα</w:t>
            </w:r>
            <w:r>
              <w:rPr>
                <w:b/>
                <w:i/>
              </w:rPr>
              <w:t>,</w:t>
            </w:r>
            <w:r>
              <w:t xml:space="preserve"> όπως ο ΜΑΑ</w:t>
            </w:r>
            <w:r>
              <w:rPr>
                <w:b/>
                <w:i/>
              </w:rPr>
              <w:t>, αντιτίθεται στην υποχρέωση σεβασμού των Συνθηκών και σε μια προσέγγιση που βασίζεται σε αντικειμενικά κριτήρια·</w:t>
            </w:r>
            <w:r>
              <w:t xml:space="preserve"> </w:t>
            </w:r>
            <w:r>
              <w:rPr>
                <w:b/>
                <w:i/>
              </w:rPr>
              <w:t>σημειώνει</w:t>
            </w:r>
            <w:r>
              <w:t xml:space="preserve"> την αποδέσμευση ενωσιακών κονδυλίων στην Ουγγαρία</w:t>
            </w:r>
            <w:r>
              <w:rPr>
                <w:b/>
                <w:i/>
              </w:rPr>
              <w:t>, γεγονός που δεν αντιβαίνει στις Συνθήκες, και ότι οι εικαζόμενες</w:t>
            </w:r>
            <w:r>
              <w:t xml:space="preserve"> ελλείψεις στην εν λόγω χώρα όσον αφορά τη δικαστική ανεξαρτησία και τα πλαίσια καταπολέμησης της διαφθοράς </w:t>
            </w:r>
            <w:r>
              <w:rPr>
                <w:b/>
                <w:i/>
              </w:rPr>
              <w:t>θα πρέπει να αντιμετωπιστούν στο πλαίσιο διαδικασιών συμβατών με τις Συνθήκες·</w:t>
            </w:r>
            <w:r>
              <w:t xml:space="preserve"> </w:t>
            </w:r>
            <w:r>
              <w:rPr>
                <w:b/>
                <w:i/>
              </w:rPr>
              <w:t>τονίζει ότι</w:t>
            </w:r>
            <w:r>
              <w:t xml:space="preserve"> οι εκταμιεύσεις </w:t>
            </w:r>
            <w:r>
              <w:rPr>
                <w:b/>
                <w:i/>
              </w:rPr>
              <w:t>από κονδύλια της ΕΕ δεν συνδέονται με αυθαίρετα</w:t>
            </w:r>
            <w:r>
              <w:t xml:space="preserve"> κριτήρια </w:t>
            </w:r>
            <w:r>
              <w:rPr>
                <w:b/>
                <w:i/>
              </w:rPr>
              <w:t>για το κράτος</w:t>
            </w:r>
            <w:r>
              <w:t xml:space="preserve"> δικαίου·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w:t>
            </w:r>
            <w:r>
              <w:rPr>
                <w:b/>
                <w:i/>
              </w:rPr>
              <w:t>Ουγγαρία</w:t>
            </w:r>
            <w:r>
              <w:t xml:space="preserve">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ωσότου </w:t>
            </w:r>
            <w:r>
              <w:rPr>
                <w:b/>
                <w:i/>
              </w:rPr>
              <w:t>εκπληρωθούν</w:t>
            </w:r>
            <w:r>
              <w:t xml:space="preserve"> όλα τα κριτήρια αναφοράς του κράτους δικαίου·</w:t>
            </w:r>
          </w:p>
        </w:tc>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w:t>
            </w:r>
            <w:r>
              <w:rPr>
                <w:b/>
                <w:i/>
              </w:rPr>
              <w:t>ουγγρική κυβέρνηση</w:t>
            </w:r>
            <w:r>
              <w:t xml:space="preserve">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w:t>
            </w:r>
            <w:r>
              <w:rPr>
                <w:b/>
                <w:i/>
              </w:rPr>
              <w:t>προς την ουγγρική κυβέρνηση</w:t>
            </w:r>
            <w:r>
              <w:t xml:space="preserve"> ωσότου </w:t>
            </w:r>
            <w:r>
              <w:rPr>
                <w:b/>
                <w:i/>
              </w:rPr>
              <w:t>εκπληρώσει</w:t>
            </w:r>
            <w:r>
              <w:t xml:space="preserve"> όλα τα κριτήρια αναφοράς του κράτους δικαίου· </w:t>
            </w:r>
            <w:r>
              <w:rPr>
                <w:b/>
                <w:i/>
              </w:rPr>
              <w:t>καλεί την Επιτροπή να διασφαλίσει ότι τα κονδύλια της ΕΕ φθάνουν στον ουγγρικό λαό, διατηρώντας παράλληλα τον πλήρη αντίκτυπο των μέτρων που λαμβάνονται·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τονίζει τη σημασία να ενσωματωθούν τα ορόσημα του κράτους δικαίου σε χρηματοδοτικά μέσα όπως ο ΜΑΑ· αποδοκιμάζει την αποδέσμευση ενωσιακών κονδυλίων στην Ουγγαρία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ωσότου εκπληρωθούν όλα τα κριτήρια αναφοράς του κράτους δικαίου·</w:t>
            </w:r>
          </w:p>
        </w:tc>
        <w:tc>
          <w:tcPr>
            <w:tcW w:w="4876" w:type="dxa"/>
            <w:tcBorders>
              <w:top w:val="nil"/>
              <w:left w:val="nil"/>
              <w:bottom w:val="nil"/>
              <w:right w:val="nil"/>
            </w:tcBorders>
          </w:tcPr>
          <w:p>
            <w:pPr>
              <w:pStyle w:val="Normal6a"/>
            </w:pPr>
            <w:r>
              <w:t>35.</w:t>
            </w:r>
            <w:r>
              <w:tab/>
            </w:r>
            <w:r>
              <w:t xml:space="preserve">τονίζει τη σημασία να ενσωματωθούν τα ορόσημα του κράτους δικαίου σε χρηματοδοτικά μέσα όπως ο ΜΑΑ· </w:t>
            </w:r>
            <w:r>
              <w:rPr>
                <w:b/>
                <w:i/>
              </w:rPr>
              <w:t>ζητεί το μελλοντικό ΠΔΠ να περιλαμβάνει ισχυρές διασφαλίσεις για το κράτος δικαίου που θα ισχύουν για όλα τα ταμεία της ΕΕ·</w:t>
            </w:r>
            <w:r>
              <w:t xml:space="preserve"> αποδοκιμάζει την αποδέσμευση ενωσιακών κονδυλίων στην Ουγγαρία παρά τις ελλείψεις στην εν λόγω χώρα όσον αφορά τη δικαστική ανεξαρτησία και τα πλαίσια καταπολέμησης της διαφθοράς· συνιστά να ανασταλούν οι εκταμιεύσεις ωσότου εκπληρωθούν όλα τα κριτήρια αναφοράς του κράτους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α.</w:t>
            </w:r>
            <w:r>
              <w:tab/>
            </w:r>
            <w:r>
              <w:rPr>
                <w:b/>
                <w:i/>
              </w:rPr>
              <w:t>εκφράζει τη βαθιά του ανησυχία για την άνοδο του ακροδεξιού εξτρεμισμού και τις διαβρωτικές επιπτώσεις του στους δημοκρατικούς κανόνες και στο κράτος δικαίου σε αρκετά κράτη μέλη·</w:t>
            </w:r>
            <w:r>
              <w:t xml:space="preserve"> </w:t>
            </w:r>
            <w:r>
              <w:rPr>
                <w:b/>
                <w:i/>
              </w:rPr>
              <w:t>ζητεί συντονισμένη δράση της ΕΕ για την αντιμετώπιση αυτής της απειλής, μεταξύ άλλων μέσω προγραμμάτων εκπαίδευσης, κοινωνικής ένταξης και, όπου απαιτείται, νομικών μέτρων·</w:t>
            </w:r>
            <w:r>
              <w:t xml:space="preserve"> </w:t>
            </w:r>
            <w:r>
              <w:rPr>
                <w:b/>
                <w:i/>
              </w:rPr>
              <w:t>σημειώνει με ανησυχία ότι οι ομάδες αυτές στοχεύουν ενεργά μειονότητες, συμπεριλαμβανομένων των ατόμων ΛΟΑΤΚΙ+, και συμβάλλουν στη δημιουργία κλίματος φόβου και διακρίσεων·</w:t>
            </w:r>
            <w:r>
              <w:t xml:space="preserve"> </w:t>
            </w:r>
            <w:r>
              <w:rPr>
                <w:b/>
                <w:i/>
              </w:rPr>
              <w:t>καλεί την Επιτροπή να προσδιορίσει ρητά τις ομάδες αυτές ως απειλή για τη δημοκρατία, τα ανθρώπινα δικαιώματα και τις θεμελιώδεις ελευθερίες, συμπεριλαμβανομένης της ακαδημαϊκής ανεξαρτησίας και της ανεξαρτησίας των μέσων ενημέρωσης, στην ετήσια έκθεσή της για το κράτος δικαίου·</w:t>
            </w:r>
            <w:r>
              <w:t xml:space="preserve"> </w:t>
            </w:r>
            <w:r>
              <w:rPr>
                <w:b/>
                <w:i/>
              </w:rPr>
              <w:t>καλεί τα κράτη μέλη να αναλάβουν αποφασιστική δράση για την αντιμετώπιση της επιρροής τους μέσω ισχυρών νομικών πλαισίων, εκπαίδευσης που προωθεί τις δημοκρατικές αξίες και στήριξης των οργανώσεων της κοινωνίας των πολιτών που καταπολεμούν τον εξτρεμισμό·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α.</w:t>
            </w:r>
            <w:r>
              <w:tab/>
            </w:r>
            <w:r>
              <w:rPr>
                <w:b/>
                <w:i/>
              </w:rPr>
              <w:t>ζητεί τη θέσπιση ενός μέσου βασισμένου στις επιδόσεις για λόγους σεβασμού της ανθρώπινης αξιοπρέπειας, της ελευθερίας, της δημοκρατίας, της ισότητας, του κράτους δικαίου και των ανθρωπίνων δικαιωμάτων στον κανονισμό για το πολυετές δημοσιονομικό πλαίσιο, για μεγαλύτερη ευθυγράμμιση μεταξύ του σεβασμού των αρχών αυτών και της χορήγησης κονδυλίων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α.</w:t>
            </w:r>
            <w:r>
              <w:tab/>
            </w:r>
            <w:r>
              <w:rPr>
                <w:b/>
                <w:i/>
              </w:rPr>
              <w:t>επιμένει ότι πρέπει να καθιερωθεί στενότερη σύνδεση μεταξύ των πορισμάτων της έκθεσης για το κράτος δικαίου και της κατανομής της χρηματοδοτικής στήριξης στο πλαίσιο του προϋπολογισμού της Ένωσης, στη λογική των οροσήμων, διασφαλίζοντας ότι τα κονδύλια της ΕΕ συνδέονται με την επίτευξη των αναγκαίων μεταρρυθμίσεων·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β.</w:t>
            </w:r>
            <w:r>
              <w:tab/>
            </w:r>
            <w:r>
              <w:rPr>
                <w:b/>
                <w:i/>
              </w:rPr>
              <w:t>εκφράζει την ανησυχία του για το γεγονός ότι η ημερομηνία δημοσίευσης της ετήσιας έκθεσης για το κράτος δικαίου δεν συμβάλλει στη δημιουργία επαρκούς προβολής και αντιβαίνει στον επιδιωκόμενο σκοπό της έκθεσης για τη διεξαγωγή γνήσιας δημόσιας συζήτησης σχετικά με τα πορίσματά της·</w:t>
            </w:r>
            <w:r>
              <w:t xml:space="preserve"> </w:t>
            </w:r>
            <w:r>
              <w:rPr>
                <w:b/>
                <w:i/>
              </w:rPr>
              <w:t>καλεί την Επιτροπή να επανεξετάσει την ημερομηνία δημοσίευσης και να καταβάλει πρόσθετες προσπάθειες για να καταστήσει τα πορίσματά της ευρέως γνωστά σε όλα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β.</w:t>
            </w:r>
            <w:r>
              <w:tab/>
            </w:r>
            <w:r>
              <w:rPr>
                <w:b/>
                <w:i/>
              </w:rPr>
              <w:t>αναμένει ότι η έκθεση της Επιτροπής του 2025 για το κράτος δικαίου ορίζει προθεσμίες για την εφαρμογή των ειδικών ανά χώρα συστάσεων·</w:t>
            </w:r>
            <w:r>
              <w:t xml:space="preserve"> </w:t>
            </w:r>
            <w:r>
              <w:rPr>
                <w:b/>
                <w:i/>
              </w:rPr>
              <w:t>υποστηρίζει ότι τα δεσμευμένα κονδύλια της ΕΕ θα πρέπει να αποδεσμευτούν μόνο μετά την πλήρη εφαρμογή ουσιαστικών μεταρρυθμίσεων και την επαληθεύσιμη επίτευξη της συμμόρφωσης με το κράτος δικαίου στην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β.</w:t>
            </w:r>
            <w:r>
              <w:tab/>
            </w:r>
            <w:r>
              <w:rPr>
                <w:b/>
                <w:i/>
              </w:rPr>
              <w:t>ενθαρρύνει τα κράτη μέλη να ενισχύσουν την περιβαλλοντική δημοκρατία διασφαλίζοντας την πλήρη εφαρμογή της Σύμβασης του Aarhus, ιδίως όσον αφορά την πρόσβαση στη δικαιοσύνη για περιβαλλοντικά θέματα και την προστασία των περιβαλλοντικών ακτιβιστών και οργανώσεων·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πιστεύει ότι θα πρέπει να ενισχυθεί ο διοργανικός διάλογος και η συνεργασία σε επίπεδο ΕΕ όσον αφορά το κράτος δικαίου·</w:t>
            </w:r>
            <w:r>
              <w:t xml:space="preserve"> </w:t>
            </w:r>
            <w:r>
              <w:rPr>
                <w:b/>
                <w:i/>
              </w:rPr>
              <w:t>ζητεί να καθιερωθεί μόνιμος διοργανικός διάλογος σχετικά με το κράτος δικαίου, με τη συμμετοχή του Κοινοβουλίου, του Συμβουλίου και της Επιτροπής, μεταξύ άλλων·</w:t>
            </w:r>
            <w:r>
              <w:t xml:space="preserve"> </w:t>
            </w:r>
            <w:r>
              <w:rPr>
                <w:b/>
                <w:i/>
              </w:rPr>
              <w:t>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πιστεύει ότι θα πρέπει να ενισχυθεί ο διοργανικός διάλογος και η συνεργασία σε επίπεδο ΕΕ όσον αφορά το κράτος δικαίου·</w:t>
            </w:r>
            <w:r>
              <w:t xml:space="preserve"> </w:t>
            </w:r>
            <w:r>
              <w:rPr>
                <w:b/>
                <w:i/>
              </w:rPr>
              <w:t>ζητεί να καθιερωθεί μόνιμος διοργανικός διάλογος σχετικά με το κράτος δικαίου, με τη συμμετοχή του Κοινοβουλίου, του Συμβουλίου και της Επιτροπής, μεταξύ άλλων·</w:t>
            </w:r>
            <w:r>
              <w:t xml:space="preserve"> </w:t>
            </w:r>
            <w:r>
              <w:rPr>
                <w:b/>
                <w:i/>
              </w:rPr>
              <w:t>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πιστεύει ότι θα πρέπει να ενισχυθεί ο διοργανικός διάλογος και η συνεργασία σε επίπεδο ΕΕ όσον αφορά το κράτος δικαίου·</w:t>
            </w:r>
            <w:r>
              <w:t xml:space="preserve"> </w:t>
            </w:r>
            <w:r>
              <w:rPr>
                <w:b/>
                <w:i/>
              </w:rPr>
              <w:t>ζητεί να καθιερωθεί μόνιμος διοργανικός διάλογος σχετικά με το κράτος δικαίου, με τη συμμετοχή του Κοινοβουλίου, του Συμβουλίου και της Επιτροπής, μεταξύ άλλων·</w:t>
            </w:r>
            <w:r>
              <w:t xml:space="preserve"> </w:t>
            </w:r>
            <w:r>
              <w:rPr>
                <w:b/>
                <w:i/>
              </w:rPr>
              <w:t>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πιστεύει ότι θα πρέπει να ενισχυθεί ο διοργανικός διάλογος και η συνεργασία σε επίπεδο ΕΕ όσον αφορά το κράτος δικαίου· </w:t>
            </w:r>
            <w:r>
              <w:rPr>
                <w:b/>
                <w:i/>
              </w:rPr>
              <w:t>ζητεί να καθιερωθεί μόνιμος διοργανικός διάλογος σχετικά με</w:t>
            </w:r>
            <w:r>
              <w:t xml:space="preserve"> το κράτος δικαίου</w:t>
            </w:r>
            <w:r>
              <w:rPr>
                <w:b/>
                <w:i/>
              </w:rPr>
              <w:t>, με τη συμμετοχή του Κοινοβουλίου, του Συμβουλίου και της Επιτροπής, μεταξύ άλλων</w:t>
            </w:r>
            <w:r>
              <w:t>· 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p>
        </w:tc>
        <w:tc>
          <w:tcPr>
            <w:tcW w:w="4876" w:type="dxa"/>
            <w:tcBorders>
              <w:top w:val="nil"/>
              <w:left w:val="nil"/>
              <w:bottom w:val="nil"/>
              <w:right w:val="nil"/>
            </w:tcBorders>
          </w:tcPr>
          <w:p>
            <w:pPr>
              <w:pStyle w:val="Normal6a"/>
            </w:pPr>
            <w:r>
              <w:t>36.</w:t>
            </w:r>
            <w:r>
              <w:tab/>
            </w:r>
            <w:r>
              <w:t xml:space="preserve">πιστεύει ότι θα πρέπει να ενισχυθεί ο διοργανικός διάλογος και η συνεργασία σε επίπεδο ΕΕ όσον αφορά το κράτος δικαίου· </w:t>
            </w:r>
            <w:r>
              <w:rPr>
                <w:b/>
                <w:i/>
              </w:rPr>
              <w:t>αποδοκιμάζει το γεγονός ότι η Επιτροπή και το Συμβούλιο έχουν μέχρι στιγμής απορρίψει την πρόταση του Κοινοβουλίου για σύναψη διοργανικής συμφωνίας για τη δημοκρατία,</w:t>
            </w:r>
            <w:r>
              <w:t xml:space="preserve"> το κράτος δικαίου </w:t>
            </w:r>
            <w:r>
              <w:rPr>
                <w:b/>
                <w:i/>
              </w:rPr>
              <w:t>και τα θεμελιώδη δικαιώματα·</w:t>
            </w:r>
            <w:r>
              <w:t xml:space="preserve"> </w:t>
            </w:r>
            <w:r>
              <w:rPr>
                <w:b/>
                <w:i/>
              </w:rPr>
              <w:t>επαναβεβαιώνει τη βούλησή του να επαναλάβει τις συνομιλίες για τη συμφωνία αυτή·</w:t>
            </w:r>
            <w:r>
              <w:t xml:space="preserve"> </w:t>
            </w:r>
            <w:r>
              <w:rPr>
                <w:b/>
                <w:i/>
              </w:rPr>
              <w:t>καλεί, εν τω μεταξύ, τα άλλα θεσμικά όργανα να διερευνήσουν τουλάχιστον την περαιτέρω συνεργασία στο πλαίσιο του προτεινόμενου διοργανικού πιλοτικού σχεδίου για τη δημοκρατία, το κράτος δικαίου και τα θεμελιώδη δικαιώματα, το οποίο θα συμβάλει στην οικοδόμηση εμπιστοσύνης μεταξύ των θεσμικών οργάνων με πρακτικό τρόπο, ιδίως μέσω της ανταλλαγής πρακτικών παρακολούθησης, διαλόγου και συνεδριάσεων</w:t>
            </w:r>
            <w:r>
              <w:t xml:space="preserve">· 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w:t>
            </w:r>
            <w:r>
              <w:rPr>
                <w:b/>
                <w:i/>
              </w:rPr>
              <w:t>του Συμβουλίου της Ευρώπης</w:t>
            </w:r>
            <w:r>
              <w:t xml:space="preserve"> και εκπρόσωποι του Κοινοβουλίου· </w:t>
            </w:r>
            <w:r>
              <w:rPr>
                <w:b/>
                <w:i/>
              </w:rPr>
              <w:t>πιστεύει ότι ο διάλογος του Συμβουλίου για το κράτος δικαίου θα πρέπει να γίνει πιο διαδραστικός και ουσιαστικός και, ως εκ τούτου, καλεί τα κράτη μέλη να επενδύσουν στην κατάλληλη προετοιμασία του διαλόγου αυτού·</w:t>
            </w:r>
            <w:r>
              <w:t xml:space="preserve"> </w:t>
            </w:r>
            <w:r>
              <w:rPr>
                <w:b/>
                <w:i/>
              </w:rPr>
              <w:t>τονίζει ότι η αυξημένη διαφάνεια θα ενίσχυε τον διάλογο για το κράτος δικαίου εντός της Ένωσης και καλεί συνεπώς το Συμβούλιο να δημοσιοποιήσει τις εν λόγω συζητήσεις ανά χώρα, καθώς και τα λεπτομερή δημόσια συμπεράσματα·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πιστεύει ότι </w:t>
            </w:r>
            <w:r>
              <w:rPr>
                <w:b/>
                <w:i/>
              </w:rPr>
              <w:t>θα πρέπει να ενισχυθεί</w:t>
            </w:r>
            <w:r>
              <w:t xml:space="preserve"> ο διοργανικός διάλογος και η συνεργασία σε επίπεδο ΕΕ </w:t>
            </w:r>
            <w:r>
              <w:rPr>
                <w:b/>
                <w:i/>
              </w:rPr>
              <w:t>όσον αφορά το κράτος δικαίου·</w:t>
            </w:r>
            <w:r>
              <w:t xml:space="preserve"> </w:t>
            </w:r>
            <w:r>
              <w:rPr>
                <w:b/>
                <w:i/>
              </w:rPr>
              <w:t>ζητεί να καθιερωθεί μόνιμος διοργανικός διάλογος</w:t>
            </w:r>
            <w:r>
              <w:t xml:space="preserve"> σχετικά με το κράτος δικαίου</w:t>
            </w:r>
            <w:r>
              <w:rPr>
                <w:b/>
                <w:i/>
              </w:rPr>
              <w:t>, με τη συμμετοχή του Κοινοβουλίου, του Συμβουλίου και της Επιτροπής, μεταξύ άλλων·</w:t>
            </w:r>
            <w:r>
              <w:t xml:space="preserve"> </w:t>
            </w:r>
            <w:r>
              <w:rPr>
                <w:b/>
                <w:i/>
              </w:rPr>
              <w:t>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r>
              <w:t>·</w:t>
            </w:r>
          </w:p>
        </w:tc>
        <w:tc>
          <w:tcPr>
            <w:tcW w:w="4876" w:type="dxa"/>
            <w:tcBorders>
              <w:top w:val="nil"/>
              <w:left w:val="nil"/>
              <w:bottom w:val="nil"/>
              <w:right w:val="nil"/>
            </w:tcBorders>
          </w:tcPr>
          <w:p>
            <w:pPr>
              <w:pStyle w:val="Normal6a"/>
            </w:pPr>
            <w:r>
              <w:t>36.</w:t>
            </w:r>
            <w:r>
              <w:tab/>
            </w:r>
            <w:r>
              <w:t xml:space="preserve">πιστεύει ότι ο διοργανικός διάλογος και η συνεργασία σε επίπεδο ΕΕ σχετικά με το κράτος δικαίου </w:t>
            </w:r>
            <w:r>
              <w:rPr>
                <w:b/>
                <w:i/>
              </w:rPr>
              <w:t>και την καταπολέμηση της διαφθοράς θα πρέπει να ενισχυθούν με τη συμπερίληψη των θεσμικών οργάνων της ΕΕ στον έλεγχο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πιστεύει ότι θα πρέπει να ενισχυθεί ο διοργανικός διάλογος και η συνεργασία σε επίπεδο ΕΕ όσον αφορά το κράτος δικαίου· ζητεί να καθιερωθεί μόνιμος διοργανικός διάλογος σχετικά με το κράτος δικαίου, με τη συμμετοχή του Κοινοβουλίου, του Συμβουλίου και της Επιτροπής</w:t>
            </w:r>
            <w:r>
              <w:rPr>
                <w:b/>
                <w:i/>
              </w:rPr>
              <w:t>, μεταξύ άλλων</w:t>
            </w:r>
            <w:r>
              <w:t>· 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p>
        </w:tc>
        <w:tc>
          <w:tcPr>
            <w:tcW w:w="4876" w:type="dxa"/>
            <w:tcBorders>
              <w:top w:val="nil"/>
              <w:left w:val="nil"/>
              <w:bottom w:val="nil"/>
              <w:right w:val="nil"/>
            </w:tcBorders>
          </w:tcPr>
          <w:p>
            <w:pPr>
              <w:pStyle w:val="Normal6a"/>
            </w:pPr>
            <w:r>
              <w:t>36.</w:t>
            </w:r>
            <w:r>
              <w:tab/>
            </w:r>
            <w:r>
              <w:t xml:space="preserve">πιστεύει ότι θα πρέπει να ενισχυθεί ο διοργανικός διάλογος και η συνεργασία σε επίπεδο ΕΕ όσον αφορά το κράτος δικαίου· ζητεί να καθιερωθεί μόνιμος διοργανικός διάλογος </w:t>
            </w:r>
            <w:r>
              <w:rPr>
                <w:b/>
                <w:i/>
              </w:rPr>
              <w:t>μέσω της σύναψης διοργανικής συμφωνίας</w:t>
            </w:r>
            <w:r>
              <w:t xml:space="preserve"> σχετικά με το κράτος δικαίου, με τη συμμετοχή του Κοινοβουλίου, του Συμβουλίου και της Επιτροπής· 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 </w:t>
            </w:r>
            <w:r>
              <w:rPr>
                <w:b/>
                <w:i/>
              </w:rPr>
              <w:t>ή, τουλάχιστον, παρέχοντας συστηματική ανατροφοδότηση σχετικά με τις συνεδριάσεις διαλόγου για το κράτος δικαίου στο Ευρωπαϊκό Κοινοβούλιο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πιστεύει ότι θα πρέπει να ενισχυθεί ο διοργανικός διάλογος και η συνεργασία σε επίπεδο ΕΕ όσον αφορά το κράτος δικαίου· ζητεί να καθιερωθεί μόνιμος διοργανικός διάλογος σχετικά με το κράτος δικαίου, με τη συμμετοχή του Κοινοβουλίου, του Συμβουλίου και της Επιτροπής, μεταξύ άλλων· 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p>
        </w:tc>
        <w:tc>
          <w:tcPr>
            <w:tcW w:w="4876" w:type="dxa"/>
            <w:tcBorders>
              <w:top w:val="nil"/>
              <w:left w:val="nil"/>
              <w:bottom w:val="nil"/>
              <w:right w:val="nil"/>
            </w:tcBorders>
          </w:tcPr>
          <w:p>
            <w:pPr>
              <w:pStyle w:val="Normal6a"/>
            </w:pPr>
            <w:r>
              <w:t>36.</w:t>
            </w:r>
            <w:r>
              <w:tab/>
            </w:r>
            <w:r>
              <w:t xml:space="preserve">πιστεύει ότι θα πρέπει να ενισχυθεί ο διοργανικός διάλογος και η συνεργασία σε επίπεδο ΕΕ όσον αφορά το κράτος δικαίου· ζητεί να καθιερωθεί μόνιμος διοργανικός διάλογος σχετικά με το κράτος δικαίου, με τη συμμετοχή του Κοινοβουλίου, του Συμβουλίου και της Επιτροπής, μεταξύ άλλων· 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 </w:t>
            </w:r>
            <w:r>
              <w:rPr>
                <w:b/>
                <w:i/>
              </w:rPr>
              <w:t>καλεί το Συμβούλιο να συνεργαστεί με τα εθνικά κοινοβούλια για την ενίσχυση της δημοκρατικής εποπτείας της συμμόρφωσης των κρατών μελών με τα πρότυπα της ΕΕ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πιστεύει ότι θα πρέπει να ενισχυθεί ο διοργανικός διάλογος και η συνεργασία</w:t>
            </w:r>
            <w:r>
              <w:t xml:space="preserve"> σε επίπεδο ΕΕ όσον αφορά το κράτος δικαίου</w:t>
            </w:r>
            <w:r>
              <w:rPr>
                <w:b/>
                <w:i/>
              </w:rPr>
              <w:t>·</w:t>
            </w:r>
            <w:r>
              <w:t xml:space="preserve"> </w:t>
            </w:r>
            <w:r>
              <w:rPr>
                <w:b/>
                <w:i/>
              </w:rPr>
              <w:t>ζητεί να καθιερωθεί μόνιμος διοργανικός διάλογος σχετικά με το κράτος δικαίου,</w:t>
            </w:r>
            <w:r>
              <w:t xml:space="preserve"> με τη </w:t>
            </w:r>
            <w:r>
              <w:rPr>
                <w:b/>
                <w:i/>
              </w:rPr>
              <w:t>συμμετοχή του Κοινοβουλίου, του Συμβουλίου και της Επιτροπής, μεταξύ άλλων·</w:t>
            </w:r>
            <w:r>
              <w:t xml:space="preserve"> </w:t>
            </w:r>
            <w:r>
              <w:rPr>
                <w:b/>
                <w:i/>
              </w:rPr>
              <w:t>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r>
              <w:t>·</w:t>
            </w:r>
          </w:p>
        </w:tc>
        <w:tc>
          <w:tcPr>
            <w:tcW w:w="4876" w:type="dxa"/>
            <w:tcBorders>
              <w:top w:val="nil"/>
              <w:left w:val="nil"/>
              <w:bottom w:val="nil"/>
              <w:right w:val="nil"/>
            </w:tcBorders>
          </w:tcPr>
          <w:p>
            <w:pPr>
              <w:pStyle w:val="Normal6a"/>
            </w:pPr>
            <w:r>
              <w:t>36.</w:t>
            </w:r>
            <w:r>
              <w:tab/>
            </w:r>
            <w:r>
              <w:rPr>
                <w:b/>
                <w:i/>
              </w:rPr>
              <w:t>σημειώνει ότι υπάρχουν εκκλήσεις για ενίσχυση του διοργανικού διαλόγου και της συνεργασίας</w:t>
            </w:r>
            <w:r>
              <w:t xml:space="preserve"> σε επίπεδο ΕΕ όσον αφορά το κράτος δικαίου</w:t>
            </w:r>
            <w:r>
              <w:rPr>
                <w:b/>
                <w:i/>
              </w:rPr>
              <w:t>, αν και αυτό δεν συνάδει</w:t>
            </w:r>
            <w:r>
              <w:t xml:space="preserve"> με τη </w:t>
            </w:r>
            <w:r>
              <w:rPr>
                <w:b/>
                <w:i/>
              </w:rPr>
              <w:t>διατύπωση των Συνθηκών·</w:t>
            </w:r>
            <w:r>
              <w:t xml:space="preserve"> </w:t>
            </w:r>
            <w:r>
              <w:rPr>
                <w:b/>
                <w:i/>
              </w:rPr>
              <w:t>σημειώνει, ταυτόχρονα, ότι οι θέσεις του Κοινοβουλίου εν προκειμένου επηρεάζονται συχνά από τα κομματικά συμφέροντα μεμονωμένων ομάδων, γεγονός που ενισχύει τις προκαταλήψεις και την πολιτική διάσταση του λεγόμενου διαλόγου για το κράτος δικαίου</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πιστεύει ότι θα πρέπει να ενισχυθεί ο διοργανικός διάλογος και η συνεργασία σε επίπεδο ΕΕ όσον αφορά το κράτος δικαίου· ζητεί να καθιερωθεί </w:t>
            </w:r>
            <w:r>
              <w:rPr>
                <w:b/>
                <w:i/>
              </w:rPr>
              <w:t>μόνιμος διοργανικός διάλογος σχετικά με</w:t>
            </w:r>
            <w:r>
              <w:t xml:space="preserve"> το κράτος δικαίου, </w:t>
            </w:r>
            <w:r>
              <w:rPr>
                <w:b/>
                <w:i/>
              </w:rPr>
              <w:t>με τη συμμετοχή του Κοινοβουλίου,</w:t>
            </w:r>
            <w:r>
              <w:t xml:space="preserve"> του Συμβουλίου και </w:t>
            </w:r>
            <w:r>
              <w:rPr>
                <w:b/>
                <w:i/>
              </w:rPr>
              <w:t>της Επιτροπής, μεταξύ άλλων·</w:t>
            </w:r>
            <w:r>
              <w:t xml:space="preserve"> </w:t>
            </w:r>
            <w:r>
              <w:rPr>
                <w:b/>
                <w:i/>
              </w:rPr>
              <w:t>καλεί το Συμβούλιο να καταστήσει πιο συμπεριληπτικό τον διάλογό του για το κράτος δικαίου προσκαλώντας στις συνόδους του άλλα θεσμικά όργανα, όπως η Επιτροπή της Βενετίας, ο Επίτροπος Ανθρωπίνων Δικαιωμάτων και εκπρόσωποι του Κοινοβουλίου</w:t>
            </w:r>
            <w:r>
              <w:t>·</w:t>
            </w:r>
          </w:p>
        </w:tc>
        <w:tc>
          <w:tcPr>
            <w:tcW w:w="4876" w:type="dxa"/>
            <w:tcBorders>
              <w:top w:val="nil"/>
              <w:left w:val="nil"/>
              <w:bottom w:val="nil"/>
              <w:right w:val="nil"/>
            </w:tcBorders>
          </w:tcPr>
          <w:p>
            <w:pPr>
              <w:pStyle w:val="Normal6a"/>
            </w:pPr>
            <w:r>
              <w:t>36.</w:t>
            </w:r>
            <w:r>
              <w:tab/>
            </w:r>
            <w:r>
              <w:t xml:space="preserve">πιστεύει ότι θα πρέπει να ενισχυθεί ο διοργανικός διάλογος και η συνεργασία σε επίπεδο ΕΕ όσον αφορά το κράτος δικαίου· ζητεί να καθιερωθεί </w:t>
            </w:r>
            <w:r>
              <w:rPr>
                <w:b/>
                <w:i/>
              </w:rPr>
              <w:t>το Ευρωπαϊκό Εξάμηνο για</w:t>
            </w:r>
            <w:r>
              <w:t xml:space="preserve"> το κράτος δικαίου, </w:t>
            </w:r>
            <w:r>
              <w:rPr>
                <w:b/>
                <w:i/>
              </w:rPr>
              <w:t>δημιουργώντας το πλαίσιο με τον καίριο ρόλο</w:t>
            </w:r>
            <w:r>
              <w:t xml:space="preserve"> του Συμβουλίου και </w:t>
            </w:r>
            <w:r>
              <w:rPr>
                <w:b/>
                <w:i/>
              </w:rPr>
              <w:t>του Ευρωπαϊκού Κοινοβουλίου, με την υποστήριξη της εξουσίας της Επιτροπής να επιβάλλει τη συμμόρφωση·</w:t>
            </w:r>
            <w:r>
              <w:t xml:space="preserve"> </w:t>
            </w:r>
            <w:r>
              <w:rPr>
                <w:b/>
                <w:i/>
              </w:rPr>
              <w:t>σημειώνει ότι το πλαίσιο αυτό θα αντιμετωπίσει το δημοκρατικό έλλειμμα και θα διασφαλίσει την τήρηση του κράτους δικαίου σε όλα τα κράτη μέλη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εκφράζει την έντονη δυσαρέσκειά του για το γεγονός ότι το Συμβούλιο δεν έχει σημειώσει ουσιαστική πρόοδο όσον αφορά τις εν εξελίξει διαδικασίες του άρθρου 7 παράγραφος 1 ΣΕΕ·</w:t>
            </w:r>
            <w:r>
              <w:t xml:space="preserve"> </w:t>
            </w:r>
            <w:r>
              <w:rPr>
                <w:b/>
                <w:i/>
              </w:rPr>
              <w:t>προτρέπει το Συμβούλιο να διασφαλίσει ότι στο πλαίσιο εκκρεμουσών διαδικασιών του άρθρου 7 ΣΕΕ οι ακροάσεις θα πραγματοποιούνται τουλάχιστον μία φορά ανά προεδρία και να αντιμετωπίσει επίσης τις νέες εξελίξεις που επηρεάζουν το κράτος δικαίου, τη δημοκρατία και τα θεμελιώδη δικαιώματα·</w:t>
            </w:r>
            <w:r>
              <w:t xml:space="preserve"> </w:t>
            </w:r>
            <w:r>
              <w:rPr>
                <w:b/>
                <w:i/>
              </w:rPr>
              <w:t>τονίζει ότι δεν απαιτείται ομοφωνία στο Συμβούλιο ούτε για την διαπίστωση της ύπαρξης σαφούς κινδύνου σοβαρής παραβίασης των αξιών του άρθρου 7 παράγραφος 1 ΣΕΕ ούτε για τη διατύπωση συγκεκριμένων συστάσεων για τα ενδιαφερόμενα κράτη μέλη και τον ορισμό προθεσμιών για την εφαρμογή των εν λόγω συστάσεων·</w:t>
            </w:r>
            <w:r>
              <w:t xml:space="preserve"> </w:t>
            </w:r>
            <w:r>
              <w:rPr>
                <w:b/>
                <w:i/>
              </w:rPr>
              <w:t>επαναλαμβάνει την έκκλησή του προς το Συμβούλιο να το πράξει, επισημαίνοντας ότι κάθε περαιτέρω σχετική καθυστέρηση θα ισοδυναμούσε με παραβίαση της αρχής του κράτους δικαίου από το ίδιο το Συμβούλιο·</w:t>
            </w:r>
            <w:r>
              <w:t xml:space="preserve"> </w:t>
            </w:r>
            <w:r>
              <w:rPr>
                <w:b/>
                <w:i/>
              </w:rPr>
              <w:t>επιμένει ότι ο ρόλος και οι αρμοδιότητες του Κοινοβουλίου πρέπει να γίνονται σεβαστά·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υπενθυμίζει το μακροχρόνιο αίτημά του για τη θέσπιση μηχανισμού της ΕΕ για τη δημοκρατία, το κράτος δικαίου και τα θεμελιώδη δικαιώματα (σύμφωνο της ΕΕ για ΔΚΘ) με τη μορφή διοργανικής συμφωνίας και καλεί την Επιτροπή και το Συμβούλιο να συνάψουν μια τέτοια διοργανική συμφωνία·</w:t>
            </w:r>
            <w:r>
              <w:t xml:space="preserve"> </w:t>
            </w:r>
            <w:r>
              <w:rPr>
                <w:b/>
                <w:i/>
              </w:rPr>
              <w:t>υπενθυμίζει ότι ο νέος μηχανισμός θα πρέπει να ενσωματώνει και να συμπληρώνει τους υφιστάμενους μηχανισμούς, συμπεριλαμβανομένης της έκθεσης για το κράτος δικαίου, θα πρέπει να είναι τεκμηριωμένος, αντικειμενικός, απευθυνόμενος στα κράτη μέλη και τα θεσμικά όργανα της ΕΕ, συμπεριλαμβανομένων προληπτικών και διορθωτικών μέτρων, και θα πρέπει να επικουρείται από ομάδα ανεξάρτητων εμπειρογνωμόνων·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καλεί τα κράτη μέλη να διασφαλίσουν ότι κάθε νομοθετική μεταρρύθμιση που επηρεάζει τη διάκριση των εξουσιών συμμορφώνεται πλήρως με τις ευρωπαϊκές νομικές αρχές·</w:t>
            </w:r>
            <w:r>
              <w:t xml:space="preserve"> </w:t>
            </w:r>
            <w:r>
              <w:rPr>
                <w:b/>
                <w:i/>
              </w:rPr>
              <w:t>καλεί την Επιτροπή να αξιολογήσει κατά πόσον τα νομοθετικά μέτρα που επηρεάζουν τη δικαιοσύνη, τα νομικά οφέλη ή τον εκτελεστικό έλεγχο των δικαστικών οργάνων συνάδουν με το άρθρο 2 ΣΕΕ και κατά πόσον μπορούν να δικαιολογήσουν την κίνηση διαδικασιών δυνάμει του άρθρου 7 ΣΕΕ·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θεωρεί ότι θα πρέπει να ενισχυθεί περαιτέρω η συνεργασία μεταξύ της ΕΕ και διεθνών οργανισμών όπως το Συμβούλιο της Ευρώπης, ο ΟΑΣΕ και τα Ηνωμένα Έθνη για την προώθηση και την προάσπιση της δημοκρατίας, του κράτους δικαίου, των θεμελιωδών ελευθεριών και των ανθρωπίνων δικαιωμάτων, συμπεριλαμβανομένων των δικαιωμάτων των μειονοτήτων·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θεωρεί ότι η συνεργασία μεταξύ των κρατών μελών έχει ιδιαίτερη σημασία για την προώθηση της δημοκρατίας, του κράτους δικαίου και των θεμελιωδών δικαιωμάτων στην ΕΕ·</w:t>
            </w:r>
            <w:r>
              <w:t xml:space="preserve"> </w:t>
            </w:r>
            <w:r>
              <w:rPr>
                <w:b/>
                <w:i/>
              </w:rPr>
              <w:t>καλεί την Επιτροπή να τηρεί τους δικούς της κανόνες στον τομέα της διαφάνειας, της καταπολέμησης της διαφθοράς και της δικαιοσύνης·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καλεί τα κράτη μέλη να διασφαλίσουν ότι τα μέτρα έκτακτης ανάγκης που εγκρίνονται για την αντιμετώπιση κρίσεων (όπως πανδημίες ή απειλές κατά της ασφάλειας) υπόκεινται σε τακτικό κοινοβουλευτικό έλεγχο και δικαστικό έλεγχο και είναι αυστηρά χρονικά περιορισμένα και αναλογικά·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α.</w:t>
            </w:r>
            <w:r>
              <w:tab/>
            </w:r>
            <w:r>
              <w:rPr>
                <w:b/>
                <w:i/>
              </w:rPr>
              <w:t>εκφράζει τη λύπη του για το γεγονός ότι η Επιτροπή δεν έχει ενσωματώσει πολλά από τα επανειλημμένα αιτήματα του Κοινοβουλίου σχετικά με τις εκθέσεις της Επιτροπής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β.</w:t>
            </w:r>
            <w:r>
              <w:tab/>
            </w:r>
            <w:r>
              <w:rPr>
                <w:b/>
                <w:i/>
              </w:rPr>
              <w:t>ζητεί από την Επιτροπή να εκδώσει ανακοίνωση έως τις 31 Δεκεμβρίου 2025 στην οποία θα περιγράφονται λεπτομερώς ποια αιτήματα που ενέκρινε το Κοινοβούλιο σε σχέση με τις εκθέσεις της Επιτροπής για το κράτος δικαίου από το 2021 δεν θα εφαρμόσει η Επιτροπή, καθώς και οι συγκεκριμένοι λόγοι για οποιαδήποτε άρνηση·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β.</w:t>
            </w:r>
            <w:r>
              <w:tab/>
            </w:r>
            <w:r>
              <w:rPr>
                <w:b/>
                <w:i/>
              </w:rPr>
              <w:t>τονίζει την ανάγκη να αντιμετωπίσουν τα κράτη μέλη το χάσμα μεταξύ των φύλων στον δικαστικό τομέα και σε άλλους βασικούς δημοκρατικούς θεσμούς·</w:t>
            </w:r>
            <w:r>
              <w:t xml:space="preserve"> </w:t>
            </w:r>
            <w:r>
              <w:rPr>
                <w:b/>
                <w:i/>
              </w:rPr>
              <w:t>συνιστά την εφαρμογή στοχευμένων μέτρων για την αύξηση της εκπροσώπησης των γυναικών σε ανώτερες δικαστικές θέσεις και θέσεις δημόσιας διοίκησης·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β.</w:t>
            </w:r>
            <w:r>
              <w:tab/>
            </w:r>
            <w:r>
              <w:rPr>
                <w:b/>
                <w:i/>
              </w:rPr>
              <w:t>καλεί την Επιτροπή να μην χρησιμοποιεί την προστασία του κράτους δικαίου και των θεμελιωδών δικαιωμάτων ως πρόσχημα για την άσκηση πολιτικών πιέσεων εις βάρος ορισμένων κρατών μελών προκειμένου να αλλάξουν πολιτικές που εμπίπτουν στην αρμοδιότητα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γ.</w:t>
            </w:r>
            <w:r>
              <w:tab/>
            </w:r>
            <w:r>
              <w:rPr>
                <w:b/>
                <w:i/>
              </w:rPr>
              <w:t>εκφράζει τη βαθιά του ανησυχία ότι, όπως ακριβώς έχει συμβεί με τις διαδικασίες του άρθρου 7, οποιαδήποτε μέτρα ληφθούν βάσει του κανονισμού για την αιρεσιμότητα όσον αφορά το κράτος δικαίου θα αποσκοπούν στην προώθηση πολιτικών ιδεωδών και στην απονομιμοποίηση ορισμένων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r>
              <w:t xml:space="preserve"> </w:t>
            </w:r>
            <w:r>
              <w:rPr>
                <w:b/>
                <w:i/>
              </w:rPr>
              <w:t>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συνιστά στην Επιτροπή και στα κράτη μέλη να παρακολουθούν τις εξωτερικές παρεμβάσεις, ιδίως τη χρήση</w:t>
            </w:r>
            <w:r>
              <w:t xml:space="preserve"> των μέσων κοινωνικής δικτύωσης </w:t>
            </w:r>
            <w:r>
              <w:rPr>
                <w:b/>
                <w:i/>
              </w:rPr>
              <w:t>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rPr>
                <w:b/>
                <w:i/>
              </w:rPr>
              <w:t>εκφράζει την ανησυχία του για την παρέμβαση του Ευρωπαϊκού Κοινοβουλίου και της Ευρωπαϊκής Επιτροπής στις εσωτερικές υποθέσεις των κρατών μελών·</w:t>
            </w:r>
            <w:r>
              <w:t xml:space="preserve"> </w:t>
            </w:r>
            <w:r>
              <w:rPr>
                <w:b/>
                <w:i/>
              </w:rPr>
              <w:t>υπενθυμίζει ότι, στις 7 Ιανουαρίου 2025, ο διευθύνων σύμβουλος της Meta Mark Zuckerberg παραδέχθηκε ότι το Facebook είχε λογοκρίνει περιεχόμενο με πολιτικά κριτήρια·</w:t>
            </w:r>
            <w:r>
              <w:t xml:space="preserve"> </w:t>
            </w:r>
            <w:r>
              <w:rPr>
                <w:b/>
                <w:i/>
              </w:rPr>
              <w:t>χαιρετίζει τις προσπάθειες της Meta να προωθήσει την ελευθερία του λόγου στις πλατφόρμες της στα μέσα κοινωνικής δικτύωσης·</w:t>
            </w:r>
            <w:r>
              <w:t xml:space="preserve"> </w:t>
            </w:r>
            <w:r>
              <w:rPr>
                <w:b/>
                <w:i/>
              </w:rPr>
              <w:t>εκφράζει τη λύπη του για το γεγονός ότι η πολιτικά μεροληπτική επαλήθευση γεγονότων στις πλατφόρμες μέσων κοινωνικής δικτύωσης εξακολουθεί να εφαρμόζεται στην Ευρώπη·</w:t>
            </w:r>
            <w:r>
              <w:t xml:space="preserve"> </w:t>
            </w:r>
            <w:r>
              <w:rPr>
                <w:b/>
                <w:i/>
              </w:rPr>
              <w:t>καλεί την Επιτροπή να σταματήσει τις προσπάθειές της για λογοκρισία της δεξιάς, συντηρητικής φωνής στις πλατφόρμες</w:t>
            </w:r>
            <w:r>
              <w:t xml:space="preserve"> των μέσων κοινωνικής δικτύωσης</w:t>
            </w:r>
            <w:r>
              <w:rPr>
                <w:b/>
                <w:i/>
              </w:rPr>
              <w:t>·</w:t>
            </w:r>
            <w:r>
              <w:t xml:space="preserve"> </w:t>
            </w:r>
            <w:r>
              <w:rPr>
                <w:b/>
                <w:i/>
              </w:rPr>
              <w:t>καλεί το Ευρωπαϊκό Κοινοβούλιο να συστήσει εξεταστική επιτροπή για τη λογοκρισία στο Facebook·</w:t>
            </w:r>
            <w:r>
              <w:t xml:space="preserve"> </w:t>
            </w:r>
            <w:r>
              <w:rPr>
                <w:b/>
                <w:i/>
              </w:rPr>
              <w:t>χαιρετίζει τις προσπάθειες του Elon Musk στον αγώνα για την ελευθερία της έκφρασης</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w:t>
            </w:r>
            <w:r>
              <w:rPr>
                <w:b/>
                <w:i/>
              </w:rPr>
              <w:t>,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r>
              <w:t xml:space="preserve"> </w:t>
            </w:r>
            <w:r>
              <w:rPr>
                <w:b/>
                <w:i/>
              </w:rPr>
              <w:t>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r>
              <w:t>·</w:t>
            </w:r>
          </w:p>
        </w:tc>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συνιστά στην Επιτροπή </w:t>
            </w:r>
            <w:r>
              <w:rPr>
                <w:b/>
                <w:i/>
              </w:rPr>
              <w:t>και στα κράτη μέλη να παρακολουθούν τις εξωτερικές παρεμβάσεις,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r>
              <w:t xml:space="preserve"> </w:t>
            </w:r>
            <w:r>
              <w:rPr>
                <w:b/>
                <w:i/>
              </w:rPr>
              <w:t>υπογραμμίζει ότι η Επιτροπή πρέπει</w:t>
            </w:r>
            <w:r>
              <w:t xml:space="preserve">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συνιστά στην Επιτροπή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w:t>
            </w:r>
            <w:r>
              <w:rPr>
                <w:b/>
                <w:i/>
              </w:rPr>
              <w:t>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w:t>
            </w:r>
            <w:r>
              <w:rPr>
                <w:b/>
                <w:i/>
              </w:rPr>
              <w:t>για να επηρεάσουν την κοινή γνώμη και να διαδώσουν παραπληροφόρηση στην Ευρώπη·</w:t>
            </w:r>
            <w:r>
              <w:t xml:space="preserve"> </w:t>
            </w:r>
            <w:r>
              <w:rPr>
                <w:b/>
                <w:i/>
              </w:rPr>
              <w:t>σημειώνει ότι, για χρόνια, η Επιτροπή δεν κατάφερε να αναγνωρίσει την αριστερή φιλελεύθερη κυριαρχία στα μέσα κοινωνικής δικτύωσης, συμπεριλαμβανομένης της επιβολής της εν λόγω ατζέντας από ορισμένες πρωτεύουσες, διεθνή ιδρύματα και θεσμικά όργανα της Ένωσης</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 </w:t>
            </w:r>
            <w:r>
              <w:rPr>
                <w:b/>
                <w:i/>
              </w:rPr>
              <w:t>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w:t>
            </w:r>
            <w:r>
              <w:rPr>
                <w:b/>
                <w:i/>
              </w:rPr>
              <w:t>,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w:t>
            </w:r>
            <w:r>
              <w:rPr>
                <w:b/>
                <w:i/>
              </w:rPr>
              <w:t>ιδίως τη χρήση</w:t>
            </w:r>
            <w:r>
              <w:t xml:space="preserve"> των μέσων κοινωνικής δικτύωσης για χειραγώγηση και κακόβουλους σκοπούς</w:t>
            </w:r>
            <w:r>
              <w:rPr>
                <w:b/>
                <w:i/>
              </w:rPr>
              <w:t>, 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w:t>
            </w:r>
            <w:r>
              <w:rPr>
                <w:b/>
                <w:i/>
              </w:rPr>
              <w:t>συμπεριλαμβανομένης της χρήσης</w:t>
            </w:r>
            <w:r>
              <w:t xml:space="preserve"> των μέσων κοινωνικής δικτύωσης για χειραγώγηση και κακόβουλους σκοπούς·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w:t>
            </w:r>
            <w:r>
              <w:rPr>
                <w:b/>
                <w:i/>
              </w:rPr>
              <w:t>,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w:t>
            </w:r>
            <w:r>
              <w:rPr>
                <w:b/>
                <w:i/>
              </w:rPr>
              <w:t>και να λαμβάνουν αποτελεσματικά μέτρα για την προστασία των κοινών μας συμφερόντων·</w:t>
            </w:r>
            <w:r>
              <w:t xml:space="preserve"> </w:t>
            </w:r>
            <w:r>
              <w:rPr>
                <w:b/>
                <w:i/>
              </w:rPr>
              <w:t>τονίζει ότι οι ξένες προπαγανδιστικές επιχειρήσεις μπορούν να αντιμετωπιστούν χωρίς να προσβάλλουν την ελευθερία της έκφρασης, δηλαδή με την κατάλληλη επισήμανση ξένων οργανισμών που χρηματοδοτούνται από το εξωτερικό ή με ουδέτερες πρωτοβουλίες, όπως κοινοτικά σημειώματα</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w:t>
            </w:r>
            <w:r>
              <w:rPr>
                <w:b/>
                <w:i/>
              </w:rPr>
              <w:t>, 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w:t>
            </w:r>
            <w:r>
              <w:rPr>
                <w:b/>
                <w:i/>
              </w:rPr>
              <w:t>, συμπεριλαμβανομένης της χρήσης τους από άτομα όπως ο Elon Musk για να επηρεάσουν την κοινή γνώμη και να διαδώσουν παραπληροφόρηση στην Ευρώπη</w:t>
            </w:r>
            <w:r>
              <w:t>·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w:t>
            </w:r>
            <w:r>
              <w:rPr>
                <w:b/>
                <w:i/>
              </w:rPr>
              <w:t>ιδίως τη χρήση</w:t>
            </w:r>
            <w:r>
              <w:t xml:space="preserve"> των μέσων κοινωνικής δικτύωσης για χειραγώγηση </w:t>
            </w:r>
            <w:r>
              <w:rPr>
                <w:b/>
                <w:i/>
              </w:rPr>
              <w:t>και</w:t>
            </w:r>
            <w:r>
              <w:t xml:space="preserve"> κακόβουλους σκοπούς</w:t>
            </w:r>
            <w:r>
              <w:rPr>
                <w:b/>
                <w:i/>
              </w:rPr>
              <w:t>, συμπεριλαμβανομένης της χρήσης τους από άτομα όπως ο Elon Musk για να επηρεάσουν την κοινή γνώμη και να διαδώσουν παραπληροφόρηση</w:t>
            </w:r>
            <w:r>
              <w:t xml:space="preserve"> στην Ευρώπη·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w:t>
            </w:r>
            <w:r>
              <w:rPr>
                <w:b/>
                <w:i/>
              </w:rPr>
              <w:t>και να αντιμετωπίζουν ταχέως</w:t>
            </w:r>
            <w:r>
              <w:t xml:space="preserve"> τις εξωτερικές παρεμβάσεις, </w:t>
            </w:r>
            <w:r>
              <w:rPr>
                <w:b/>
                <w:i/>
              </w:rPr>
              <w:t>συμπεριλαμβανομένης της χρήσης</w:t>
            </w:r>
            <w:r>
              <w:t xml:space="preserve"> των μέσων κοινωνικής δικτύωσης για χειραγώγηση</w:t>
            </w:r>
            <w:r>
              <w:rPr>
                <w:b/>
                <w:i/>
              </w:rPr>
              <w:t>,</w:t>
            </w:r>
            <w:r>
              <w:t xml:space="preserve"> κακόβουλους σκοπούς </w:t>
            </w:r>
            <w:r>
              <w:rPr>
                <w:b/>
                <w:i/>
              </w:rPr>
              <w:t>και τη διάδοση παραπληροφόρησης</w:t>
            </w:r>
            <w:r>
              <w:t xml:space="preserve"> στην Ευρώπη·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συμπεριλαμβανομένης της χρήσης τους από άτομα όπως ο Elon Musk για να επηρεάσουν την κοινή γνώμη και να διαδώσουν παραπληροφόρηση στην Ευρώπη·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ιδίως τη χρήση των μέσων κοινωνικής δικτύωσης για χειραγώγηση και κακόβουλους σκοπούς, συμπεριλαμβανομένης της χρήσης τους από άτομα όπως ο Elon Musk </w:t>
            </w:r>
            <w:r>
              <w:rPr>
                <w:b/>
                <w:i/>
              </w:rPr>
              <w:t>και από τη Meta</w:t>
            </w:r>
            <w:r>
              <w:t xml:space="preserve"> για να επηρεάσουν την κοινή γνώμη και να διαδώσουν παραπληροφόρηση στην Ευρώπη·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ιδίως </w:t>
            </w:r>
            <w:r>
              <w:rPr>
                <w:b/>
                <w:i/>
              </w:rPr>
              <w:t>τη χρήση των μέσων κοινωνικής δικτύωσης</w:t>
            </w:r>
            <w:r>
              <w:t xml:space="preserve"> για χειραγώγηση και κακόβουλους σκοπούς, </w:t>
            </w:r>
            <w:r>
              <w:rPr>
                <w:b/>
                <w:i/>
              </w:rPr>
              <w:t>συμπεριλαμβανομένης της</w:t>
            </w:r>
            <w:r>
              <w:t xml:space="preserve"> χρήσης </w:t>
            </w:r>
            <w:r>
              <w:rPr>
                <w:b/>
                <w:i/>
              </w:rPr>
              <w:t>τους από άτομα όπως ο Elon Musk για να επηρεάσουν την κοινή γνώμη και να διαδώσουν παραπληροφόρηση</w:t>
            </w:r>
            <w:r>
              <w:t xml:space="preserve"> στην Ευρώπη·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c>
          <w:tcPr>
            <w:tcW w:w="4876" w:type="dxa"/>
            <w:tcBorders>
              <w:top w:val="nil"/>
              <w:left w:val="nil"/>
              <w:bottom w:val="nil"/>
              <w:right w:val="nil"/>
            </w:tcBorders>
          </w:tcPr>
          <w:p>
            <w:pPr>
              <w:pStyle w:val="Normal6a"/>
            </w:pPr>
            <w:r>
              <w:t>37.</w:t>
            </w:r>
            <w:r>
              <w:tab/>
            </w:r>
            <w:r>
              <w:t xml:space="preserve">συνιστά στην Επιτροπή και στα κράτη μέλη να παρακολουθούν τις εξωτερικές παρεμβάσεις, ιδίως </w:t>
            </w:r>
            <w:r>
              <w:rPr>
                <w:b/>
                <w:i/>
              </w:rPr>
              <w:t>από ΜΚΟ</w:t>
            </w:r>
            <w:r>
              <w:t xml:space="preserve"> για χειραγώγηση και κακόβουλους σκοπούς, </w:t>
            </w:r>
            <w:r>
              <w:rPr>
                <w:b/>
                <w:i/>
              </w:rPr>
              <w:t>συμπεριλαμβανομένων περιπτώσεων</w:t>
            </w:r>
            <w:r>
              <w:t xml:space="preserve"> χρήσης </w:t>
            </w:r>
            <w:r>
              <w:rPr>
                <w:b/>
                <w:i/>
              </w:rPr>
              <w:t>των ΜΚΟ με στόχο την επιρροή της κοινής γνώμης και τη διάδοση της παραπληροφόρησης</w:t>
            </w:r>
            <w:r>
              <w:t xml:space="preserve"> στην Ευρώπη· 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α.</w:t>
            </w:r>
            <w:r>
              <w:tab/>
            </w:r>
            <w:r>
              <w:rPr>
                <w:b/>
                <w:i/>
              </w:rPr>
              <w:t>καλεί την Επιτροπή να παρακολουθεί πλήρως κατά πόσον οι κατάλογοι ασφαλών χωρών προέλευσης που καταρτίζουν οι αρμόδιες εθνικές αρχές συμμορφώνονται πάντα με τις δημοκρατικές αρχές, άρα και με την τήρηση του κράτους δικαίου, με τα κριτήρια που ορίζονται στη νομοθεσία της ΕΕ, με τον σεβασμό των αποφάσεων του ΔΕΕ και την τήρηση του διεθνούς δικαίου·</w:t>
            </w:r>
            <w:r>
              <w:t xml:space="preserve"> </w:t>
            </w:r>
            <w:r>
              <w:rPr>
                <w:b/>
                <w:i/>
              </w:rPr>
              <w:t>υπογραμμίζει την υποχρέωση, βάσει του ενωσιακού και του διεθνούς δικαίου, να παρέχεται διεθνής προστασία σε πρόσωπα που διώκονται και/ή εκτίθενται σε σοβαρή βλάβη λόγω φυλετικής και εθνοτικής καταγωγής, θρησκείας ή πεποιθήσεων, ιθαγένειας, πολιτικών φρονημάτων, γλώσσας, αναπηρίας, ηλικίας, φύλου, συμπεριλαμβανομένης της ταυτότητας και της έκφρασης φύλου, και γενετήσιου προσανατολισμού·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α.</w:t>
            </w:r>
            <w:r>
              <w:tab/>
            </w:r>
            <w:r>
              <w:rPr>
                <w:b/>
                <w:i/>
              </w:rPr>
              <w:t>τονίζει τη σημασία της προστασίας του θεμελιώδους δικαιώματος στην ελευθερία της έκφρασης, το οποίο αποτελεί πυλώνα των δημοκρατικών κοινωνιών μας.</w:t>
            </w:r>
            <w:r>
              <w:t xml:space="preserve"> </w:t>
            </w:r>
            <w:r>
              <w:rPr>
                <w:b/>
                <w:i/>
              </w:rPr>
              <w:t>Η Επιτροπή πρέπει να διασφαλίσει την ορθή εφαρμογή του κανονιστικού πλαισίου της Ευρωπαϊκής Ένωσης στις πλατφόρμες των μέσων κοινωνικής δικτύωσης για την προστασία αυτού του δικαιώματος, αντί να προωθεί πολιτικές πιέσεις που θα μπορούσαν να περιορίσουν μια ανοικτή και ειλικρινή συζήτηση.</w:t>
            </w:r>
            <w:r>
              <w:t xml:space="preserve"> </w:t>
            </w:r>
            <w:r>
              <w:rPr>
                <w:b/>
                <w:i/>
              </w:rPr>
              <w:t>Ενώ οι πλατφόρμες μέσων κοινωνικής δικτύωσης πρέπει να ενεργούν υπεύθυνα, τηρώντας παράλληλα τους ισχύοντες κανονισμούς, είναι ζωτικής σημασίας οι πρακτικές ελέγχου περιεχομένου να μην καταστούν εργαλείο πολιτικού ελέγχου, λογοκρισίας ή χειραγώγησης.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α.</w:t>
            </w:r>
            <w:r>
              <w:tab/>
            </w:r>
            <w:r>
              <w:rPr>
                <w:b/>
                <w:i/>
              </w:rPr>
              <w:t>καλεί τα κράτη μέλη να ενισχύσουν τη διαφάνεια και τη λογοδοσία των δραστηριοτήτων άσκησης πίεσης από ομάδες συμφερόντων, συμπεριλαμβανομένης της δημιουργίας ή της βελτίωσης υποχρεωτικών μητρώων άσκησης πίεσης από ομάδες συμφερόντων και μηχανισμών «νομοθετικού αποτυπώματος» για την παρακολούθηση της επιρροής στις νομοθετικές διαδικασίες·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α.</w:t>
            </w:r>
            <w:r>
              <w:tab/>
            </w:r>
            <w:r>
              <w:rPr>
                <w:b/>
                <w:i/>
              </w:rPr>
              <w:t>υπογραμμίζει ότι η Επιτροπή πρέπει να μεριμνά για την ορθή εφαρμογή του κράτους δικαίου εντός των θεσμικών οργάνων της ΕΕ, και ζητεί να συμπεριληφθούν τα θεσμικά όργανα της ΕΕ στην ετήσια αξιολόγηση της έκθεσης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α.</w:t>
            </w:r>
            <w:r>
              <w:tab/>
            </w:r>
            <w:r>
              <w:rPr>
                <w:b/>
                <w:i/>
              </w:rPr>
              <w:t>καλεί το Συμβούλιο να εγκρίνει απόφαση για τη συμπερίληψη της ρητορικής μίσους και των εγκλημάτων μίσους ως ποινικών αδικημάτων στον κατάλογο σύμφωνα με το άρθρο 83 παράγραφος 1 ΣΛΕΕ·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β.</w:t>
            </w:r>
            <w:r>
              <w:tab/>
            </w:r>
            <w:r>
              <w:rPr>
                <w:b/>
                <w:i/>
              </w:rPr>
              <w:t>εκφράζει την ανησυχία του για την αυξανόμενη τάση χρήσης κανονισμών, όπως η πράξη για τις ψηφιακές υπηρεσίες (DSA), για την προώθηση πολιτικών θέσεων και οραμάτων που ενέχουν τον κίνδυνο υπονόμευσης της ελευθερίας της έκφρασης.</w:t>
            </w:r>
            <w:r>
              <w:t xml:space="preserve"> </w:t>
            </w:r>
            <w:r>
              <w:rPr>
                <w:b/>
                <w:i/>
              </w:rPr>
              <w:t>Οι πλατφόρμες των μέσων κοινωνικής δικτύωσης θα πρέπει να παραμείνουν χώροι όπου οι ιδέες μπορούν να ανταλλάσσονται ελεύθερα, χωρίς τον φόβο λογοκρισίας με πολιτικά κίνητρα.</w:t>
            </w:r>
            <w:r>
              <w:t xml:space="preserve"> </w:t>
            </w:r>
            <w:r>
              <w:rPr>
                <w:b/>
                <w:i/>
              </w:rPr>
              <w:t>Η ΕΕ πρέπει να συνεχίσει να επαγρυπνεί και να αντιτίθεται σε κάθε απόπειρα εργαλειοποίησης του ελέγχου περιεχομένου για πολιτικούς σκοπούς, διασφαλίζοντας την προστασία της ελευθερίας της έκφρασης·</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γ.</w:t>
            </w:r>
            <w:r>
              <w:tab/>
            </w:r>
            <w:r>
              <w:rPr>
                <w:b/>
                <w:i/>
              </w:rPr>
              <w:t>καλεί την Επιτροπή να παρουσιάσει μια ανανεωμένη στρατηγική για την ισότητα των ΛΟΑΤΚΙ+ για την περίοδο μετά το 2025, η οποία θα αντιμετωπίζει πλήρως τις τρέχουσες προκλήσεις σε ολόκληρη την Ευρώπη και θα καθιστά τα δικαιώματα των ΛΟΑΤΚΙ+ οριζόντια προτεραιότητα σε όλους τους τομείς πολιτικής·</w:t>
            </w:r>
            <w:r>
              <w:t xml:space="preserve"> </w:t>
            </w:r>
            <w:r>
              <w:rPr>
                <w:b/>
                <w:i/>
              </w:rPr>
              <w:t>τονίζει τη σημασία της αυτοδιάθεσης των ατόμων ΛΟΑΤΚΙ+ και της αναγνώρισης της ταυτότητας και των δικαιωμάτων τους, χωρίς ηλικιακούς περιορισμούς·</w:t>
            </w:r>
            <w:r>
              <w:t xml:space="preserve"> </w:t>
            </w:r>
            <w:r>
              <w:rPr>
                <w:b/>
                <w:i/>
              </w:rPr>
              <w:t>ζητεί την προστασία και την προώθηση της σωματικής και ψυχικής υγείας των ατόμων ΛΟΑΤΚΙ+·</w:t>
            </w:r>
            <w:r>
              <w:t xml:space="preserve"> </w:t>
            </w:r>
            <w:r>
              <w:rPr>
                <w:b/>
                <w:i/>
              </w:rPr>
              <w:t>καλεί την Επιτροπή να υποβάλει νομοθετικές προτάσεις για την καταπολέμηση των εγκλημάτων μίσους και της ρητορικής μίσους λόγω ταυτότητας φύλου και γενετήσιου προσανατολισμού, και να διασφαλίσει ίσα δικαιώματα για τα ομόφυλα ζευγάρια·</w:t>
            </w:r>
            <w:r>
              <w:t xml:space="preserve"> </w:t>
            </w:r>
            <w:r>
              <w:rPr>
                <w:b/>
                <w:i/>
              </w:rPr>
              <w:t>καλεί την Επιτροπή να υποβάλει πρόταση για δεσμευτική απαγόρευση από την ΕΕ των πρακτικών μεταστροφής σε όλα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δ.</w:t>
            </w:r>
            <w:r>
              <w:tab/>
            </w:r>
            <w:r>
              <w:rPr>
                <w:b/>
                <w:i/>
              </w:rPr>
              <w:t>καλεί την Επιτροπή και τα κράτη μέλη να καταπολεμήσουν τις διακρίσεις λόγω φυλετικής και εθνοτικής καταγωγής, θρησκείας ή πεποιθήσεων, εθνικότητας, πολιτικών φρονημάτων, γλώσσας, αναπηρίας, ηλικίας, φύλου, συμπεριλαμβανομένης της ταυτότητας και της έκφρασης φύλου, και γενετήσιου προσανατολισμού·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αυτές τις υπό ένταξη χώρες·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αυτές τις υπό ένταξη χώρες·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αυτές τις υπό ένταξη χώρες·</w:t>
            </w:r>
          </w:p>
        </w:tc>
        <w:tc>
          <w:tcPr>
            <w:tcW w:w="4876" w:type="dxa"/>
            <w:tcBorders>
              <w:top w:val="nil"/>
              <w:left w:val="nil"/>
              <w:bottom w:val="nil"/>
              <w:right w:val="nil"/>
            </w:tcBorders>
          </w:tcPr>
          <w:p>
            <w:pPr>
              <w:pStyle w:val="Normal6a"/>
            </w:pPr>
            <w:r>
              <w:t>38.</w:t>
            </w:r>
            <w:r>
              <w:tab/>
            </w:r>
            <w:r>
              <w:rPr>
                <w:b/>
                <w:i/>
              </w:rPr>
              <w:t>εκφράζει την ικανοποίησή του για την επέκταση της έκθεσης της Επιτροπής για το κράτος δικαίου ώστε να καλύπτει τις υποψήφιες χώρες, ενισχύοντας το γεγονός ότι οι θεμελιώδεις αξίες της ΕΕ πρέπει να γίνονται σεβαστές όχι μόνο από τα σημερινά κράτη μέλη αλλά και από τα μελλοντικά μέλη κατά τη διάρκεια των ενταξιακών διαδικασιών·</w:t>
            </w:r>
            <w:r>
              <w:t xml:space="preserve"> 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αυτές τις υπό ένταξη χώρες· </w:t>
            </w:r>
            <w:r>
              <w:rPr>
                <w:b/>
                <w:i/>
              </w:rPr>
              <w:t>αναμένει από την Επιτροπή να συμπεριλάβει όλες τις υποψήφιες χώρες στην έκθεση του 2025 για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εξ ονόματος της Επιτροπής Πολιτικών Ελευθεριών, Δικαιοσύνης και Εσωτερικών Υποθέσεων</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w:t>
            </w:r>
            <w:r>
              <w:rPr>
                <w:b/>
                <w:i/>
              </w:rPr>
              <w:t>αυτές τις υπό ένταξη χώρες</w:t>
            </w:r>
            <w:r>
              <w:t>·</w:t>
            </w:r>
          </w:p>
        </w:tc>
        <w:tc>
          <w:tcPr>
            <w:tcW w:w="4876" w:type="dxa"/>
            <w:tcBorders>
              <w:top w:val="nil"/>
              <w:left w:val="nil"/>
              <w:bottom w:val="nil"/>
              <w:right w:val="nil"/>
            </w:tcBorders>
          </w:tcPr>
          <w:p>
            <w:pPr>
              <w:pStyle w:val="Normal6a"/>
            </w:pPr>
            <w:r>
              <w:t>38.</w:t>
            </w:r>
            <w:r>
              <w:tab/>
            </w:r>
            <w:r>
              <w:t xml:space="preserve">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w:t>
            </w:r>
            <w:r>
              <w:rPr>
                <w:b/>
                <w:i/>
              </w:rPr>
              <w:t>όλες τις χώρες που βρίσκονται σε διαδικασία ένταξης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επικροτεί</w:t>
            </w:r>
            <w:r>
              <w:t xml:space="preserve">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αυτές τις υπό ένταξη χώρες·</w:t>
            </w:r>
          </w:p>
        </w:tc>
        <w:tc>
          <w:tcPr>
            <w:tcW w:w="4876" w:type="dxa"/>
            <w:tcBorders>
              <w:top w:val="nil"/>
              <w:left w:val="nil"/>
              <w:bottom w:val="nil"/>
              <w:right w:val="nil"/>
            </w:tcBorders>
          </w:tcPr>
          <w:p>
            <w:pPr>
              <w:pStyle w:val="Normal6a"/>
            </w:pPr>
            <w:r>
              <w:t>38.</w:t>
            </w:r>
            <w:r>
              <w:tab/>
            </w:r>
            <w:r>
              <w:rPr>
                <w:b/>
                <w:i/>
              </w:rPr>
              <w:t>σημειώνει</w:t>
            </w:r>
            <w:r>
              <w:t xml:space="preserve">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αυτές τις υπό ένταξη χώρες·</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w:t>
            </w:r>
            <w:r>
              <w:rPr>
                <w:b/>
                <w:i/>
              </w:rPr>
              <w:t>αυτές τις υπό ένταξη χώρες</w:t>
            </w:r>
            <w:r>
              <w:t>·</w:t>
            </w:r>
          </w:p>
        </w:tc>
        <w:tc>
          <w:tcPr>
            <w:tcW w:w="4876" w:type="dxa"/>
            <w:tcBorders>
              <w:top w:val="nil"/>
              <w:left w:val="nil"/>
              <w:bottom w:val="nil"/>
              <w:right w:val="nil"/>
            </w:tcBorders>
          </w:tcPr>
          <w:p>
            <w:pPr>
              <w:pStyle w:val="Normal6a"/>
            </w:pPr>
            <w:r>
              <w:t>38.</w:t>
            </w:r>
            <w:r>
              <w:tab/>
            </w:r>
            <w:r>
              <w:t xml:space="preserve">επικροτεί την πρωτοβουλία της Επιτροπής να συμπεριλάβει την Αλβανία, το Μαυροβούνιο, τη Βόρεια Μακεδονία και τη Σερβία στην ετήσια έκθεσή της για το κράτος δικαίου, και ενθαρρύνει τη στενή αξιολόγηση του κράτους δικαίου σε </w:t>
            </w:r>
            <w:r>
              <w:rPr>
                <w:b/>
                <w:i/>
              </w:rPr>
              <w:t>όλες τις χώρες των Δυτικών Βαλκανίων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Εμμανουήλ Φράγκος, Γεάδης Γεάδη,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επικροτεί την πρωτοβουλία της Επιτροπής να συμπεριλάβει την Αλβανία, το Μαυροβούνιο, </w:t>
            </w:r>
            <w:r>
              <w:rPr>
                <w:b/>
                <w:i/>
              </w:rPr>
              <w:t>τη Βόρεια Μακεδονία</w:t>
            </w:r>
            <w:r>
              <w:t xml:space="preserve"> και τη Σερβία στην ετήσια έκθεσή της για το κράτος δικαίου, και ενθαρρύνει τη στενή αξιολόγηση του κράτους δικαίου σε αυτές τις υπό </w:t>
            </w:r>
            <w:r>
              <w:rPr>
                <w:b/>
                <w:i/>
              </w:rPr>
              <w:t>ένταξη</w:t>
            </w:r>
            <w:r>
              <w:t xml:space="preserve"> χώρες·</w:t>
            </w:r>
          </w:p>
        </w:tc>
        <w:tc>
          <w:tcPr>
            <w:tcW w:w="4876" w:type="dxa"/>
            <w:tcBorders>
              <w:top w:val="nil"/>
              <w:left w:val="nil"/>
              <w:bottom w:val="nil"/>
              <w:right w:val="nil"/>
            </w:tcBorders>
          </w:tcPr>
          <w:p>
            <w:pPr>
              <w:pStyle w:val="Normal6a"/>
            </w:pPr>
            <w:r>
              <w:t>38.</w:t>
            </w:r>
            <w:r>
              <w:tab/>
            </w:r>
            <w:r>
              <w:t xml:space="preserve">επικροτεί την πρωτοβουλία της Επιτροπής να συμπεριλάβει την Αλβανία, το Μαυροβούνιο, </w:t>
            </w:r>
            <w:r>
              <w:rPr>
                <w:b/>
                <w:i/>
              </w:rPr>
              <w:t>τα Σκόπια</w:t>
            </w:r>
            <w:r>
              <w:t xml:space="preserve"> και τη Σερβία στην ετήσια έκθεσή της για το κράτος δικαίου, και ενθαρρύνει τη στενή αξιολόγηση του κράτους δικαίου σε αυτές τις υπό </w:t>
            </w:r>
            <w:r>
              <w:rPr>
                <w:b/>
                <w:i/>
              </w:rPr>
              <w:t>εξέταση</w:t>
            </w:r>
            <w:r>
              <w:t xml:space="preserve"> χώρες·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αναθέτει στην Πρόεδρό του να διαβιβάσει το παρόν ψήφισμα στο Συμβούλιο </w:t>
            </w:r>
            <w:r>
              <w:rPr>
                <w:b/>
                <w:i/>
              </w:rPr>
              <w:t>και στην Επιτροπή</w:t>
            </w:r>
            <w:r>
              <w:t>.</w:t>
            </w:r>
          </w:p>
        </w:tc>
        <w:tc>
          <w:tcPr>
            <w:tcW w:w="4876" w:type="dxa"/>
            <w:tcBorders>
              <w:top w:val="nil"/>
              <w:left w:val="nil"/>
              <w:bottom w:val="nil"/>
              <w:right w:val="nil"/>
            </w:tcBorders>
          </w:tcPr>
          <w:p>
            <w:pPr>
              <w:pStyle w:val="Normal6a"/>
            </w:pPr>
            <w:r>
              <w:t>39.</w:t>
            </w:r>
            <w:r>
              <w:tab/>
            </w:r>
            <w:r>
              <w:t>αναθέτει στην Πρόεδρό του να διαβιβάσει το παρόν ψήφισμα στο Συμβούλιο</w:t>
            </w:r>
            <w:r>
              <w:rPr>
                <w:b/>
                <w:i/>
              </w:rPr>
              <w:t>, στην Επιτροπή, στον Οργανισμό Θεμελιωδών Δικαιωμάτων της Ευρωπαϊκής Ένωσης, στο Συμβούλιο της Ευρώπης και στις κυβερνήσεις και στα κοινοβούλια των κρατών μελών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αναθέτει στην Πρόεδρό του να διαβιβάσει το παρόν ψήφισμα στο Συμβούλιο και στην Επιτροπή.</w:t>
            </w:r>
          </w:p>
        </w:tc>
        <w:tc>
          <w:tcPr>
            <w:tcW w:w="4876" w:type="dxa"/>
            <w:tcBorders>
              <w:top w:val="nil"/>
              <w:left w:val="nil"/>
              <w:bottom w:val="nil"/>
              <w:right w:val="nil"/>
            </w:tcBorders>
          </w:tcPr>
          <w:p>
            <w:pPr>
              <w:pStyle w:val="Normal6a"/>
            </w:pPr>
            <w:r>
              <w:t>39.</w:t>
            </w:r>
            <w:r>
              <w:tab/>
            </w:r>
            <w:r>
              <w:t>αναθέτει στην Πρόεδρό του να διαβιβάσει το παρόν ψήφισμα στο Συμβούλιο</w:t>
            </w:r>
            <w:r>
              <w:rPr>
                <w:b/>
                <w:i/>
              </w:rPr>
              <w:t>, στα κράτη μέλη</w:t>
            </w:r>
            <w:r>
              <w:t xml:space="preserve"> και στην Επιτροπή.</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AM\1315576EL.docx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AM\1315576EL.docx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AM\1315576EL.docx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11309</Words>
  <Characters>66361</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134857</vt:lpwstr>
  </property>
  <property fmtid="{D5CDD505-2E9C-101B-9397-08002B2CF9AE}" pid="7" name="dmxml.render.traceId">
    <vt:lpwstr>67beddee14ef9c92f52d2ba14775322a</vt:lpwstr>
  </property>
  <property fmtid="{D5CDD505-2E9C-101B-9397-08002B2CF9AE}" pid="8" name="FooterPath">
    <vt:lpwstr>AM\1315576EL.docx</vt:lpwstr>
  </property>
  <property fmtid="{D5CDD505-2E9C-101B-9397-08002B2CF9AE}" pid="9" name="PE Number">
    <vt:lpwstr>769.959</vt:lpwstr>
  </property>
  <property fmtid="{D5CDD505-2E9C-101B-9397-08002B2CF9AE}" pid="10" name="UID">
    <vt:lpwstr>eu.europa.europarl-DIN1-2025-0000027564_02.00-el-01.00_text-xml</vt:lpwstr>
  </property>
</Properties>
</file>