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Kodanikuvabaduste, justiits- ja siseasjade komisjon</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Komisjoni 2024. aasta aruanne õigusriigi olukorra kohta</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nõuab tungivalt, et komisjon lisaks iga-aastasesse õigusriigi olukorda käsitlevasse aruandesse uue samba, </w:t>
            </w:r>
            <w:r>
              <w:rPr>
                <w:b/>
                <w:i/>
              </w:rPr>
              <w:t>milles käsitletakse igasuguse</w:t>
            </w:r>
            <w:r>
              <w:t xml:space="preserve"> diskrimineerimise vastu </w:t>
            </w:r>
            <w:r>
              <w:rPr>
                <w:b/>
                <w:i/>
              </w:rPr>
              <w:t>võitlemist</w:t>
            </w:r>
            <w:r>
              <w:t>;</w:t>
            </w:r>
          </w:p>
        </w:tc>
        <w:tc>
          <w:tcPr>
            <w:tcW w:w="4876" w:type="dxa"/>
            <w:tcBorders>
              <w:top w:val="nil"/>
              <w:left w:val="nil"/>
              <w:bottom w:val="nil"/>
              <w:right w:val="nil"/>
            </w:tcBorders>
          </w:tcPr>
          <w:p>
            <w:pPr>
              <w:pStyle w:val="Normal6a"/>
            </w:pPr>
            <w:r>
              <w:t>33.</w:t>
            </w:r>
            <w:r>
              <w:tab/>
            </w:r>
            <w:r>
              <w:t xml:space="preserve">nõuab tungivalt, et komisjon lisaks iga-aastasesse õigusriigi olukorda käsitlevasse aruandesse uue samba, </w:t>
            </w:r>
            <w:r>
              <w:rPr>
                <w:b/>
                <w:i/>
              </w:rPr>
              <w:t>mis keskendub võitlusele</w:t>
            </w:r>
            <w:r>
              <w:t xml:space="preserve"> diskrimineerimise </w:t>
            </w:r>
            <w:r>
              <w:rPr>
                <w:b/>
                <w:i/>
              </w:rPr>
              <w:t>kõigi vormide</w:t>
            </w:r>
            <w:r>
              <w:t xml:space="preserve"> vastu</w:t>
            </w:r>
            <w:r>
              <w:rPr>
                <w:b/>
                <w:i/>
              </w:rPr>
              <w:t>, nagu on sätestatud Euroopa Liidu põhiõiguste harta artiklis 21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nõuab tungivalt, et komisjon lisaks iga-aastasesse õigusriigi olukorda käsitlevasse aruandesse </w:t>
            </w:r>
            <w:r>
              <w:rPr>
                <w:b/>
                <w:i/>
              </w:rPr>
              <w:t>uue samba, milles käsitletakse</w:t>
            </w:r>
            <w:r>
              <w:t xml:space="preserve"> igasuguse diskrimineerimise vastu </w:t>
            </w:r>
            <w:r>
              <w:rPr>
                <w:b/>
                <w:i/>
              </w:rPr>
              <w:t>võitlemist</w:t>
            </w:r>
            <w:r>
              <w:t>;</w:t>
            </w:r>
          </w:p>
        </w:tc>
        <w:tc>
          <w:tcPr>
            <w:tcW w:w="4876" w:type="dxa"/>
            <w:tcBorders>
              <w:top w:val="nil"/>
              <w:left w:val="nil"/>
              <w:bottom w:val="nil"/>
              <w:right w:val="nil"/>
            </w:tcBorders>
          </w:tcPr>
          <w:p>
            <w:pPr>
              <w:pStyle w:val="Normal6a"/>
            </w:pPr>
            <w:r>
              <w:t>33.</w:t>
            </w:r>
            <w:r>
              <w:tab/>
            </w:r>
            <w:r>
              <w:t xml:space="preserve">nõuab tungivalt, et komisjon </w:t>
            </w:r>
            <w:r>
              <w:rPr>
                <w:b/>
                <w:i/>
              </w:rPr>
              <w:t>ei</w:t>
            </w:r>
            <w:r>
              <w:t xml:space="preserve"> lisaks iga-aastasesse õigusriigi olukorda käsitlevasse aruandesse </w:t>
            </w:r>
            <w:r>
              <w:rPr>
                <w:b/>
                <w:i/>
              </w:rPr>
              <w:t>ühtegi uut sammast, sealhulgas</w:t>
            </w:r>
            <w:r>
              <w:t xml:space="preserve"> igasuguse diskrimineerimise vastu </w:t>
            </w:r>
            <w:r>
              <w:rPr>
                <w:b/>
                <w:i/>
              </w:rPr>
              <w:t>võitlemise kohta</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nõuab tungivalt, et komisjon lisaks iga-aastasesse õigusriigi olukorda käsitlevasse aruandesse uue samba, milles käsitletakse igasuguse diskrimineerimise vastu võitlemist;</w:t>
            </w:r>
          </w:p>
        </w:tc>
        <w:tc>
          <w:tcPr>
            <w:tcW w:w="4876" w:type="dxa"/>
            <w:tcBorders>
              <w:top w:val="nil"/>
              <w:left w:val="nil"/>
              <w:bottom w:val="nil"/>
              <w:right w:val="nil"/>
            </w:tcBorders>
          </w:tcPr>
          <w:p>
            <w:pPr>
              <w:pStyle w:val="Normal6a"/>
            </w:pPr>
            <w:r>
              <w:t>33.</w:t>
            </w:r>
            <w:r>
              <w:tab/>
            </w:r>
            <w:r>
              <w:t xml:space="preserve">nõuab tungivalt, et komisjon lisaks iga-aastasesse õigusriigi olukorda käsitlevasse aruandesse uue samba, milles käsitletakse igasuguse diskrimineerimise </w:t>
            </w:r>
            <w:r>
              <w:rPr>
                <w:b/>
                <w:i/>
              </w:rPr>
              <w:t>ja vihkamise</w:t>
            </w:r>
            <w:r>
              <w:t xml:space="preserve"> vastu võitlemist;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nõuab tungivalt, et komisjon lisaks iga-aastasesse õigusriigi olukorda käsitlevasse aruandesse uue samba, milles käsitletakse </w:t>
            </w:r>
            <w:r>
              <w:rPr>
                <w:b/>
                <w:i/>
              </w:rPr>
              <w:t>igasuguse diskrimineerimise</w:t>
            </w:r>
            <w:r>
              <w:t xml:space="preserve"> vastu võitlemist;</w:t>
            </w:r>
          </w:p>
        </w:tc>
        <w:tc>
          <w:tcPr>
            <w:tcW w:w="4876" w:type="dxa"/>
            <w:tcBorders>
              <w:top w:val="nil"/>
              <w:left w:val="nil"/>
              <w:bottom w:val="nil"/>
              <w:right w:val="nil"/>
            </w:tcBorders>
          </w:tcPr>
          <w:p>
            <w:pPr>
              <w:pStyle w:val="Normal6a"/>
            </w:pPr>
            <w:r>
              <w:t>33.</w:t>
            </w:r>
            <w:r>
              <w:tab/>
            </w:r>
            <w:r>
              <w:t xml:space="preserve">nõuab tungivalt, et komisjon lisaks iga-aastasesse õigusriigi olukorda käsitlevasse aruandesse uue samba, milles käsitletakse </w:t>
            </w:r>
            <w:r>
              <w:rPr>
                <w:b/>
                <w:i/>
              </w:rPr>
              <w:t>meedia ja veebisisu tsenseerimise</w:t>
            </w:r>
            <w:r>
              <w:t xml:space="preserve"> vastu võitlemist;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kutsub liikmesriike üles rakendama rände- ja varjupaigalepet kooskõlas aluslepingutes, ELi põhiõiguste hartas ja rahvusvahelises õiguses sätestatud põhimõtetega;</w:t>
            </w:r>
            <w:r>
              <w:t xml:space="preserve"> </w:t>
            </w:r>
            <w:r>
              <w:rPr>
                <w:b/>
                <w:i/>
              </w:rPr>
              <w:t>kutsub liikmesriike üles tagama, et kolmandate riikide kodanikel oleksid võrdsed õigused, võrdne ja inimlik kohtlemine ning õiglane juurdepääs rahvusvahelise kaitse menetlustele täielikus kooskõlas rahvusvahelise õiguse ja tagasi- ja väljasaatmise lubamatuse põhimõttega;</w:t>
            </w:r>
            <w:r>
              <w:t xml:space="preserve"> </w:t>
            </w:r>
            <w:r>
              <w:rPr>
                <w:b/>
                <w:i/>
              </w:rPr>
              <w:t>nõuab tungivalt, et komisjon tagaks, et rände hajutamine ja väljaspool oma territooriumi juhtimine, näiteks liikmesriikide kahepoolsed lepingud kolmandate riikidega, ei kahjustaks mingil juhul nende põhimõtete ja ELi õigusaktides sätestatud kriteeriumite järgimist;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kutsub komisjoni üles vaatama läbi oma seisukohta algatuse „Minority SafePack“ kohta ning esitama seadusandlikke algatusi vähemuste õiguste ja keeleõiguste edendamiseks;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kordab oma üleskutset komisjonile integreerida õigusriigi olukorda käsitlevasse aruandesse reageerimismeetmed, nagu ELi lepingu artikli 7 kohased menetlused, üldine tingimuslikkuse mehhanism ja rikkumismenetlused</w:t>
            </w:r>
            <w:r>
              <w:rPr>
                <w:b/>
                <w:i/>
                <w:vertAlign w:val="superscript"/>
              </w:rPr>
              <w:t>48</w:t>
            </w:r>
            <w:r>
              <w:rPr>
                <w:b/>
                <w:i/>
              </w:rPr>
              <w:t>;</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Ungari Helsingi komitee, „Disregard for EU values: 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kordab oma üleskutset komisjonile integreerida õigusriigi olukorda käsitlevasse aruandesse reageerimismeetmed, nagu ELi lepingu artikli 7 kohased menetlused, üldine tingimuslikkuse mehhanism ja rikkumismenetlused</w:t>
            </w:r>
            <w:r>
              <w:rPr>
                <w:b/>
                <w:i/>
                <w:vertAlign w:val="superscript"/>
              </w:rPr>
              <w:t>48</w:t>
            </w:r>
            <w:r>
              <w:rPr>
                <w:b/>
                <w:i/>
              </w:rPr>
              <w:t>;</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Ungari Helsingi komitee, „Disregard for EU values: 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kordab oma üleskutset komisjonile integreerida õigusriigi olukorda käsitlevasse aruandesse reageerimismeetmed, nagu ELi lepingu artikli 7 kohased menetlused, üldine tingimuslikkuse mehhanism ja rikkumismenetlused</w:t>
            </w:r>
            <w:r>
              <w:rPr>
                <w:b/>
                <w:i/>
                <w:vertAlign w:val="superscript"/>
              </w:rPr>
              <w:t>48</w:t>
            </w:r>
            <w:r>
              <w:rPr>
                <w:b/>
                <w:i/>
              </w:rPr>
              <w:t>;</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Ungari Helsingi komitee, „Disregard for EU values: 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kordab oma üleskutset komisjonile integreerida õigusriigi olukorda käsitlevasse aruandesse reageerimismeetmed, nagu ELi lepingu artikli 7 kohased menetlused, </w:t>
            </w:r>
            <w:r>
              <w:rPr>
                <w:b/>
                <w:i/>
              </w:rPr>
              <w:t>üldine</w:t>
            </w:r>
            <w:r>
              <w:t xml:space="preserve"> tingimuslikkuse </w:t>
            </w:r>
            <w:r>
              <w:rPr>
                <w:b/>
                <w:i/>
              </w:rPr>
              <w:t>mehhanism</w:t>
            </w:r>
            <w:r>
              <w:t xml:space="preserve"> ja rikkumismenetlused</w:t>
            </w:r>
            <w:r>
              <w:rPr>
                <w:b/>
                <w:i/>
                <w:vertAlign w:val="superscript"/>
              </w:rPr>
              <w:t>48</w:t>
            </w:r>
            <w:r>
              <w:t>;</w:t>
            </w:r>
          </w:p>
        </w:tc>
        <w:tc>
          <w:tcPr>
            <w:tcW w:w="4876" w:type="dxa"/>
            <w:tcBorders>
              <w:top w:val="nil"/>
              <w:left w:val="nil"/>
              <w:bottom w:val="nil"/>
              <w:right w:val="nil"/>
            </w:tcBorders>
          </w:tcPr>
          <w:p>
            <w:pPr>
              <w:pStyle w:val="Normal6a"/>
            </w:pPr>
            <w:r>
              <w:t>34.</w:t>
            </w:r>
            <w:r>
              <w:tab/>
            </w:r>
            <w:r>
              <w:t xml:space="preserve">kordab oma üleskutset komisjonile integreerida õigusriigi olukorda käsitlevasse aruandesse reageerimismeetmed, nagu ELi lepingu artikli 7 kohased menetlused, </w:t>
            </w:r>
            <w:r>
              <w:rPr>
                <w:b/>
                <w:i/>
              </w:rPr>
              <w:t>õigusriigi</w:t>
            </w:r>
            <w:r>
              <w:t xml:space="preserve"> tingimuslikkuse </w:t>
            </w:r>
            <w:r>
              <w:rPr>
                <w:b/>
                <w:i/>
              </w:rPr>
              <w:t>määrus ning muud eelarve-</w:t>
            </w:r>
            <w:r>
              <w:t xml:space="preserve"> ja rikkumismenetlused</w:t>
            </w:r>
            <w:r>
              <w:rPr>
                <w:b/>
                <w:i/>
              </w:rPr>
              <w:t>;</w:t>
            </w:r>
            <w:r>
              <w:t xml:space="preserve"> </w:t>
            </w:r>
            <w:r>
              <w:rPr>
                <w:b/>
                <w:i/>
              </w:rPr>
              <w:t>kutsub komisjoni üles rikkumisjuhtumite puhul süsteemselt kasutama kiirmenetlusi ja esitama Euroopa Liidu Kohtus ajutiste meetmete taotlusi;</w:t>
            </w:r>
            <w:r>
              <w:t xml:space="preserve"> </w:t>
            </w:r>
            <w:r>
              <w:rPr>
                <w:b/>
                <w:i/>
              </w:rPr>
              <w:t>kutsub komisjoni üles mitte kasutama liikmesriikidega dialoogi või katsemenetlust tähtajatu vahendina, et vältida tegelike rikkumismenetluste algatamist; kutsub komisjoni üles vaatama läbi oma poliitika, mis on esitatud 2022. aasta teatises liidu õiguse täitmise tagamise kohta, et mitte kasutada õiguste rikkumise hagisid nn üksikjuhtumite puhul, kuna see poliitika on kõikjal ELis viinud kodanikelt oluliste õiguste äravõtmisteni, eriti kui nende endi valitsused keelduvad liidu õiguse või Euroopa Liidu Kohtu otsuste täitmisest, kuna enamik neist juhtumitest ei ole kõigest üksikjuhtumid, vaid puudutavad strateegilisi ja põhiküsimusi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Ungari Helsingi komitee, „Disregard for EU values: 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kordab oma üleskutset komisjonile integreerida</w:t>
            </w:r>
            <w:r>
              <w:t xml:space="preserve"> õigusriigi </w:t>
            </w:r>
            <w:r>
              <w:rPr>
                <w:b/>
                <w:i/>
              </w:rPr>
              <w:t>olukorda käsitlevasse aruandesse reageerimismeetmed, nagu ELi lepingu artikli 7 kohased menetlused, üldine tingimuslikkuse mehhanism ja rikkumismenetlused</w:t>
            </w:r>
            <w:r>
              <w:rPr>
                <w:b/>
                <w:i/>
                <w:vertAlign w:val="superscript"/>
              </w:rPr>
              <w:t>48</w:t>
            </w:r>
            <w:r>
              <w:t>;</w:t>
            </w:r>
          </w:p>
        </w:tc>
        <w:tc>
          <w:tcPr>
            <w:tcW w:w="4876" w:type="dxa"/>
            <w:tcBorders>
              <w:top w:val="nil"/>
              <w:left w:val="nil"/>
              <w:bottom w:val="nil"/>
              <w:right w:val="nil"/>
            </w:tcBorders>
          </w:tcPr>
          <w:p>
            <w:pPr>
              <w:pStyle w:val="Normal6a"/>
            </w:pPr>
            <w:r>
              <w:t>34.</w:t>
            </w:r>
            <w:r>
              <w:tab/>
            </w:r>
            <w:r>
              <w:rPr>
                <w:b/>
                <w:i/>
              </w:rPr>
              <w:t>on sügavalt mures õigusriigi olukorra pärast Euroopa institutsioonides;</w:t>
            </w:r>
            <w:r>
              <w:t xml:space="preserve"> </w:t>
            </w:r>
            <w:r>
              <w:rPr>
                <w:b/>
                <w:i/>
              </w:rPr>
              <w:t>kutsub komisjoni üles uurima</w:t>
            </w:r>
            <w:r>
              <w:t xml:space="preserve"> õigusriigi </w:t>
            </w:r>
            <w:r>
              <w:rPr>
                <w:b/>
                <w:i/>
              </w:rPr>
              <w:t>põhimõtte rikkumiste arvu suurenemist nendes institutsioonides;</w:t>
            </w:r>
            <w:r>
              <w:t xml:space="preserve"> </w:t>
            </w:r>
            <w:r>
              <w:rPr>
                <w:b/>
                <w:i/>
              </w:rPr>
              <w:t>võtab sügava murega teadmiseks endise õigusküsimuste voliniku Didier Reyndersi väidetava osalemise rahapesuskeemis;</w:t>
            </w:r>
            <w:r>
              <w:t xml:space="preserve"> </w:t>
            </w:r>
            <w:r>
              <w:rPr>
                <w:b/>
                <w:i/>
              </w:rPr>
              <w:t>on äärmiselt mures selle pärast, et üks õigusvolinik, kes väidetavalt pesi loteriipileteid ostes üle miljoni euro, vastutas õigusriigi põhimõtte järgimise eest Euroopa Liidus;</w:t>
            </w:r>
            <w:r>
              <w:t xml:space="preserve"> </w:t>
            </w:r>
            <w:r>
              <w:rPr>
                <w:b/>
                <w:i/>
              </w:rPr>
              <w:t>rõhutab, et Belgia ametivõimud süüdistasid volinikkandidaat Didier Reyndersit rahapesus ja korruptsioonis juba 2019. aastal;</w:t>
            </w:r>
            <w:r>
              <w:t xml:space="preserve"> </w:t>
            </w:r>
            <w:r>
              <w:rPr>
                <w:b/>
                <w:i/>
              </w:rPr>
              <w:t>kutsub komisjoni üles selgitama, kuidas Didier Reyndersile usaldati vaatamata tõsistele süüdistustele parlamendi üheksanda koosseisu ametiajal õigusküsimuste portfell;</w:t>
            </w:r>
            <w:r>
              <w:t xml:space="preserve"> </w:t>
            </w:r>
            <w:r>
              <w:rPr>
                <w:b/>
                <w:i/>
              </w:rPr>
              <w:t>kinnitab, et see aruanne ei saa olla aluseks edasistele ELi mehhanismidele ja menetlustele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Ungari Helsingi komitee, „Disregard for EU values: 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kordab oma üleskutset komisjonile integreerida</w:t>
            </w:r>
            <w:r>
              <w:t xml:space="preserve"> õigusriigi olukorda käsitlevasse aruandesse </w:t>
            </w:r>
            <w:r>
              <w:rPr>
                <w:b/>
                <w:i/>
              </w:rPr>
              <w:t>reageerimismeetmed, nagu</w:t>
            </w:r>
            <w:r>
              <w:t xml:space="preserve"> ELi lepingu artikli 7 </w:t>
            </w:r>
            <w:r>
              <w:rPr>
                <w:b/>
                <w:i/>
              </w:rPr>
              <w:t>kohased menetlused, üldine tingimuslikkuse mehhanism ja rikkumismenetlused</w:t>
            </w:r>
            <w:r>
              <w:rPr>
                <w:vertAlign w:val="superscript"/>
              </w:rPr>
              <w:t>48</w:t>
            </w:r>
            <w:r>
              <w:t>;</w:t>
            </w:r>
          </w:p>
        </w:tc>
        <w:tc>
          <w:tcPr>
            <w:tcW w:w="4876" w:type="dxa"/>
            <w:tcBorders>
              <w:top w:val="nil"/>
              <w:left w:val="nil"/>
              <w:bottom w:val="nil"/>
              <w:right w:val="nil"/>
            </w:tcBorders>
          </w:tcPr>
          <w:p>
            <w:pPr>
              <w:pStyle w:val="Normal6a"/>
            </w:pPr>
            <w:r>
              <w:t>34.</w:t>
            </w:r>
            <w:r>
              <w:tab/>
            </w:r>
            <w:r>
              <w:rPr>
                <w:b/>
                <w:i/>
              </w:rPr>
              <w:t>kutsub komisjoni üles hindama, kas reageerimismeetmete, nagu ELi lepingu artikli 7 kohaste menetluste, üldise tingimuslikkuse mehhanismi ja rikkumismenetluste</w:t>
            </w:r>
            <w:r>
              <w:rPr>
                <w:vertAlign w:val="superscript"/>
              </w:rPr>
              <w:t>48</w:t>
            </w:r>
            <w:r>
              <w:t xml:space="preserve"> </w:t>
            </w:r>
            <w:r>
              <w:rPr>
                <w:b/>
                <w:i/>
              </w:rPr>
              <w:t>integreerimine</w:t>
            </w:r>
            <w:r>
              <w:t xml:space="preserve"> õigusriigi olukorda käsitlevasse aruandesse </w:t>
            </w:r>
            <w:r>
              <w:rPr>
                <w:b/>
                <w:i/>
              </w:rPr>
              <w:t>on asjakohane, arvestades, et seda on kasutatud ülimalt politiseeritud viisil, mille parim näide on Poola, kus pärast valitsuse vahetumist Brüsselit ja Berliini soosiva valitsuse vastu loobuti igasugusest kriitikast ning</w:t>
            </w:r>
            <w:r>
              <w:t xml:space="preserve"> ELi lepingu artikli 7 </w:t>
            </w:r>
            <w:r>
              <w:rPr>
                <w:b/>
                <w:i/>
              </w:rPr>
              <w:t>kohane menetlus peatati ilma seadusandlikke muudatusi tegemata ja hoolimata riigi põhiseaduslike põhimõtete avalikust rikkumisest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Ungari Helsingi komitee, „Disregard for EU values: a snapshot of RoL issues in Hungary in light of the Article 7 procedure“, 12. november 2024.</w:t>
            </w:r>
          </w:p>
        </w:tc>
        <w:tc>
          <w:tcPr>
            <w:tcW w:w="4876" w:type="dxa"/>
            <w:tcBorders>
              <w:top w:val="nil"/>
              <w:left w:val="nil"/>
              <w:bottom w:val="nil"/>
              <w:right w:val="nil"/>
            </w:tcBorders>
          </w:tcPr>
          <w:p>
            <w:pPr>
              <w:pStyle w:val="Normal6a"/>
            </w:pPr>
            <w:r>
              <w:rPr>
                <w:vertAlign w:val="superscript"/>
              </w:rPr>
              <w:t>48</w:t>
            </w:r>
            <w:r>
              <w:t xml:space="preserve"> </w:t>
            </w:r>
            <w:r>
              <w:t>Ungari Helsingi komitee,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kodanikuvabaduste, justiits- ja siseasjade komisjoni nimel</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kordab oma üleskutset komisjonile integreerida õigusriigi olukorda käsitlevasse aruandesse reageerimismeetmed, nagu ELi lepingu artikli 7 kohased menetlused, üldine tingimuslikkuse mehhanism ja rikkumismenetlused</w:t>
            </w:r>
            <w:r>
              <w:rPr>
                <w:vertAlign w:val="superscript"/>
              </w:rPr>
              <w:t>48</w:t>
            </w:r>
            <w:r>
              <w:t>;</w:t>
            </w:r>
          </w:p>
        </w:tc>
        <w:tc>
          <w:tcPr>
            <w:tcW w:w="4876" w:type="dxa"/>
            <w:tcBorders>
              <w:top w:val="nil"/>
              <w:left w:val="nil"/>
              <w:bottom w:val="nil"/>
              <w:right w:val="nil"/>
            </w:tcBorders>
          </w:tcPr>
          <w:p>
            <w:pPr>
              <w:pStyle w:val="Normal6a"/>
            </w:pPr>
            <w:r>
              <w:t>34.</w:t>
            </w:r>
            <w:r>
              <w:tab/>
            </w:r>
            <w:r>
              <w:t>kordab oma üleskutset komisjonile integreerida õigusriigi olukorda käsitlevasse aruandesse reageerimismeetmed, nagu ELi lepingu artikli 7 kohased menetlused, üldine tingimuslikkuse mehhanism ja rikkumismenetlused</w:t>
            </w:r>
            <w:r>
              <w:rPr>
                <w:vertAlign w:val="superscript"/>
              </w:rPr>
              <w:t>48</w:t>
            </w:r>
            <w:r>
              <w:t xml:space="preserve">; </w:t>
            </w:r>
            <w:r>
              <w:rPr>
                <w:b/>
                <w:i/>
              </w:rPr>
              <w:t>palub komisjonil anda igal aastal aru õigusriigi põhimõtete rikkumise vastu liikmesriikides kasutatavate vahendite kohaldamise ja tõhususe kohta;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Ungari Helsingi komitee, „Disregard for EU values: a snapshot of RoL issues in Hungary in light of the Article 7 procedure</w:t>
            </w:r>
            <w:r>
              <w:rPr>
                <w:b/>
                <w:i/>
              </w:rPr>
              <w:t>“</w:t>
            </w:r>
            <w:r>
              <w:t>, 12. november 2024.</w:t>
            </w:r>
          </w:p>
        </w:tc>
        <w:tc>
          <w:tcPr>
            <w:tcW w:w="4876" w:type="dxa"/>
            <w:tcBorders>
              <w:top w:val="nil"/>
              <w:left w:val="nil"/>
              <w:bottom w:val="nil"/>
              <w:right w:val="nil"/>
            </w:tcBorders>
          </w:tcPr>
          <w:p>
            <w:pPr>
              <w:pStyle w:val="Normal6a"/>
            </w:pPr>
            <w:r>
              <w:rPr>
                <w:vertAlign w:val="superscript"/>
              </w:rPr>
              <w:t>48</w:t>
            </w:r>
            <w:r>
              <w:t xml:space="preserve"> </w:t>
            </w:r>
            <w:r>
              <w:t>Ungari Helsingi komitee,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kordab oma üleskutset komisjonile </w:t>
            </w:r>
            <w:r>
              <w:rPr>
                <w:b/>
                <w:i/>
              </w:rPr>
              <w:t>integreerida</w:t>
            </w:r>
            <w:r>
              <w:t xml:space="preserve"> õigusriigi olukorda </w:t>
            </w:r>
            <w:r>
              <w:rPr>
                <w:b/>
                <w:i/>
              </w:rPr>
              <w:t>käsitlevasse aruandesse reageerimismeetmed, nagu</w:t>
            </w:r>
            <w:r>
              <w:t xml:space="preserve"> ELi lepingu artikli 7 </w:t>
            </w:r>
            <w:r>
              <w:rPr>
                <w:b/>
                <w:i/>
              </w:rPr>
              <w:t>kohased menetlused, üldine</w:t>
            </w:r>
            <w:r>
              <w:t xml:space="preserve"> tingimuslikkuse </w:t>
            </w:r>
            <w:r>
              <w:rPr>
                <w:b/>
                <w:i/>
              </w:rPr>
              <w:t>mehhanism ja rikkumismenetlused</w:t>
            </w:r>
            <w:r>
              <w:rPr>
                <w:vertAlign w:val="superscript"/>
              </w:rPr>
              <w:t>48</w:t>
            </w:r>
            <w:r>
              <w:t>;</w:t>
            </w:r>
          </w:p>
        </w:tc>
        <w:tc>
          <w:tcPr>
            <w:tcW w:w="4876" w:type="dxa"/>
            <w:tcBorders>
              <w:top w:val="nil"/>
              <w:left w:val="nil"/>
              <w:bottom w:val="nil"/>
              <w:right w:val="nil"/>
            </w:tcBorders>
          </w:tcPr>
          <w:p>
            <w:pPr>
              <w:pStyle w:val="Normal6a"/>
            </w:pPr>
            <w:r>
              <w:t>34.</w:t>
            </w:r>
            <w:r>
              <w:tab/>
            </w:r>
            <w:r>
              <w:t xml:space="preserve">kordab oma üleskutset komisjonile </w:t>
            </w:r>
            <w:r>
              <w:rPr>
                <w:b/>
                <w:i/>
              </w:rPr>
              <w:t>kajastada</w:t>
            </w:r>
            <w:r>
              <w:t xml:space="preserve"> õigusriigi olukorda </w:t>
            </w:r>
            <w:r>
              <w:rPr>
                <w:b/>
                <w:i/>
              </w:rPr>
              <w:t>käsitlevas aruandes paremini õigusriigi tagamise vahendite hulka kuuluvaid erinevaid vahendeid, eelkõige käimasolevaid</w:t>
            </w:r>
            <w:r>
              <w:t xml:space="preserve"> ELi lepingu artikli 7 </w:t>
            </w:r>
            <w:r>
              <w:rPr>
                <w:b/>
                <w:i/>
              </w:rPr>
              <w:t>kohaseid menetlusi, õigusriigi</w:t>
            </w:r>
            <w:r>
              <w:t xml:space="preserve"> tingimuslikkuse </w:t>
            </w:r>
            <w:r>
              <w:rPr>
                <w:b/>
                <w:i/>
              </w:rPr>
              <w:t>mehhanismi ja rikkumismenetlusi</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Ungari Helsingi komitee, „Disregard for EU values: a snapshot of RoL issues in Hungary in light of the Article 7 procedure</w:t>
            </w:r>
            <w:r>
              <w:rPr>
                <w:b/>
                <w:i/>
              </w:rPr>
              <w:t>“</w:t>
            </w:r>
            <w:r>
              <w:t>, 12. november 2024.</w:t>
            </w:r>
          </w:p>
        </w:tc>
        <w:tc>
          <w:tcPr>
            <w:tcW w:w="4876" w:type="dxa"/>
            <w:tcBorders>
              <w:top w:val="nil"/>
              <w:left w:val="nil"/>
              <w:bottom w:val="nil"/>
              <w:right w:val="nil"/>
            </w:tcBorders>
          </w:tcPr>
          <w:p>
            <w:pPr>
              <w:pStyle w:val="Normal6a"/>
            </w:pPr>
            <w:r>
              <w:rPr>
                <w:vertAlign w:val="superscript"/>
              </w:rPr>
              <w:t>48</w:t>
            </w:r>
            <w:r>
              <w:t xml:space="preserve"> </w:t>
            </w:r>
            <w:r>
              <w:t>Ungari Helsingi komitee,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kordab oma üleskutset komisjonile </w:t>
            </w:r>
            <w:r>
              <w:rPr>
                <w:b/>
                <w:i/>
              </w:rPr>
              <w:t>integreerida õigusriigi olukorda käsitlevasse aruandesse reageerimismeetmed, nagu ELi lepingu artikli 7 kohased menetlused, üldine tingimuslikkuse mehhanism ja rikkumismenetlused</w:t>
            </w:r>
            <w:r>
              <w:rPr>
                <w:b/>
                <w:i/>
                <w:vertAlign w:val="superscript"/>
              </w:rPr>
              <w:t>48</w:t>
            </w:r>
            <w:r>
              <w:t>;</w:t>
            </w:r>
          </w:p>
        </w:tc>
        <w:tc>
          <w:tcPr>
            <w:tcW w:w="4876" w:type="dxa"/>
            <w:tcBorders>
              <w:top w:val="nil"/>
              <w:left w:val="nil"/>
              <w:bottom w:val="nil"/>
              <w:right w:val="nil"/>
            </w:tcBorders>
          </w:tcPr>
          <w:p>
            <w:pPr>
              <w:pStyle w:val="Normal6a"/>
            </w:pPr>
            <w:r>
              <w:t>34.</w:t>
            </w:r>
            <w:r>
              <w:tab/>
            </w:r>
            <w:r>
              <w:t xml:space="preserve">kordab oma üleskutset komisjonile </w:t>
            </w:r>
            <w:r>
              <w:rPr>
                <w:b/>
                <w:i/>
              </w:rPr>
              <w:t>hoiduda uute mehhanismide ja vahendite loomisest õigusriigi kaitsmiseks, kuna olemasolevad mehhanismid ja vahendid on piisavad</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Ungari Helsingi komitee, „Disregard for EU values: 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kordab oma üleskutset komisjonile integreerida õigusriigi olukorda käsitlevasse aruandesse </w:t>
            </w:r>
            <w:r>
              <w:rPr>
                <w:b/>
                <w:i/>
              </w:rPr>
              <w:t>reageerimismeetmed</w:t>
            </w:r>
            <w:r>
              <w:t>, nagu ELi lepingu artikli 7 kohased menetlused, üldine tingimuslikkuse mehhanism ja rikkumismenetlused</w:t>
            </w:r>
            <w:r>
              <w:rPr>
                <w:vertAlign w:val="superscript"/>
              </w:rPr>
              <w:t>48</w:t>
            </w:r>
            <w:r>
              <w:t>;</w:t>
            </w:r>
          </w:p>
        </w:tc>
        <w:tc>
          <w:tcPr>
            <w:tcW w:w="4876" w:type="dxa"/>
            <w:tcBorders>
              <w:top w:val="nil"/>
              <w:left w:val="nil"/>
              <w:bottom w:val="nil"/>
              <w:right w:val="nil"/>
            </w:tcBorders>
          </w:tcPr>
          <w:p>
            <w:pPr>
              <w:pStyle w:val="Normal6a"/>
            </w:pPr>
            <w:r>
              <w:t>34.</w:t>
            </w:r>
            <w:r>
              <w:tab/>
            </w:r>
            <w:r>
              <w:t xml:space="preserve">kordab oma üleskutset komisjonile integreerida õigusriigi olukorda käsitlevasse aruandesse </w:t>
            </w:r>
            <w:r>
              <w:rPr>
                <w:b/>
                <w:i/>
              </w:rPr>
              <w:t>täitemeetmed</w:t>
            </w:r>
            <w:r>
              <w:t>, nagu ELi lepingu artikli 7 kohased menetlused, üldine tingimuslikkuse mehhanism ja rikkumismenetlused</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Ungari Helsingi komitee, „Disregard for EU values: a snapshot of RoL issues in Hungary in light of the Article 7 procedure</w:t>
            </w:r>
            <w:r>
              <w:rPr>
                <w:b/>
                <w:i/>
              </w:rPr>
              <w:t>“</w:t>
            </w:r>
            <w:r>
              <w:t>, 12. november 2024.</w:t>
            </w:r>
          </w:p>
        </w:tc>
        <w:tc>
          <w:tcPr>
            <w:tcW w:w="4876" w:type="dxa"/>
            <w:tcBorders>
              <w:top w:val="nil"/>
              <w:left w:val="nil"/>
              <w:bottom w:val="nil"/>
              <w:right w:val="nil"/>
            </w:tcBorders>
          </w:tcPr>
          <w:p>
            <w:pPr>
              <w:pStyle w:val="Normal6a"/>
            </w:pPr>
            <w:r>
              <w:rPr>
                <w:vertAlign w:val="superscript"/>
              </w:rPr>
              <w:t>48</w:t>
            </w:r>
            <w:r>
              <w:t xml:space="preserve"> </w:t>
            </w:r>
            <w:r>
              <w:t>Ungari Helsingi komitee,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taunib asjaolu, et Ungari valitsus ei ole astunud olulisi samme õigusriigi olukorda käsitleva 2024. aasta aruande soovituste rakendamiseks;</w:t>
            </w:r>
            <w:r>
              <w:t xml:space="preserve"> </w:t>
            </w:r>
            <w:r>
              <w:rPr>
                <w:b/>
                <w:i/>
              </w:rPr>
              <w:t>rõhutab, et meediavabaduse, kontrolli- ja tasakaalustussüsteemi, kõrgetasemelise korruptsiooni ja kodanikuühiskonna organisatsioonide tegutsemisruumi olukord on alates selle avaldamisest veelgi halvenenud;</w:t>
            </w:r>
            <w:r>
              <w:t xml:space="preserve"> </w:t>
            </w:r>
            <w:r>
              <w:rPr>
                <w:b/>
                <w:i/>
              </w:rPr>
              <w:t>rõhutab, et 2023. aasta kohtureform ei ole kohtusüsteemi sõltumatust oluliselt parandanud, mõistab hukka valitsuse hiljutise püüdluse siduda kohtunike tasustamise kauaoodatud korrigeerimine nende nõustumisega edasise poliitilise sekkumisega, mis kahjustab kohtusüsteemi sõltumatust;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kutsub komisjoni ja liikmesriike üles võitlema rassilise ja etnilise päritolu, usutunnistuse või veendumuste, rahvuse, poliitiliste vaadete, keele, puude, vanuse, soo, sealhulgas soolise identiteedi ja soolise eneseväljenduse ning seksuaalse sättumuse alusel diskrimineerimise vastu;</w:t>
            </w:r>
            <w:r>
              <w:t xml:space="preserve"> </w:t>
            </w:r>
            <w:r>
              <w:rPr>
                <w:b/>
                <w:i/>
              </w:rPr>
              <w:t>nõuab tungivalt, et nõukogu jõuaks direktiivi 2008/140/EÜ suhtes kokkuleppele;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taunib asjaolu, et Ungari valitsus ei ole astunud olulisi samme õigusriigi olukorda käsitleva 2024. aasta aruande soovituste rakendamiseks ning et Ungari on ainus liikmesriik, kelle suhtes kohaldatakse ELi lepingu artikli 7 lõike 1 kohast menetlust;</w:t>
            </w:r>
            <w:r>
              <w:t xml:space="preserve"> </w:t>
            </w:r>
            <w:r>
              <w:rPr>
                <w:b/>
                <w:i/>
              </w:rPr>
              <w:t>rõhutab, et õigusriigi põhimõtet järgitakse üha vähem;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kutsub Euroopa Komisjoni üles integreerima rassilise võrdsuse kaalutlused selgesõnaliselt tulevastesse õigusriigi olukorda käsitlevatesse aruannetesse ning nõudma, et liikmesriigid koguksid võrreldavaid ja usaldusväärseid liigendatud andmeid võrdõiguslikkuse kohta, et täielikult hinnata struktuurse diskrimineerimise mõju õigusriigile;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kutsub komisjoni ja liikmesriike üles tagama, et LGBTQIA+-inimeste õigusi austataks täielikult kogu ELi territooriumil ning et LGBTQIA+-inimesed saaksid elada turvaliselt, kasutada oma õigusi ja täielikult realiseerida oma potentsiaali;</w:t>
            </w:r>
            <w:r>
              <w:t xml:space="preserve"> </w:t>
            </w:r>
            <w:r>
              <w:rPr>
                <w:b/>
                <w:i/>
              </w:rPr>
              <w:t>kutsub komisjoni ja nõukogu üles muutma LGBTQIA+-inimeste õigused valdkondadevaheliseks prioriteediks kõigis poliitikavaldkondades;</w:t>
            </w:r>
            <w:r>
              <w:t xml:space="preserve"> </w:t>
            </w:r>
            <w:r>
              <w:rPr>
                <w:b/>
                <w:i/>
              </w:rPr>
              <w:t>kutsub komisjoni üles esitama asjakohaseid seadusandlikke meetmeid, et tagada nende põhimõtete järgimine, ning tuginema liikmesriikide vastu algatatud rikkumismenetlustele;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34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kordab oma üleskutset komisjonile võidelda kõigi diskrimineerivate tavade vastu ja kaitsta ELi põhiõiguste hartas sätestatud põhimõtteid;</w:t>
            </w:r>
            <w:r>
              <w:t xml:space="preserve"> </w:t>
            </w:r>
            <w:r>
              <w:rPr>
                <w:b/>
                <w:i/>
              </w:rPr>
              <w:t>nõuab tungivalt, et komisjon tagaks, et ELi territooriumil austatakse täielikult isikute vaba liikumist ELis, õigust vabalt elada ja õigust perekonna taasühinemisele ning et igal kodanikul on võrdsed õigused ja ta saab oma õigusi täielikult kasutada;</w:t>
            </w:r>
            <w:r>
              <w:t xml:space="preserve"> </w:t>
            </w:r>
            <w:r>
              <w:rPr>
                <w:b/>
                <w:i/>
              </w:rPr>
              <w:t>kutsub komisjoni üles direktiivi 2004/38/EÜ uuesti sõnastama, et lisada sellesse perekonnaõiguste, sealhulgas samasooliste vanemate vanemluse piiriülene tunnustamine, võttes arvesse Euroopa Liidu Kohtu viimaseid otsuseid;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rõhutab, kui oluline on lõimida õigusriigi olukorda käsitlevad vahe-eesmärgid sellistesse rahastamisvahenditesse nagu taaste- ja vastupidavusrahastu;</w:t>
            </w:r>
            <w:r>
              <w:t xml:space="preserve"> </w:t>
            </w:r>
            <w:r>
              <w:rPr>
                <w:b/>
                <w:i/>
              </w:rPr>
              <w:t>taunib ELi rahaliste vahendite eraldamist Ungarile, hoolimata puudustest selle riigi kohtusüsteemi sõltumatuses ja korruptsioonivastastes raamistikes;</w:t>
            </w:r>
            <w:r>
              <w:t xml:space="preserve"> </w:t>
            </w:r>
            <w:r>
              <w:rPr>
                <w:b/>
                <w:i/>
              </w:rPr>
              <w:t>soovitab peatada väljamaksed seniks, kuni kõik õigusriigiga seotud kriteeriumid on täidetud;</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rõhutab, kui oluline on lõimida õigusriigi olukorda käsitlevad vahe-eesmärgid sellistesse rahastamisvahenditesse nagu taaste- ja vastupidavusrahastu;</w:t>
            </w:r>
            <w:r>
              <w:t xml:space="preserve"> </w:t>
            </w:r>
            <w:r>
              <w:rPr>
                <w:b/>
                <w:i/>
              </w:rPr>
              <w:t>taunib ELi rahaliste vahendite eraldamist Ungarile, hoolimata puudustest selle riigi kohtusüsteemi sõltumatuses ja korruptsioonivastastes raamistikes;</w:t>
            </w:r>
            <w:r>
              <w:t xml:space="preserve"> </w:t>
            </w:r>
            <w:r>
              <w:rPr>
                <w:b/>
                <w:i/>
              </w:rPr>
              <w:t>soovitab peatada väljamaksed seniks, kuni kõik õigusriigiga seotud kriteeriumid on täidetud;</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rõhutab, kui oluline on lõimida õigusriigi olukorda käsitlevad vahe-eesmärgid sellistesse rahastamisvahenditesse nagu taaste- ja vastupidavusrahastu;</w:t>
            </w:r>
            <w:r>
              <w:t xml:space="preserve"> </w:t>
            </w:r>
            <w:r>
              <w:rPr>
                <w:b/>
                <w:i/>
              </w:rPr>
              <w:t>taunib ELi rahaliste vahendite eraldamist Ungarile, hoolimata puudustest selle riigi kohtusüsteemi sõltumatuses ja korruptsioonivastastes raamistikes;</w:t>
            </w:r>
            <w:r>
              <w:t xml:space="preserve"> </w:t>
            </w:r>
            <w:r>
              <w:rPr>
                <w:b/>
                <w:i/>
              </w:rPr>
              <w:t>soovitab peatada väljamaksed seniks, kuni kõik õigusriigiga seotud kriteeriumid on täidetud;</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rõhutab, kui oluline on lõimida õigusriigi olukorda käsitlevad vahe-eesmärgid sellistesse rahastamisvahenditesse nagu taaste- ja vastupidavusrahastu; taunib ELi rahaliste vahendite eraldamist </w:t>
            </w:r>
            <w:r>
              <w:rPr>
                <w:b/>
                <w:i/>
              </w:rPr>
              <w:t>Ungarile</w:t>
            </w:r>
            <w:r>
              <w:t>, hoolimata puudustest selle riigi kohtusüsteemi sõltumatuses ja korruptsioonivastastes raamistikes; soovitab peatada väljamaksed seniks, kuni kõik õigusriigiga seotud kriteeriumid on täidetud;</w:t>
            </w:r>
          </w:p>
        </w:tc>
        <w:tc>
          <w:tcPr>
            <w:tcW w:w="4876" w:type="dxa"/>
            <w:tcBorders>
              <w:top w:val="nil"/>
              <w:left w:val="nil"/>
              <w:bottom w:val="nil"/>
              <w:right w:val="nil"/>
            </w:tcBorders>
          </w:tcPr>
          <w:p>
            <w:pPr>
              <w:pStyle w:val="Normal6a"/>
            </w:pPr>
            <w:r>
              <w:t>35.</w:t>
            </w:r>
            <w:r>
              <w:tab/>
            </w:r>
            <w:r>
              <w:t xml:space="preserve">rõhutab, kui oluline on lõimida õigusriigi olukorda käsitlevad vahe-eesmärgid sellistesse rahastamisvahenditesse nagu taaste- ja vastupidavusrahastu; taunib ELi rahaliste vahendite eraldamist </w:t>
            </w:r>
            <w:r>
              <w:rPr>
                <w:b/>
                <w:i/>
              </w:rPr>
              <w:t>Ungari valitsusele</w:t>
            </w:r>
            <w:r>
              <w:t xml:space="preserve">, hoolimata </w:t>
            </w:r>
            <w:r>
              <w:rPr>
                <w:b/>
                <w:i/>
              </w:rPr>
              <w:t>jätkuvatest ja tõsistest</w:t>
            </w:r>
            <w:r>
              <w:t xml:space="preserve"> puudustest selle riigi kohtusüsteemi sõltumatuses ja korruptsioonivastastes raamistikes; soovitab peatada väljamaksed seniks, kuni kõik õigusriigiga seotud kriteeriumid on täidetud; </w:t>
            </w:r>
            <w:r>
              <w:rPr>
                <w:b/>
                <w:i/>
              </w:rPr>
              <w:t>nõuab tungivalt, et nõukogu lõpetaks Ungari vastu algatatud artikli 7 kohase menetluse järgmiste sammude blokeerimise, võttes arvesse ELi väärtuste jätkuvat rikkumist, sealhulgas rünnakuid kohtusüsteemi sõltumatuse, meediavabaduse ja kodanikuühiskonna vastu, mis nõuab viivitamatuid ja otsustavaid meetmeid õigusriigi kaitsmiseks ELis;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rõhutab, kui oluline on lõimida</w:t>
            </w:r>
            <w:r>
              <w:t xml:space="preserve"> õigusriigi </w:t>
            </w:r>
            <w:r>
              <w:rPr>
                <w:b/>
                <w:i/>
              </w:rPr>
              <w:t>olukorda käsitlevad vahe-eesmärgid sellistesse rahastamisvahenditesse nagu taaste- ja vastupidavusrahastu;</w:t>
            </w:r>
            <w:r>
              <w:t xml:space="preserve"> </w:t>
            </w:r>
            <w:r>
              <w:rPr>
                <w:b/>
                <w:i/>
              </w:rPr>
              <w:t>taunib ELi rahaliste vahendite eraldamist Ungarile, hoolimata puudustest selle riigi kohtusüsteemi sõltumatuses ja korruptsioonivastastes raamistikes;</w:t>
            </w:r>
            <w:r>
              <w:t xml:space="preserve"> </w:t>
            </w:r>
            <w:r>
              <w:rPr>
                <w:b/>
                <w:i/>
              </w:rPr>
              <w:t>soovitab peatada väljamaksed seniks, kuni kõik õigusriigiga seotud kriteeriumid on täidetud</w:t>
            </w:r>
            <w:r>
              <w:t>;</w:t>
            </w:r>
          </w:p>
        </w:tc>
        <w:tc>
          <w:tcPr>
            <w:tcW w:w="4876" w:type="dxa"/>
            <w:tcBorders>
              <w:top w:val="nil"/>
              <w:left w:val="nil"/>
              <w:bottom w:val="nil"/>
              <w:right w:val="nil"/>
            </w:tcBorders>
          </w:tcPr>
          <w:p>
            <w:pPr>
              <w:pStyle w:val="Normal6a"/>
            </w:pPr>
            <w:r>
              <w:t>35.</w:t>
            </w:r>
            <w:r>
              <w:tab/>
            </w:r>
            <w:r>
              <w:rPr>
                <w:b/>
                <w:i/>
              </w:rPr>
              <w:t>võtab murega teadmiseks komisjoni poliitiliselt kallutatud järelevalve õigusriigi võrdlusaluste üle</w:t>
            </w:r>
            <w:r>
              <w:t xml:space="preserve"> õigusriigi </w:t>
            </w:r>
            <w:r>
              <w:rPr>
                <w:b/>
                <w:i/>
              </w:rPr>
              <w:t>meetmete kogumi kaudu;</w:t>
            </w:r>
            <w:r>
              <w:t xml:space="preserve"> </w:t>
            </w:r>
            <w:r>
              <w:rPr>
                <w:b/>
                <w:i/>
              </w:rPr>
              <w:t>kutsub komisjoni üles lõpetama poliitilised rünnakud parempoolsete ja konservatiivsete valitsuste vastu;</w:t>
            </w:r>
            <w:r>
              <w:t xml:space="preserve"> </w:t>
            </w:r>
            <w:r>
              <w:rPr>
                <w:b/>
                <w:i/>
              </w:rPr>
              <w:t>rõhutab, et Ungari on langenud oma lastekaitseseaduse, riikliku suveräänsuse kaitse seaduse ja tugeva rändepoliitika tõttu komisjoni rahalise ja poliitilise väljapressimise ohvriks;</w:t>
            </w:r>
            <w:r>
              <w:t xml:space="preserve"> </w:t>
            </w:r>
            <w:r>
              <w:rPr>
                <w:b/>
                <w:i/>
              </w:rPr>
              <w:t>tuletab meelde, et Ungaril on õigus kõigile ELi rahalistele vahenditele, mille komisjon on ebaseaduslikult kinni pidanud;</w:t>
            </w:r>
            <w:r>
              <w:t xml:space="preserve"> </w:t>
            </w:r>
            <w:r>
              <w:rPr>
                <w:b/>
                <w:i/>
              </w:rPr>
              <w:t>kutsub Euroopa Komisjoni üles vabastama ülejäänud 20 miljardit eurot ELi vahendeid, millele Ungaril on õigus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rõhutab, kui oluline on lõimida</w:t>
            </w:r>
            <w:r>
              <w:t xml:space="preserve"> õigusriigi olukorda </w:t>
            </w:r>
            <w:r>
              <w:rPr>
                <w:b/>
                <w:i/>
              </w:rPr>
              <w:t>käsitlevad vahe-eesmärgid</w:t>
            </w:r>
            <w:r>
              <w:t xml:space="preserve"> sellistesse rahastamisvahenditesse nagu taaste- ja vastupidavusrahastu; </w:t>
            </w:r>
            <w:r>
              <w:rPr>
                <w:b/>
                <w:i/>
              </w:rPr>
              <w:t>taunib ELi rahaliste vahendite eraldamist Ungarile, hoolimata puudustest selle riigi kohtusüsteemi sõltumatuses ja korruptsioonivastastes raamistikes;</w:t>
            </w:r>
            <w:r>
              <w:t xml:space="preserve"> </w:t>
            </w:r>
            <w:r>
              <w:rPr>
                <w:b/>
                <w:i/>
              </w:rPr>
              <w:t>soovitab peatada väljamaksed seniks, kuni kõik õigusriigiga seotud kriteeriumid on täidetud;</w:t>
            </w:r>
          </w:p>
        </w:tc>
        <w:tc>
          <w:tcPr>
            <w:tcW w:w="4876" w:type="dxa"/>
            <w:tcBorders>
              <w:top w:val="nil"/>
              <w:left w:val="nil"/>
              <w:bottom w:val="nil"/>
              <w:right w:val="nil"/>
            </w:tcBorders>
          </w:tcPr>
          <w:p>
            <w:pPr>
              <w:pStyle w:val="Normal6a"/>
            </w:pPr>
            <w:r>
              <w:t>35.</w:t>
            </w:r>
            <w:r>
              <w:tab/>
            </w:r>
            <w:r>
              <w:rPr>
                <w:b/>
                <w:i/>
              </w:rPr>
              <w:t>võtab teadmiseks</w:t>
            </w:r>
            <w:r>
              <w:t xml:space="preserve"> õigusriigi olukorda </w:t>
            </w:r>
            <w:r>
              <w:rPr>
                <w:b/>
                <w:i/>
              </w:rPr>
              <w:t>käsitlevate vahe-eesmärkide lõimimise</w:t>
            </w:r>
            <w:r>
              <w:t xml:space="preserve"> sellistesse rahastamisvahenditesse nagu taaste- ja vastupidavusrahastu;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rõhutab, kui oluline on lõimida õigusriigi olukorda käsitlevad vahe-eesmärgid sellistesse rahastamisvahenditesse nagu taaste- ja vastupidavusrahastu; taunib ELi rahaliste vahendite eraldamist </w:t>
            </w:r>
            <w:r>
              <w:rPr>
                <w:b/>
                <w:i/>
              </w:rPr>
              <w:t>Ungarile</w:t>
            </w:r>
            <w:r>
              <w:t xml:space="preserve">, hoolimata puudustest selle riigi kohtusüsteemi sõltumatuses ja korruptsioonivastastes raamistikes; soovitab peatada väljamaksed seniks, kuni kõik õigusriigiga seotud kriteeriumid </w:t>
            </w:r>
            <w:r>
              <w:rPr>
                <w:b/>
                <w:i/>
              </w:rPr>
              <w:t>on täidetud</w:t>
            </w:r>
            <w:r>
              <w:t>;</w:t>
            </w:r>
          </w:p>
        </w:tc>
        <w:tc>
          <w:tcPr>
            <w:tcW w:w="4876" w:type="dxa"/>
            <w:tcBorders>
              <w:top w:val="nil"/>
              <w:left w:val="nil"/>
              <w:bottom w:val="nil"/>
              <w:right w:val="nil"/>
            </w:tcBorders>
          </w:tcPr>
          <w:p>
            <w:pPr>
              <w:pStyle w:val="Normal6a"/>
            </w:pPr>
            <w:r>
              <w:t>35.</w:t>
            </w:r>
            <w:r>
              <w:tab/>
            </w:r>
            <w:r>
              <w:t xml:space="preserve">rõhutab, kui oluline on lõimida õigusriigi olukorda käsitlevad vahe-eesmärgid sellistesse rahastamisvahenditesse nagu taaste- ja vastupidavusrahastu; taunib ELi rahaliste vahendite eraldamist </w:t>
            </w:r>
            <w:r>
              <w:rPr>
                <w:b/>
                <w:i/>
              </w:rPr>
              <w:t>Ungari valitsusele</w:t>
            </w:r>
            <w:r>
              <w:t xml:space="preserve">, hoolimata puudustest selle riigi kohtusüsteemi sõltumatuses ja korruptsioonivastastes raamistikes; soovitab peatada väljamaksed </w:t>
            </w:r>
            <w:r>
              <w:rPr>
                <w:b/>
                <w:i/>
              </w:rPr>
              <w:t>Ungari valitsusele</w:t>
            </w:r>
            <w:r>
              <w:t xml:space="preserve"> seniks, kuni </w:t>
            </w:r>
            <w:r>
              <w:rPr>
                <w:b/>
                <w:i/>
              </w:rPr>
              <w:t>see täidab</w:t>
            </w:r>
            <w:r>
              <w:t xml:space="preserve"> kõik õigusriigiga seotud kriteeriumid</w:t>
            </w:r>
            <w:r>
              <w:rPr>
                <w:b/>
                <w:i/>
              </w:rPr>
              <w:t>;</w:t>
            </w:r>
            <w:r>
              <w:t xml:space="preserve"> </w:t>
            </w:r>
            <w:r>
              <w:rPr>
                <w:b/>
                <w:i/>
              </w:rPr>
              <w:t>nõuab tungivalt, et komisjon tagaks, et ELi vahendid jõuaksid Ungari elanikkonnani, sealhulgas lõplike vahendite saajate ja Ungari valitsusest sõltumatute toetusesaajate otsese või kaudse rahastamise kaudu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rõhutab, </w:t>
            </w:r>
            <w:r>
              <w:rPr>
                <w:b/>
                <w:i/>
              </w:rPr>
              <w:t>kui oluline on lõimida</w:t>
            </w:r>
            <w:r>
              <w:t xml:space="preserve"> õigusriigi olukorda </w:t>
            </w:r>
            <w:r>
              <w:rPr>
                <w:b/>
                <w:i/>
              </w:rPr>
              <w:t>käsitlevad vahe-eesmärgid sellistesse rahastamisvahenditesse</w:t>
            </w:r>
            <w:r>
              <w:t xml:space="preserve"> nagu taaste- ja vastupidavusrahastu</w:t>
            </w:r>
            <w:r>
              <w:rPr>
                <w:b/>
                <w:i/>
              </w:rPr>
              <w:t>;</w:t>
            </w:r>
            <w:r>
              <w:t xml:space="preserve"> </w:t>
            </w:r>
            <w:r>
              <w:rPr>
                <w:b/>
                <w:i/>
              </w:rPr>
              <w:t>taunib</w:t>
            </w:r>
            <w:r>
              <w:t xml:space="preserve"> ELi rahaliste vahendite </w:t>
            </w:r>
            <w:r>
              <w:rPr>
                <w:b/>
                <w:i/>
              </w:rPr>
              <w:t>eraldamist</w:t>
            </w:r>
            <w:r>
              <w:t xml:space="preserve"> Ungarile, </w:t>
            </w:r>
            <w:r>
              <w:rPr>
                <w:b/>
                <w:i/>
              </w:rPr>
              <w:t>hoolimata puudustest selle</w:t>
            </w:r>
            <w:r>
              <w:t xml:space="preserve"> riigi kohtusüsteemi sõltumatuses ja </w:t>
            </w:r>
            <w:r>
              <w:rPr>
                <w:b/>
                <w:i/>
              </w:rPr>
              <w:t>korruptsioonivastastes raamistikes;</w:t>
            </w:r>
            <w:r>
              <w:t xml:space="preserve"> </w:t>
            </w:r>
            <w:r>
              <w:rPr>
                <w:b/>
                <w:i/>
              </w:rPr>
              <w:t>soovitab peatada</w:t>
            </w:r>
            <w:r>
              <w:t xml:space="preserve"> väljamaksed </w:t>
            </w:r>
            <w:r>
              <w:rPr>
                <w:b/>
                <w:i/>
              </w:rPr>
              <w:t>seniks, kuni kõik õigusriigiga</w:t>
            </w:r>
            <w:r>
              <w:t xml:space="preserve"> seotud </w:t>
            </w:r>
            <w:r>
              <w:rPr>
                <w:b/>
                <w:i/>
              </w:rPr>
              <w:t>kriteeriumid on täidetud</w:t>
            </w:r>
            <w:r>
              <w:t>;</w:t>
            </w:r>
          </w:p>
        </w:tc>
        <w:tc>
          <w:tcPr>
            <w:tcW w:w="4876" w:type="dxa"/>
            <w:tcBorders>
              <w:top w:val="nil"/>
              <w:left w:val="nil"/>
              <w:bottom w:val="nil"/>
              <w:right w:val="nil"/>
            </w:tcBorders>
          </w:tcPr>
          <w:p>
            <w:pPr>
              <w:pStyle w:val="Normal6a"/>
            </w:pPr>
            <w:r>
              <w:t>35.</w:t>
            </w:r>
            <w:r>
              <w:tab/>
            </w:r>
            <w:r>
              <w:t xml:space="preserve">rõhutab, </w:t>
            </w:r>
            <w:r>
              <w:rPr>
                <w:b/>
                <w:i/>
              </w:rPr>
              <w:t>et</w:t>
            </w:r>
            <w:r>
              <w:t xml:space="preserve"> õigusriigi olukorda </w:t>
            </w:r>
            <w:r>
              <w:rPr>
                <w:b/>
                <w:i/>
              </w:rPr>
              <w:t>käsitlevate vahe-eesmärkide kohaldamine rahastamisvahendites,</w:t>
            </w:r>
            <w:r>
              <w:t xml:space="preserve"> nagu taaste- ja vastupidavusrahastu</w:t>
            </w:r>
            <w:r>
              <w:rPr>
                <w:b/>
                <w:i/>
              </w:rPr>
              <w:t>, ei ole kooskõlas kohustusega täita aluslepinguid ja järgida objektiivsetel kriteeriumidel põhinevat lähenemisviisi;</w:t>
            </w:r>
            <w:r>
              <w:t xml:space="preserve"> </w:t>
            </w:r>
            <w:r>
              <w:rPr>
                <w:b/>
                <w:i/>
              </w:rPr>
              <w:t>võtab teadmiseks</w:t>
            </w:r>
            <w:r>
              <w:t xml:space="preserve"> ELi rahaliste vahendite </w:t>
            </w:r>
            <w:r>
              <w:rPr>
                <w:b/>
                <w:i/>
              </w:rPr>
              <w:t>eraldamise</w:t>
            </w:r>
            <w:r>
              <w:t xml:space="preserve"> Ungarile, </w:t>
            </w:r>
            <w:r>
              <w:rPr>
                <w:b/>
                <w:i/>
              </w:rPr>
              <w:t>mis ei ole vastuolus aluslepingutega, ning et väidetavaid puudusi</w:t>
            </w:r>
            <w:r>
              <w:t xml:space="preserve"> riigi kohtusüsteemi sõltumatuses ja </w:t>
            </w:r>
            <w:r>
              <w:rPr>
                <w:b/>
                <w:i/>
              </w:rPr>
              <w:t>korruptsioonivastases raamistikus tuleks käsitleda menetlustes, mis on aluslepingutega kooskõlas;</w:t>
            </w:r>
            <w:r>
              <w:t xml:space="preserve"> </w:t>
            </w:r>
            <w:r>
              <w:rPr>
                <w:b/>
                <w:i/>
              </w:rPr>
              <w:t>rõhutab, et</w:t>
            </w:r>
            <w:r>
              <w:t xml:space="preserve"> väljamaksed </w:t>
            </w:r>
            <w:r>
              <w:rPr>
                <w:b/>
                <w:i/>
              </w:rPr>
              <w:t>ELi vahenditest ei ole</w:t>
            </w:r>
            <w:r>
              <w:t xml:space="preserve"> seotud </w:t>
            </w:r>
            <w:r>
              <w:rPr>
                <w:b/>
                <w:i/>
              </w:rPr>
              <w:t>meelevaldsete õigusriigiga seotud kriteeriumidega</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rõhutab, kui oluline on lõimida õigusriigi olukorda käsitlevad vahe-eesmärgid sellistesse rahastamisvahenditesse nagu taaste- ja vastupidavusrahastu; taunib ELi rahaliste vahendite eraldamist </w:t>
            </w:r>
            <w:r>
              <w:rPr>
                <w:b/>
                <w:i/>
              </w:rPr>
              <w:t>Ungarile</w:t>
            </w:r>
            <w:r>
              <w:t xml:space="preserve">, hoolimata puudustest selle riigi kohtusüsteemi sõltumatuses ja korruptsioonivastastes raamistikes; soovitab peatada väljamaksed seniks, kuni kõik õigusriigiga seotud kriteeriumid </w:t>
            </w:r>
            <w:r>
              <w:rPr>
                <w:b/>
                <w:i/>
              </w:rPr>
              <w:t>on täidetud</w:t>
            </w:r>
            <w:r>
              <w:t>;</w:t>
            </w:r>
          </w:p>
        </w:tc>
        <w:tc>
          <w:tcPr>
            <w:tcW w:w="4876" w:type="dxa"/>
            <w:tcBorders>
              <w:top w:val="nil"/>
              <w:left w:val="nil"/>
              <w:bottom w:val="nil"/>
              <w:right w:val="nil"/>
            </w:tcBorders>
          </w:tcPr>
          <w:p>
            <w:pPr>
              <w:pStyle w:val="Normal6a"/>
            </w:pPr>
            <w:r>
              <w:t>35.</w:t>
            </w:r>
            <w:r>
              <w:tab/>
            </w:r>
            <w:r>
              <w:t xml:space="preserve">rõhutab, kui oluline on lõimida õigusriigi olukorda käsitlevad vahe-eesmärgid sellistesse rahastamisvahenditesse nagu taaste- ja vastupidavusrahastu; taunib ELi rahaliste vahendite eraldamist </w:t>
            </w:r>
            <w:r>
              <w:rPr>
                <w:b/>
                <w:i/>
              </w:rPr>
              <w:t>Ungari valitsusele</w:t>
            </w:r>
            <w:r>
              <w:t xml:space="preserve">, hoolimata puudustest selle riigi kohtusüsteemi sõltumatuses ja korruptsioonivastastes raamistikes; soovitab peatada väljamaksed </w:t>
            </w:r>
            <w:r>
              <w:rPr>
                <w:b/>
                <w:i/>
              </w:rPr>
              <w:t>Ungari valitsusele</w:t>
            </w:r>
            <w:r>
              <w:t xml:space="preserve"> seniks, kuni </w:t>
            </w:r>
            <w:r>
              <w:rPr>
                <w:b/>
                <w:i/>
              </w:rPr>
              <w:t>see täidab</w:t>
            </w:r>
            <w:r>
              <w:t xml:space="preserve"> kõik õigusriigiga seotud kriteeriumid</w:t>
            </w:r>
            <w:r>
              <w:rPr>
                <w:b/>
                <w:i/>
              </w:rPr>
              <w:t>;</w:t>
            </w:r>
            <w:r>
              <w:t xml:space="preserve"> </w:t>
            </w:r>
            <w:r>
              <w:rPr>
                <w:b/>
                <w:i/>
              </w:rPr>
              <w:t>nõuab tungivalt, et komisjon tagaks, et ELi vahendid jõuaksid Ungari elanikkonnani, säilitades samal ajal võetud meetmete täieliku mõju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kodanikuvabaduste, justiits- ja siseasjade komisjoni nimel</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rõhutab, kui oluline on lõimida õigusriigi olukorda käsitlevad vahe-eesmärgid sellistesse rahastamisvahenditesse nagu taaste- ja vastupidavusrahastu; taunib ELi rahaliste vahendite eraldamist Ungarile, hoolimata puudustest selle riigi kohtusüsteemi sõltumatuses ja korruptsioonivastastes raamistikes; soovitab peatada väljamaksed seniks, kuni kõik õigusriigiga seotud kriteeriumid on täidetud;</w:t>
            </w:r>
          </w:p>
        </w:tc>
        <w:tc>
          <w:tcPr>
            <w:tcW w:w="4876" w:type="dxa"/>
            <w:tcBorders>
              <w:top w:val="nil"/>
              <w:left w:val="nil"/>
              <w:bottom w:val="nil"/>
              <w:right w:val="nil"/>
            </w:tcBorders>
          </w:tcPr>
          <w:p>
            <w:pPr>
              <w:pStyle w:val="Normal6a"/>
            </w:pPr>
            <w:r>
              <w:t>35.</w:t>
            </w:r>
            <w:r>
              <w:tab/>
            </w:r>
            <w:r>
              <w:t xml:space="preserve">rõhutab, kui oluline on lõimida õigusriigi olukorda käsitlevad vahe-eesmärgid sellistesse rahastamisvahenditesse nagu taaste- ja vastupidavusrahastu; </w:t>
            </w:r>
            <w:r>
              <w:rPr>
                <w:b/>
                <w:i/>
              </w:rPr>
              <w:t>nõuab, et tulevane mitmeaastane finantsraamistik sisaldaks tugevaid õigusriigi kaitsemeetmeid, mida kohaldatakse kõigi ELi vahendite suhtes;</w:t>
            </w:r>
            <w:r>
              <w:t xml:space="preserve"> taunib ELi rahaliste vahendite eraldamist Ungarile, hoolimata puudustest selle riigi kohtusüsteemi sõltumatuses ja korruptsioonivastastes raamistikes; soovitab peatada väljamaksed seniks, kuni kõik õigusriigiga seotud kriteeriumid on täidetud;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väljendab sügavat muret paremäärmusluse tõusu ja selle hävitava mõju pärast demokraatlikele normidele ja õigusriigi põhimõttele mitmes liikmesriigis;</w:t>
            </w:r>
            <w:r>
              <w:t xml:space="preserve"> </w:t>
            </w:r>
            <w:r>
              <w:rPr>
                <w:b/>
                <w:i/>
              </w:rPr>
              <w:t>nõuab, et EL võtaks selle ohu vastu võitlemiseks kooskõlastatud meetmeid, sealhulgas hariduse, sotsiaalse kaasamise programmide ja vajaduse korral õiguslike meetmete kaudu;</w:t>
            </w:r>
            <w:r>
              <w:t xml:space="preserve"> </w:t>
            </w:r>
            <w:r>
              <w:rPr>
                <w:b/>
                <w:i/>
              </w:rPr>
              <w:t>märgib murega, et need rühmad on aktiivselt sihikule võtnud vähemused, sealhulgas LGBTQI+ üksikisikud, ning aitavad kaasa hirmu ja diskrimineerimise õhkkonna tekitamisele;</w:t>
            </w:r>
            <w:r>
              <w:t xml:space="preserve"> </w:t>
            </w:r>
            <w:r>
              <w:rPr>
                <w:b/>
                <w:i/>
              </w:rPr>
              <w:t>kutsub komisjoni üles oma iga-aastases õigusriigi olukorda käsitlevas aruandes selgelt määratlema sellised rühmitused ohuna demokraatiale, inimõigustele ja põhivabadustele, sealhulgas akadeemilisele ja meedia sõltumatusele;</w:t>
            </w:r>
            <w:r>
              <w:t xml:space="preserve"> </w:t>
            </w:r>
            <w:r>
              <w:rPr>
                <w:b/>
                <w:i/>
              </w:rPr>
              <w:t>nõuab tungivalt, et liikmesriigid võtaksid nende mõju vastu võitlemiseks otsustavaid meetmeid, mis hõlmavad tugevaid õigusraamistikke, demokraatlikke väärtusi edendavat haridust ja äärmusluse vastu võitlevate kodanikuühiskonna organisatsioonide toetamist;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nõuab, et mitmeaastase finantsraamistiku määrusesse lisataks tulemuspõhine vahend, mis põhineb inimväärikuse, vabaduse, demokraatia, võrdsuse, õigusriigi ja inimõiguste austamisel, et tagada suurem kooskõla nende põhimõtete järgimise ja ELi vahendite eraldamise vahel;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nõuab, et vahe-eesmärkide loogika kohaselt loodaks tihedam seos õigusriigi olukorda käsitleva aruande järelduste ja liidu eelarvest rahalise toetuse eraldamise vahel, tagades, et ELi vahendid on seotud vajalike reformide elluviimisega;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väljendab muret selle pärast, et iga-aastase õigusriigi olukorda käsitleva aruande avaldamise kuupäev ei soodusta piisava nähtavuse saavutamist ja on vastuolus aruande kavandatud eesmärgiga luua tõeline avalik arutelu aruande järelduste üle;</w:t>
            </w:r>
            <w:r>
              <w:t xml:space="preserve"> </w:t>
            </w:r>
            <w:r>
              <w:rPr>
                <w:b/>
                <w:i/>
              </w:rPr>
              <w:t>nõuab tungivalt, et komisjon vaataks avaldamise kuupäeva uuesti läbi ja teeks lisapingutusi, et teha oma järeldused kõigis liikmesriikides laialdaselt teatavaks;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ootab, et õigusriigi olukorda käsitlevas komisjoni 2025. aasta aruandes kehtestatakse tähtajad riigipõhiste soovituste rakendamiseks;</w:t>
            </w:r>
            <w:r>
              <w:t xml:space="preserve"> </w:t>
            </w:r>
            <w:r>
              <w:rPr>
                <w:b/>
                <w:i/>
              </w:rPr>
              <w:t>on seisukohal, et külmutatud ELi rahalised vahendid tuleks vabastada alles siis, kui sisulised reformid on täielikult ellu viidud ja õigusriigi põhimõtte järgimine on praktikas tõendatult saavutatud;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julgustab liikmesriike tugevdama keskkonnademokraatiat, tagades Århusi konventsiooni täieliku rakendamise, eelkõige seoses õiguskaitse kättesaadavusega keskkonnaküsimustes ning keskkonnaaktivistide ja -organisatsioonide kaitsega;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on veendunud, et ELi tasandil tuleks tugevdada institutsioonidevahelist dialoogi ja koostööd õigusriigi põhimõtete valdkonnas;</w:t>
            </w:r>
            <w:r>
              <w:t xml:space="preserve"> </w:t>
            </w:r>
            <w:r>
              <w:rPr>
                <w:b/>
                <w:i/>
              </w:rPr>
              <w:t>nõuab, et õigusriigi olukorra teemal algatataks alaline institutsioonidevaheline dialoog, milles osaleksid muu hulgas Euroopa Parlament, nõukogu ja komisjon;</w:t>
            </w:r>
            <w:r>
              <w:t xml:space="preserve"> </w:t>
            </w:r>
            <w:r>
              <w:rPr>
                <w:b/>
                <w:i/>
              </w:rPr>
              <w:t>kutsub nõukogu üles muutma õigusriigi olukorda käsitleva dialoogi kaasavamaks, kutsudes oma istungitest osa võtma teisi institutsioone, nagu Veneetsia komisjon, inimõiguste volinik ja Euroopa Parlamendi esindajad;</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on veendunud, et ELi tasandil tuleks tugevdada institutsioonidevahelist dialoogi ja koostööd õigusriigi põhimõtete valdkonnas;</w:t>
            </w:r>
            <w:r>
              <w:t xml:space="preserve"> </w:t>
            </w:r>
            <w:r>
              <w:rPr>
                <w:b/>
                <w:i/>
              </w:rPr>
              <w:t>nõuab, et õigusriigi olukorra teemal algatataks alaline institutsioonidevaheline dialoog, milles osaleksid muu hulgas Euroopa Parlament, nõukogu ja komisjon;</w:t>
            </w:r>
            <w:r>
              <w:t xml:space="preserve"> </w:t>
            </w:r>
            <w:r>
              <w:rPr>
                <w:b/>
                <w:i/>
              </w:rPr>
              <w:t>kutsub nõukogu üles muutma õigusriigi olukorda käsitleva dialoogi kaasavamaks, kutsudes oma istungitest osa võtma teisi institutsioone, nagu Veneetsia komisjon, inimõiguste volinik ja Euroopa Parlamendi esindajad;</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on veendunud, et ELi tasandil tuleks tugevdada institutsioonidevahelist dialoogi ja koostööd õigusriigi põhimõtete valdkonnas;</w:t>
            </w:r>
            <w:r>
              <w:t xml:space="preserve"> </w:t>
            </w:r>
            <w:r>
              <w:rPr>
                <w:b/>
                <w:i/>
              </w:rPr>
              <w:t>nõuab, et õigusriigi olukorra teemal algatataks alaline institutsioonidevaheline dialoog, milles osaleksid muu hulgas Euroopa Parlament, nõukogu ja komisjon;</w:t>
            </w:r>
            <w:r>
              <w:t xml:space="preserve"> </w:t>
            </w:r>
            <w:r>
              <w:rPr>
                <w:b/>
                <w:i/>
              </w:rPr>
              <w:t>kutsub nõukogu üles muutma õigusriigi olukorda käsitleva dialoogi kaasavamaks, kutsudes oma istungitest osa võtma teisi institutsioone, nagu Veneetsia komisjon, inimõiguste volinik ja Euroopa Parlamendi esindajad;</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on veendunud, et ELi tasandil tuleks tugevdada institutsioonidevahelist dialoogi ja koostööd õigusriigi põhimõtete valdkonnas; </w:t>
            </w:r>
            <w:r>
              <w:rPr>
                <w:b/>
                <w:i/>
              </w:rPr>
              <w:t>nõuab, et õigusriigi olukorra teemal algatataks alaline</w:t>
            </w:r>
            <w:r>
              <w:t xml:space="preserve"> institutsioonidevaheline </w:t>
            </w:r>
            <w:r>
              <w:rPr>
                <w:b/>
                <w:i/>
              </w:rPr>
              <w:t>dialoog, milles osaleksid muu hulgas Euroopa Parlament, nõukogu ja komisjon</w:t>
            </w:r>
            <w:r>
              <w:t>; kutsub nõukogu üles muutma õigusriigi olukorda käsitleva dialoogi kaasavamaks, kutsudes oma istungitest osa võtma teisi institutsioone, nagu Veneetsia komisjon, inimõiguste volinik ja Euroopa Parlamendi esindajad;</w:t>
            </w:r>
          </w:p>
        </w:tc>
        <w:tc>
          <w:tcPr>
            <w:tcW w:w="4876" w:type="dxa"/>
            <w:tcBorders>
              <w:top w:val="nil"/>
              <w:left w:val="nil"/>
              <w:bottom w:val="nil"/>
              <w:right w:val="nil"/>
            </w:tcBorders>
          </w:tcPr>
          <w:p>
            <w:pPr>
              <w:pStyle w:val="Normal6a"/>
            </w:pPr>
            <w:r>
              <w:t>36.</w:t>
            </w:r>
            <w:r>
              <w:tab/>
            </w:r>
            <w:r>
              <w:t xml:space="preserve">on veendunud, et ELi tasandil tuleks tugevdada institutsioonidevahelist dialoogi ja koostööd õigusriigi põhimõtete valdkonnas; </w:t>
            </w:r>
            <w:r>
              <w:rPr>
                <w:b/>
                <w:i/>
              </w:rPr>
              <w:t>peab kahetsusväärseks, et komisjon ja nõukogu on siiani tagasi lükanud parlamendi ettepaneku sõlmida</w:t>
            </w:r>
            <w:r>
              <w:t xml:space="preserve"> institutsioonidevaheline </w:t>
            </w:r>
            <w:r>
              <w:rPr>
                <w:b/>
                <w:i/>
              </w:rPr>
              <w:t>kokkulepe demokraatia, õigusriigi ja põhiõiguste kohta;</w:t>
            </w:r>
            <w:r>
              <w:t xml:space="preserve"> </w:t>
            </w:r>
            <w:r>
              <w:rPr>
                <w:b/>
                <w:i/>
              </w:rPr>
              <w:t>kinnitab veel kord oma valmisolekut jätkata läbirääkimisi selle kokkuleppe üle;</w:t>
            </w:r>
            <w:r>
              <w:t xml:space="preserve"> </w:t>
            </w:r>
            <w:r>
              <w:rPr>
                <w:b/>
                <w:i/>
              </w:rPr>
              <w:t>kutsub teisi institutsioone üles uurima vahepeal vähemalt edasist koostööd kavandatud institutsioonidevahelise demokraatia, õigusriigi ja põhiõiguste katseprojekti raames, mis aitaks suurendada institutsioonidevahelist usaldust praktilisel viisil, eelkõige jagades järelevalve, dialoogi ja kohtumiste alaseid tavasid</w:t>
            </w:r>
            <w:r>
              <w:t xml:space="preserve">; kutsub nõukogu üles muutma õigusriigi olukorda käsitleva dialoogi kaasavamaks, kutsudes oma istungitest osa võtma teisi institutsioone, nagu Veneetsia komisjon, </w:t>
            </w:r>
            <w:r>
              <w:rPr>
                <w:b/>
                <w:i/>
              </w:rPr>
              <w:t>Euroopa Nõukogu</w:t>
            </w:r>
            <w:r>
              <w:t xml:space="preserve"> inimõiguste volinik ja Euroopa Parlamendi esindajad; </w:t>
            </w:r>
            <w:r>
              <w:rPr>
                <w:b/>
                <w:i/>
              </w:rPr>
              <w:t>on veendunud, et nõukogu õigusloometeemaline dialoog peaks muutuma interaktiivsemaks ja sisukamaks, ning kutsub seetõttu liikmesriike üles investeerima selle dialoogi nõuetekohasesse ettevalmistamisse;</w:t>
            </w:r>
            <w:r>
              <w:t xml:space="preserve"> </w:t>
            </w:r>
            <w:r>
              <w:rPr>
                <w:b/>
                <w:i/>
              </w:rPr>
              <w:t>rõhutab, et suurem läbipaistvus edendaks õigusriigi alast dialoogi liidus, ning kutsub seetõttu nõukogu üles need riigipõhised arutelud, sealhulgas üksikasjalikud järeldused avalikustama;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on veendunud, et ELi tasandil tuleks tugevdada institutsioonidevahelist dialoogi ja koostööd </w:t>
            </w:r>
            <w:r>
              <w:rPr>
                <w:b/>
                <w:i/>
              </w:rPr>
              <w:t>õigusriigi põhimõtete valdkonnas;</w:t>
            </w:r>
            <w:r>
              <w:t xml:space="preserve"> </w:t>
            </w:r>
            <w:r>
              <w:rPr>
                <w:b/>
                <w:i/>
              </w:rPr>
              <w:t>nõuab, et õigusriigi olukorra teemal algatataks alaline institutsioonidevaheline dialoog, milles osaleksid muu hulgas Euroopa Parlament, nõukogu ja komisjon;</w:t>
            </w:r>
            <w:r>
              <w:t xml:space="preserve"> </w:t>
            </w:r>
            <w:r>
              <w:rPr>
                <w:b/>
                <w:i/>
              </w:rPr>
              <w:t>kutsub nõukogu üles muutma</w:t>
            </w:r>
            <w:r>
              <w:t xml:space="preserve"> õigusriigi </w:t>
            </w:r>
            <w:r>
              <w:rPr>
                <w:b/>
                <w:i/>
              </w:rPr>
              <w:t>olukorda käsitleva dialoogi kaasavamaks, kutsudes oma istungitest osa võtma teisi institutsioone, nagu Veneetsia komisjon, inimõiguste volinik ja Euroopa Parlamendi esindajad</w:t>
            </w:r>
            <w:r>
              <w:t>;</w:t>
            </w:r>
          </w:p>
        </w:tc>
        <w:tc>
          <w:tcPr>
            <w:tcW w:w="4876" w:type="dxa"/>
            <w:tcBorders>
              <w:top w:val="nil"/>
              <w:left w:val="nil"/>
              <w:bottom w:val="nil"/>
              <w:right w:val="nil"/>
            </w:tcBorders>
          </w:tcPr>
          <w:p>
            <w:pPr>
              <w:pStyle w:val="Normal6a"/>
            </w:pPr>
            <w:r>
              <w:t>36.</w:t>
            </w:r>
            <w:r>
              <w:tab/>
            </w:r>
            <w:r>
              <w:t xml:space="preserve">on veendunud, et ELi tasandil tuleks tugevdada institutsioonidevahelist dialoogi ja koostööd </w:t>
            </w:r>
            <w:r>
              <w:rPr>
                <w:b/>
                <w:i/>
              </w:rPr>
              <w:t>korruptsioonivastase võitluse ja</w:t>
            </w:r>
            <w:r>
              <w:t xml:space="preserve"> õigusriigi </w:t>
            </w:r>
            <w:r>
              <w:rPr>
                <w:b/>
                <w:i/>
              </w:rPr>
              <w:t>põhimõtete valdkonnas, kaasates kontrolli ka ELi institutsioonid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kodanikuvabaduste, justiits- ja siseasjade komisjoni nimel</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on veendunud, et ELi tasandil tuleks tugevdada institutsioonidevahelist dialoogi ja koostööd õigusriigi põhimõtete valdkonnas; nõuab, et õigusriigi olukorra teemal </w:t>
            </w:r>
            <w:r>
              <w:rPr>
                <w:b/>
                <w:i/>
              </w:rPr>
              <w:t>algatataks</w:t>
            </w:r>
            <w:r>
              <w:t xml:space="preserve"> alaline institutsioonidevaheline dialoog, milles osaleksid </w:t>
            </w:r>
            <w:r>
              <w:rPr>
                <w:b/>
                <w:i/>
              </w:rPr>
              <w:t>muu hulgas</w:t>
            </w:r>
            <w:r>
              <w:t xml:space="preserve"> Euroopa Parlament, nõukogu ja komisjon; kutsub nõukogu üles muutma </w:t>
            </w:r>
            <w:r>
              <w:rPr>
                <w:b/>
                <w:i/>
              </w:rPr>
              <w:t>õigusriigi olukorda käsitleva dialoogi</w:t>
            </w:r>
            <w:r>
              <w:t xml:space="preserve"> kaasavamaks, kutsudes oma istungitest osa võtma teisi institutsioone, nagu Veneetsia komisjon, inimõiguste volinik ja Euroopa Parlamendi esindajad;</w:t>
            </w:r>
          </w:p>
        </w:tc>
        <w:tc>
          <w:tcPr>
            <w:tcW w:w="4876" w:type="dxa"/>
            <w:tcBorders>
              <w:top w:val="nil"/>
              <w:left w:val="nil"/>
              <w:bottom w:val="nil"/>
              <w:right w:val="nil"/>
            </w:tcBorders>
          </w:tcPr>
          <w:p>
            <w:pPr>
              <w:pStyle w:val="Normal6a"/>
            </w:pPr>
            <w:r>
              <w:t>36.</w:t>
            </w:r>
            <w:r>
              <w:tab/>
            </w:r>
            <w:r>
              <w:t xml:space="preserve">on veendunud, et ELi tasandil tuleks tugevdada institutsioonidevahelist dialoogi ja koostööd õigusriigi põhimõtete valdkonnas; nõuab, et </w:t>
            </w:r>
            <w:r>
              <w:rPr>
                <w:b/>
                <w:i/>
              </w:rPr>
              <w:t>institutsioonidevahelise kokkuleppe sõlmimisega algatataks</w:t>
            </w:r>
            <w:r>
              <w:t xml:space="preserve"> õigusriigi olukorra teemal alaline institutsioonidevaheline dialoog, milles osaleksid Euroopa Parlament, nõukogu ja komisjon; kutsub nõukogu üles muutma </w:t>
            </w:r>
            <w:r>
              <w:rPr>
                <w:b/>
                <w:i/>
              </w:rPr>
              <w:t>õigusriigidialoogi</w:t>
            </w:r>
            <w:r>
              <w:t xml:space="preserve"> kaasavamaks, kutsudes oma istungitest osa võtma teisi institutsioone, nagu Veneetsia komisjon, inimõiguste volinik ja Euroopa Parlamendi esindajad</w:t>
            </w:r>
            <w:r>
              <w:rPr>
                <w:b/>
                <w:i/>
              </w:rPr>
              <w:t>, või vähemalt andma Euroopa Parlamendile oma õigusriigidialoogi istungite kohta süstemaatiliselt tagasisidet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on veendunud, et ELi tasandil tuleks tugevdada institutsioonidevahelist dialoogi ja koostööd õigusriigi põhimõtete valdkonnas; nõuab, et õigusriigi olukorra teemal algatataks alaline institutsioonidevaheline dialoog, milles osaleksid muu hulgas Euroopa Parlament, nõukogu ja komisjon; kutsub nõukogu üles muutma õigusriigi olukorda käsitleva dialoogi kaasavamaks, kutsudes oma istungitest osa võtma teisi institutsioone, nagu Veneetsia komisjon, inimõiguste volinik ja Euroopa Parlamendi esindajad;</w:t>
            </w:r>
          </w:p>
        </w:tc>
        <w:tc>
          <w:tcPr>
            <w:tcW w:w="4876" w:type="dxa"/>
            <w:tcBorders>
              <w:top w:val="nil"/>
              <w:left w:val="nil"/>
              <w:bottom w:val="nil"/>
              <w:right w:val="nil"/>
            </w:tcBorders>
          </w:tcPr>
          <w:p>
            <w:pPr>
              <w:pStyle w:val="Normal6a"/>
            </w:pPr>
            <w:r>
              <w:t>36.</w:t>
            </w:r>
            <w:r>
              <w:tab/>
            </w:r>
            <w:r>
              <w:t xml:space="preserve">on veendunud, et ELi tasandil tuleks tugevdada institutsioonidevahelist dialoogi ja koostööd õigusriigi põhimõtete valdkonnas; nõuab, et õigusriigi olukorra teemal algatataks alaline institutsioonidevaheline dialoog, milles osaleksid muu hulgas Euroopa Parlament, nõukogu ja komisjon; kutsub nõukogu üles muutma õigusriigi olukorda käsitleva dialoogi kaasavamaks, kutsudes oma istungitest osa võtma teisi institutsioone, nagu Veneetsia komisjon, inimõiguste volinik ja Euroopa Parlamendi esindajad; </w:t>
            </w:r>
            <w:r>
              <w:rPr>
                <w:b/>
                <w:i/>
              </w:rPr>
              <w:t>nõuab tungivalt, et nõukogu teeks koostööd riikide parlamentidega, et tõhustada demokraatlikku järelevalvet selle üle, kuidas liikmesriigid järgivad ELi õigusriigi standardeid;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on veendunud, et</w:t>
            </w:r>
            <w:r>
              <w:t xml:space="preserve"> ELi tasandil </w:t>
            </w:r>
            <w:r>
              <w:rPr>
                <w:b/>
                <w:i/>
              </w:rPr>
              <w:t>tuleks tugevdada institutsioonidevahelist</w:t>
            </w:r>
            <w:r>
              <w:t xml:space="preserve"> dialoogi ja </w:t>
            </w:r>
            <w:r>
              <w:rPr>
                <w:b/>
                <w:i/>
              </w:rPr>
              <w:t>koostööd</w:t>
            </w:r>
            <w:r>
              <w:t xml:space="preserve"> õigusriigi </w:t>
            </w:r>
            <w:r>
              <w:rPr>
                <w:b/>
                <w:i/>
              </w:rPr>
              <w:t>põhimõtete</w:t>
            </w:r>
            <w:r>
              <w:t xml:space="preserve"> valdkonnas</w:t>
            </w:r>
            <w:r>
              <w:rPr>
                <w:b/>
                <w:i/>
              </w:rPr>
              <w:t>;</w:t>
            </w:r>
            <w:r>
              <w:t xml:space="preserve"> </w:t>
            </w:r>
            <w:r>
              <w:rPr>
                <w:b/>
                <w:i/>
              </w:rPr>
              <w:t>nõuab, et õigusriigi olukorra teemal algatataks alaline institutsioonidevaheline dialoog, milles osaleksid muu hulgas Euroopa Parlament, nõukogu ja komisjon;</w:t>
            </w:r>
            <w:r>
              <w:t xml:space="preserve"> </w:t>
            </w:r>
            <w:r>
              <w:rPr>
                <w:b/>
                <w:i/>
              </w:rPr>
              <w:t>kutsub nõukogu üles muutma õigusriigi olukorda käsitleva dialoogi kaasavamaks, kutsudes oma istungitest osa võtma teisi institutsioone, nagu Veneetsia komisjon, inimõiguste volinik ja Euroopa Parlamendi esindajad</w:t>
            </w:r>
            <w:r>
              <w:t>;</w:t>
            </w:r>
          </w:p>
        </w:tc>
        <w:tc>
          <w:tcPr>
            <w:tcW w:w="4876" w:type="dxa"/>
            <w:tcBorders>
              <w:top w:val="nil"/>
              <w:left w:val="nil"/>
              <w:bottom w:val="nil"/>
              <w:right w:val="nil"/>
            </w:tcBorders>
          </w:tcPr>
          <w:p>
            <w:pPr>
              <w:pStyle w:val="Normal6a"/>
            </w:pPr>
            <w:r>
              <w:t>36.</w:t>
            </w:r>
            <w:r>
              <w:tab/>
            </w:r>
            <w:r>
              <w:rPr>
                <w:b/>
                <w:i/>
              </w:rPr>
              <w:t>märgib, et nõutakse</w:t>
            </w:r>
            <w:r>
              <w:t xml:space="preserve"> ELi tasandil </w:t>
            </w:r>
            <w:r>
              <w:rPr>
                <w:b/>
                <w:i/>
              </w:rPr>
              <w:t>institutsioonidevahelise</w:t>
            </w:r>
            <w:r>
              <w:t xml:space="preserve"> dialoogi ja </w:t>
            </w:r>
            <w:r>
              <w:rPr>
                <w:b/>
                <w:i/>
              </w:rPr>
              <w:t>koostöö tugevdamist</w:t>
            </w:r>
            <w:r>
              <w:t xml:space="preserve"> õigusriigi valdkonnas</w:t>
            </w:r>
            <w:r>
              <w:rPr>
                <w:b/>
                <w:i/>
              </w:rPr>
              <w:t>, kuigi see ei ole kooskõlas aluslepingute sõnastusega;</w:t>
            </w:r>
            <w:r>
              <w:t xml:space="preserve"> </w:t>
            </w:r>
            <w:r>
              <w:rPr>
                <w:b/>
                <w:i/>
              </w:rPr>
              <w:t>märgib samal ajal, et eelkõige parlamendi seisukohti mõjutavad sageli üksikute fraktsioonide erakonnahuvid, mis üksnes tugevdab õigusriigi üle peetava nn dialoogi kallutatust ja poliitilist mõõdet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on veendunud, et ELi tasandil tuleks tugevdada institutsioonidevahelist dialoogi ja koostööd õigusriigi põhimõtete valdkonnas; nõuab</w:t>
            </w:r>
            <w:r>
              <w:rPr>
                <w:b/>
                <w:i/>
              </w:rPr>
              <w:t>, et</w:t>
            </w:r>
            <w:r>
              <w:t xml:space="preserve"> õigusriigi </w:t>
            </w:r>
            <w:r>
              <w:rPr>
                <w:b/>
                <w:i/>
              </w:rPr>
              <w:t>olukorra teemal algatataks alaline institutsioonidevaheline dialoog</w:t>
            </w:r>
            <w:r>
              <w:t xml:space="preserve">, milles </w:t>
            </w:r>
            <w:r>
              <w:rPr>
                <w:b/>
                <w:i/>
              </w:rPr>
              <w:t>osaleksid muu hulgas</w:t>
            </w:r>
            <w:r>
              <w:t xml:space="preserve"> Euroopa </w:t>
            </w:r>
            <w:r>
              <w:rPr>
                <w:b/>
                <w:i/>
              </w:rPr>
              <w:t>Parlament, nõukogu ja komisjon;</w:t>
            </w:r>
            <w:r>
              <w:t xml:space="preserve"> </w:t>
            </w:r>
            <w:r>
              <w:rPr>
                <w:b/>
                <w:i/>
              </w:rPr>
              <w:t>kutsub nõukogu üles muutma õigusriigi olukorda käsitleva dialoogi kaasavamaks, kutsudes oma istungitest osa võtma teisi institutsioone, nagu Veneetsia komisjon, inimõiguste volinik ja Euroopa Parlamendi esindajad</w:t>
            </w:r>
            <w:r>
              <w:t>;</w:t>
            </w:r>
          </w:p>
        </w:tc>
        <w:tc>
          <w:tcPr>
            <w:tcW w:w="4876" w:type="dxa"/>
            <w:tcBorders>
              <w:top w:val="nil"/>
              <w:left w:val="nil"/>
              <w:bottom w:val="nil"/>
              <w:right w:val="nil"/>
            </w:tcBorders>
          </w:tcPr>
          <w:p>
            <w:pPr>
              <w:pStyle w:val="Normal6a"/>
            </w:pPr>
            <w:r>
              <w:t>36.</w:t>
            </w:r>
            <w:r>
              <w:tab/>
            </w:r>
            <w:r>
              <w:t xml:space="preserve">on veendunud, et ELi tasandil tuleks tugevdada institutsioonidevahelist dialoogi ja koostööd õigusriigi põhimõtete valdkonnas; nõuab õigusriigi </w:t>
            </w:r>
            <w:r>
              <w:rPr>
                <w:b/>
                <w:i/>
              </w:rPr>
              <w:t>Euroopa poolaasta loomist, luues raamistiku</w:t>
            </w:r>
            <w:r>
              <w:t xml:space="preserve">, milles </w:t>
            </w:r>
            <w:r>
              <w:rPr>
                <w:b/>
                <w:i/>
              </w:rPr>
              <w:t>on keskne roll nõukogul ja</w:t>
            </w:r>
            <w:r>
              <w:t xml:space="preserve"> Euroopa </w:t>
            </w:r>
            <w:r>
              <w:rPr>
                <w:b/>
                <w:i/>
              </w:rPr>
              <w:t>Parlamendil, kusjuures komisjonil on oma täitmise tagamise alaste volitustega toetav roll;</w:t>
            </w:r>
            <w:r>
              <w:t xml:space="preserve"> </w:t>
            </w:r>
            <w:r>
              <w:rPr>
                <w:b/>
                <w:i/>
              </w:rPr>
              <w:t>märgib, et see raamistik aitaks kaotada demokraatia defitsiidi ja tagaks õigusriigi põhimõtte järgimise kõigis liikmesriikides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peab äärmiselt kahetsusväärseks, et nõukogu ei ole suutnud teha käimasolevate ELi lepingu artikli 7 lõike 1 kohase menetluse osas sisulisi edusamme;</w:t>
            </w:r>
            <w:r>
              <w:t xml:space="preserve"> </w:t>
            </w:r>
            <w:r>
              <w:rPr>
                <w:b/>
                <w:i/>
              </w:rPr>
              <w:t>nõuab tungivalt, et nõukogu tagaks, et kuulamised toimuksid käimasolevate artikli 7 kohaste menetluste ajal vähemalt üks kord eesistumisperioodi jooksul ning et nendel käsitletaks ka õigusriiki, demokraatiat ja põhiõigusi mõjutavaid uuemaid arengusuundumusi;</w:t>
            </w:r>
            <w:r>
              <w:t xml:space="preserve"> </w:t>
            </w:r>
            <w:r>
              <w:rPr>
                <w:b/>
                <w:i/>
              </w:rPr>
              <w:t>rõhutab, et nõukogus ei ole vaja ühehäälsust, et teha Euroopa Liidu lepingu artikli 7 lõike 1 kohaselt kindlaks ilmne oht, et rikutakse oluliselt liidu väärtusi, ning anda asjaomastele liikmesriikidele konkreetseid soovitusi ja määrata kindlaks nende soovituste rakendamise tähtajad;</w:t>
            </w:r>
            <w:r>
              <w:t xml:space="preserve"> </w:t>
            </w:r>
            <w:r>
              <w:rPr>
                <w:b/>
                <w:i/>
              </w:rPr>
              <w:t>kordab oma üleskutset nõukogule seda teha ja rõhutab, et edasised viivitused selliste meetmete võtmisel tähendaks, et nõukogu ise rikub õigusriigi põhimõtet;</w:t>
            </w:r>
            <w:r>
              <w:t xml:space="preserve"> </w:t>
            </w:r>
            <w:r>
              <w:rPr>
                <w:b/>
                <w:i/>
              </w:rPr>
              <w:t>nõuab kindlalt, et austataks Euroopa Parlamendi rolli ja pädevust;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tuletab meelde oma pikaajalist nõudmist luua institutsioonidevahelise kokkuleppe vormis ELi demokraatia, õigusriigi ja põhiõiguste mehhanism (ELi demokraatia, õigusriigi ja põhiõiguste pakt) ning kutsub komisjoni ja nõukogu üles sõlmima niisuguse institutsioonidevahelise kokkuleppe;</w:t>
            </w:r>
            <w:r>
              <w:t xml:space="preserve"> </w:t>
            </w:r>
            <w:r>
              <w:rPr>
                <w:b/>
                <w:i/>
              </w:rPr>
              <w:t>tuletab meelde, et uus mehhanism peaks hõlmama ja täiendama olemasolevaid mehhanisme, sealhulgas õigusriigi olukorda käsitlevat aruannet, olema tõenduspõhine, objektiivne, suunatud liikmesriikidele ja ELi institutsioonidele, hõlmama ennetus- ja parandusmeetmeid ning seda peaks abistama sõltumatute ekspertide kogu;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kutsub liikmesriike üles tagama, et kõik võimude lahusust mõjutavad seadusandlikud reformid oleksid täielikult kooskõlas Euroopa õiguspõhimõtetega;</w:t>
            </w:r>
            <w:r>
              <w:t xml:space="preserve"> </w:t>
            </w:r>
            <w:r>
              <w:rPr>
                <w:b/>
                <w:i/>
              </w:rPr>
              <w:t>nõuab tungivalt, et komisjon hindaks, kas kohtusüsteemi, õiguslikke hüvesid või kohtuasutuste üle teostatavat täitevkontrolli mõjutavad seadusandlikud meetmed on kooskõlas Euroopa Liidu lepingu artikliga 2 ja kas need võivad õigustada Euroopa Liidu lepingu artikli 7 kohase menetluse algatamist;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on seisukohal, et ELi ja selliste rahvusvaheliste organisatsioonide nagu Euroopa Nõukogu, OSCE ja ÜRO vahelist koostööd demokraatia, õigusriigi, põhivabaduste ja inimõiguste, sealhulgas vähemuste õiguste edendamisel ja kaitsmisel tuleks veelgi tugevdada;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on seisukohal, et koostöö liikmesriikide vahel on ELis demokraatia, õigusriigi ja põhiõiguste edendamiseks eriti tähtis;</w:t>
            </w:r>
            <w:r>
              <w:t xml:space="preserve"> </w:t>
            </w:r>
            <w:r>
              <w:rPr>
                <w:b/>
                <w:i/>
              </w:rPr>
              <w:t>nõuab tungivalt, et komisjon järgiks omaenda reegleid läbipaistvuse, korruptsioonivastase võitluse ja õiguse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kutsub liikmesriike üles tagama, et kriisidele (nt pandeemiad või julgeolekuohud) reageerimiseks võetud erakorraliste meetmete suhtes kohaldataks korrapärast parlamentaarset kontrolli ja kohtulikku kontrolli ning et need oleksid rangelt ajaliselt piiratud ja proportsionaalsed;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taunib asjaolu, et komisjon ei ole arvesse võtnud paljusid nõudmisi, mida Euroopa Parlament on korduvalt esitanud komisjoni õigusriigi olukorda käsitlevate aruannetega seoses;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nõuab, et komisjon esitaks 31. detsembriks 2025 teatise, milles loetletakse üksikasjalikult, millised Euroopa Parlamendi poolt alates 2021. aastast komisjoni õigusriigi aruannete kohta esitatud nõudmised kavatseb komisjon täita ja milliseid mitte, esitades mis tahes keeldumiste puhul ka konkreetsed põhjendused;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rõhutab, et liikmesriigid peavad tegelema soolise ebavõrdsuse probleemiga kohtusüsteemis ja muudes olulistes demokraatlikes institutsioonides;</w:t>
            </w:r>
            <w:r>
              <w:t xml:space="preserve"> </w:t>
            </w:r>
            <w:r>
              <w:rPr>
                <w:b/>
                <w:i/>
              </w:rPr>
              <w:t>soovitab rakendada sihipäraseid meetmeid, et suurendada naiste esindatust kõrgematel kohtusüsteemi ja avaliku halduse ametikohtadel;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kutsub komisjoni üles mitte kasutama õigusriigi ja põhiõiguste kaitset ettekäändena selleks, et avaldada teatavatele liikmesriikidele poliitilist survet, et nad muudaksid poliitikat, mis kuulub liikmesriikide pädevusse;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36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väljendab sügavat muret selle pärast, et nagu ka artikli 7 kohaste menetluste puhul, rakendatakse tulevikus õigusriigi tingimuslikkuse määruse kohaseid meetmeid selleks, et edendada poliitilisi ideaale ja vähendada teatavate liikmesriikide legitiimsust;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soovitab komisjonil ja liikmesriikidel jälgida välissekkumise juhtumeid, eelkõige sotsiaalmeedia kasutamist manipuleerimiseks ja pahatahtlikel eesmärkidel, sealhulgas selle kasutamist üksikisikute, näiteks Elon Muski poolt, et mõjutada avalikku arvamust ja levitada desinformatsiooni Euroopas;</w:t>
            </w:r>
            <w:r>
              <w:t xml:space="preserve"> </w:t>
            </w:r>
            <w:r>
              <w:rPr>
                <w:b/>
                <w:i/>
              </w:rPr>
              <w:t>rõhutab, et komisjon peab tagama õigusriigi põhimõtete nõuetekohase järgimise ELi institutsioonides ning nõuab ELi institutsioonide kaasamist õigusriigi olukorda käsitleva iga-aastase aruande hindamisse;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soovitab komisjonil ja liikmesriikidel jälgida välissekkumise juhtumeid, eelkõige sotsiaalmeedia kasutamist manipuleerimiseks ja pahatahtlikel eesmärkidel, sealhulgas selle kasutamist üksikisikute, näiteks Elon Muski poolt, et mõjutada avalikku arvamust ja levitada desinformatsiooni Euroopas</w:t>
            </w:r>
            <w:r>
              <w:t>; rõhutab, et komisjon peab tagama õigusriigi põhimõtete nõuetekohase järgimise ELi institutsioonides ning nõuab ELi institutsioonide kaasamist õigusriigi olukorda käsitleva iga-aastase aruande hindamisse;</w:t>
            </w:r>
          </w:p>
        </w:tc>
        <w:tc>
          <w:tcPr>
            <w:tcW w:w="4876" w:type="dxa"/>
            <w:tcBorders>
              <w:top w:val="nil"/>
              <w:left w:val="nil"/>
              <w:bottom w:val="nil"/>
              <w:right w:val="nil"/>
            </w:tcBorders>
          </w:tcPr>
          <w:p>
            <w:pPr>
              <w:pStyle w:val="Normal6a"/>
            </w:pPr>
            <w:r>
              <w:t>37.</w:t>
            </w:r>
            <w:r>
              <w:tab/>
            </w:r>
            <w:r>
              <w:rPr>
                <w:b/>
                <w:i/>
              </w:rPr>
              <w:t>on mures Euroopa Parlamendi ja Euroopa Komisjoni sekkumise pärast liikmesriikide siseasjadesse;</w:t>
            </w:r>
            <w:r>
              <w:t xml:space="preserve"> </w:t>
            </w:r>
            <w:r>
              <w:rPr>
                <w:b/>
                <w:i/>
              </w:rPr>
              <w:t>tuletab meelde, et 7. jaanuaril 2025 tunnistas Meta tegevjuht Mark Zuckerberg, et Facebook on poliitilistel kaalutlustel sisu tsenseerinud;</w:t>
            </w:r>
            <w:r>
              <w:t xml:space="preserve"> </w:t>
            </w:r>
            <w:r>
              <w:rPr>
                <w:b/>
                <w:i/>
              </w:rPr>
              <w:t>tunneb heameelt Meta jõupingutuste üle edendada oma sotsiaalmeediaplatvormidel sõnavabadust;</w:t>
            </w:r>
            <w:r>
              <w:t xml:space="preserve"> </w:t>
            </w:r>
            <w:r>
              <w:rPr>
                <w:b/>
                <w:i/>
              </w:rPr>
              <w:t>taunib asjaolu, et Euroopas kehtib sotsiaalmeediaplatvormidel endiselt poliitiliselt kallutatud faktikontroll;</w:t>
            </w:r>
            <w:r>
              <w:t xml:space="preserve"> </w:t>
            </w:r>
            <w:r>
              <w:rPr>
                <w:b/>
                <w:i/>
              </w:rPr>
              <w:t>kutsub komisjoni üles lõpetama oma püüdlused tsenseerida sotsiaalmeediaplatvormidel parempoolseid ja konservatiivseid seisukohti;</w:t>
            </w:r>
            <w:r>
              <w:t xml:space="preserve"> </w:t>
            </w:r>
            <w:r>
              <w:rPr>
                <w:b/>
                <w:i/>
              </w:rPr>
              <w:t>kutsub Euroopa Parlamenti üles looma Facebooki tsenseerimise uurimiskomisjoni;</w:t>
            </w:r>
            <w:r>
              <w:t xml:space="preserve"> </w:t>
            </w:r>
            <w:r>
              <w:rPr>
                <w:b/>
                <w:i/>
              </w:rPr>
              <w:t>tunneb heameelt selle üle, milliseid pingutusi on Elon Musk teinud võitluses väljendusvabaduse eest</w:t>
            </w:r>
            <w:r>
              <w:t>; rõhutab, et komisjon peab tagama õigusriigi põhimõtete nõuetekohase järgimise ELi institutsioonides</w:t>
            </w:r>
            <w:r>
              <w:rPr>
                <w:b/>
                <w:i/>
              </w:rPr>
              <w:t>,</w:t>
            </w:r>
            <w:r>
              <w:t xml:space="preserve"> ning nõuab ELi institutsioonide kaasamist õigusriigi olukorda käsitleva iga-aastase aruande hindamisse;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soovitab komisjonil ja liikmesriikidel jälgida välissekkumise juhtumeid</w:t>
            </w:r>
            <w:r>
              <w:rPr>
                <w:b/>
                <w:i/>
              </w:rPr>
              <w:t>, eelkõige sotsiaalmeedia kasutamist manipuleerimiseks ja pahatahtlikel eesmärkidel, sealhulgas selle kasutamist üksikisikute, näiteks Elon Muski poolt, et mõjutada avalikku arvamust ja levitada desinformatsiooni Euroopas;</w:t>
            </w:r>
            <w:r>
              <w:t xml:space="preserve"> </w:t>
            </w:r>
            <w:r>
              <w:rPr>
                <w:b/>
                <w:i/>
              </w:rPr>
              <w:t>rõhutab, et komisjon peab tagama õigusriigi põhimõtete nõuetekohase järgimise ELi institutsioonides ning nõuab ELi institutsioonide kaasamist õigusriigi olukorda käsitleva iga-aastase aruande hindamisse</w:t>
            </w:r>
            <w:r>
              <w:t>;</w:t>
            </w:r>
          </w:p>
        </w:tc>
        <w:tc>
          <w:tcPr>
            <w:tcW w:w="4876" w:type="dxa"/>
            <w:tcBorders>
              <w:top w:val="nil"/>
              <w:left w:val="nil"/>
              <w:bottom w:val="nil"/>
              <w:right w:val="nil"/>
            </w:tcBorders>
          </w:tcPr>
          <w:p>
            <w:pPr>
              <w:pStyle w:val="Normal6a"/>
            </w:pPr>
            <w:r>
              <w:t>37.</w:t>
            </w:r>
            <w:r>
              <w:tab/>
            </w:r>
            <w:r>
              <w:t>soovitab komisjonil ja liikmesriikidel jälgida välissekkumise juhtumeid;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soovitab </w:t>
            </w:r>
            <w:r>
              <w:rPr>
                <w:b/>
                <w:i/>
              </w:rPr>
              <w:t>komisjonil ja liikmesriikidel jälgida välissekkumise juhtumeid, eelkõige sotsiaalmeedia kasutamist manipuleerimiseks ja pahatahtlikel eesmärkidel, sealhulgas selle kasutamist üksikisikute, näiteks Elon Muski poolt, et mõjutada avalikku arvamust ja levitada desinformatsiooni Euroopas;</w:t>
            </w:r>
            <w:r>
              <w:t xml:space="preserve"> </w:t>
            </w:r>
            <w:r>
              <w:rPr>
                <w:b/>
                <w:i/>
              </w:rPr>
              <w:t>rõhutab</w:t>
            </w:r>
            <w:r>
              <w:t>, et komisjon peab tagama õigusriigi põhimõtete nõuetekohase järgimise ELi institutsioonides ning nõuab ELi institutsioonide kaasamist õigusriigi olukorda käsitleva iga-aastase aruande hindamisse;</w:t>
            </w:r>
          </w:p>
        </w:tc>
        <w:tc>
          <w:tcPr>
            <w:tcW w:w="4876" w:type="dxa"/>
            <w:tcBorders>
              <w:top w:val="nil"/>
              <w:left w:val="nil"/>
              <w:bottom w:val="nil"/>
              <w:right w:val="nil"/>
            </w:tcBorders>
          </w:tcPr>
          <w:p>
            <w:pPr>
              <w:pStyle w:val="Normal6a"/>
            </w:pPr>
            <w:r>
              <w:t>37.</w:t>
            </w:r>
            <w:r>
              <w:tab/>
            </w:r>
            <w:r>
              <w:t>soovitab, et komisjon peab tagama õigusriigi põhimõtete nõuetekohase järgimise ELi institutsioonides</w:t>
            </w:r>
            <w:r>
              <w:rPr>
                <w:b/>
                <w:i/>
              </w:rPr>
              <w:t>,</w:t>
            </w:r>
            <w:r>
              <w:t xml:space="preserve"> ning nõuab ELi institutsioonide kaasamist õigusriigi olukorda käsitleva iga-aastase aruande hindamisse;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soovitab komisjonil ja liikmesriikidel jälgida välissekkumise juhtumeid, eelkõige sotsiaalmeedia kasutamist manipuleerimiseks ja pahatahtlikel eesmärkidel, </w:t>
            </w:r>
            <w:r>
              <w:rPr>
                <w:b/>
                <w:i/>
              </w:rPr>
              <w:t>sealhulgas selle kasutamist üksikisikute, näiteks Elon Muski poolt, et mõjutada avalikku arvamust ja levitada desinformatsiooni Euroopas</w:t>
            </w:r>
            <w:r>
              <w:t>; rõhutab, et komisjon peab tagama õigusriigi põhimõtete nõuetekohase järgimise ELi institutsioonides ning nõuab ELi institutsioonide kaasamist õigusriigi olukorda käsitleva iga-aastase aruande hindamisse;</w:t>
            </w:r>
          </w:p>
        </w:tc>
        <w:tc>
          <w:tcPr>
            <w:tcW w:w="4876" w:type="dxa"/>
            <w:tcBorders>
              <w:top w:val="nil"/>
              <w:left w:val="nil"/>
              <w:bottom w:val="nil"/>
              <w:right w:val="nil"/>
            </w:tcBorders>
          </w:tcPr>
          <w:p>
            <w:pPr>
              <w:pStyle w:val="Normal6a"/>
            </w:pPr>
            <w:r>
              <w:t>37.</w:t>
            </w:r>
            <w:r>
              <w:tab/>
            </w:r>
            <w:r>
              <w:t xml:space="preserve">soovitab komisjonil ja liikmesriikidel jälgida välissekkumise juhtumeid, eelkõige sotsiaalmeedia kasutamist manipuleerimiseks ja pahatahtlikel eesmärkidel, </w:t>
            </w:r>
            <w:r>
              <w:rPr>
                <w:b/>
                <w:i/>
              </w:rPr>
              <w:t>mille eesmärk on mõjutada avalikku arvamust ja levitada desinformatsiooni Euroopas;</w:t>
            </w:r>
            <w:r>
              <w:t xml:space="preserve"> </w:t>
            </w:r>
            <w:r>
              <w:rPr>
                <w:b/>
                <w:i/>
              </w:rPr>
              <w:t>märgib, et komisjon ei ole juba aastaid tunnistanud vasakliberaalsuse domineerimist sotsiaalmeedias, sealhulgas selle ideoloogia pealesurumist teatavate pealinnade, rahvusvaheliste sihtasutuste ja ELi institutsioonide poolt</w:t>
            </w:r>
            <w:r>
              <w:t>;</w:t>
            </w:r>
            <w:r>
              <w:rPr>
                <w:b/>
                <w:i/>
              </w:rPr>
              <w:t> </w:t>
            </w:r>
            <w:r>
              <w:t xml:space="preserve"> rõhutab, et komisjon peab tagama õigusriigi põhimõtete nõuetekohase järgimise ELi institutsioonides ning nõuab ELi institutsioonide kaasamist õigusriigi olukorda käsitleva iga-aastase aruande hindamisse;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kodanikuvabaduste, justiits- ja siseasjade komisjoni nimel</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soovitab komisjonil ja liikmesriikidel jälgida välissekkumise juhtumeid, eelkõige sotsiaalmeedia kasutamist manipuleerimiseks ja pahatahtlikel eesmärkidel, sealhulgas selle kasutamist üksikisikute, näiteks Elon Muski poolt, et mõjutada avalikku arvamust ja levitada desinformatsiooni Euroopas; </w:t>
            </w:r>
            <w:r>
              <w:rPr>
                <w:b/>
                <w:i/>
              </w:rPr>
              <w:t>rõhutab, et komisjon peab tagama õigusriigi põhimõtete nõuetekohase järgimise ELi institutsioonides ning nõuab ELi institutsioonide kaasamist õigusriigi olukorda käsitleva iga-aastase aruande hindamisse;</w:t>
            </w:r>
          </w:p>
        </w:tc>
        <w:tc>
          <w:tcPr>
            <w:tcW w:w="4876" w:type="dxa"/>
            <w:tcBorders>
              <w:top w:val="nil"/>
              <w:left w:val="nil"/>
              <w:bottom w:val="nil"/>
              <w:right w:val="nil"/>
            </w:tcBorders>
          </w:tcPr>
          <w:p>
            <w:pPr>
              <w:pStyle w:val="Normal6a"/>
            </w:pPr>
            <w:r>
              <w:t>37.</w:t>
            </w:r>
            <w:r>
              <w:tab/>
            </w:r>
            <w:r>
              <w:t>soovitab komisjonil ja liikmesriikidel jälgida välissekkumise juhtumeid, eelkõige sotsiaalmeedia kasutamist manipuleerimiseks ja pahatahtlikel eesmärkidel, sealhulgas selle kasutamist üksikisikute, näiteks Elon Muski poolt, et mõjutada avalikku arvamust ja levitada desinformatsiooni Euroopas;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soovitab komisjonil ja liikmesriikidel jälgida välissekkumise juhtumeid</w:t>
            </w:r>
            <w:r>
              <w:rPr>
                <w:b/>
                <w:i/>
              </w:rPr>
              <w:t>, eelkõige sotsiaalmeedia kasutamist manipuleerimiseks ja pahatahtlikel eesmärkidel, sealhulgas selle kasutamist üksikisikute, näiteks Elon Muski poolt, et mõjutada avalikku arvamust ja levitada desinformatsiooni Euroopas</w:t>
            </w:r>
            <w:r>
              <w:t>; rõhutab, et komisjon peab tagama õigusriigi põhimõtete nõuetekohase järgimise ELi institutsioonides ning nõuab ELi institutsioonide kaasamist õigusriigi olukorda käsitleva iga-aastase aruande hindamisse;</w:t>
            </w:r>
          </w:p>
        </w:tc>
        <w:tc>
          <w:tcPr>
            <w:tcW w:w="4876" w:type="dxa"/>
            <w:tcBorders>
              <w:top w:val="nil"/>
              <w:left w:val="nil"/>
              <w:bottom w:val="nil"/>
              <w:right w:val="nil"/>
            </w:tcBorders>
          </w:tcPr>
          <w:p>
            <w:pPr>
              <w:pStyle w:val="Normal6a"/>
            </w:pPr>
            <w:r>
              <w:t>37.</w:t>
            </w:r>
            <w:r>
              <w:tab/>
            </w:r>
            <w:r>
              <w:t>soovitab komisjonil ja liikmesriikidel jälgida välissekkumise juhtumeid; rõhutab, et komisjon peab tagama õigusriigi põhimõtete nõuetekohase järgimise ELi institutsioonides</w:t>
            </w:r>
            <w:r>
              <w:rPr>
                <w:b/>
                <w:i/>
              </w:rPr>
              <w:t>,</w:t>
            </w:r>
            <w:r>
              <w:t xml:space="preserve"> ning nõuab ELi institutsioonide kaasamist õigusriigi olukorda käsitleva iga-aastase aruande hindamisse;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soovitab komisjonil ja liikmesriikidel jälgida välissekkumise juhtumeid, </w:t>
            </w:r>
            <w:r>
              <w:rPr>
                <w:b/>
                <w:i/>
              </w:rPr>
              <w:t>eelkõige</w:t>
            </w:r>
            <w:r>
              <w:t xml:space="preserve"> sotsiaalmeedia kasutamist manipuleerimiseks ja pahatahtlikel eesmärkidel</w:t>
            </w:r>
            <w:r>
              <w:rPr>
                <w:b/>
                <w:i/>
              </w:rPr>
              <w:t>, sealhulgas selle kasutamist üksikisikute, näiteks Elon Muski poolt, et mõjutada avalikku arvamust ja levitada desinformatsiooni Euroopas</w:t>
            </w:r>
            <w:r>
              <w:t>; rõhutab, et komisjon peab tagama õigusriigi põhimõtete nõuetekohase järgimise ELi institutsioonides ning nõuab ELi institutsioonide kaasamist õigusriigi olukorda käsitleva iga-aastase aruande hindamisse;</w:t>
            </w:r>
          </w:p>
        </w:tc>
        <w:tc>
          <w:tcPr>
            <w:tcW w:w="4876" w:type="dxa"/>
            <w:tcBorders>
              <w:top w:val="nil"/>
              <w:left w:val="nil"/>
              <w:bottom w:val="nil"/>
              <w:right w:val="nil"/>
            </w:tcBorders>
          </w:tcPr>
          <w:p>
            <w:pPr>
              <w:pStyle w:val="Normal6a"/>
            </w:pPr>
            <w:r>
              <w:t>37.</w:t>
            </w:r>
            <w:r>
              <w:tab/>
            </w:r>
            <w:r>
              <w:t xml:space="preserve">soovitab komisjonil ja liikmesriikidel jälgida välissekkumise juhtumeid, </w:t>
            </w:r>
            <w:r>
              <w:rPr>
                <w:b/>
                <w:i/>
              </w:rPr>
              <w:t>sealhulgas</w:t>
            </w:r>
            <w:r>
              <w:t xml:space="preserve"> sotsiaalmeedia kasutamist manipuleerimiseks ja pahatahtlikel eesmärkidel; rõhutab, et komisjon peab tagama õigusriigi põhimõtete nõuetekohase järgimise ELi institutsioonides ning nõuab ELi institutsioonide kaasamist õigusriigi olukorda käsitleva iga-aastase aruande hindamisse;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soovitab komisjonil ja liikmesriikidel jälgida välissekkumise juhtumeid</w:t>
            </w:r>
            <w:r>
              <w:rPr>
                <w:b/>
                <w:i/>
              </w:rPr>
              <w:t>, eelkõige sotsiaalmeedia kasutamist manipuleerimiseks ja pahatahtlikel eesmärkidel, sealhulgas selle kasutamist üksikisikute</w:t>
            </w:r>
            <w:r>
              <w:t xml:space="preserve">, näiteks </w:t>
            </w:r>
            <w:r>
              <w:rPr>
                <w:b/>
                <w:i/>
              </w:rPr>
              <w:t>Elon Muski poolt, et mõjutada avalikku arvamust ja levitada desinformatsiooni Euroopas</w:t>
            </w:r>
            <w:r>
              <w:t>; rõhutab, et komisjon peab tagama õigusriigi põhimõtete nõuetekohase järgimise ELi institutsioonides ning nõuab ELi institutsioonide kaasamist õigusriigi olukorda käsitleva iga-aastase aruande hindamisse;</w:t>
            </w:r>
          </w:p>
        </w:tc>
        <w:tc>
          <w:tcPr>
            <w:tcW w:w="4876" w:type="dxa"/>
            <w:tcBorders>
              <w:top w:val="nil"/>
              <w:left w:val="nil"/>
              <w:bottom w:val="nil"/>
              <w:right w:val="nil"/>
            </w:tcBorders>
          </w:tcPr>
          <w:p>
            <w:pPr>
              <w:pStyle w:val="Normal6a"/>
            </w:pPr>
            <w:r>
              <w:t>37.</w:t>
            </w:r>
            <w:r>
              <w:tab/>
            </w:r>
            <w:r>
              <w:t xml:space="preserve">soovitab komisjonil ja liikmesriikidel jälgida välissekkumise juhtumeid </w:t>
            </w:r>
            <w:r>
              <w:rPr>
                <w:b/>
                <w:i/>
              </w:rPr>
              <w:t>ja võtta tulemuslikke meetmeid meie ühiste huvide kaitsmiseks;</w:t>
            </w:r>
            <w:r>
              <w:t xml:space="preserve"> </w:t>
            </w:r>
            <w:r>
              <w:rPr>
                <w:b/>
                <w:i/>
              </w:rPr>
              <w:t>rõhutab, et välisriigist lähtuvate propagandaoperatsioonide vastu saab võidelda väljendusvabadust ründamata</w:t>
            </w:r>
            <w:r>
              <w:t xml:space="preserve">, näiteks </w:t>
            </w:r>
            <w:r>
              <w:rPr>
                <w:b/>
                <w:i/>
              </w:rPr>
              <w:t>märgistades nõuetekohaselt välisriikide rahastatavad organisatsioonid või kasutades neutraalseid algatusi, nagu kogukonna märkused</w:t>
            </w:r>
            <w:r>
              <w:t>; rõhutab, et komisjon peab tagama õigusriigi põhimõtete nõuetekohase järgimise ELi institutsioonides</w:t>
            </w:r>
            <w:r>
              <w:rPr>
                <w:b/>
                <w:i/>
              </w:rPr>
              <w:t>,</w:t>
            </w:r>
            <w:r>
              <w:t xml:space="preserve"> ning nõuab ELi institutsioonide kaasamist õigusriigi olukorda käsitleva iga-aastase aruande hindamisse;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soovitab komisjonil ja liikmesriikidel jälgida välissekkumise juhtumeid, eelkõige sotsiaalmeedia kasutamist manipuleerimiseks ja pahatahtlikel eesmärkidel</w:t>
            </w:r>
            <w:r>
              <w:rPr>
                <w:b/>
                <w:i/>
              </w:rPr>
              <w:t>, sealhulgas selle kasutamist üksikisikute, näiteks Elon Muski poolt, et mõjutada avalikku arvamust ja levitada desinformatsiooni Euroopas</w:t>
            </w:r>
            <w:r>
              <w:t>; rõhutab, et komisjon peab tagama õigusriigi põhimõtete nõuetekohase järgimise ELi institutsioonides ning nõuab ELi institutsioonide kaasamist õigusriigi olukorda käsitleva iga-aastase aruande hindamisse;</w:t>
            </w:r>
          </w:p>
        </w:tc>
        <w:tc>
          <w:tcPr>
            <w:tcW w:w="4876" w:type="dxa"/>
            <w:tcBorders>
              <w:top w:val="nil"/>
              <w:left w:val="nil"/>
              <w:bottom w:val="nil"/>
              <w:right w:val="nil"/>
            </w:tcBorders>
          </w:tcPr>
          <w:p>
            <w:pPr>
              <w:pStyle w:val="Normal6a"/>
            </w:pPr>
            <w:r>
              <w:t>37.</w:t>
            </w:r>
            <w:r>
              <w:tab/>
            </w:r>
            <w:r>
              <w:t>soovitab komisjonil ja liikmesriikidel jälgida välissekkumise juhtumeid, eelkõige sotsiaalmeedia kasutamist manipuleerimiseks ja pahatahtlikel eesmärkidel; rõhutab, et komisjon peab tagama õigusriigi põhimõtete nõuetekohase järgimise ELi institutsioonides</w:t>
            </w:r>
            <w:r>
              <w:rPr>
                <w:b/>
                <w:i/>
              </w:rPr>
              <w:t>,</w:t>
            </w:r>
            <w:r>
              <w:t xml:space="preserve"> ning nõuab ELi institutsioonide kaasamist õigusriigi olukorda käsitleva iga-aastase aruande hindamisse;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soovitab komisjonil ja liikmesriikidel jälgida välissekkumise juhtumeid, eelkõige sotsiaalmeedia kasutamist manipuleerimiseks ja pahatahtlikel eesmärkidel</w:t>
            </w:r>
            <w:r>
              <w:rPr>
                <w:b/>
                <w:i/>
              </w:rPr>
              <w:t>, sealhulgas selle kasutamist üksikisikute, näiteks Elon Muski poolt, et mõjutada avalikku arvamust ja levitada desinformatsiooni Euroopas</w:t>
            </w:r>
            <w:r>
              <w:t>; rõhutab, et komisjon peab tagama õigusriigi põhimõtete nõuetekohase järgimise ELi institutsioonides ning nõuab ELi institutsioonide kaasamist õigusriigi olukorda käsitleva iga-aastase aruande hindamisse;</w:t>
            </w:r>
          </w:p>
        </w:tc>
        <w:tc>
          <w:tcPr>
            <w:tcW w:w="4876" w:type="dxa"/>
            <w:tcBorders>
              <w:top w:val="nil"/>
              <w:left w:val="nil"/>
              <w:bottom w:val="nil"/>
              <w:right w:val="nil"/>
            </w:tcBorders>
          </w:tcPr>
          <w:p>
            <w:pPr>
              <w:pStyle w:val="Normal6a"/>
            </w:pPr>
            <w:r>
              <w:t>37.</w:t>
            </w:r>
            <w:r>
              <w:tab/>
            </w:r>
            <w:r>
              <w:t>soovitab komisjonil ja liikmesriikidel jälgida välissekkumise juhtumeid, eelkõige sotsiaalmeedia kasutamist manipuleerimiseks ja pahatahtlikel eesmärkidel; rõhutab, et komisjon peab tagama õigusriigi põhimõtete nõuetekohase järgimise ELi institutsioonides</w:t>
            </w:r>
            <w:r>
              <w:rPr>
                <w:b/>
                <w:i/>
              </w:rPr>
              <w:t>,</w:t>
            </w:r>
            <w:r>
              <w:t xml:space="preserve"> ning nõuab ELi institutsioonide kaasamist õigusriigi olukorda käsitleva iga-aastase aruande hindamisse;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soovitab komisjonil ja liikmesriikidel jälgida välissekkumise juhtumeid, </w:t>
            </w:r>
            <w:r>
              <w:rPr>
                <w:b/>
                <w:i/>
              </w:rPr>
              <w:t>eelkõige</w:t>
            </w:r>
            <w:r>
              <w:t xml:space="preserve"> sotsiaalmeedia kasutamist manipuleerimiseks </w:t>
            </w:r>
            <w:r>
              <w:rPr>
                <w:b/>
                <w:i/>
              </w:rPr>
              <w:t>ja</w:t>
            </w:r>
            <w:r>
              <w:t xml:space="preserve"> pahatahtlikel eesmärkidel</w:t>
            </w:r>
            <w:r>
              <w:rPr>
                <w:b/>
                <w:i/>
              </w:rPr>
              <w:t>, sealhulgas selle kasutamist üksikisikute, näiteks Elon Muski poolt, et mõjutada avalikku arvamust ja levitada desinformatsiooni</w:t>
            </w:r>
            <w:r>
              <w:t xml:space="preserve"> Euroopas; rõhutab, et komisjon peab tagama õigusriigi põhimõtete nõuetekohase järgimise ELi institutsioonides ning nõuab ELi institutsioonide kaasamist õigusriigi olukorda käsitleva iga-aastase aruande hindamisse;</w:t>
            </w:r>
          </w:p>
        </w:tc>
        <w:tc>
          <w:tcPr>
            <w:tcW w:w="4876" w:type="dxa"/>
            <w:tcBorders>
              <w:top w:val="nil"/>
              <w:left w:val="nil"/>
              <w:bottom w:val="nil"/>
              <w:right w:val="nil"/>
            </w:tcBorders>
          </w:tcPr>
          <w:p>
            <w:pPr>
              <w:pStyle w:val="Normal6a"/>
            </w:pPr>
            <w:r>
              <w:t>37.</w:t>
            </w:r>
            <w:r>
              <w:tab/>
            </w:r>
            <w:r>
              <w:t xml:space="preserve">soovitab komisjonil ja liikmesriikidel jälgida </w:t>
            </w:r>
            <w:r>
              <w:rPr>
                <w:b/>
                <w:i/>
              </w:rPr>
              <w:t>ja kiiresti käsitleda</w:t>
            </w:r>
            <w:r>
              <w:t xml:space="preserve"> välissekkumise juhtumeid, </w:t>
            </w:r>
            <w:r>
              <w:rPr>
                <w:b/>
                <w:i/>
              </w:rPr>
              <w:t>sealhulgas</w:t>
            </w:r>
            <w:r>
              <w:t xml:space="preserve"> sotsiaalmeedia kasutamist manipuleerimiseks</w:t>
            </w:r>
            <w:r>
              <w:rPr>
                <w:b/>
                <w:i/>
              </w:rPr>
              <w:t>,</w:t>
            </w:r>
            <w:r>
              <w:t xml:space="preserve"> pahatahtlikel eesmärkidel </w:t>
            </w:r>
            <w:r>
              <w:rPr>
                <w:b/>
                <w:i/>
              </w:rPr>
              <w:t>ja desinformatsiooni levitamiseks</w:t>
            </w:r>
            <w:r>
              <w:t xml:space="preserve"> Euroopas; rõhutab, et komisjon peab tagama õigusriigi põhimõtete nõuetekohase järgimise ELi institutsioonides</w:t>
            </w:r>
            <w:r>
              <w:rPr>
                <w:b/>
                <w:i/>
              </w:rPr>
              <w:t>,</w:t>
            </w:r>
            <w:r>
              <w:t xml:space="preserve"> ning nõuab ELi institutsioonide kaasamist õigusriigi olukorda käsitleva iga-aastase aruande hindamisse;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soovitab komisjonil ja liikmesriikidel jälgida välissekkumise juhtumeid, eelkõige sotsiaalmeedia kasutamist manipuleerimiseks ja pahatahtlikel eesmärkidel, sealhulgas selle kasutamist üksikisikute, näiteks Elon Muski poolt, et mõjutada avalikku arvamust ja levitada desinformatsiooni Euroopas; rõhutab, et komisjon peab tagama õigusriigi põhimõtete nõuetekohase järgimise ELi institutsioonides ning nõuab ELi institutsioonide kaasamist õigusriigi olukorda käsitleva iga-aastase aruande hindamisse;</w:t>
            </w:r>
          </w:p>
        </w:tc>
        <w:tc>
          <w:tcPr>
            <w:tcW w:w="4876" w:type="dxa"/>
            <w:tcBorders>
              <w:top w:val="nil"/>
              <w:left w:val="nil"/>
              <w:bottom w:val="nil"/>
              <w:right w:val="nil"/>
            </w:tcBorders>
          </w:tcPr>
          <w:p>
            <w:pPr>
              <w:pStyle w:val="Normal6a"/>
            </w:pPr>
            <w:r>
              <w:t>37.</w:t>
            </w:r>
            <w:r>
              <w:tab/>
            </w:r>
            <w:r>
              <w:t xml:space="preserve">soovitab komisjonil ja liikmesriikidel jälgida välissekkumise juhtumeid, eelkõige sotsiaalmeedia kasutamist manipuleerimiseks ja pahatahtlikel eesmärkidel, sealhulgas selle kasutamist üksikisikute, näiteks Elon Muski </w:t>
            </w:r>
            <w:r>
              <w:rPr>
                <w:b/>
                <w:i/>
              </w:rPr>
              <w:t>ja Meta</w:t>
            </w:r>
            <w:r>
              <w:t xml:space="preserve"> poolt, et mõjutada avalikku arvamust ja levitada desinformatsiooni Euroopas; rõhutab, et komisjon peab tagama õigusriigi põhimõtete nõuetekohase järgimise ELi institutsioonides</w:t>
            </w:r>
            <w:r>
              <w:rPr>
                <w:b/>
                <w:i/>
              </w:rPr>
              <w:t>,</w:t>
            </w:r>
            <w:r>
              <w:t xml:space="preserve"> ning nõuab ELi institutsioonide kaasamist õigusriigi olukorda käsitleva iga-aastase aruande hindamisse;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soovitab komisjonil ja liikmesriikidel jälgida välissekkumise juhtumeid, eelkõige </w:t>
            </w:r>
            <w:r>
              <w:rPr>
                <w:b/>
                <w:i/>
              </w:rPr>
              <w:t>sotsiaalmeedia kasutamist</w:t>
            </w:r>
            <w:r>
              <w:t xml:space="preserve"> manipuleerimiseks ja pahatahtlikel eesmärkidel, sealhulgas </w:t>
            </w:r>
            <w:r>
              <w:rPr>
                <w:b/>
                <w:i/>
              </w:rPr>
              <w:t>selle kasutamist üksikisikute, näiteks Elon Muski poolt</w:t>
            </w:r>
            <w:r>
              <w:t>, et mõjutada avalikku arvamust ja levitada desinformatsiooni Euroopas; rõhutab, et komisjon peab tagama õigusriigi põhimõtete nõuetekohase järgimise ELi institutsioonides ning nõuab ELi institutsioonide kaasamist õigusriigi olukorda käsitleva iga-aastase aruande hindamisse;</w:t>
            </w:r>
          </w:p>
        </w:tc>
        <w:tc>
          <w:tcPr>
            <w:tcW w:w="4876" w:type="dxa"/>
            <w:tcBorders>
              <w:top w:val="nil"/>
              <w:left w:val="nil"/>
              <w:bottom w:val="nil"/>
              <w:right w:val="nil"/>
            </w:tcBorders>
          </w:tcPr>
          <w:p>
            <w:pPr>
              <w:pStyle w:val="Normal6a"/>
            </w:pPr>
            <w:r>
              <w:t>37.</w:t>
            </w:r>
            <w:r>
              <w:tab/>
            </w:r>
            <w:r>
              <w:t xml:space="preserve">soovitab komisjonil ja liikmesriikidel jälgida välissekkumise juhtumeid, eelkõige </w:t>
            </w:r>
            <w:r>
              <w:rPr>
                <w:b/>
                <w:i/>
              </w:rPr>
              <w:t>valitsusväliste organisatsioonide poolt,</w:t>
            </w:r>
            <w:r>
              <w:t xml:space="preserve"> manipuleerimiseks ja pahatahtlikel eesmärkidel, sealhulgas </w:t>
            </w:r>
            <w:r>
              <w:rPr>
                <w:b/>
                <w:i/>
              </w:rPr>
              <w:t>juhul, kui valitsusväliseid organisatsioone kasutatakse selleks</w:t>
            </w:r>
            <w:r>
              <w:t>, et mõjutada avalikku arvamust ja levitada desinformatsiooni Euroopas; rõhutab, et komisjon peab tagama õigusriigi põhimõtete nõuetekohase järgimise ELi institutsioonides ning nõuab ELi institutsioonide kaasamist õigusriigi olukorda käsitleva iga-aastase aruande hindamisse;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nõuab tungivalt, et komisjon jälgiks täielikult, et pädevate riiklike asutuste koostatud turvaliste päritoluriikide nimekirjad vastaksid alati demokraatlikele põhimõtetele, st et nendes järgitaks õigusriigi põhimõtteid, ELi õigusaktides sätestatud kriteeriume, Euroopa Liidu Kohtu otsusteid ja rahvusvahelist õigust;</w:t>
            </w:r>
            <w:r>
              <w:t xml:space="preserve"> </w:t>
            </w:r>
            <w:r>
              <w:rPr>
                <w:b/>
                <w:i/>
              </w:rPr>
              <w:t>rõhutab ELi ja rahvusvahelise õiguse kohast kohustust pakkuda rahvusvahelist kaitset isikutele, keda kiusatakse taga ja/või keda ähvardab tõsine kahju rassilise ja etnilise päritolu, usutunnistuse või veendumuste, rahvuse, poliitiliste vaadete, keele, puude, vanuse, soo, sealhulgas soolise identiteedi ja soolise eneseväljenduse ning seksuaalse sättumuse tõttu;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rõhutab, kui oluline on kaitsta põhiõigust väljendusvabadusele, mis on meie demokraatliku ühiskonna tugisammas.</w:t>
            </w:r>
            <w:r>
              <w:t xml:space="preserve"> </w:t>
            </w:r>
            <w:r>
              <w:rPr>
                <w:b/>
                <w:i/>
              </w:rPr>
              <w:t>Komisjon peab selle õiguse kaitsmiseks tagama Euroopa Liidu õigusraamistiku nõuetekohase kohaldamise sotsiaalmeediaplatvormide suhtes, mitte soodustama poliitilist survet, mis võib piirata avatud ja ausat arutelu.</w:t>
            </w:r>
            <w:r>
              <w:t xml:space="preserve"> </w:t>
            </w:r>
            <w:r>
              <w:rPr>
                <w:b/>
                <w:i/>
              </w:rPr>
              <w:t>Kuigi sotsiaalmeediaplatvormid peavad tegutsema vastutustundlikult, järgides kehtivaid norme, on väga oluline, et sisu modereerimise tavad ei muutuks kontrolli, tsensuuri ega poliitilise manipuleerimise vahendiks;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kutsub liikmesriike üles suurendama lobitöö läbipaistvust ja aruandekohustust, sealhulgas kohustuslike lobitöö registrite ja seadusandliku jalajälje mehhanismide loomist või täiustamist, et jälgida õigusloomeprotsessidele avaldatavat mõju;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kodanikuvabaduste, justiits- ja siseasjade komisjoni nimel</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rõhutab, et komisjon peab tagama õigusriigi põhimõtete nõuetekohase järgimise ELi institutsioonides, ning nõuab ELi institutsioonide kaasamist õigusriigi olukorda käsitleva iga-aastase aruande hindamisse;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palub, et nõukogu võtaks vastu otsuse lisada vaenukõne ja vaenukuriteod ELi toimimise lepingu artikli 83 lõikes 1 loetletud kuriteoliikide hulka;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on mures kasvava suundumuse pärast kasutada selliseid õigusnorme nagu digiteenuste määrus selleks, et edendada poliitilisi seisukohti ja visioone, mis võivad kahjustada väljendusvabadust.</w:t>
            </w:r>
            <w:r>
              <w:t xml:space="preserve"> </w:t>
            </w:r>
            <w:r>
              <w:rPr>
                <w:b/>
                <w:i/>
              </w:rPr>
              <w:t>Sotsiaalmeediaplatvormid peaksid jääma ruumiks, kus ideid saab vabalt vahetada, kartmata poliitiliselt motiveeritud tsensuuri.</w:t>
            </w:r>
            <w:r>
              <w:t xml:space="preserve"> </w:t>
            </w:r>
            <w:r>
              <w:rPr>
                <w:b/>
                <w:i/>
              </w:rPr>
              <w:t>EL peab jääma valvsaks ja olema vastu mis tahes katsetele kasutada sisu modereerimist ära poliitilistel eesmärkidel, ning tagama seejuures väljendusvabaduse kaitse;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nõuab tungivalt, et komisjon esitaks 2025. aasta järgseks perioodiks uuendatud LGBTQIA+-inimeste võrdõiguslikkuse strateegia, milles käsitletakse täielikult praegu kogu Euroopas esinevaid probleeme ja muudetakse LGBTQIA+-inimeste õigused valdkondadevaheliseks prioriteediks kõigis poliitikavaldkondades;</w:t>
            </w:r>
            <w:r>
              <w:t xml:space="preserve"> </w:t>
            </w:r>
            <w:r>
              <w:rPr>
                <w:b/>
                <w:i/>
              </w:rPr>
              <w:t>rõhutab, kui oluline on LGBTQIA+-inimeste enesemääramine ning nende identiteedi ja õiguste tunnustamine ilma vanusepiiranguteta;</w:t>
            </w:r>
            <w:r>
              <w:t xml:space="preserve"> </w:t>
            </w:r>
            <w:r>
              <w:rPr>
                <w:b/>
                <w:i/>
              </w:rPr>
              <w:t>nõuab LGBTQIA+-inimeste füüsilise ja vaimse tervise kaitsmist ja edendamist;</w:t>
            </w:r>
            <w:r>
              <w:t xml:space="preserve"> </w:t>
            </w:r>
            <w:r>
              <w:rPr>
                <w:b/>
                <w:i/>
              </w:rPr>
              <w:t>nõuab tungivalt, et komisjon esitaks seadusandlikud ettepanekud, et võidelda sooidentiteedil ja seksuaalsel sättumusel põhinevate vaenukuritegude ja vaenukõne vastu, ning tagaks samasoolistele paaridele võrdsed õigused;</w:t>
            </w:r>
            <w:r>
              <w:t xml:space="preserve"> </w:t>
            </w:r>
            <w:r>
              <w:rPr>
                <w:b/>
                <w:i/>
              </w:rPr>
              <w:t>nõuab tungivalt, et komisjon esitaks ettepaneku, millega EL kehtestaks kõikide liikmesriikide jaoks siduva ümberpööramistoimingute keelu;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37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kutsub komisjoni ja liikmesriike üles võitlema rassilise ja etnilise päritolu, usutunnistuse või veendumuste, rahvuse, poliitiliste vaadete, keele, puude, vanuse, soo, sealhulgas soolise identiteedi ja soolise eneseväljenduse ning seksuaalse sättumuse alusel diskrimineerimise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kiidab heaks komisjoni algatuse kaasata oma iga-aastasesse õigusriigi olukorda käsitlevasse aruandesse Albaania, Montenegro, Põhja-Makedoonia ja Serbia ning ergutab põhjalikult hindama õigusriigi järgimist nendes ühinevates riikides;</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kiidab heaks komisjoni algatuse kaasata oma iga-aastasesse õigusriigi olukorda käsitlevasse aruandesse Albaania, Montenegro, Põhja-Makedoonia ja Serbia ning ergutab põhjalikult hindama õigusriigi järgimist nendes ühinevates riikides;</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kiidab heaks komisjoni algatuse kaasata oma iga-aastasesse õigusriigi olukorda käsitlevasse aruandesse Albaania, Montenegro, Põhja-Makedoonia ja Serbia ning ergutab põhjalikult hindama õigusriigi järgimist nendes ühinevates riikides;</w:t>
            </w:r>
          </w:p>
        </w:tc>
        <w:tc>
          <w:tcPr>
            <w:tcW w:w="4876" w:type="dxa"/>
            <w:tcBorders>
              <w:top w:val="nil"/>
              <w:left w:val="nil"/>
              <w:bottom w:val="nil"/>
              <w:right w:val="nil"/>
            </w:tcBorders>
          </w:tcPr>
          <w:p>
            <w:pPr>
              <w:pStyle w:val="Normal6a"/>
            </w:pPr>
            <w:r>
              <w:t>38.</w:t>
            </w:r>
            <w:r>
              <w:tab/>
            </w:r>
            <w:r>
              <w:rPr>
                <w:b/>
                <w:i/>
              </w:rPr>
              <w:t>tunneb heameelt komisjoni õigusriigi olukorda käsitleva aruande laiendamise üle kandidaatriikidele, kuna sellega rõhutatakse, et ELi põhiväärtusi peavad lisaks praegustele liikmesriikidele järgima ühinemisprotsessis ka tulevased liikmed;</w:t>
            </w:r>
            <w:r>
              <w:t xml:space="preserve"> kiidab heaks komisjoni algatuse kaasata oma iga-aastasesse õigusriigi olukorda käsitlevasse aruandesse Albaania, Montenegro, Põhja-Makedoonia ja Serbia ning ergutab põhjalikult hindama õigusriigi järgimist nendes ühinevates riikides; </w:t>
            </w:r>
            <w:r>
              <w:rPr>
                <w:b/>
                <w:i/>
              </w:rPr>
              <w:t>ootab, et komisjon lisaks oma 2025. aasta õigusriigi olukorda käsitlevasse aruandesse kõik kandidaatriigid;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kodanikuvabaduste, justiits- ja siseasjade komisjoni nimel</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kiidab heaks komisjoni algatuse kaasata oma iga-aastasesse õigusriigi olukorda käsitlevasse aruandesse Albaania, Montenegro, Põhja-Makedoonia ja Serbia ning ergutab põhjalikult hindama õigusriigi järgimist </w:t>
            </w:r>
            <w:r>
              <w:rPr>
                <w:b/>
                <w:i/>
              </w:rPr>
              <w:t>nendes ühinevates</w:t>
            </w:r>
            <w:r>
              <w:t xml:space="preserve"> riikides;</w:t>
            </w:r>
          </w:p>
        </w:tc>
        <w:tc>
          <w:tcPr>
            <w:tcW w:w="4876" w:type="dxa"/>
            <w:tcBorders>
              <w:top w:val="nil"/>
              <w:left w:val="nil"/>
              <w:bottom w:val="nil"/>
              <w:right w:val="nil"/>
            </w:tcBorders>
          </w:tcPr>
          <w:p>
            <w:pPr>
              <w:pStyle w:val="Normal6a"/>
            </w:pPr>
            <w:r>
              <w:t>38.</w:t>
            </w:r>
            <w:r>
              <w:tab/>
            </w:r>
            <w:r>
              <w:t xml:space="preserve">kiidab heaks komisjoni algatuse kaasata oma iga-aastasesse õigusriigi olukorda käsitlevasse aruandesse Albaania, Montenegro, Põhja-Makedoonia ja Serbia ning ergutab põhjalikult hindama õigusriigi järgimist </w:t>
            </w:r>
            <w:r>
              <w:rPr>
                <w:b/>
                <w:i/>
              </w:rPr>
              <w:t>kõigis ühinemisprotsessis osalevates</w:t>
            </w:r>
            <w:r>
              <w:t xml:space="preserve"> riikides;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kiidab heaks</w:t>
            </w:r>
            <w:r>
              <w:t xml:space="preserve"> komisjoni algatuse kaasata oma iga-aastasesse õigusriigi olukorda käsitlevasse aruandesse Albaania, Montenegro, Põhja-Makedoonia ja Serbia ning ergutab põhjalikult hindama õigusriigi järgimist nendes ühinevates riikides;</w:t>
            </w:r>
          </w:p>
        </w:tc>
        <w:tc>
          <w:tcPr>
            <w:tcW w:w="4876" w:type="dxa"/>
            <w:tcBorders>
              <w:top w:val="nil"/>
              <w:left w:val="nil"/>
              <w:bottom w:val="nil"/>
              <w:right w:val="nil"/>
            </w:tcBorders>
          </w:tcPr>
          <w:p>
            <w:pPr>
              <w:pStyle w:val="Normal6a"/>
            </w:pPr>
            <w:r>
              <w:t>38.</w:t>
            </w:r>
            <w:r>
              <w:tab/>
            </w:r>
            <w:r>
              <w:rPr>
                <w:b/>
                <w:i/>
              </w:rPr>
              <w:t>võtab teadmiseks</w:t>
            </w:r>
            <w:r>
              <w:t xml:space="preserve"> komisjoni algatuse kaasata oma iga-aastasesse õigusriigi olukorda käsitlevasse aruandesse Albaania, Montenegro, Põhja-Makedoonia ja Serbia ning ergutab põhjalikult hindama õigusriigi järgimist nendes ühinevates riikides;</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kiidab heaks komisjoni algatuse kaasata oma iga-aastasesse õigusriigi olukorda käsitlevasse aruandesse Albaania, Montenegro, Põhja-Makedoonia ja Serbia ning ergutab põhjalikult hindama õigusriigi järgimist </w:t>
            </w:r>
            <w:r>
              <w:rPr>
                <w:b/>
                <w:i/>
              </w:rPr>
              <w:t>nendes ühinevates</w:t>
            </w:r>
            <w:r>
              <w:t xml:space="preserve"> riikides;</w:t>
            </w:r>
          </w:p>
        </w:tc>
        <w:tc>
          <w:tcPr>
            <w:tcW w:w="4876" w:type="dxa"/>
            <w:tcBorders>
              <w:top w:val="nil"/>
              <w:left w:val="nil"/>
              <w:bottom w:val="nil"/>
              <w:right w:val="nil"/>
            </w:tcBorders>
          </w:tcPr>
          <w:p>
            <w:pPr>
              <w:pStyle w:val="Normal6a"/>
            </w:pPr>
            <w:r>
              <w:t>38.</w:t>
            </w:r>
            <w:r>
              <w:tab/>
            </w:r>
            <w:r>
              <w:t xml:space="preserve">kiidab heaks komisjoni algatuse kaasata oma iga-aastasesse õigusriigi olukorda käsitlevasse aruandesse Albaania, Montenegro, Põhja-Makedoonia ja Serbia ning ergutab põhjalikult hindama õigusriigi järgimist </w:t>
            </w:r>
            <w:r>
              <w:rPr>
                <w:b/>
                <w:i/>
              </w:rPr>
              <w:t>kõigis Lääne-Balkani</w:t>
            </w:r>
            <w:r>
              <w:t xml:space="preserve"> riikides;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kiidab heaks komisjoni algatuse kaasata oma iga-aastasesse õigusriigi olukorda käsitlevasse aruandesse Albaania, Montenegro, </w:t>
            </w:r>
            <w:r>
              <w:rPr>
                <w:b/>
                <w:i/>
              </w:rPr>
              <w:t>Põhja-Makedoonia</w:t>
            </w:r>
            <w:r>
              <w:t xml:space="preserve"> ja Serbia ning ergutab põhjalikult hindama õigusriigi järgimist nendes </w:t>
            </w:r>
            <w:r>
              <w:rPr>
                <w:b/>
                <w:i/>
              </w:rPr>
              <w:t>ühinevates riikides</w:t>
            </w:r>
            <w:r>
              <w:t>;</w:t>
            </w:r>
          </w:p>
        </w:tc>
        <w:tc>
          <w:tcPr>
            <w:tcW w:w="4876" w:type="dxa"/>
            <w:tcBorders>
              <w:top w:val="nil"/>
              <w:left w:val="nil"/>
              <w:bottom w:val="nil"/>
              <w:right w:val="nil"/>
            </w:tcBorders>
          </w:tcPr>
          <w:p>
            <w:pPr>
              <w:pStyle w:val="Normal6a"/>
            </w:pPr>
            <w:r>
              <w:t>38.</w:t>
            </w:r>
            <w:r>
              <w:tab/>
            </w:r>
            <w:r>
              <w:t xml:space="preserve">kiidab heaks komisjoni algatuse kaasata oma iga-aastasesse õigusriigi olukorda käsitlevasse aruandesse Albaania, Montenegro, </w:t>
            </w:r>
            <w:r>
              <w:rPr>
                <w:b/>
                <w:i/>
              </w:rPr>
              <w:t>Skopje</w:t>
            </w:r>
            <w:r>
              <w:t xml:space="preserve"> ja Serbia ning ergutab põhjalikult hindama õigusriigi järgimist nendes </w:t>
            </w:r>
            <w:r>
              <w:rPr>
                <w:b/>
                <w:i/>
              </w:rPr>
              <w:t>kandidaatriikides</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teeb presidendile ülesandeks edastada käesolev resolutsioon nõukogule </w:t>
            </w:r>
            <w:r>
              <w:rPr>
                <w:b/>
                <w:i/>
              </w:rPr>
              <w:t>ja komisjonile</w:t>
            </w:r>
            <w:r>
              <w:t>.</w:t>
            </w:r>
          </w:p>
        </w:tc>
        <w:tc>
          <w:tcPr>
            <w:tcW w:w="4876" w:type="dxa"/>
            <w:tcBorders>
              <w:top w:val="nil"/>
              <w:left w:val="nil"/>
              <w:bottom w:val="nil"/>
              <w:right w:val="nil"/>
            </w:tcBorders>
          </w:tcPr>
          <w:p>
            <w:pPr>
              <w:pStyle w:val="Normal6a"/>
            </w:pPr>
            <w:r>
              <w:t>39.</w:t>
            </w:r>
            <w:r>
              <w:tab/>
            </w:r>
            <w:r>
              <w:t>teeb presidendile ülesandeks edastada käesolev resolutsioon nõukogule</w:t>
            </w:r>
            <w:r>
              <w:rPr>
                <w:b/>
                <w:i/>
              </w:rPr>
              <w:t>, komisjonile, Euroopa Liidu Põhiõiguste Ametile, Euroopa Nõukogule ning liikmesriikide valitsustele ja parlamentidele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teeb presidendile ülesandeks edastada käesolev resolutsioon nõukogule </w:t>
            </w:r>
            <w:r>
              <w:rPr>
                <w:b/>
                <w:i/>
              </w:rPr>
              <w:t>ja komisjonile</w:t>
            </w:r>
            <w:r>
              <w:t>.</w:t>
            </w:r>
          </w:p>
        </w:tc>
        <w:tc>
          <w:tcPr>
            <w:tcW w:w="4876" w:type="dxa"/>
            <w:tcBorders>
              <w:top w:val="nil"/>
              <w:left w:val="nil"/>
              <w:bottom w:val="nil"/>
              <w:right w:val="nil"/>
            </w:tcBorders>
          </w:tcPr>
          <w:p>
            <w:pPr>
              <w:pStyle w:val="Normal6a"/>
            </w:pPr>
            <w:r>
              <w:t>39.</w:t>
            </w:r>
            <w:r>
              <w:tab/>
            </w:r>
            <w:r>
              <w:t>teeb presidendile ülesandeks edastada käesolev resolutsioon nõukogule</w:t>
            </w:r>
            <w:r>
              <w:rPr>
                <w:b/>
                <w:i/>
              </w:rPr>
              <w:t>, komisjonile ja liikmesriikidele</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50</w:t>
    </w:r>
    <w:r>
      <w:fldChar w:fldCharType="end"/>
    </w:r>
    <w:r>
      <w:tab/>
    </w:r>
    <w:r>
      <w:rPr>
        <w:rStyle w:val="HideTWBExt"/>
      </w:rPr>
      <w:t>&lt;PathFdR&gt;</w:t>
    </w:r>
    <w:r>
      <w:t>AM\1315576ET.docx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AM\1315576ET.docx</w:t>
    </w:r>
    <w:r>
      <w:rPr>
        <w:rStyle w:val="HideTWBExt"/>
      </w:rPr>
      <w:t>&lt;/PathFdR&gt;</w:t>
    </w:r>
    <w:r>
      <w:tab/>
    </w:r>
    <w:r>
      <w:fldChar w:fldCharType="begin"/>
    </w:r>
    <w:r>
      <w:instrText xml:space="preserve"> PAGE </w:instrText>
    </w:r>
    <w:r>
      <w:fldChar w:fldCharType="separate"/>
    </w:r>
    <w:r>
      <w:t>49</w:t>
    </w:r>
    <w:r>
      <w:fldChar w:fldCharType="end"/>
    </w:r>
    <w:r>
      <w:t>/</w:t>
    </w:r>
    <w:r>
      <w:fldChar w:fldCharType="begin"/>
    </w:r>
    <w:r>
      <w:instrText xml:space="preserve"> NUMPAGES </w:instrText>
    </w:r>
    <w:r>
      <w:fldChar w:fldCharType="separate"/>
    </w:r>
    <w:r>
      <w:t>50</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AM\1315576ET.docx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50</Pages>
  <Words>8204</Words>
  <Characters>64080</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149168</vt:lpwstr>
  </property>
  <property fmtid="{D5CDD505-2E9C-101B-9397-08002B2CF9AE}" pid="7" name="dmxml.render.traceId">
    <vt:lpwstr>67dd2757e0a7cccf7d140c88c971c9b9</vt:lpwstr>
  </property>
  <property fmtid="{D5CDD505-2E9C-101B-9397-08002B2CF9AE}" pid="8" name="FooterPath">
    <vt:lpwstr>AM\1315576ET.docx</vt:lpwstr>
  </property>
  <property fmtid="{D5CDD505-2E9C-101B-9397-08002B2CF9AE}" pid="9" name="PE Number">
    <vt:lpwstr>769.959</vt:lpwstr>
  </property>
  <property fmtid="{D5CDD505-2E9C-101B-9397-08002B2CF9AE}" pid="10" name="UID">
    <vt:lpwstr>eu.europa.europarl-DIN1-2025-0000027564_02.00-et-01.00_text-xml</vt:lpwstr>
  </property>
</Properties>
</file>