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Odbor za građanske slobode, pravosuđe i unutarnje poslove</w:t>
      </w:r>
      <w:r>
        <w:rPr>
          <w:rStyle w:val="HideTWBExt"/>
        </w:rPr>
        <w:t>&lt;/Commission&gt;</w:t>
      </w:r>
    </w:p>
    <w:p>
      <w:pPr>
        <w:pStyle w:val="LineBottom"/>
      </w:pPr>
      <w:r>
        <w:t xml:space="preserve"> </w:t>
      </w:r>
    </w:p>
    <w:p>
      <w:pPr>
        <w:pStyle w:val="CoverReference"/>
      </w:pPr>
      <w:r>
        <w:rPr>
          <w:rStyle w:val="HideTWBExt"/>
        </w:rPr>
        <w:t>&lt;RefProc&gt;</w:t>
      </w:r>
      <w:r>
        <w:t>2024/2078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{19/02/2025}</w:t>
      </w:r>
      <w:r>
        <w:t>19.2.2025</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708</w:t>
      </w:r>
      <w:r>
        <w:t xml:space="preserve"> - </w:t>
      </w:r>
      <w:r>
        <w:t>796</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Ana Catarina Mendes</w:t>
      </w:r>
      <w:r>
        <w:rPr>
          <w:rStyle w:val="HideTWBExt"/>
        </w:rPr>
        <w:t>&lt;/Rapporteur&gt;</w:t>
      </w:r>
    </w:p>
    <w:p>
      <w:pPr>
        <w:pStyle w:val="CoverNormal24a"/>
      </w:pPr>
      <w:r>
        <w:rPr>
          <w:rStyle w:val="HideTWBExt"/>
        </w:rPr>
        <w:t>&lt;DocRefPE&gt;</w:t>
      </w:r>
      <w:r>
        <w:t>(PE767.867v01-00)</w:t>
      </w:r>
      <w:r>
        <w:rPr>
          <w:rStyle w:val="HideTWBExt"/>
        </w:rPr>
        <w:t>&lt;/DocRefPE&gt;</w:t>
      </w:r>
    </w:p>
    <w:p>
      <w:pPr>
        <w:pStyle w:val="CoverNormal"/>
      </w:pPr>
      <w:r>
        <w:rPr>
          <w:rStyle w:val="HideTWBExt"/>
        </w:rPr>
        <w:t>&lt;Titre&gt;</w:t>
      </w:r>
      <w:r>
        <w:t>Komisijino Izvješće o vladavini prava za 2024.</w:t>
      </w:r>
      <w:r>
        <w:rPr>
          <w:rStyle w:val="HideTWBExt"/>
        </w:rPr>
        <w:t>&lt;/Titre&gt;</w:t>
      </w:r>
    </w:p>
    <w:p>
      <w:pPr>
        <w:pStyle w:val="CoverNormal24a"/>
      </w:pPr>
      <w:r>
        <w:rPr>
          <w:rStyle w:val="HideTWBExt"/>
        </w:rPr>
        <w:t>&lt;DocRef&gt;</w:t>
      </w:r>
      <w:r>
        <w:t>(2024/2078(INI))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potiče Komisiju da u godišnje izvješće o vladavini prava uvrsti novi stup s naglaskom na suzbijanju svih oblika diskriminacije;</w:t>
            </w:r>
          </w:p>
        </w:tc>
        <w:tc>
          <w:tcPr>
            <w:tcW w:w="4876" w:type="dxa"/>
            <w:tcBorders>
              <w:top w:val="nil"/>
              <w:left w:val="nil"/>
              <w:bottom w:val="nil"/>
              <w:right w:val="nil"/>
            </w:tcBorders>
          </w:tcPr>
          <w:p>
            <w:pPr>
              <w:pStyle w:val="Normal6a"/>
            </w:pPr>
            <w:r>
              <w:t>33.</w:t>
            </w:r>
            <w:r>
              <w:tab/>
            </w:r>
            <w:r>
              <w:t>potiče Komisiju da u godišnje izvješće o vladavini prava uvrsti novi stup s naglaskom na suzbijanju svih oblika diskriminacije</w:t>
            </w:r>
            <w:r>
              <w:rPr>
                <w:b/>
                <w:i/>
              </w:rPr>
              <w:t>, kako je utvrđeno u članku 21. Povelje Europske unije o temeljnim pravima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potiče Komisiju da u godišnje izvješće o vladavini prava uvrsti novi stup </w:t>
            </w:r>
            <w:r>
              <w:rPr>
                <w:b/>
                <w:i/>
              </w:rPr>
              <w:t>s naglaskom na suzbijanju</w:t>
            </w:r>
            <w:r>
              <w:t xml:space="preserve"> svih oblika diskriminacije;</w:t>
            </w:r>
          </w:p>
        </w:tc>
        <w:tc>
          <w:tcPr>
            <w:tcW w:w="4876" w:type="dxa"/>
            <w:tcBorders>
              <w:top w:val="nil"/>
              <w:left w:val="nil"/>
              <w:bottom w:val="nil"/>
              <w:right w:val="nil"/>
            </w:tcBorders>
          </w:tcPr>
          <w:p>
            <w:pPr>
              <w:pStyle w:val="Normal6a"/>
            </w:pPr>
            <w:r>
              <w:t>33.</w:t>
            </w:r>
            <w:r>
              <w:tab/>
            </w:r>
            <w:r>
              <w:t xml:space="preserve">potiče Komisiju da u godišnje izvješće o vladavini prava </w:t>
            </w:r>
            <w:r>
              <w:rPr>
                <w:b/>
                <w:i/>
              </w:rPr>
              <w:t>ne</w:t>
            </w:r>
            <w:r>
              <w:t xml:space="preserve"> uvrsti </w:t>
            </w:r>
            <w:r>
              <w:rPr>
                <w:b/>
                <w:i/>
              </w:rPr>
              <w:t>nikakav</w:t>
            </w:r>
            <w:r>
              <w:t xml:space="preserve"> novi stup</w:t>
            </w:r>
            <w:r>
              <w:rPr>
                <w:b/>
                <w:i/>
              </w:rPr>
              <w:t>, uključujući suzbijanje</w:t>
            </w:r>
            <w:r>
              <w:t xml:space="preserve"> svih oblika diskriminacije;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potiče Komisiju da u godišnje izvješće o vladavini prava uvrsti novi stup s naglaskom na suzbijanju svih oblika diskriminacije;</w:t>
            </w:r>
          </w:p>
        </w:tc>
        <w:tc>
          <w:tcPr>
            <w:tcW w:w="4876" w:type="dxa"/>
            <w:tcBorders>
              <w:top w:val="nil"/>
              <w:left w:val="nil"/>
              <w:bottom w:val="nil"/>
              <w:right w:val="nil"/>
            </w:tcBorders>
          </w:tcPr>
          <w:p>
            <w:pPr>
              <w:pStyle w:val="Normal6a"/>
            </w:pPr>
            <w:r>
              <w:t>33.</w:t>
            </w:r>
            <w:r>
              <w:tab/>
            </w:r>
            <w:r>
              <w:t xml:space="preserve">potiče Komisiju da u godišnje izvješće o vladavini prava uvrsti novi stup s naglaskom na suzbijanju svih oblika diskriminacije </w:t>
            </w:r>
            <w:r>
              <w:rPr>
                <w:b/>
                <w:i/>
              </w:rPr>
              <w:t>i mržnje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potiče Komisiju da u godišnje izvješće o vladavini prava uvrsti novi stup s naglaskom na suzbijanju </w:t>
            </w:r>
            <w:r>
              <w:rPr>
                <w:b/>
                <w:i/>
              </w:rPr>
              <w:t>svih oblika diskriminacije</w:t>
            </w:r>
            <w:r>
              <w:t>;</w:t>
            </w:r>
          </w:p>
        </w:tc>
        <w:tc>
          <w:tcPr>
            <w:tcW w:w="4876" w:type="dxa"/>
            <w:tcBorders>
              <w:top w:val="nil"/>
              <w:left w:val="nil"/>
              <w:bottom w:val="nil"/>
              <w:right w:val="nil"/>
            </w:tcBorders>
          </w:tcPr>
          <w:p>
            <w:pPr>
              <w:pStyle w:val="Normal6a"/>
            </w:pPr>
            <w:r>
              <w:t>33.</w:t>
            </w:r>
            <w:r>
              <w:tab/>
            </w:r>
            <w:r>
              <w:t xml:space="preserve">potiče Komisiju da u godišnje izvješće o vladavini prava uvrsti novi stup s naglaskom na suzbijanju </w:t>
            </w:r>
            <w:r>
              <w:rPr>
                <w:b/>
                <w:i/>
              </w:rPr>
              <w:t>cenzure medija i internetskog sadržaja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poziva države članice da provedu pakt o migracijama i azilu u skladu s načelima sadržanima u Ugovorima, Povelji EU-a o temeljnim pravima i međunarodnom pravu;</w:t>
            </w:r>
            <w:r>
              <w:t xml:space="preserve"> </w:t>
            </w:r>
            <w:r>
              <w:rPr>
                <w:b/>
                <w:i/>
              </w:rPr>
              <w:t>poziva države članice da osiguraju da državljani trećih zemalja uživaju jednaka prava, jednako i humano postupanje, kao i pravedan pristup postupcima međunarodne zaštite u potpunosti u skladu s međunarodnim pravom i načelom zabrane prisilnog udaljenja ili vraćanja;</w:t>
            </w:r>
            <w:r>
              <w:t xml:space="preserve"> </w:t>
            </w:r>
            <w:r>
              <w:rPr>
                <w:b/>
                <w:i/>
              </w:rPr>
              <w:t>potiče Komisiju da osigura da eksternalizacija i izvanteritorijalno upravljanje migracijama, kao što su bilateralni sporazumi država članica s trećim zemljama, ni u kojem slučaju ne dovode u pitanje ta načela i kriterije utvrđene u zakonodavstvu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Raquel García Hermida-Van Der Walle, Fabienne Keller, Sophie Wilmès, Abir Al-Sahlani, Sigrid Friis,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poziva Komisiju da ponovno razmotri svoje stajalište o inicijativi „Minority SafePack” te da predloži zakonodavne inicijative za zaštitu promicanja prava manjina i jezičnih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ponavlja svoj poziv Komisiji da u izvješće o vladavini prava dodatno integrira reaktivne alate, kao što su postupci iz članka 7.</w:t>
            </w:r>
            <w:r>
              <w:t xml:space="preserve"> </w:t>
            </w:r>
            <w:r>
              <w:rPr>
                <w:b/>
                <w:i/>
              </w:rPr>
              <w:t>UEU-a, opći mehanizam uvjetovanosti i postupci zbog povrede prava</w:t>
            </w:r>
            <w:r>
              <w:rPr>
                <w:b/>
                <w:i/>
                <w:vertAlign w:val="superscript"/>
              </w:rPr>
              <w:t>48</w:t>
            </w:r>
            <w:r>
              <w:rPr>
                <w:b/>
                <w:i/>
              </w:rPr>
              <w:t>;</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Mađarski helsinški odbor, „Nepoštovanje vrijednosti EU-a:kratki prikaz problema u vezi s vladavinom prava u Mađarskoj s obzirom na postupak iz članka 7.”, 12. studenoga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ponavlja svoj poziv Komisiji da u izvješće o vladavini prava dodatno integrira reaktivne alate, kao što su postupci iz članka 7.</w:t>
            </w:r>
            <w:r>
              <w:t xml:space="preserve"> </w:t>
            </w:r>
            <w:r>
              <w:rPr>
                <w:b/>
                <w:i/>
              </w:rPr>
              <w:t>UEU-a, opći mehanizam uvjetovanosti i postupci zbog povrede prava</w:t>
            </w:r>
            <w:r>
              <w:rPr>
                <w:b/>
                <w:i/>
                <w:vertAlign w:val="superscript"/>
              </w:rPr>
              <w:t>48</w:t>
            </w:r>
            <w:r>
              <w:rPr>
                <w:b/>
                <w:i/>
              </w:rPr>
              <w:t>;</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Mađarski helsinški odbor, „Nepoštovanje vrijednosti EU-a:kratki prikaz problema u vezi s vladavinom prava u Mađarskoj s obzirom na postupak iz članka 7.”, 12. studenoga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ponavlja svoj poziv Komisiji da u izvješće o vladavini prava dodatno integrira reaktivne alate, kao što su postupci iz članka 7.</w:t>
            </w:r>
            <w:r>
              <w:t xml:space="preserve"> </w:t>
            </w:r>
            <w:r>
              <w:rPr>
                <w:b/>
                <w:i/>
              </w:rPr>
              <w:t>UEU-a, opći mehanizam uvjetovanosti i postupci zbog povrede prava</w:t>
            </w:r>
            <w:r>
              <w:rPr>
                <w:b/>
                <w:i/>
                <w:vertAlign w:val="superscript"/>
              </w:rPr>
              <w:t>48</w:t>
            </w:r>
            <w:r>
              <w:rPr>
                <w:b/>
                <w:i/>
              </w:rPr>
              <w:t>;</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Mađarski helsinški odbor, „Nepoštovanje vrijednosti EU-a:kratki prikaz problema u vezi s vladavinom prava u Mađarskoj s obzirom na postupak iz članka 7.”, 12. studenoga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ponavlja svoj poziv Komisiji da u izvješće o vladavini prava dodatno integrira reaktivne alate, kao što su postupci iz članka 7. UEU-a, </w:t>
            </w:r>
            <w:r>
              <w:rPr>
                <w:b/>
                <w:i/>
              </w:rPr>
              <w:t>opći mehanizam</w:t>
            </w:r>
            <w:r>
              <w:t xml:space="preserve"> uvjetovanosti i postupci zbog povrede prava</w:t>
            </w:r>
            <w:r>
              <w:rPr>
                <w:b/>
                <w:i/>
                <w:vertAlign w:val="superscript"/>
              </w:rPr>
              <w:t>48</w:t>
            </w:r>
            <w:r>
              <w:t>;</w:t>
            </w:r>
          </w:p>
        </w:tc>
        <w:tc>
          <w:tcPr>
            <w:tcW w:w="4876" w:type="dxa"/>
            <w:tcBorders>
              <w:top w:val="nil"/>
              <w:left w:val="nil"/>
              <w:bottom w:val="nil"/>
              <w:right w:val="nil"/>
            </w:tcBorders>
          </w:tcPr>
          <w:p>
            <w:pPr>
              <w:pStyle w:val="Normal6a"/>
            </w:pPr>
            <w:r>
              <w:t>34.</w:t>
            </w:r>
            <w:r>
              <w:tab/>
            </w:r>
            <w:r>
              <w:t xml:space="preserve">ponavlja svoj poziv Komisiji da u izvješće o vladavini prava dodatno integrira reaktivne alate, kao što su postupci iz članka 7. UEU-a, </w:t>
            </w:r>
            <w:r>
              <w:rPr>
                <w:b/>
                <w:i/>
              </w:rPr>
              <w:t>Uredba o</w:t>
            </w:r>
            <w:r>
              <w:t xml:space="preserve"> uvjetovanosti </w:t>
            </w:r>
            <w:r>
              <w:rPr>
                <w:b/>
                <w:i/>
              </w:rPr>
              <w:t>vladavine prava te drugi proračunski postupci</w:t>
            </w:r>
            <w:r>
              <w:t xml:space="preserve"> i postupci zbog povrede prava</w:t>
            </w:r>
            <w:r>
              <w:rPr>
                <w:b/>
                <w:i/>
              </w:rPr>
              <w:t>;</w:t>
            </w:r>
            <w:r>
              <w:t xml:space="preserve"> </w:t>
            </w:r>
            <w:r>
              <w:rPr>
                <w:b/>
                <w:i/>
              </w:rPr>
              <w:t>poziva Komisiju da sustavno upotrebljava ubrzane postupke i podnosi zahtjeve za privremene mjere u postupcima zbog povrede prava pred Sudom Europske unije;</w:t>
            </w:r>
            <w:r>
              <w:t xml:space="preserve"> </w:t>
            </w:r>
            <w:r>
              <w:rPr>
                <w:b/>
                <w:i/>
              </w:rPr>
              <w:t>poziva Komisiju da se ne koristi „dijalogom” s državama članicama ili „pilot-postupkom” kao otvorenim sredstvom za izbjegavanje pokretanja stvarnih postupaka zbog povrede prava; poziva Komisiju da revidira svoju politiku opisanu u njezinoj komunikaciji o provedbi prava EU-a iz 2022. prema kojoj se postupci zbog povrede obveze ne koriste za „pojedinačne” slučajeve jer je ta politika dovela do ozbiljnog lišavanja prava građana diljem EU-a, osobito kada njihove vlade odbijaju poštovati pravo EU-a ili presude Suda Europske unije, s obzirom na to da većina tih slučajeva nije pojedinačna, već se odnose na strateška i temeljna pitanja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Mađarski helsinški odbor, „Nepoštovanje vrijednosti EU-a:kratki prikaz problema u vezi s vladavinom prava u Mađarskoj s obzirom na postupak iz članka 7.”, 12. studenoga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ponavlja svoj poziv Komisiji da u izvješće o vladavini prava dodatno integrira reaktivne alate, kao što su postupci iz članka 7.</w:t>
            </w:r>
            <w:r>
              <w:t xml:space="preserve"> </w:t>
            </w:r>
            <w:r>
              <w:rPr>
                <w:b/>
                <w:i/>
              </w:rPr>
              <w:t>UEU-a, opći mehanizam uvjetovanosti i postupci zbog povrede prava</w:t>
            </w:r>
            <w:r>
              <w:rPr>
                <w:b/>
                <w:i/>
                <w:vertAlign w:val="superscript"/>
              </w:rPr>
              <w:t>48</w:t>
            </w:r>
            <w:r>
              <w:t>;</w:t>
            </w:r>
          </w:p>
        </w:tc>
        <w:tc>
          <w:tcPr>
            <w:tcW w:w="4876" w:type="dxa"/>
            <w:tcBorders>
              <w:top w:val="nil"/>
              <w:left w:val="nil"/>
              <w:bottom w:val="nil"/>
              <w:right w:val="nil"/>
            </w:tcBorders>
          </w:tcPr>
          <w:p>
            <w:pPr>
              <w:pStyle w:val="Normal6a"/>
            </w:pPr>
            <w:r>
              <w:t>34.</w:t>
            </w:r>
            <w:r>
              <w:tab/>
            </w:r>
            <w:r>
              <w:rPr>
                <w:b/>
                <w:i/>
              </w:rPr>
              <w:t>duboko je zabrinut zbog stanja u pogledu vladavine prava u europskim institucijama;</w:t>
            </w:r>
            <w:r>
              <w:t xml:space="preserve"> </w:t>
            </w:r>
            <w:r>
              <w:rPr>
                <w:b/>
                <w:i/>
              </w:rPr>
              <w:t>poziva Komisiju da istraži sve veća kršenja vladavine prava u tim institucijama;</w:t>
            </w:r>
            <w:r>
              <w:t xml:space="preserve"> </w:t>
            </w:r>
            <w:r>
              <w:rPr>
                <w:b/>
                <w:i/>
              </w:rPr>
              <w:t>s dubokom zabrinutošću prima na znanje navode o sudjelovanju bivšeg povjerenika za pravosuđe Didiera Reyndersa u pranju novca;</w:t>
            </w:r>
            <w:r>
              <w:t xml:space="preserve"> </w:t>
            </w:r>
            <w:r>
              <w:rPr>
                <w:b/>
                <w:i/>
              </w:rPr>
              <w:t>iznimno je zabrinut zbog toga što je povjerenik za pravosuđe, koji je navodno oprao više od milijun eura kupnjom lutrijskih listića, bio odgovoran za očuvanje vladavine prava u Europskoj uniji;</w:t>
            </w:r>
            <w:r>
              <w:t xml:space="preserve"> </w:t>
            </w:r>
            <w:r>
              <w:rPr>
                <w:b/>
                <w:i/>
              </w:rPr>
              <w:t>naglašava da su 2019. godine, kada je bio kandidat za povjerenika, belgijske vlasti već bile optužile Didiera Reyndersa za pranje novca i korupciju;</w:t>
            </w:r>
            <w:r>
              <w:t xml:space="preserve"> </w:t>
            </w:r>
            <w:r>
              <w:rPr>
                <w:b/>
                <w:i/>
              </w:rPr>
              <w:t>poziva Komisiju da objasni kako je Didier Reynders bio odgovoran za portfelj pravosuđa tijekom devetog mandata unatoč ozbiljnim optužbama;</w:t>
            </w:r>
            <w:r>
              <w:t xml:space="preserve"> </w:t>
            </w:r>
            <w:r>
              <w:rPr>
                <w:b/>
                <w:i/>
              </w:rPr>
              <w:t>ponavlja da to izvješće ne može biti temelj za nikakve daljnje mehanizme i postupke EU-a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Mađarski helsinški odbor, „Nepoštovanje vrijednosti EU-a:kratki prikaz problema u vezi s vladavinom prava u Mađarskoj s obzirom na postupak iz članka 7.”, 12. studenoga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ponavlja svoj poziv Komisiji da</w:t>
            </w:r>
            <w:r>
              <w:t xml:space="preserve"> u izvješće o vladavini prava </w:t>
            </w:r>
            <w:r>
              <w:rPr>
                <w:b/>
                <w:i/>
              </w:rPr>
              <w:t>dodatno integrira reaktivne alate</w:t>
            </w:r>
            <w:r>
              <w:t>, kao što su postupci iz članka 7. UEU-a, opći mehanizam uvjetovanosti i postupci zbog povrede prava</w:t>
            </w:r>
            <w:r>
              <w:rPr>
                <w:vertAlign w:val="superscript"/>
              </w:rPr>
              <w:t>48</w:t>
            </w:r>
            <w:r>
              <w:t>;</w:t>
            </w:r>
          </w:p>
        </w:tc>
        <w:tc>
          <w:tcPr>
            <w:tcW w:w="4876" w:type="dxa"/>
            <w:tcBorders>
              <w:top w:val="nil"/>
              <w:left w:val="nil"/>
              <w:bottom w:val="nil"/>
              <w:right w:val="nil"/>
            </w:tcBorders>
          </w:tcPr>
          <w:p>
            <w:pPr>
              <w:pStyle w:val="Normal6a"/>
            </w:pPr>
            <w:r>
              <w:t>34.</w:t>
            </w:r>
            <w:r>
              <w:tab/>
            </w:r>
            <w:r>
              <w:rPr>
                <w:b/>
                <w:i/>
              </w:rPr>
              <w:t>poziva Komisiju da procijeni je li dodatna integracija reaktivnih alata</w:t>
            </w:r>
            <w:r>
              <w:t xml:space="preserve"> u izvješće o vladavini prava, kao što su postupci iz članka 7. UEU-a, opći mehanizam uvjetovanosti i postupci zbog povrede prava</w:t>
            </w:r>
            <w:r>
              <w:rPr>
                <w:vertAlign w:val="superscript"/>
              </w:rPr>
              <w:t>48</w:t>
            </w:r>
            <w:r>
              <w:rPr>
                <w:b/>
                <w:i/>
              </w:rPr>
              <w:t>, primjerena s obzirom na to da se upotrebljavala na neprihvatljivo politiziran način, za što je najbolji primjer Poljska, gdje su nakon promjene vlade u onu koja više odgovara Bruxellesu i Berlinu sve kritike odbačene, a postupak iz članka 7. UEU-a obustavljen bez zakonodavnih izmjena i unatoč otvorenom kršenju ustavnih načela te zemlje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Mađarski helsinški odbor, „Nepoštovanje vrijednosti EU-a:kratki prikaz problema u vezi s vladavinom prava u Mađarskoj s obzirom na postupak iz članka 7.”, 12. studenoga 2024.</w:t>
            </w:r>
          </w:p>
        </w:tc>
        <w:tc>
          <w:tcPr>
            <w:tcW w:w="4876" w:type="dxa"/>
            <w:tcBorders>
              <w:top w:val="nil"/>
              <w:left w:val="nil"/>
              <w:bottom w:val="nil"/>
              <w:right w:val="nil"/>
            </w:tcBorders>
          </w:tcPr>
          <w:p>
            <w:pPr>
              <w:pStyle w:val="Normal6a"/>
            </w:pPr>
            <w:r>
              <w:rPr>
                <w:vertAlign w:val="superscript"/>
              </w:rPr>
              <w:t>48</w:t>
            </w:r>
            <w:r>
              <w:t xml:space="preserve"> </w:t>
            </w:r>
            <w:r>
              <w:t>Mađarski helsinški odbor, „Nepoštovanje vrijednosti EU-a: kratki prikaz problema u vezi s vladavinom prava u Mađarskoj s obzirom na postupak iz članka 7.”, 12. studenoga 2024.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Nikola Minchev, Moritz Körner, Hilde Vautmans, Veronika Cifrová Ostrihoňová, Abir Al-Sahlani, Chloé Ridel, Fabienne Keller, Lucia Yar, Irena Joveva, Isabel Wiseler-Lima, Daniel Freund</w:t>
      </w:r>
      <w:r>
        <w:rPr>
          <w:rStyle w:val="HideTWBExt"/>
          <w:b w:val="0"/>
        </w:rPr>
        <w:t>&lt;/Members&gt;</w:t>
      </w:r>
    </w:p>
    <w:p>
      <w:r>
        <w:rPr>
          <w:rStyle w:val="HideTWBExt"/>
          <w:b w:val="0"/>
        </w:rPr>
        <w:t>&lt;AuNomDe&gt;</w:t>
      </w:r>
      <w:r>
        <w:rPr>
          <w:rStyle w:val="HideTWBInt"/>
        </w:rPr>
        <w:t>{LIBE}</w:t>
      </w:r>
      <w:r>
        <w:t>u ime Odbora za građanske slobode, pravosuđe i unutarnje poslove</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ponavlja svoj poziv Komisiji da u izvješće o vladavini prava dodatno integrira reaktivne alate, kao što su postupci iz članka 7. UEU-a, opći mehanizam uvjetovanosti i postupci zbog povrede prava</w:t>
            </w:r>
            <w:r>
              <w:rPr>
                <w:vertAlign w:val="superscript"/>
              </w:rPr>
              <w:t>48</w:t>
            </w:r>
            <w:r>
              <w:t>;</w:t>
            </w:r>
          </w:p>
        </w:tc>
        <w:tc>
          <w:tcPr>
            <w:tcW w:w="4876" w:type="dxa"/>
            <w:tcBorders>
              <w:top w:val="nil"/>
              <w:left w:val="nil"/>
              <w:bottom w:val="nil"/>
              <w:right w:val="nil"/>
            </w:tcBorders>
          </w:tcPr>
          <w:p>
            <w:pPr>
              <w:pStyle w:val="Normal6a"/>
            </w:pPr>
            <w:r>
              <w:t>34.</w:t>
            </w:r>
            <w:r>
              <w:tab/>
            </w:r>
            <w:r>
              <w:t>ponavlja svoj poziv Komisiji da u izvješće o vladavini prava dodatno integrira reaktivne alate, kao što su postupci iz članka 7. UEU-a, opći mehanizam uvjetovanosti i postupci zbog povrede prava</w:t>
            </w:r>
            <w:r>
              <w:rPr>
                <w:vertAlign w:val="superscript"/>
              </w:rPr>
              <w:t>48</w:t>
            </w:r>
            <w:r>
              <w:t xml:space="preserve">; </w:t>
            </w:r>
            <w:r>
              <w:rPr>
                <w:b/>
                <w:i/>
              </w:rPr>
              <w:t>traži od Komisije da svake godine izvješćuje o primjeni i djelotvornosti alata koji se upotrebljavaju protiv kršenja načela vladavine prava u državama članicama;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Mađarski helsinški odbor, „Nepoštovanje vrijednosti EU-a:kratki prikaz problema u vezi s vladavinom prava u Mađarskoj s obzirom na postupak iz članka 7.”, 12. studenoga 2024.</w:t>
            </w:r>
          </w:p>
        </w:tc>
        <w:tc>
          <w:tcPr>
            <w:tcW w:w="4876" w:type="dxa"/>
            <w:tcBorders>
              <w:top w:val="nil"/>
              <w:left w:val="nil"/>
              <w:bottom w:val="nil"/>
              <w:right w:val="nil"/>
            </w:tcBorders>
          </w:tcPr>
          <w:p>
            <w:pPr>
              <w:pStyle w:val="Normal6a"/>
            </w:pPr>
            <w:r>
              <w:rPr>
                <w:vertAlign w:val="superscript"/>
              </w:rPr>
              <w:t>48</w:t>
            </w:r>
            <w:r>
              <w:t xml:space="preserve"> </w:t>
            </w:r>
            <w:r>
              <w:t>Mađarski helsinški odbor, „Nepoštovanje vrijednosti EU-a: kratki prikaz problema u vezi s vladavinom prava u Mađarskoj s obzirom na postupak iz članka 7.”, 12. studenoga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ponavlja svoj poziv Komisiji da u </w:t>
            </w:r>
            <w:r>
              <w:rPr>
                <w:b/>
                <w:i/>
              </w:rPr>
              <w:t>izvješće</w:t>
            </w:r>
            <w:r>
              <w:t xml:space="preserve"> o vladavini prava </w:t>
            </w:r>
            <w:r>
              <w:rPr>
                <w:b/>
                <w:i/>
              </w:rPr>
              <w:t>dodatno integrira reaktivne alate, kao što su postupci iz</w:t>
            </w:r>
            <w:r>
              <w:t xml:space="preserve"> članka 7. UEU-a, </w:t>
            </w:r>
            <w:r>
              <w:rPr>
                <w:b/>
                <w:i/>
              </w:rPr>
              <w:t>opći</w:t>
            </w:r>
            <w:r>
              <w:t xml:space="preserve"> mehanizam uvjetovanosti </w:t>
            </w:r>
            <w:r>
              <w:rPr>
                <w:b/>
                <w:i/>
              </w:rPr>
              <w:t>i postupci</w:t>
            </w:r>
            <w:r>
              <w:t xml:space="preserve"> zbog povrede prava</w:t>
            </w:r>
            <w:r>
              <w:rPr>
                <w:vertAlign w:val="superscript"/>
              </w:rPr>
              <w:t>48</w:t>
            </w:r>
            <w:r>
              <w:t>;</w:t>
            </w:r>
          </w:p>
        </w:tc>
        <w:tc>
          <w:tcPr>
            <w:tcW w:w="4876" w:type="dxa"/>
            <w:tcBorders>
              <w:top w:val="nil"/>
              <w:left w:val="nil"/>
              <w:bottom w:val="nil"/>
              <w:right w:val="nil"/>
            </w:tcBorders>
          </w:tcPr>
          <w:p>
            <w:pPr>
              <w:pStyle w:val="Normal6a"/>
            </w:pPr>
            <w:r>
              <w:t>34.</w:t>
            </w:r>
            <w:r>
              <w:tab/>
            </w:r>
            <w:r>
              <w:t xml:space="preserve">ponavlja svoj poziv Komisiji da u </w:t>
            </w:r>
            <w:r>
              <w:rPr>
                <w:b/>
                <w:i/>
              </w:rPr>
              <w:t>izvješću</w:t>
            </w:r>
            <w:r>
              <w:t xml:space="preserve"> o vladavini prava </w:t>
            </w:r>
            <w:r>
              <w:rPr>
                <w:b/>
                <w:i/>
              </w:rPr>
              <w:t>bolje odražava različite instrumente iz paketa instrumenata za vladavinu prava, posebno tekuće postupke u okviru</w:t>
            </w:r>
            <w:r>
              <w:t xml:space="preserve"> članka 7. UEU-a, mehanizam uvjetovanosti </w:t>
            </w:r>
            <w:r>
              <w:rPr>
                <w:b/>
                <w:i/>
              </w:rPr>
              <w:t>u pogledu vladavine prava te postupke</w:t>
            </w:r>
            <w:r>
              <w:t xml:space="preserve"> zbog povrede prava</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Mađarski helsinški odbor, „Nepoštovanje vrijednosti EU-a:kratki prikaz problema u vezi s vladavinom prava u Mađarskoj s obzirom na postupak iz članka 7.”, 12. studenoga 2024.</w:t>
            </w:r>
          </w:p>
        </w:tc>
        <w:tc>
          <w:tcPr>
            <w:tcW w:w="4876" w:type="dxa"/>
            <w:tcBorders>
              <w:top w:val="nil"/>
              <w:left w:val="nil"/>
              <w:bottom w:val="nil"/>
              <w:right w:val="nil"/>
            </w:tcBorders>
          </w:tcPr>
          <w:p>
            <w:pPr>
              <w:pStyle w:val="Normal6a"/>
            </w:pPr>
            <w:r>
              <w:rPr>
                <w:vertAlign w:val="superscript"/>
              </w:rPr>
              <w:t>48</w:t>
            </w:r>
            <w:r>
              <w:t xml:space="preserve"> </w:t>
            </w:r>
            <w:r>
              <w:t>Mađarski helsinški odbor, „Nepoštovanje vrijednosti EU-a: kratki prikaz problema u vezi s vladavinom prava u Mađarskoj s obzirom na postupak iz članka 7.”, 12. studenoga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ponavlja svoj poziv Komisiji da </w:t>
            </w:r>
            <w:r>
              <w:rPr>
                <w:b/>
                <w:i/>
              </w:rPr>
              <w:t>u izvješće o vladavini prava dodatno integrira reaktivne alate, kao što su postupci iz članka 7.</w:t>
            </w:r>
            <w:r>
              <w:t xml:space="preserve"> </w:t>
            </w:r>
            <w:r>
              <w:rPr>
                <w:b/>
                <w:i/>
              </w:rPr>
              <w:t>UEU-a, opći mehanizam uvjetovanosti i postupci zbog povrede prava</w:t>
            </w:r>
            <w:r>
              <w:rPr>
                <w:b/>
                <w:i/>
                <w:vertAlign w:val="superscript"/>
              </w:rPr>
              <w:t>48</w:t>
            </w:r>
            <w:r>
              <w:t>;</w:t>
            </w:r>
          </w:p>
        </w:tc>
        <w:tc>
          <w:tcPr>
            <w:tcW w:w="4876" w:type="dxa"/>
            <w:tcBorders>
              <w:top w:val="nil"/>
              <w:left w:val="nil"/>
              <w:bottom w:val="nil"/>
              <w:right w:val="nil"/>
            </w:tcBorders>
          </w:tcPr>
          <w:p>
            <w:pPr>
              <w:pStyle w:val="Normal6a"/>
            </w:pPr>
            <w:r>
              <w:t>34.</w:t>
            </w:r>
            <w:r>
              <w:tab/>
            </w:r>
            <w:r>
              <w:t xml:space="preserve">ponavlja svoj poziv Komisiji da </w:t>
            </w:r>
            <w:r>
              <w:rPr>
                <w:b/>
                <w:i/>
              </w:rPr>
              <w:t>se suzdrži od stvaranja novih mehanizama i instrumenata za zaštitu vladavine prava jer su postojeći mehanizmi i instrumenti dostatni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Mađarski helsinški odbor, „Nepoštovanje vrijednosti EU-a:kratki prikaz problema u vezi s vladavinom prava u Mađarskoj s obzirom na postupak iz članka 7.”, 12. studenoga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ponavlja svoj poziv Komisiji da u izvješće o vladavini prava dodatno integrira </w:t>
            </w:r>
            <w:r>
              <w:rPr>
                <w:b/>
                <w:i/>
              </w:rPr>
              <w:t>reaktivne alate</w:t>
            </w:r>
            <w:r>
              <w:t>, kao što su postupci iz članka 7. UEU-a, opći mehanizam uvjetovanosti i postupci zbog povrede prava</w:t>
            </w:r>
            <w:r>
              <w:rPr>
                <w:vertAlign w:val="superscript"/>
              </w:rPr>
              <w:t>48</w:t>
            </w:r>
            <w:r>
              <w:t>;</w:t>
            </w:r>
          </w:p>
        </w:tc>
        <w:tc>
          <w:tcPr>
            <w:tcW w:w="4876" w:type="dxa"/>
            <w:tcBorders>
              <w:top w:val="nil"/>
              <w:left w:val="nil"/>
              <w:bottom w:val="nil"/>
              <w:right w:val="nil"/>
            </w:tcBorders>
          </w:tcPr>
          <w:p>
            <w:pPr>
              <w:pStyle w:val="Normal6a"/>
            </w:pPr>
            <w:r>
              <w:t>34.</w:t>
            </w:r>
            <w:r>
              <w:tab/>
            </w:r>
            <w:r>
              <w:t xml:space="preserve">ponavlja svoj poziv Komisiji da u izvješće o vladavini prava dodatno integrira </w:t>
            </w:r>
            <w:r>
              <w:rPr>
                <w:b/>
                <w:i/>
              </w:rPr>
              <w:t>izvršne mjere</w:t>
            </w:r>
            <w:r>
              <w:t>, kao što su postupci iz članka 7. UEU-a, opći mehanizam uvjetovanosti i postupci zbog povrede prava</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Mađarski helsinški odbor, „Nepoštovanje vrijednosti EU-a:kratki prikaz problema u vezi s vladavinom prava u Mađarskoj s obzirom na postupak iz članka 7.”, 12. studenoga 2024.</w:t>
            </w:r>
          </w:p>
        </w:tc>
        <w:tc>
          <w:tcPr>
            <w:tcW w:w="4876" w:type="dxa"/>
            <w:tcBorders>
              <w:top w:val="nil"/>
              <w:left w:val="nil"/>
              <w:bottom w:val="nil"/>
              <w:right w:val="nil"/>
            </w:tcBorders>
          </w:tcPr>
          <w:p>
            <w:pPr>
              <w:pStyle w:val="Normal6a"/>
            </w:pPr>
            <w:r>
              <w:rPr>
                <w:vertAlign w:val="superscript"/>
              </w:rPr>
              <w:t>48</w:t>
            </w:r>
            <w:r>
              <w:t xml:space="preserve"> </w:t>
            </w:r>
            <w:r>
              <w:t>Mađarski helsinški odbor, „Nepoštovanje vrijednosti EU-a: kratki prikaz problema u vezi s vladavinom prava u Mađarskoj s obzirom na postupak iz članka 7.”, 12. studenoga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žali zbog toga što mađarska vlada nije poduzela nikakve značajne korake za provedbu preporuka iz Izvješća o vladavini prava za 2024.;</w:t>
            </w:r>
            <w:r>
              <w:t xml:space="preserve"> </w:t>
            </w:r>
            <w:r>
              <w:rPr>
                <w:b/>
                <w:i/>
              </w:rPr>
              <w:t>naglašava da se stanje u pogledu slobode medija, sustava provjere i ravnoteže, korupcije na visokoj razini i prostora za organizacije civilnog društva dodatno pogoršalo od njegove objave;</w:t>
            </w:r>
            <w:r>
              <w:t xml:space="preserve"> </w:t>
            </w:r>
            <w:r>
              <w:rPr>
                <w:b/>
                <w:i/>
              </w:rPr>
              <w:t>ističe da reforma pravosuđa iz 2023. nije uspjela ostvariti nikakvo znatno poboljšanje u pogledu neovisnosti pravosuđa, osuđuje nedavni potez vlade da ispravak plaća sudaca koji se odavno trebao provesti poveže s njihovim prihvaćanjem daljnjeg političkog prodora na štetu neovisnosti pravosuđa;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poziva Komisiju i države članice da se bore protiv diskriminacije na temelju rasnog i etničkog podrijetla, vjere ili uvjerenja, nacionalnosti, političkog mišljenja, jezika, invaliditeta, dobi, roda, uključujući rodni identitet i rodno izražavanje, te seksualne orijentacije;</w:t>
            </w:r>
            <w:r>
              <w:t xml:space="preserve"> </w:t>
            </w:r>
            <w:r>
              <w:rPr>
                <w:b/>
                <w:i/>
              </w:rPr>
              <w:t>potiče Vijeće da postigne dogovor o Direktivi 2008/140/EZ;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žali zbog toga što mađarska vlada nije poduzela nikakve značajne korake za provedbu preporuka iz Izvješća o vladavini prava za 2024. i što je Mađarska jedina država članica koja je i dalje predmet postupka iz članka 7. stavka 1. UEU-a;</w:t>
            </w:r>
            <w:r>
              <w:t xml:space="preserve"> </w:t>
            </w:r>
            <w:r>
              <w:rPr>
                <w:b/>
                <w:i/>
              </w:rPr>
              <w:t>naglašava da se poštovanje vladavine prava stalno pogoršava;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Marco Tarquinio, Alessandro Zan, Damien Carême, 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poziva Europsku komisiju da izričito uvrsti pitanja rasne pravde u buduća izvješća o vladavini prava i da od država članica zahtijeva da prikupljaju usporedive i pouzdane raščlanjene podatke o jednakosti kako bi se u potpunosti procijenio učinak strukturne diskriminacije na vladavinu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poziva Komisiju i države članice da osiguraju da se prava LGBTQIA+ osoba u potpunosti poštuju na cijelom području EU-a te da LGBTQIA+ osobe mogu živjeti sigurno, ostvarivati svoja prava i u potpunosti ostvariti svoj potencijal;</w:t>
            </w:r>
            <w:r>
              <w:t xml:space="preserve"> </w:t>
            </w:r>
            <w:r>
              <w:rPr>
                <w:b/>
                <w:i/>
              </w:rPr>
              <w:t>poziva Komisiju i Vijeće da prava LGBTQIA+ osoba utvrde kao međusektorski prioritet u svim područjima politike;</w:t>
            </w:r>
            <w:r>
              <w:t xml:space="preserve"> </w:t>
            </w:r>
            <w:r>
              <w:rPr>
                <w:b/>
                <w:i/>
              </w:rPr>
              <w:t>poziva Komisiju da predloži odgovarajuće zakonodavne mjere kako bi se osiguralo poštovanje tih načela te da se osloni na postupke zbog povrede protiv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34.c</w:t>
            </w:r>
            <w:r>
              <w:tab/>
            </w:r>
            <w:r>
              <w:rPr>
                <w:b/>
                <w:i/>
              </w:rPr>
              <w:t>ponavlja svoj poziv Komisiji da se bori protiv svih diskriminirajućih praksi i štiti načela sadržana u Povelji EU-a o temeljnim pravima;</w:t>
            </w:r>
            <w:r>
              <w:t xml:space="preserve"> </w:t>
            </w:r>
            <w:r>
              <w:rPr>
                <w:b/>
                <w:i/>
              </w:rPr>
              <w:t>potiče Komisiju da zajamči da se slobodno kretanje osoba unutar EU-a, pravo slobodnog boravka i spajanje obitelji u potpunosti poštuju na teritoriju EU-a te da svaki građanin može uživati jednaka prava i u potpunosti ostvarivati svoja prava;</w:t>
            </w:r>
            <w:r>
              <w:t xml:space="preserve"> </w:t>
            </w:r>
            <w:r>
              <w:rPr>
                <w:b/>
                <w:i/>
              </w:rPr>
              <w:t>poziva Komisiju da preinači Direktivu 2004/38/EZ kako bi se uključilo prekogranično priznavanje obiteljskih prava, uključujući roditeljstvo istospolnih roditelja, u svjetlu najnovijih presuda Suda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naglašava važnost uključivanja ključnih etapa u području vladavine prava u instrumente financiranja kao što je Mehanizam za oporavak i otpornost;</w:t>
            </w:r>
            <w:r>
              <w:t xml:space="preserve"> </w:t>
            </w:r>
            <w:r>
              <w:rPr>
                <w:b/>
                <w:i/>
              </w:rPr>
              <w:t>žali zbog oslobađanja sredstava EU-a za Mađarsku unatoč nedostacima u okvirima za neovisnost pravosuđa i borbu protiv korupcije u toj zemlji;</w:t>
            </w:r>
            <w:r>
              <w:t xml:space="preserve"> </w:t>
            </w:r>
            <w:r>
              <w:rPr>
                <w:b/>
                <w:i/>
              </w:rPr>
              <w:t>preporučuje obustavu isplata dok se ne ispune svi kriteriji povezani s vladavinom prava;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naglašava važnost uključivanja ključnih etapa u području vladavine prava u instrumente financiranja kao što je Mehanizam za oporavak i otpornost;</w:t>
            </w:r>
            <w:r>
              <w:t xml:space="preserve"> </w:t>
            </w:r>
            <w:r>
              <w:rPr>
                <w:b/>
                <w:i/>
              </w:rPr>
              <w:t>žali zbog oslobađanja sredstava EU-a za Mađarsku unatoč nedostacima u okvirima za neovisnost pravosuđa i borbu protiv korupcije u toj zemlji;</w:t>
            </w:r>
            <w:r>
              <w:t xml:space="preserve"> </w:t>
            </w:r>
            <w:r>
              <w:rPr>
                <w:b/>
                <w:i/>
              </w:rPr>
              <w:t>preporučuje obustavu isplata dok se ne ispune svi kriteriji povezani s vladavinom prava;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naglašava važnost uključivanja ključnih etapa u području vladavine prava u instrumente financiranja kao što je Mehanizam za oporavak i otpornost;</w:t>
            </w:r>
            <w:r>
              <w:t xml:space="preserve"> </w:t>
            </w:r>
            <w:r>
              <w:rPr>
                <w:b/>
                <w:i/>
              </w:rPr>
              <w:t>žali zbog oslobađanja sredstava EU-a za Mađarsku unatoč nedostacima u okvirima za neovisnost pravosuđa i borbu protiv korupcije u toj zemlji;</w:t>
            </w:r>
            <w:r>
              <w:t xml:space="preserve"> </w:t>
            </w:r>
            <w:r>
              <w:rPr>
                <w:b/>
                <w:i/>
              </w:rPr>
              <w:t>preporučuje obustavu isplata dok se ne ispune svi kriteriji povezani s vladavinom prava;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naglašava važnost uključivanja ključnih etapa u području vladavine prava u instrumente financiranja kao što je Mehanizam za oporavak i otpornost; žali zbog oslobađanja sredstava EU-a </w:t>
            </w:r>
            <w:r>
              <w:rPr>
                <w:b/>
                <w:i/>
              </w:rPr>
              <w:t>za Mađarsku</w:t>
            </w:r>
            <w:r>
              <w:t xml:space="preserve"> unatoč nedostacima u okvirima za neovisnost pravosuđa i borbu protiv korupcije u toj zemlji; preporučuje obustavu isplata dok se ne ispune svi kriteriji povezani s vladavinom prava;</w:t>
            </w:r>
          </w:p>
        </w:tc>
        <w:tc>
          <w:tcPr>
            <w:tcW w:w="4876" w:type="dxa"/>
            <w:tcBorders>
              <w:top w:val="nil"/>
              <w:left w:val="nil"/>
              <w:bottom w:val="nil"/>
              <w:right w:val="nil"/>
            </w:tcBorders>
          </w:tcPr>
          <w:p>
            <w:pPr>
              <w:pStyle w:val="Normal6a"/>
            </w:pPr>
            <w:r>
              <w:t>35.</w:t>
            </w:r>
            <w:r>
              <w:tab/>
            </w:r>
            <w:r>
              <w:t xml:space="preserve">naglašava važnost uključivanja ključnih etapa u području vladavine prava u instrumente financiranja kao što je Mehanizam za oporavak i otpornost; žali zbog oslobađanja sredstava EU-a </w:t>
            </w:r>
            <w:r>
              <w:rPr>
                <w:b/>
                <w:i/>
              </w:rPr>
              <w:t>mađarskoj vladi</w:t>
            </w:r>
            <w:r>
              <w:t xml:space="preserve"> unatoč </w:t>
            </w:r>
            <w:r>
              <w:rPr>
                <w:b/>
                <w:i/>
              </w:rPr>
              <w:t>postojećim i ozbiljnim</w:t>
            </w:r>
            <w:r>
              <w:t xml:space="preserve"> nedostacima u okvirima za neovisnost pravosuđa i borbu protiv korupcije u toj zemlji; preporučuje obustavu isplata dok se ne ispune svi kriteriji povezani s vladavinom prava; </w:t>
            </w:r>
            <w:r>
              <w:rPr>
                <w:b/>
                <w:i/>
              </w:rPr>
              <w:t>potiče Vijeće da deblokira sljedeće korake u postupku iz članka 7. protiv Mađarske s obzirom na stalna kršenja vrijednosti EU-a, uključujući napade na neovisnost pravosuđa, slobodu medija i civilno društvo, što zahtijeva hitno i odlučno djelovanje za zaštitu vladavine prava u EU-u;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naglašava važnost uključivanja ključnih etapa u području vladavine</w:t>
            </w:r>
            <w:r>
              <w:t xml:space="preserve"> prava </w:t>
            </w:r>
            <w:r>
              <w:rPr>
                <w:b/>
                <w:i/>
              </w:rPr>
              <w:t>u instrumente financiranja kao što je Mehanizam za oporavak i otpornost;</w:t>
            </w:r>
            <w:r>
              <w:t xml:space="preserve"> </w:t>
            </w:r>
            <w:r>
              <w:rPr>
                <w:b/>
                <w:i/>
              </w:rPr>
              <w:t>žali zbog oslobađanja sredstava EU-a za</w:t>
            </w:r>
            <w:r>
              <w:t xml:space="preserve"> Mađarsku </w:t>
            </w:r>
            <w:r>
              <w:rPr>
                <w:b/>
                <w:i/>
              </w:rPr>
              <w:t>unatoč nedostacima u okvirima za neovisnost pravosuđa i borbu protiv korupcije u toj zemlji;</w:t>
            </w:r>
            <w:r>
              <w:t xml:space="preserve"> </w:t>
            </w:r>
            <w:r>
              <w:rPr>
                <w:b/>
                <w:i/>
              </w:rPr>
              <w:t>preporučuje obustavu isplata dok se ne ispune svi kriteriji povezani s vladavinom prava</w:t>
            </w:r>
            <w:r>
              <w:t>;</w:t>
            </w:r>
          </w:p>
        </w:tc>
        <w:tc>
          <w:tcPr>
            <w:tcW w:w="4876" w:type="dxa"/>
            <w:tcBorders>
              <w:top w:val="nil"/>
              <w:left w:val="nil"/>
              <w:bottom w:val="nil"/>
              <w:right w:val="nil"/>
            </w:tcBorders>
          </w:tcPr>
          <w:p>
            <w:pPr>
              <w:pStyle w:val="Normal6a"/>
            </w:pPr>
            <w:r>
              <w:t>35.</w:t>
            </w:r>
            <w:r>
              <w:tab/>
            </w:r>
            <w:r>
              <w:rPr>
                <w:b/>
                <w:i/>
              </w:rPr>
              <w:t>sa zabrinutošću konstatira politički pristrano praćenje kriterija povezanih s vladavinom</w:t>
            </w:r>
            <w:r>
              <w:t xml:space="preserve"> prava </w:t>
            </w:r>
            <w:r>
              <w:rPr>
                <w:b/>
                <w:i/>
              </w:rPr>
              <w:t>koje Komisija provodi s pomoću paketa instrumenata za vladavinu prava;</w:t>
            </w:r>
            <w:r>
              <w:t xml:space="preserve"> </w:t>
            </w:r>
            <w:r>
              <w:rPr>
                <w:b/>
                <w:i/>
              </w:rPr>
              <w:t>poziva Komisiju da zaustavi političke napade na desničarske i konzervativne vlade;</w:t>
            </w:r>
            <w:r>
              <w:t xml:space="preserve"> </w:t>
            </w:r>
            <w:r>
              <w:rPr>
                <w:b/>
                <w:i/>
              </w:rPr>
              <w:t>naglašava da Komisija financijski i politički ucjenjuje</w:t>
            </w:r>
            <w:r>
              <w:t xml:space="preserve"> Mađarsku </w:t>
            </w:r>
            <w:r>
              <w:rPr>
                <w:b/>
                <w:i/>
              </w:rPr>
              <w:t>zbog njezina Zakona o zaštiti djece, Zakona o zaštiti nacionalne suverenosti i snažnog stava o migracijskoj politici;</w:t>
            </w:r>
            <w:r>
              <w:t xml:space="preserve"> </w:t>
            </w:r>
            <w:r>
              <w:rPr>
                <w:b/>
                <w:i/>
              </w:rPr>
              <w:t>podsjeća da Mađarska ima pravo na sva sredstva EU-a koja je Komisija nezakonito uskratila;</w:t>
            </w:r>
            <w:r>
              <w:t xml:space="preserve"> </w:t>
            </w:r>
            <w:r>
              <w:rPr>
                <w:b/>
                <w:i/>
              </w:rPr>
              <w:t>poziva Europsku komisiju da oslobodi preostalih 20 milijardi EUR sredstava EU-a na koja Mađarska ima pravo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naglašava važnost uključivanja ključnih etapa</w:t>
            </w:r>
            <w:r>
              <w:t xml:space="preserve"> u području vladavine prava u instrumente financiranja kao što je Mehanizam za oporavak i otpornost; </w:t>
            </w:r>
            <w:r>
              <w:rPr>
                <w:b/>
                <w:i/>
              </w:rPr>
              <w:t>žali zbog oslobađanja sredstava EU-a za Mađarsku unatoč nedostacima u okvirima za neovisnost pravosuđa i borbu protiv korupcije u toj zemlji;</w:t>
            </w:r>
            <w:r>
              <w:t xml:space="preserve"> </w:t>
            </w:r>
            <w:r>
              <w:rPr>
                <w:b/>
                <w:i/>
              </w:rPr>
              <w:t>preporučuje obustavu isplata dok se ne ispune svi kriteriji povezani s vladavinom prava;</w:t>
            </w:r>
          </w:p>
        </w:tc>
        <w:tc>
          <w:tcPr>
            <w:tcW w:w="4876" w:type="dxa"/>
            <w:tcBorders>
              <w:top w:val="nil"/>
              <w:left w:val="nil"/>
              <w:bottom w:val="nil"/>
              <w:right w:val="nil"/>
            </w:tcBorders>
          </w:tcPr>
          <w:p>
            <w:pPr>
              <w:pStyle w:val="Normal6a"/>
            </w:pPr>
            <w:r>
              <w:t>35.</w:t>
            </w:r>
            <w:r>
              <w:tab/>
            </w:r>
            <w:r>
              <w:rPr>
                <w:b/>
                <w:i/>
              </w:rPr>
              <w:t>prima na znanje da su ključne etape</w:t>
            </w:r>
            <w:r>
              <w:t xml:space="preserve"> u području vladavine prava </w:t>
            </w:r>
            <w:r>
              <w:rPr>
                <w:b/>
                <w:i/>
              </w:rPr>
              <w:t>ugrađene</w:t>
            </w:r>
            <w:r>
              <w:t xml:space="preserve"> u instrumente financiranja kao što je Mehanizam za oporavak i otpornost;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naglašava važnost uključivanja ključnih etapa u području vladavine prava u instrumente financiranja kao što je Mehanizam za oporavak i otpornost; žali zbog oslobađanja sredstava EU-a </w:t>
            </w:r>
            <w:r>
              <w:rPr>
                <w:b/>
                <w:i/>
              </w:rPr>
              <w:t>za Mađarsku</w:t>
            </w:r>
            <w:r>
              <w:t xml:space="preserve"> unatoč nedostacima u okvirima za neovisnost pravosuđa i borbu protiv korupcije u toj zemlji; preporučuje obustavu isplata dok </w:t>
            </w:r>
            <w:r>
              <w:rPr>
                <w:b/>
                <w:i/>
              </w:rPr>
              <w:t>se ne ispune svi kriteriji povezani</w:t>
            </w:r>
            <w:r>
              <w:t xml:space="preserve"> s vladavinom prava;</w:t>
            </w:r>
          </w:p>
        </w:tc>
        <w:tc>
          <w:tcPr>
            <w:tcW w:w="4876" w:type="dxa"/>
            <w:tcBorders>
              <w:top w:val="nil"/>
              <w:left w:val="nil"/>
              <w:bottom w:val="nil"/>
              <w:right w:val="nil"/>
            </w:tcBorders>
          </w:tcPr>
          <w:p>
            <w:pPr>
              <w:pStyle w:val="Normal6a"/>
            </w:pPr>
            <w:r>
              <w:t>35.</w:t>
            </w:r>
            <w:r>
              <w:tab/>
            </w:r>
            <w:r>
              <w:t xml:space="preserve">naglašava važnost uključivanja ključnih etapa u području vladavine prava u instrumente financiranja kao što je Mehanizam za oporavak i otpornost; žali zbog oslobađanja sredstava EU-a </w:t>
            </w:r>
            <w:r>
              <w:rPr>
                <w:b/>
                <w:i/>
              </w:rPr>
              <w:t>mađarskoj vladi</w:t>
            </w:r>
            <w:r>
              <w:t xml:space="preserve"> unatoč nedostacima u okvirima za neovisnost pravosuđa i borbu protiv korupcije u toj zemlji; preporučuje obustavu isplata </w:t>
            </w:r>
            <w:r>
              <w:rPr>
                <w:b/>
                <w:i/>
              </w:rPr>
              <w:t>mađarskoj vladi</w:t>
            </w:r>
            <w:r>
              <w:t xml:space="preserve"> dok </w:t>
            </w:r>
            <w:r>
              <w:rPr>
                <w:b/>
                <w:i/>
              </w:rPr>
              <w:t>ne ispuni sve kriterije povezane</w:t>
            </w:r>
            <w:r>
              <w:t xml:space="preserve"> s vladavinom prava; </w:t>
            </w:r>
            <w:r>
              <w:rPr>
                <w:b/>
                <w:i/>
              </w:rPr>
              <w:t>potiče Komisiju da osigura da sredstva EU-a dođu do mađarskog stanovništva, uključujući izravnim ili neizravnim financiranjem krajnjih primatelja i korisnika neovisnih o mađarskoj vladi;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naglašava </w:t>
            </w:r>
            <w:r>
              <w:rPr>
                <w:b/>
                <w:i/>
              </w:rPr>
              <w:t>važnost uključivanja</w:t>
            </w:r>
            <w:r>
              <w:t xml:space="preserve"> ključnih etapa u području vladavine prava u </w:t>
            </w:r>
            <w:r>
              <w:rPr>
                <w:b/>
                <w:i/>
              </w:rPr>
              <w:t>instrumente</w:t>
            </w:r>
            <w:r>
              <w:t xml:space="preserve"> financiranja kao što je Mehanizam za oporavak i otpornost</w:t>
            </w:r>
            <w:r>
              <w:rPr>
                <w:b/>
                <w:i/>
              </w:rPr>
              <w:t>;</w:t>
            </w:r>
            <w:r>
              <w:t xml:space="preserve"> </w:t>
            </w:r>
            <w:r>
              <w:rPr>
                <w:b/>
                <w:i/>
              </w:rPr>
              <w:t>žali zbog oslobađanja</w:t>
            </w:r>
            <w:r>
              <w:t xml:space="preserve"> sredstava EU-a za Mađarsku </w:t>
            </w:r>
            <w:r>
              <w:rPr>
                <w:b/>
                <w:i/>
              </w:rPr>
              <w:t>unatoč nedostacima</w:t>
            </w:r>
            <w:r>
              <w:t xml:space="preserve"> u okvirima za neovisnost pravosuđa i borbu protiv korupcije u toj zemlji</w:t>
            </w:r>
            <w:r>
              <w:rPr>
                <w:b/>
                <w:i/>
              </w:rPr>
              <w:t>;</w:t>
            </w:r>
            <w:r>
              <w:t xml:space="preserve"> </w:t>
            </w:r>
            <w:r>
              <w:rPr>
                <w:b/>
                <w:i/>
              </w:rPr>
              <w:t>preporučuje obustavu isplata dok se ne ispune svi kriteriji povezani s vladavinom</w:t>
            </w:r>
            <w:r>
              <w:t xml:space="preserve"> prava;</w:t>
            </w:r>
          </w:p>
        </w:tc>
        <w:tc>
          <w:tcPr>
            <w:tcW w:w="4876" w:type="dxa"/>
            <w:tcBorders>
              <w:top w:val="nil"/>
              <w:left w:val="nil"/>
              <w:bottom w:val="nil"/>
              <w:right w:val="nil"/>
            </w:tcBorders>
          </w:tcPr>
          <w:p>
            <w:pPr>
              <w:pStyle w:val="Normal6a"/>
            </w:pPr>
            <w:r>
              <w:t>35.</w:t>
            </w:r>
            <w:r>
              <w:tab/>
            </w:r>
            <w:r>
              <w:t xml:space="preserve">naglašava </w:t>
            </w:r>
            <w:r>
              <w:rPr>
                <w:b/>
                <w:i/>
              </w:rPr>
              <w:t>da primjena</w:t>
            </w:r>
            <w:r>
              <w:t xml:space="preserve"> ključnih etapa u području vladavine prava u </w:t>
            </w:r>
            <w:r>
              <w:rPr>
                <w:b/>
                <w:i/>
              </w:rPr>
              <w:t>instrumentima</w:t>
            </w:r>
            <w:r>
              <w:t xml:space="preserve"> financiranja kao što je Mehanizam za oporavak i otpornost </w:t>
            </w:r>
            <w:r>
              <w:rPr>
                <w:b/>
                <w:i/>
              </w:rPr>
              <w:t>nije u skladu s obvezom poštovanja Ugovora i primjene pristupa koji se temelji na objektivnim kriterijima;</w:t>
            </w:r>
            <w:r>
              <w:t xml:space="preserve"> </w:t>
            </w:r>
            <w:r>
              <w:rPr>
                <w:b/>
                <w:i/>
              </w:rPr>
              <w:t>primjećuje oslobađanje</w:t>
            </w:r>
            <w:r>
              <w:t xml:space="preserve"> sredstava EU-a za Mađarsku</w:t>
            </w:r>
            <w:r>
              <w:rPr>
                <w:b/>
                <w:i/>
              </w:rPr>
              <w:t>, što nije u suprotnosti s Ugovorima, te da bi navodne nedostatke</w:t>
            </w:r>
            <w:r>
              <w:t xml:space="preserve"> u okvirima za neovisnost pravosuđa i borbu protiv korupcije u toj zemlji </w:t>
            </w:r>
            <w:r>
              <w:rPr>
                <w:b/>
                <w:i/>
              </w:rPr>
              <w:t>trebalo riješiti u postupcima koji su u skladu s Ugovorima;</w:t>
            </w:r>
            <w:r>
              <w:t xml:space="preserve"> </w:t>
            </w:r>
            <w:r>
              <w:rPr>
                <w:b/>
                <w:i/>
              </w:rPr>
              <w:t>naglašava da isplate iz sredstava EU-a nisu povezane s proizvoljnim kriterijima u pogledu vladavine</w:t>
            </w:r>
            <w:r>
              <w:t xml:space="preserve"> prava;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naglašava važnost uključivanja ključnih etapa u području vladavine prava u instrumente financiranja kao što je Mehanizam za oporavak i otpornost; žali zbog oslobađanja sredstava EU-a </w:t>
            </w:r>
            <w:r>
              <w:rPr>
                <w:b/>
                <w:i/>
              </w:rPr>
              <w:t>za Mađarsku</w:t>
            </w:r>
            <w:r>
              <w:t xml:space="preserve"> unatoč nedostacima u okvirima za neovisnost pravosuđa i borbu protiv korupcije u toj zemlji; preporučuje obustavu isplata </w:t>
            </w:r>
            <w:r>
              <w:rPr>
                <w:b/>
                <w:i/>
              </w:rPr>
              <w:t>dok se ne ispune svi kriteriji povezani</w:t>
            </w:r>
            <w:r>
              <w:t xml:space="preserve"> s vladavinom prava;</w:t>
            </w:r>
          </w:p>
        </w:tc>
        <w:tc>
          <w:tcPr>
            <w:tcW w:w="4876" w:type="dxa"/>
            <w:tcBorders>
              <w:top w:val="nil"/>
              <w:left w:val="nil"/>
              <w:bottom w:val="nil"/>
              <w:right w:val="nil"/>
            </w:tcBorders>
          </w:tcPr>
          <w:p>
            <w:pPr>
              <w:pStyle w:val="Normal6a"/>
            </w:pPr>
            <w:r>
              <w:t>35.</w:t>
            </w:r>
            <w:r>
              <w:tab/>
            </w:r>
            <w:r>
              <w:t xml:space="preserve">naglašava važnost uključivanja ključnih etapa u području vladavine prava u instrumente financiranja kao što je Mehanizam za oporavak i otpornost; žali zbog oslobađanja sredstava EU-a </w:t>
            </w:r>
            <w:r>
              <w:rPr>
                <w:b/>
                <w:i/>
              </w:rPr>
              <w:t>mađarskoj vladi</w:t>
            </w:r>
            <w:r>
              <w:t xml:space="preserve"> unatoč nedostacima u okvirima za neovisnost pravosuđa i borbu protiv korupcije u toj zemlji; preporučuje obustavu isplata </w:t>
            </w:r>
            <w:r>
              <w:rPr>
                <w:b/>
                <w:i/>
              </w:rPr>
              <w:t>mađarskoj vladi dok ne ispuni sve kriterije povezane</w:t>
            </w:r>
            <w:r>
              <w:t xml:space="preserve"> s vladavinom prava; </w:t>
            </w:r>
            <w:r>
              <w:rPr>
                <w:b/>
                <w:i/>
              </w:rPr>
              <w:t>potiče Komisiju da osigura da sredstva EU-a dođu do mađarskog stanovništva, zadržavajući pritom puni učinak poduzetih mjera;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 Daniel Freund</w:t>
      </w:r>
      <w:r>
        <w:rPr>
          <w:rStyle w:val="HideTWBExt"/>
          <w:b w:val="0"/>
        </w:rPr>
        <w:t>&lt;/Members&gt;</w:t>
      </w:r>
    </w:p>
    <w:p>
      <w:r>
        <w:rPr>
          <w:rStyle w:val="HideTWBExt"/>
          <w:b w:val="0"/>
        </w:rPr>
        <w:t>&lt;AuNomDe&gt;</w:t>
      </w:r>
      <w:r>
        <w:rPr>
          <w:rStyle w:val="HideTWBInt"/>
        </w:rPr>
        <w:t>{LIBE}</w:t>
      </w:r>
      <w:r>
        <w:t>u ime Odbora za građanske slobode, pravosuđe i unutarnje poslove</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naglašava važnost uključivanja ključnih etapa u području vladavine prava u instrumente financiranja kao što je Mehanizam za oporavak i otpornost; žali zbog oslobađanja sredstava EU-a za Mađarsku unatoč nedostacima u okvirima za neovisnost pravosuđa i borbu protiv korupcije u toj zemlji; preporučuje obustavu isplata dok se ne ispune svi kriteriji povezani s vladavinom prava;</w:t>
            </w:r>
          </w:p>
        </w:tc>
        <w:tc>
          <w:tcPr>
            <w:tcW w:w="4876" w:type="dxa"/>
            <w:tcBorders>
              <w:top w:val="nil"/>
              <w:left w:val="nil"/>
              <w:bottom w:val="nil"/>
              <w:right w:val="nil"/>
            </w:tcBorders>
          </w:tcPr>
          <w:p>
            <w:pPr>
              <w:pStyle w:val="Normal6a"/>
            </w:pPr>
            <w:r>
              <w:t>35.</w:t>
            </w:r>
            <w:r>
              <w:tab/>
            </w:r>
            <w:r>
              <w:t xml:space="preserve">naglašava važnost uključivanja ključnih etapa u području vladavine prava u instrumente financiranja kao što je Mehanizam za oporavak i otpornost; </w:t>
            </w:r>
            <w:r>
              <w:rPr>
                <w:b/>
                <w:i/>
              </w:rPr>
              <w:t>traži da se u budući VFO uključe snažne mjere zaštite vladavine prava primjenjive na sva sredstva EU-a;</w:t>
            </w:r>
            <w:r>
              <w:t xml:space="preserve"> žali zbog oslobađanja sredstava EU-a za Mađarsku unatoč nedostacima u okvirima za neovisnost pravosuđa i borbu protiv korupcije u toj zemlji; preporučuje obustavu isplata dok se ne ispune svi kriteriji povezani s vladavinom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izražava duboku zabrinutost zbog porasta ekstremizma krajnje desnice i njegova razornog učinka na demokratske norme i vladavinu prava u nekoliko država članica;</w:t>
            </w:r>
            <w:r>
              <w:t xml:space="preserve"> </w:t>
            </w:r>
            <w:r>
              <w:rPr>
                <w:b/>
                <w:i/>
              </w:rPr>
              <w:t>poziva na koordinirano djelovanje EU-a za suzbijanje te prijetnje, među ostalim obrazovanjem, programima socijalne uključenosti i, prema potrebi, pravnim mjerama;</w:t>
            </w:r>
            <w:r>
              <w:t xml:space="preserve"> </w:t>
            </w:r>
            <w:r>
              <w:rPr>
                <w:b/>
                <w:i/>
              </w:rPr>
              <w:t>sa zabrinutošću primjećuje da su te skupine aktivno usmjerene na manjine, uključujući LGBTQI+ osobe, i doprinose ozračju straha i diskriminacije;</w:t>
            </w:r>
            <w:r>
              <w:t xml:space="preserve"> </w:t>
            </w:r>
            <w:r>
              <w:rPr>
                <w:b/>
                <w:i/>
              </w:rPr>
              <w:t>poziva Komisiju da u svojem godišnjem izvješću o vladavini prava izričito identificira takve skupine kao prijetnju demokraciji, ljudskim pravima i temeljnim slobodama, uključujući akademsku neovisnost i neovisnost medija;</w:t>
            </w:r>
            <w:r>
              <w:t xml:space="preserve"> </w:t>
            </w:r>
            <w:r>
              <w:rPr>
                <w:b/>
                <w:i/>
              </w:rPr>
              <w:t>potiče države članice da poduzmu odlučne mjere kako bi suzbile njihov utjecaj snažnim pravnim okvirima, obrazovanjem kojim se promiču demokratske vrijednosti i potporom organizacijama civilnog društva koje se bore protiv ekstremizma;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poziva na uvođenje instrumenta zasnovanog na uspješnosti koji se temelji na poštovanju ljudskog dostojanstva, slobode, demokracije, jednakosti, vladavine prava i ljudskih prava u Uredbi o višegodišnjem financijskom okviru kako bi se poštovanje tih načela bolje uskladilo s dodjelom sredstava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ustraje u tome da se u logici ključnih etapa uvede bliskija veza između nalaza iz izvješća o vladavini prava i dodjele financijske potpore u okviru proračuna Unije, čime bi se osiguralo da su sredstva EU-a povezana s postizanjem potrebnih reformi;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Klára Dobrev, Csaba Molnár, Moritz Körner, Daniel Freund,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zabrinut je zbog toga što datum objave godišnjeg izvješća o vladavini prava nije dovoljan za stvaranje dostatne vidljivosti te je u suprotnosti s predviđenom svrhom izvješća da se pokrene istinska javna rasprava o njegovim nalazima;</w:t>
            </w:r>
            <w:r>
              <w:t xml:space="preserve"> </w:t>
            </w:r>
            <w:r>
              <w:rPr>
                <w:b/>
                <w:i/>
              </w:rPr>
              <w:t>potiče Komisiju da ponovno razmotri datum objave i uloži dodatne napore kako bi njegovi nalazi bili široko poznati u svim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očekuje da će se u Izvješću Komisije o vladavini prava za 2025. utvrditi rokovi za provedbu preporuka za pojedine zemlje;</w:t>
            </w:r>
            <w:r>
              <w:t xml:space="preserve"> </w:t>
            </w:r>
            <w:r>
              <w:rPr>
                <w:b/>
                <w:i/>
              </w:rPr>
              <w:t>tvrdi da bi se zamrznuta sredstva EU-a trebala osloboditi tek nakon što se u potpunosti provedu smislene reforme i provjeri je li u praksi postignuta usklađenost s vladavinom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potiče države članice da ojačaju ekološku demokraciju jamčenjem potpune provedbe Aarhuške konvencije, posebno u pogledu pristupa pravosuđu u pitanjima okoliša i zaštite aktivista i organizacija za zaštitu okoliša;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smatra da bi trebalo ojačati međuinstitucijski dijalog i suradnju u području vladavine prava na razini EU-a;</w:t>
            </w:r>
            <w:r>
              <w:t xml:space="preserve"> </w:t>
            </w:r>
            <w:r>
              <w:rPr>
                <w:b/>
                <w:i/>
              </w:rPr>
              <w:t>poziva na uspostavu trajnog međuinstitucijskog dijaloga o vladavini prava koji bi, među ostalim, uključivao Parlament, Vijeće i Komisiju;</w:t>
            </w:r>
            <w:r>
              <w:t xml:space="preserve"> </w:t>
            </w:r>
            <w:r>
              <w:rPr>
                <w:b/>
                <w:i/>
              </w:rPr>
              <w:t>poziva Vijeće da svoj dijalog o vladavini prava učini uključivijim pozivanjem drugih institucija na svoje sjednice, kao što su Venecijanska komisija, povjerenica za ljudska prava i predstavnici Parlamenta;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smatra da bi trebalo ojačati međuinstitucijski dijalog i suradnju u području vladavine prava na razini EU-a;</w:t>
            </w:r>
            <w:r>
              <w:t xml:space="preserve"> </w:t>
            </w:r>
            <w:r>
              <w:rPr>
                <w:b/>
                <w:i/>
              </w:rPr>
              <w:t>poziva na uspostavu trajnog međuinstitucijskog dijaloga o vladavini prava koji bi, među ostalim, uključivao Parlament, Vijeće i Komisiju;</w:t>
            </w:r>
            <w:r>
              <w:t xml:space="preserve"> </w:t>
            </w:r>
            <w:r>
              <w:rPr>
                <w:b/>
                <w:i/>
              </w:rPr>
              <w:t>poziva Vijeće da svoj dijalog o vladavini prava učini uključivijim pozivanjem drugih institucija na svoje sjednice, kao što su Venecijanska komisija, povjerenica za ljudska prava i predstavnici Parlamenta;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smatra da bi trebalo ojačati međuinstitucijski dijalog i suradnju u području vladavine prava na razini EU-a;</w:t>
            </w:r>
            <w:r>
              <w:t xml:space="preserve"> </w:t>
            </w:r>
            <w:r>
              <w:rPr>
                <w:b/>
                <w:i/>
              </w:rPr>
              <w:t>poziva na uspostavu trajnog međuinstitucijskog dijaloga o vladavini prava koji bi, među ostalim, uključivao Parlament, Vijeće i Komisiju;</w:t>
            </w:r>
            <w:r>
              <w:t xml:space="preserve"> </w:t>
            </w:r>
            <w:r>
              <w:rPr>
                <w:b/>
                <w:i/>
              </w:rPr>
              <w:t>poziva Vijeće da svoj dijalog o vladavini prava učini uključivijim pozivanjem drugih institucija na svoje sjednice, kao što su Venecijanska komisija, povjerenica za ljudska prava i predstavnici Parlamenta;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smatra da bi trebalo ojačati međuinstitucijski dijalog i suradnju u području vladavine prava na razini EU-a; poziva </w:t>
            </w:r>
            <w:r>
              <w:rPr>
                <w:b/>
                <w:i/>
              </w:rPr>
              <w:t>na uspostavu trajnog</w:t>
            </w:r>
            <w:r>
              <w:t xml:space="preserve"> međuinstitucijskog </w:t>
            </w:r>
            <w:r>
              <w:rPr>
                <w:b/>
                <w:i/>
              </w:rPr>
              <w:t>dijaloga o</w:t>
            </w:r>
            <w:r>
              <w:t xml:space="preserve"> vladavini prava </w:t>
            </w:r>
            <w:r>
              <w:rPr>
                <w:b/>
                <w:i/>
              </w:rPr>
              <w:t>koji bi, među ostalim, uključivao Parlament, Vijeće i Komisiju</w:t>
            </w:r>
            <w:r>
              <w:t>; poziva Vijeće da svoj dijalog o vladavini prava učini uključivijim pozivanjem drugih institucija na svoje sjednice, kao što su Venecijanska komisija, povjerenica za ljudska prava i predstavnici Parlamenta;</w:t>
            </w:r>
          </w:p>
        </w:tc>
        <w:tc>
          <w:tcPr>
            <w:tcW w:w="4876" w:type="dxa"/>
            <w:tcBorders>
              <w:top w:val="nil"/>
              <w:left w:val="nil"/>
              <w:bottom w:val="nil"/>
              <w:right w:val="nil"/>
            </w:tcBorders>
          </w:tcPr>
          <w:p>
            <w:pPr>
              <w:pStyle w:val="Normal6a"/>
            </w:pPr>
            <w:r>
              <w:t>36.</w:t>
            </w:r>
            <w:r>
              <w:tab/>
            </w:r>
            <w:r>
              <w:t xml:space="preserve">smatra da bi trebalo ojačati međuinstitucijski dijalog i suradnju u području vladavine prava na razini EU-a; </w:t>
            </w:r>
            <w:r>
              <w:rPr>
                <w:b/>
                <w:i/>
              </w:rPr>
              <w:t>žali zbog toga što su Komisija i Vijeće dosad odbijali ponudu Parlamenta da sklope međuinstitucijski sporazum o demokraciji, vladavini prava i temeljnim pravima;</w:t>
            </w:r>
            <w:r>
              <w:t xml:space="preserve"> </w:t>
            </w:r>
            <w:r>
              <w:rPr>
                <w:b/>
                <w:i/>
              </w:rPr>
              <w:t>ponovno potvrđuje svoju spremnost da nastavi pregovore o tom sporazumu;</w:t>
            </w:r>
            <w:r>
              <w:t xml:space="preserve"> poziva </w:t>
            </w:r>
            <w:r>
              <w:rPr>
                <w:b/>
                <w:i/>
              </w:rPr>
              <w:t>druge institucije da u međuvremenu barem razmotre daljnju suradnju u kontekstu predloženog</w:t>
            </w:r>
            <w:r>
              <w:t xml:space="preserve"> međuinstitucijskog </w:t>
            </w:r>
            <w:r>
              <w:rPr>
                <w:b/>
                <w:i/>
              </w:rPr>
              <w:t>pilot-projekta o demokraciji,</w:t>
            </w:r>
            <w:r>
              <w:t xml:space="preserve"> vladavini prava </w:t>
            </w:r>
            <w:r>
              <w:rPr>
                <w:b/>
                <w:i/>
              </w:rPr>
              <w:t>i temeljnim pravima, čime bi se doprinijelo izgradnji povjerenja među institucijama na praktičan način, posebno razmjenom praksi praćenja, dijaloga i sastanaka</w:t>
            </w:r>
            <w:r>
              <w:t xml:space="preserve">; poziva Vijeće da svoj dijalog o vladavini prava učini uključivijim pozivanjem drugih institucija na svoje sjednice, kao što su Venecijanska komisija, povjerenica </w:t>
            </w:r>
            <w:r>
              <w:rPr>
                <w:b/>
                <w:i/>
              </w:rPr>
              <w:t>Vijeća Europe</w:t>
            </w:r>
            <w:r>
              <w:t xml:space="preserve"> za ljudska prava i predstavnici Parlamenta; </w:t>
            </w:r>
            <w:r>
              <w:rPr>
                <w:b/>
                <w:i/>
              </w:rPr>
              <w:t>smatra da bi dijalog Vijeća o vladavini prava trebao biti interaktivniji i opsežniji te stoga poziva države članice da ulažu u odgovarajuću pripremu za taj dijalog;</w:t>
            </w:r>
            <w:r>
              <w:t xml:space="preserve"> </w:t>
            </w:r>
            <w:r>
              <w:rPr>
                <w:b/>
                <w:i/>
              </w:rPr>
              <w:t>naglašava da bi veća transparentnost pojačala dijalog o vladavini prava u Uniji i stoga poziva Vijeće da objavi te rasprave o pojedinim zemljama, uključujući detaljne javne zaključke;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smatra da bi trebalo ojačati međuinstitucijski dijalog i suradnju u području vladavine prava </w:t>
            </w:r>
            <w:r>
              <w:rPr>
                <w:b/>
                <w:i/>
              </w:rPr>
              <w:t>na razini EU-a;</w:t>
            </w:r>
            <w:r>
              <w:t xml:space="preserve"> </w:t>
            </w:r>
            <w:r>
              <w:rPr>
                <w:b/>
                <w:i/>
              </w:rPr>
              <w:t>poziva na uspostavu trajnog međuinstitucijskog dijaloga o vladavini prava koji bi, među ostalim, uključivao Parlament, Vijeće i Komisiju;</w:t>
            </w:r>
            <w:r>
              <w:t xml:space="preserve"> </w:t>
            </w:r>
            <w:r>
              <w:rPr>
                <w:b/>
                <w:i/>
              </w:rPr>
              <w:t>poziva Vijeće da svoj dijalog o vladavini prava učini uključivijim pozivanjem drugih</w:t>
            </w:r>
            <w:r>
              <w:t xml:space="preserve"> institucija </w:t>
            </w:r>
            <w:r>
              <w:rPr>
                <w:b/>
                <w:i/>
              </w:rPr>
              <w:t>na svoje sjednice, kao što su Venecijanska komisija, povjerenica za ljudska prava i predstavnici Parlamenta</w:t>
            </w:r>
            <w:r>
              <w:t>;</w:t>
            </w:r>
          </w:p>
        </w:tc>
        <w:tc>
          <w:tcPr>
            <w:tcW w:w="4876" w:type="dxa"/>
            <w:tcBorders>
              <w:top w:val="nil"/>
              <w:left w:val="nil"/>
              <w:bottom w:val="nil"/>
              <w:right w:val="nil"/>
            </w:tcBorders>
          </w:tcPr>
          <w:p>
            <w:pPr>
              <w:pStyle w:val="Normal6a"/>
            </w:pPr>
            <w:r>
              <w:t>36.</w:t>
            </w:r>
            <w:r>
              <w:tab/>
            </w:r>
            <w:r>
              <w:t xml:space="preserve">smatra da bi trebalo ojačati međuinstitucijski dijalog i suradnju u području vladavine prava </w:t>
            </w:r>
            <w:r>
              <w:rPr>
                <w:b/>
                <w:i/>
              </w:rPr>
              <w:t>i borbe protiv korupcije na razini EU-a uključivanjem</w:t>
            </w:r>
            <w:r>
              <w:t xml:space="preserve"> institucija </w:t>
            </w:r>
            <w:r>
              <w:rPr>
                <w:b/>
                <w:i/>
              </w:rPr>
              <w:t>EU-a u taj nadzor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Isabel Wiseler-Lima, Daniel Freund</w:t>
      </w:r>
      <w:r>
        <w:rPr>
          <w:rStyle w:val="HideTWBExt"/>
          <w:b w:val="0"/>
        </w:rPr>
        <w:t>&lt;/Members&gt;</w:t>
      </w:r>
    </w:p>
    <w:p>
      <w:r>
        <w:rPr>
          <w:rStyle w:val="HideTWBExt"/>
          <w:b w:val="0"/>
        </w:rPr>
        <w:t>&lt;AuNomDe&gt;</w:t>
      </w:r>
      <w:r>
        <w:rPr>
          <w:rStyle w:val="HideTWBInt"/>
        </w:rPr>
        <w:t>{LIBE}</w:t>
      </w:r>
      <w:r>
        <w:t>u ime Odbora za građanske slobode, pravosuđe i unutarnje poslove</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smatra da bi trebalo ojačati međuinstitucijski dijalog i suradnju u području vladavine prava na razini EU-a; poziva na uspostavu trajnog međuinstitucijskog dijaloga o vladavini prava koji bi</w:t>
            </w:r>
            <w:r>
              <w:rPr>
                <w:b/>
                <w:i/>
              </w:rPr>
              <w:t>, među ostalim,</w:t>
            </w:r>
            <w:r>
              <w:t xml:space="preserve"> uključivao Parlament, Vijeće i Komisiju; poziva Vijeće da svoj dijalog o vladavini prava učini uključivijim pozivanjem drugih institucija na svoje sjednice, kao što su Venecijanska komisija, povjerenica za ljudska prava i predstavnici Parlamenta;</w:t>
            </w:r>
          </w:p>
        </w:tc>
        <w:tc>
          <w:tcPr>
            <w:tcW w:w="4876" w:type="dxa"/>
            <w:tcBorders>
              <w:top w:val="nil"/>
              <w:left w:val="nil"/>
              <w:bottom w:val="nil"/>
              <w:right w:val="nil"/>
            </w:tcBorders>
          </w:tcPr>
          <w:p>
            <w:pPr>
              <w:pStyle w:val="Normal6a"/>
            </w:pPr>
            <w:r>
              <w:t>36.</w:t>
            </w:r>
            <w:r>
              <w:tab/>
            </w:r>
            <w:r>
              <w:t xml:space="preserve">smatra da bi trebalo ojačati međuinstitucijski dijalog i suradnju u području vladavine prava na razini EU-a; poziva na uspostavu trajnog međuinstitucijskog dijaloga </w:t>
            </w:r>
            <w:r>
              <w:rPr>
                <w:b/>
                <w:i/>
              </w:rPr>
              <w:t>sklapanjem međuinstitucijskog sporazuma</w:t>
            </w:r>
            <w:r>
              <w:t xml:space="preserve"> o vladavini prava koji bi uključivao Parlament, Vijeće i Komisiju; poziva Vijeće da svoj dijalog o vladavini prava učini uključivijim pozivanjem drugih institucija na svoje sjednice, kao što su Venecijanska komisija, povjerenica za ljudska prava i predstavnici Parlamenta</w:t>
            </w:r>
            <w:r>
              <w:rPr>
                <w:b/>
                <w:i/>
              </w:rPr>
              <w:t>, ili barem pružanjem sustavnih povratnih informacija Europskom parlamentu o sastancima u okviru dijaloga o vladavini prava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smatra da bi trebalo ojačati međuinstitucijski dijalog i suradnju u području vladavine prava na razini EU-a; poziva na uspostavu trajnog međuinstitucijskog dijaloga o vladavini prava koji bi, među ostalim, uključivao Parlament, Vijeće i Komisiju; poziva Vijeće da svoj dijalog o vladavini prava učini uključivijim pozivanjem drugih institucija na svoje sjednice, kao što su Venecijanska komisija, povjerenica za ljudska prava i predstavnici Parlamenta;</w:t>
            </w:r>
          </w:p>
        </w:tc>
        <w:tc>
          <w:tcPr>
            <w:tcW w:w="4876" w:type="dxa"/>
            <w:tcBorders>
              <w:top w:val="nil"/>
              <w:left w:val="nil"/>
              <w:bottom w:val="nil"/>
              <w:right w:val="nil"/>
            </w:tcBorders>
          </w:tcPr>
          <w:p>
            <w:pPr>
              <w:pStyle w:val="Normal6a"/>
            </w:pPr>
            <w:r>
              <w:t>36.</w:t>
            </w:r>
            <w:r>
              <w:tab/>
            </w:r>
            <w:r>
              <w:t xml:space="preserve">smatra da bi trebalo ojačati međuinstitucijski dijalog i suradnju u području vladavine prava na razini EU-a; poziva na uspostavu trajnog međuinstitucijskog dijaloga o vladavini prava koji bi, među ostalim, uključivao Parlament, Vijeće i Komisiju; poziva Vijeće da svoj dijalog o vladavini prava učini uključivijim pozivanjem drugih institucija na svoje sjednice, kao što su Venecijanska komisija, povjerenica za ljudska prava i predstavnici Parlamenta; </w:t>
            </w:r>
            <w:r>
              <w:rPr>
                <w:b/>
                <w:i/>
              </w:rPr>
              <w:t>potiče Vijeće da surađuje s nacionalnim parlamentima kako bi se poboljšao demokratski nadzor usklađenosti država članica sa standardima vladavine prava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smatra da bi trebalo ojačati međuinstitucijski dijalog i suradnju</w:t>
            </w:r>
            <w:r>
              <w:t xml:space="preserve"> u području vladavine prava na razini EU-a</w:t>
            </w:r>
            <w:r>
              <w:rPr>
                <w:b/>
                <w:i/>
              </w:rPr>
              <w:t>;</w:t>
            </w:r>
            <w:r>
              <w:t xml:space="preserve"> </w:t>
            </w:r>
            <w:r>
              <w:rPr>
                <w:b/>
                <w:i/>
              </w:rPr>
              <w:t>poziva na uspostavu trajnog međuinstitucijskog dijaloga o vladavini prava koji bi, među ostalim, uključivao Parlament, Vijeće i Komisiju;</w:t>
            </w:r>
            <w:r>
              <w:t xml:space="preserve"> </w:t>
            </w:r>
            <w:r>
              <w:rPr>
                <w:b/>
                <w:i/>
              </w:rPr>
              <w:t>poziva Vijeće da svoj dijalog o vladavini prava učini uključivijim pozivanjem drugih institucija na svoje sjednice, kao što su Venecijanska komisija, povjerenica za ljudska</w:t>
            </w:r>
            <w:r>
              <w:t xml:space="preserve"> prava </w:t>
            </w:r>
            <w:r>
              <w:rPr>
                <w:b/>
                <w:i/>
              </w:rPr>
              <w:t>i predstavnici Parlamenta</w:t>
            </w:r>
            <w:r>
              <w:t>;</w:t>
            </w:r>
          </w:p>
        </w:tc>
        <w:tc>
          <w:tcPr>
            <w:tcW w:w="4876" w:type="dxa"/>
            <w:tcBorders>
              <w:top w:val="nil"/>
              <w:left w:val="nil"/>
              <w:bottom w:val="nil"/>
              <w:right w:val="nil"/>
            </w:tcBorders>
          </w:tcPr>
          <w:p>
            <w:pPr>
              <w:pStyle w:val="Normal6a"/>
            </w:pPr>
            <w:r>
              <w:t>36.</w:t>
            </w:r>
            <w:r>
              <w:tab/>
            </w:r>
            <w:r>
              <w:rPr>
                <w:b/>
                <w:i/>
              </w:rPr>
              <w:t>primjećuje da postoje pozivi na jačanje međuinstitucijskog dijaloga i suradnje</w:t>
            </w:r>
            <w:r>
              <w:t xml:space="preserve"> u području vladavine prava na razini EU-a</w:t>
            </w:r>
            <w:r>
              <w:rPr>
                <w:b/>
                <w:i/>
              </w:rPr>
              <w:t>, iako to nije u skladu s tekstom Ugovora;</w:t>
            </w:r>
            <w:r>
              <w:t xml:space="preserve"> </w:t>
            </w:r>
            <w:r>
              <w:rPr>
                <w:b/>
                <w:i/>
              </w:rPr>
              <w:t>istodobno primjećuje da na stajališta Parlamenta često utječu stranački interesi pojedinačnih skupina, što samo jača pristranost i političku dimenziju takozvanog „dijaloga” o vladavini</w:t>
            </w:r>
            <w:r>
              <w:t xml:space="preserve"> prava;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smatra da bi trebalo ojačati međuinstitucijski dijalog i suradnju u području vladavine prava na razini EU-a; poziva na uspostavu </w:t>
            </w:r>
            <w:r>
              <w:rPr>
                <w:b/>
                <w:i/>
              </w:rPr>
              <w:t>trajnog međuinstitucijskog dijaloga o vladavini</w:t>
            </w:r>
            <w:r>
              <w:t xml:space="preserve"> prava </w:t>
            </w:r>
            <w:r>
              <w:rPr>
                <w:b/>
                <w:i/>
              </w:rPr>
              <w:t>koji bi, među ostalim, uključivao Parlament, Vijeće i Komisiju;</w:t>
            </w:r>
            <w:r>
              <w:t xml:space="preserve"> </w:t>
            </w:r>
            <w:r>
              <w:rPr>
                <w:b/>
                <w:i/>
              </w:rPr>
              <w:t>poziva Vijeće da svoj dijalog o vladavini prava učini uključivijim pozivanjem drugih institucija na svoje sjednice, kao što su Venecijanska komisija, povjerenica za ljudska</w:t>
            </w:r>
            <w:r>
              <w:t xml:space="preserve"> prava </w:t>
            </w:r>
            <w:r>
              <w:rPr>
                <w:b/>
                <w:i/>
              </w:rPr>
              <w:t>i predstavnici Parlamenta</w:t>
            </w:r>
            <w:r>
              <w:t>;</w:t>
            </w:r>
          </w:p>
        </w:tc>
        <w:tc>
          <w:tcPr>
            <w:tcW w:w="4876" w:type="dxa"/>
            <w:tcBorders>
              <w:top w:val="nil"/>
              <w:left w:val="nil"/>
              <w:bottom w:val="nil"/>
              <w:right w:val="nil"/>
            </w:tcBorders>
          </w:tcPr>
          <w:p>
            <w:pPr>
              <w:pStyle w:val="Normal6a"/>
            </w:pPr>
            <w:r>
              <w:t>36.</w:t>
            </w:r>
            <w:r>
              <w:tab/>
            </w:r>
            <w:r>
              <w:t xml:space="preserve">smatra da bi trebalo ojačati međuinstitucijski dijalog i suradnju u području vladavine prava na razini EU-a; poziva na uspostavu </w:t>
            </w:r>
            <w:r>
              <w:rPr>
                <w:b/>
                <w:i/>
              </w:rPr>
              <w:t>europskog semestra za vladavinu</w:t>
            </w:r>
            <w:r>
              <w:t xml:space="preserve"> prava</w:t>
            </w:r>
            <w:r>
              <w:rPr>
                <w:b/>
                <w:i/>
              </w:rPr>
              <w:t>, čime bi se stvorio okvir s ključnom ulogom Vijeća i Europskog parlamenta, uz potporu ovlasti Komisije da provodi usklađenost;</w:t>
            </w:r>
            <w:r>
              <w:t xml:space="preserve"> </w:t>
            </w:r>
            <w:r>
              <w:rPr>
                <w:b/>
                <w:i/>
              </w:rPr>
              <w:t>primjećuje da bi se tim okvirom riješio demokratski deficit i osiguralo poštovanje vladavine</w:t>
            </w:r>
            <w:r>
              <w:t xml:space="preserve"> prava </w:t>
            </w:r>
            <w:r>
              <w:rPr>
                <w:b/>
                <w:i/>
              </w:rPr>
              <w:t>u svim državama članicama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izražava veliko žaljenje zbog toga što Vijeće nije uspjelo ostvariti značajan napredak u tekućem postupku u okviru članka 7. stavka 1. UEU-a;</w:t>
            </w:r>
            <w:r>
              <w:t xml:space="preserve"> </w:t>
            </w:r>
            <w:r>
              <w:rPr>
                <w:b/>
                <w:i/>
              </w:rPr>
              <w:t>potiče Vijeće da zajamči održavanje saslušanja najmanje jednom za vrijeme svakog predsjedništva tijekom tekućih postupaka iz članka 7. UEU-a te da se također pozabavi novim razvojima događaja koji utječu na vladavinu prava, demokraciju i temeljna prava;</w:t>
            </w:r>
            <w:r>
              <w:t xml:space="preserve"> </w:t>
            </w:r>
            <w:r>
              <w:rPr>
                <w:b/>
                <w:i/>
              </w:rPr>
              <w:t>naglašava da jednoglasnost u Vijeću nije potrebna da bi se utvrdila očita opasnost od teškog kršenja vrijednosti Unije iz članka 7. stavka 1. UEU-a niti da bi se dotičnim državama članicama uputile konkretne preporuke i odredili rokovi za njihovu provedbu;</w:t>
            </w:r>
            <w:r>
              <w:t xml:space="preserve"> </w:t>
            </w:r>
            <w:r>
              <w:rPr>
                <w:b/>
                <w:i/>
              </w:rPr>
              <w:t>ponavlja svoj poziv Vijeću da djeluje u tom kontekstu te usto naglašava da bi svako daljnje odgađanje takvog poteza značilo da sâmo Vijeće krši načelo vladavine prava;</w:t>
            </w:r>
            <w:r>
              <w:t xml:space="preserve"> </w:t>
            </w:r>
            <w:r>
              <w:rPr>
                <w:b/>
                <w:i/>
              </w:rPr>
              <w:t>ustraje na tome da se poštuju uloga i nadležnosti Parlamenta;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podsjeća na svoj dugogodišnji zahtjev za uspostavu mehanizma EU-a za demokraciju, vladavinu prava i temeljna prava (Pakt EU-a za demokraciju, vladavinu prava i temeljna prava) u obliku međuinstitucijskog sporazuma te poziva Komisiju i Vijeće da sklope takav međuinstitucijski sporazum;</w:t>
            </w:r>
            <w:r>
              <w:t xml:space="preserve"> </w:t>
            </w:r>
            <w:r>
              <w:rPr>
                <w:b/>
                <w:i/>
              </w:rPr>
              <w:t>podsjeća da bi se novim mehanizmom trebali integrirati i dopuniti postojeći mehanizmi, uključujući izvješće o vladavini prava, koji bi se trebali temeljiti na dokazima, biti objektivni i usmjereni na države članice i institucije EU-a, uključujući preventivne i korektivne mjere, te bi na njima trebalo raditi povjerenstvo neovisnih stručnjaka;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poziva države članice da osiguraju da sve zakonodavne reforme koje utječu na diobu vlasti u potpunosti budu u skladu s europskim pravnim načelima;</w:t>
            </w:r>
            <w:r>
              <w:t xml:space="preserve"> </w:t>
            </w:r>
            <w:r>
              <w:rPr>
                <w:b/>
                <w:i/>
              </w:rPr>
              <w:t>potiče Komisiju da procijeni jesu li zakonodavne mjere koje utječu na pravosuđe, pravne koristi ili izvršna kontrola nad pravosudnim institucijama u skladu s člankom 2. UEU-a i mogu li opravdati pokretanje postupka u skladu s člankom 7. UEU-a;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smatra da bi trebalo dodatno ojačati suradnju između EU-a i međunarodnih organizacija kao što su Vijeće Europe, OESS i Ujedinjeni narodi u promicanju i obrani demokracije, vladavine prava, temeljnih sloboda i ljudskih prava, uključujući prava manjina;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smatra da je suradnja među državama članicama iznimno važna za promicanje demokracije, vladavine prava i temeljnih prava u EU-u;</w:t>
            </w:r>
            <w:r>
              <w:t xml:space="preserve"> </w:t>
            </w:r>
            <w:r>
              <w:rPr>
                <w:b/>
                <w:i/>
              </w:rPr>
              <w:t>potiče Komisiju da poštuje vlastita pravila u područjima transparentnosti, borbe protiv korupcije i pravosuđa;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poziva države članice da osiguraju da hitne mjere donesene kao odgovor na krize (kao što su pandemije ili sigurnosne prijetnje) podliježu redovitom parlamentarnom nadzoru i sudskom preispitivanju te da budu strogo vremenski ograničene i razmjerne;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žali zbog toga što Komisija nije uključila mnoge opetovane zahtjeve Parlamenta u vezi s izvješćima Komisije o vladavini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zahtijeva da Komisija do 31. prosinca 2025. objavi komunikaciju u kojoj se detaljno navode zahtjevi koje je Parlament usvojio u vezi s izvješćima Komisije o vladavini prava od 2021. i koje će Komisija provesti, zahtjevi koje neće provesti te konkretni razlozi za odbijanje;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naglašava potrebu da države članice riješe problem rodnog jaza u pravosuđu i drugim ključnim demokratskim institucijama;</w:t>
            </w:r>
            <w:r>
              <w:t xml:space="preserve"> </w:t>
            </w:r>
            <w:r>
              <w:rPr>
                <w:b/>
                <w:i/>
              </w:rPr>
              <w:t>preporučuje provedbu ciljanih mjera za povećanje zastupljenosti žena na višim položajima u pravosuđu i javnoj upravi;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poziva Komisiju da zaštitu vladavine prava i temeljnih prava ne koristi kao izgovor za vršenje političkog pritiska na određene države članice da promijene politike koje su u nadležnosti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36.c</w:t>
            </w:r>
            <w:r>
              <w:tab/>
            </w:r>
            <w:r>
              <w:rPr>
                <w:b/>
                <w:i/>
              </w:rPr>
              <w:t>izražava ozbiljnu zabrinutost da će se, kao što je slučaj s postupcima iz članka 7., mjere u okviru Uredbe o uvjetovanosti u pogledu vladavine prava provoditi radi daljnjeg poticanja političkih ideala i delegitimizacije određenih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preporučuje da Komisija i države članice prate vanjsko upletanje, posebno upotrebu društvenih medija za manipulaciju i zlonamjerne svrhe, uključujući njihovu upotrebu od strane pojedinaca kao što je Elon Musk radi utjecanja na javno mnijenje i širenje dezinformacija u Europi;</w:t>
            </w:r>
            <w:r>
              <w:t xml:space="preserve"> </w:t>
            </w:r>
            <w:r>
              <w:rPr>
                <w:b/>
                <w:i/>
              </w:rPr>
              <w:t>naglašava da Komisija mora osigurati pravilnu provedbu načela vladavine prava u institucijama EU-a i poziva institucije EU-a da se uključe u godišnju evaluaciju Komisijina izvješća o vladavini prava;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preporučuje da Komisija i države članice prate vanjsko upletanje, posebno upotrebu društvenih medija za manipulaciju i zlonamjerne svrhe, uključujući njihovu upotrebu od strane pojedinaca kao što je Elon Musk radi utjecanja na javno mnijenje i širenje dezinformacija u Europi</w:t>
            </w:r>
            <w:r>
              <w:t>; naglašava da Komisija mora osigurati pravilnu provedbu načela vladavine prava u institucijama EU-a i poziva institucije EU-a da se uključe u godišnju evaluaciju Komisijina izvješća o vladavini prava;</w:t>
            </w:r>
          </w:p>
        </w:tc>
        <w:tc>
          <w:tcPr>
            <w:tcW w:w="4876" w:type="dxa"/>
            <w:tcBorders>
              <w:top w:val="nil"/>
              <w:left w:val="nil"/>
              <w:bottom w:val="nil"/>
              <w:right w:val="nil"/>
            </w:tcBorders>
          </w:tcPr>
          <w:p>
            <w:pPr>
              <w:pStyle w:val="Normal6a"/>
            </w:pPr>
            <w:r>
              <w:t>37.</w:t>
            </w:r>
            <w:r>
              <w:tab/>
            </w:r>
            <w:r>
              <w:rPr>
                <w:b/>
                <w:i/>
              </w:rPr>
              <w:t>zabrinut je zbog uplitanja Europskog parlamenta i Europske komisije u unutarnje poslove država članica;</w:t>
            </w:r>
            <w:r>
              <w:t xml:space="preserve"> </w:t>
            </w:r>
            <w:r>
              <w:rPr>
                <w:b/>
                <w:i/>
              </w:rPr>
              <w:t>podsjeća da je 7. siječnja 2025. izvršni direktor Mete Mark Zuckerberg priznao da je Facebook cenzurirao sadržaj na političkoj osnovi;</w:t>
            </w:r>
            <w:r>
              <w:t xml:space="preserve"> </w:t>
            </w:r>
            <w:r>
              <w:rPr>
                <w:b/>
                <w:i/>
              </w:rPr>
              <w:t>pozdravlja napore koje Meta ulaže u promicanje slobode govora na svojim platformama društvenih medija;</w:t>
            </w:r>
            <w:r>
              <w:t xml:space="preserve"> </w:t>
            </w:r>
            <w:r>
              <w:rPr>
                <w:b/>
                <w:i/>
              </w:rPr>
              <w:t>žali zbog toga što se u Europi još uvijek provodi politički pristrana provjera činjenica na platformama društvenih medija;</w:t>
            </w:r>
            <w:r>
              <w:t xml:space="preserve"> </w:t>
            </w:r>
            <w:r>
              <w:rPr>
                <w:b/>
                <w:i/>
              </w:rPr>
              <w:t>poziva Komisiju da zaustavi napore za cenzuriranje desničarskih i konzervativnih stavova na platformama društvenih medija;</w:t>
            </w:r>
            <w:r>
              <w:t xml:space="preserve"> </w:t>
            </w:r>
            <w:r>
              <w:rPr>
                <w:b/>
                <w:i/>
              </w:rPr>
              <w:t>poziva Europski parlament da osnuje Istražni odbor za cenzuru Facebooka;</w:t>
            </w:r>
            <w:r>
              <w:t xml:space="preserve"> </w:t>
            </w:r>
            <w:r>
              <w:rPr>
                <w:b/>
                <w:i/>
              </w:rPr>
              <w:t>pozdravlja napore Elona Muska u borbi za slobodu izražavanja</w:t>
            </w:r>
            <w:r>
              <w:t>; naglašava da Komisija mora osigurati pravilnu provedbu načela vladavine prava u institucijama EU-a i poziva institucije EU-a da se uključe u godišnju evaluaciju Komisijina izvješća o vladavini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preporučuje da Komisija i države članice prate vanjsko upletanje</w:t>
            </w:r>
            <w:r>
              <w:rPr>
                <w:b/>
                <w:i/>
              </w:rPr>
              <w:t>, posebno upotrebu društvenih medija za manipulaciju i zlonamjerne svrhe, uključujući njihovu upotrebu od strane pojedinaca kao što je Elon Musk radi utjecanja na javno mnijenje i širenje dezinformacija u Europi;</w:t>
            </w:r>
            <w:r>
              <w:t xml:space="preserve"> </w:t>
            </w:r>
            <w:r>
              <w:rPr>
                <w:b/>
                <w:i/>
              </w:rPr>
              <w:t>naglašava da Komisija mora osigurati pravilnu provedbu načela vladavine prava u institucijama EU-a i poziva institucije EU-a da se uključe u godišnju evaluaciju Komisijina izvješća o vladavini prava</w:t>
            </w:r>
            <w:r>
              <w:t>;</w:t>
            </w:r>
          </w:p>
        </w:tc>
        <w:tc>
          <w:tcPr>
            <w:tcW w:w="4876" w:type="dxa"/>
            <w:tcBorders>
              <w:top w:val="nil"/>
              <w:left w:val="nil"/>
              <w:bottom w:val="nil"/>
              <w:right w:val="nil"/>
            </w:tcBorders>
          </w:tcPr>
          <w:p>
            <w:pPr>
              <w:pStyle w:val="Normal6a"/>
            </w:pPr>
            <w:r>
              <w:t>37.</w:t>
            </w:r>
            <w:r>
              <w:tab/>
            </w:r>
            <w:r>
              <w:t>preporučuje da Komisija i države članice prate vanjsko upletanje;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Mary Khan, 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preporučuje da Komisija </w:t>
            </w:r>
            <w:r>
              <w:rPr>
                <w:b/>
                <w:i/>
              </w:rPr>
              <w:t>i države članice prate vanjsko upletanje, posebno upotrebu društvenih medija za manipulaciju i zlonamjerne svrhe, uključujući njihovu upotrebu od strane pojedinaca kao što je Elon Musk radi utjecanja na javno mnijenje i širenje dezinformacija u Europi;</w:t>
            </w:r>
            <w:r>
              <w:t xml:space="preserve"> </w:t>
            </w:r>
            <w:r>
              <w:rPr>
                <w:b/>
                <w:i/>
              </w:rPr>
              <w:t>naglašava da Komisija</w:t>
            </w:r>
            <w:r>
              <w:t xml:space="preserve"> mora osigurati pravilnu provedbu načela vladavine prava u institucijama EU-a i poziva institucije EU-a da se uključe u godišnju evaluaciju Komisijina izvješća o vladavini prava;</w:t>
            </w:r>
          </w:p>
        </w:tc>
        <w:tc>
          <w:tcPr>
            <w:tcW w:w="4876" w:type="dxa"/>
            <w:tcBorders>
              <w:top w:val="nil"/>
              <w:left w:val="nil"/>
              <w:bottom w:val="nil"/>
              <w:right w:val="nil"/>
            </w:tcBorders>
          </w:tcPr>
          <w:p>
            <w:pPr>
              <w:pStyle w:val="Normal6a"/>
            </w:pPr>
            <w:r>
              <w:t>37.</w:t>
            </w:r>
            <w:r>
              <w:tab/>
            </w:r>
            <w:r>
              <w:t>preporučuje da Komisija mora osigurati pravilnu provedbu načela vladavine prava u institucijama EU-a i poziva institucije EU-a da se uključe u godišnju evaluaciju Komisijina izvješća o vladavini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preporučuje da Komisija i države članice prate vanjsko upletanje, posebno upotrebu društvenih medija za manipulaciju i zlonamjerne svrhe</w:t>
            </w:r>
            <w:r>
              <w:rPr>
                <w:b/>
                <w:i/>
              </w:rPr>
              <w:t>, uključujući njihovu upotrebu od strane pojedinaca kao što je Elon Musk radi utjecanja na javno mnijenje i širenje dezinformacija u Europi</w:t>
            </w:r>
            <w:r>
              <w:t>; naglašava da Komisija mora osigurati pravilnu provedbu načela vladavine prava u institucijama EU-a i poziva institucije EU-a da se uključe u godišnju evaluaciju Komisijina izvješća o vladavini prava;</w:t>
            </w:r>
          </w:p>
        </w:tc>
        <w:tc>
          <w:tcPr>
            <w:tcW w:w="4876" w:type="dxa"/>
            <w:tcBorders>
              <w:top w:val="nil"/>
              <w:left w:val="nil"/>
              <w:bottom w:val="nil"/>
              <w:right w:val="nil"/>
            </w:tcBorders>
          </w:tcPr>
          <w:p>
            <w:pPr>
              <w:pStyle w:val="Normal6a"/>
            </w:pPr>
            <w:r>
              <w:t>37.</w:t>
            </w:r>
            <w:r>
              <w:tab/>
            </w:r>
            <w:r>
              <w:t xml:space="preserve">preporučuje da Komisija i države članice prate vanjsko upletanje, posebno upotrebu društvenih medija za manipulaciju i zlonamjerne svrhe </w:t>
            </w:r>
            <w:r>
              <w:rPr>
                <w:b/>
                <w:i/>
              </w:rPr>
              <w:t>s ciljem utjecanja na javno mnijenje i širenje dezinformacija u Europi;</w:t>
            </w:r>
            <w:r>
              <w:t xml:space="preserve"> </w:t>
            </w:r>
            <w:r>
              <w:rPr>
                <w:b/>
                <w:i/>
              </w:rPr>
              <w:t>konstatira da Komisija godinama ne priznaje lijevo liberalnu dominaciju društvenih medija, uključujući nametanje tog programa od strane određenih glavnih gradova, međunarodnih zaklada i institucija EU-a</w:t>
            </w:r>
            <w:r>
              <w:t>; naglašava da Komisija mora osigurati pravilnu provedbu načela vladavine prava u institucijama EU-a i poziva institucije EU-a da se uključe u godišnju evaluaciju Komisijina izvješća o vladavini prava;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u ime Odbora za građanske slobode, pravosuđe i unutarnje poslove</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preporučuje da Komisija i države članice prate vanjsko upletanje, posebno upotrebu društvenih medija za manipulaciju i zlonamjerne svrhe, uključujući njihovu upotrebu od strane pojedinaca kao što je Elon Musk radi utjecanja na javno mnijenje i širenje dezinformacija u Europi; </w:t>
            </w:r>
            <w:r>
              <w:rPr>
                <w:b/>
                <w:i/>
              </w:rPr>
              <w:t>naglašava da Komisija mora osigurati pravilnu provedbu načela vladavine prava u institucijama EU-a i poziva institucije EU-a da se uključe u godišnju evaluaciju Komisijina izvješća o vladavini prava;</w:t>
            </w:r>
          </w:p>
        </w:tc>
        <w:tc>
          <w:tcPr>
            <w:tcW w:w="4876" w:type="dxa"/>
            <w:tcBorders>
              <w:top w:val="nil"/>
              <w:left w:val="nil"/>
              <w:bottom w:val="nil"/>
              <w:right w:val="nil"/>
            </w:tcBorders>
          </w:tcPr>
          <w:p>
            <w:pPr>
              <w:pStyle w:val="Normal6a"/>
            </w:pPr>
            <w:r>
              <w:t>37.</w:t>
            </w:r>
            <w:r>
              <w:tab/>
            </w:r>
            <w:r>
              <w:t>preporučuje da Komisija i države članice prate vanjsko upletanje, posebno upotrebu društvenih medija za manipulaciju i zlonamjerne svrhe, uključujući njihovu upotrebu od strane pojedinaca kao što je Elon Musk radi utjecanja na javno mnijenje i širenje dezinformacija u Europi;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preporučuje da Komisija i države članice prate vanjsko upletanje</w:t>
            </w:r>
            <w:r>
              <w:rPr>
                <w:b/>
                <w:i/>
              </w:rPr>
              <w:t>, posebno upotrebu društvenih medija za manipulaciju i zlonamjerne svrhe, uključujući njihovu upotrebu od strane pojedinaca kao što je Elon Musk radi utjecanja na javno mnijenje i širenje dezinformacija u Europi</w:t>
            </w:r>
            <w:r>
              <w:t>; naglašava da Komisija mora osigurati pravilnu provedbu načela vladavine prava u institucijama EU-a i poziva institucije EU-a da se uključe u godišnju evaluaciju Komisijina izvješća o vladavini prava;</w:t>
            </w:r>
          </w:p>
        </w:tc>
        <w:tc>
          <w:tcPr>
            <w:tcW w:w="4876" w:type="dxa"/>
            <w:tcBorders>
              <w:top w:val="nil"/>
              <w:left w:val="nil"/>
              <w:bottom w:val="nil"/>
              <w:right w:val="nil"/>
            </w:tcBorders>
          </w:tcPr>
          <w:p>
            <w:pPr>
              <w:pStyle w:val="Normal6a"/>
            </w:pPr>
            <w:r>
              <w:t>37.</w:t>
            </w:r>
            <w:r>
              <w:tab/>
            </w:r>
            <w:r>
              <w:t>preporučuje da Komisija i države članice prate vanjsko upletanje; naglašava da Komisija mora osigurati pravilnu provedbu načela vladavine prava u institucijama EU-a i poziva institucije EU-a da se uključe u godišnju evaluaciju Komisijina izvješća o vladavini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preporučuje da Komisija i države članice prate vanjsko upletanje, </w:t>
            </w:r>
            <w:r>
              <w:rPr>
                <w:b/>
                <w:i/>
              </w:rPr>
              <w:t>posebno</w:t>
            </w:r>
            <w:r>
              <w:t xml:space="preserve"> upotrebu društvenih medija za manipulaciju i zlonamjerne svrhe</w:t>
            </w:r>
            <w:r>
              <w:rPr>
                <w:b/>
                <w:i/>
              </w:rPr>
              <w:t>, uključujući njihovu upotrebu od strane pojedinaca kao što je Elon Musk radi utjecanja na javno mnijenje i širenje dezinformacija u Europi</w:t>
            </w:r>
            <w:r>
              <w:t>; naglašava da Komisija mora osigurati pravilnu provedbu načela vladavine prava u institucijama EU-a i poziva institucije EU-a da se uključe u godišnju evaluaciju Komisijina izvješća o vladavini prava;</w:t>
            </w:r>
          </w:p>
        </w:tc>
        <w:tc>
          <w:tcPr>
            <w:tcW w:w="4876" w:type="dxa"/>
            <w:tcBorders>
              <w:top w:val="nil"/>
              <w:left w:val="nil"/>
              <w:bottom w:val="nil"/>
              <w:right w:val="nil"/>
            </w:tcBorders>
          </w:tcPr>
          <w:p>
            <w:pPr>
              <w:pStyle w:val="Normal6a"/>
            </w:pPr>
            <w:r>
              <w:t>37.</w:t>
            </w:r>
            <w:r>
              <w:tab/>
            </w:r>
            <w:r>
              <w:t xml:space="preserve">preporučuje da Komisija i države članice prate vanjsko upletanje, </w:t>
            </w:r>
            <w:r>
              <w:rPr>
                <w:b/>
                <w:i/>
              </w:rPr>
              <w:t>uključujući</w:t>
            </w:r>
            <w:r>
              <w:t xml:space="preserve"> upotrebu društvenih medija za manipulaciju i zlonamjerne svrhe; naglašava da Komisija mora osigurati pravilnu provedbu načela vladavine prava u institucijama EU-a i poziva institucije EU-a da se uključe u godišnju evaluaciju Komisijina izvješća o vladavini prava;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preporučuje da Komisija i države članice prate vanjsko upletanje</w:t>
            </w:r>
            <w:r>
              <w:rPr>
                <w:b/>
                <w:i/>
              </w:rPr>
              <w:t>, posebno upotrebu društvenih medija za manipulaciju i zlonamjerne svrhe, uključujući njihovu upotrebu od</w:t>
            </w:r>
            <w:r>
              <w:t xml:space="preserve"> strane </w:t>
            </w:r>
            <w:r>
              <w:rPr>
                <w:b/>
                <w:i/>
              </w:rPr>
              <w:t>pojedinaca kao što je Elon Musk radi utjecanja na javno mnijenje i širenje dezinformacija u Europi</w:t>
            </w:r>
            <w:r>
              <w:t>; naglašava da Komisija mora osigurati pravilnu provedbu načela vladavine prava u institucijama EU-a i poziva institucije EU-a da se uključe u godišnju evaluaciju Komisijina izvješća o vladavini prava;</w:t>
            </w:r>
          </w:p>
        </w:tc>
        <w:tc>
          <w:tcPr>
            <w:tcW w:w="4876" w:type="dxa"/>
            <w:tcBorders>
              <w:top w:val="nil"/>
              <w:left w:val="nil"/>
              <w:bottom w:val="nil"/>
              <w:right w:val="nil"/>
            </w:tcBorders>
          </w:tcPr>
          <w:p>
            <w:pPr>
              <w:pStyle w:val="Normal6a"/>
            </w:pPr>
            <w:r>
              <w:t>37.</w:t>
            </w:r>
            <w:r>
              <w:tab/>
            </w:r>
            <w:r>
              <w:t xml:space="preserve">preporučuje da Komisija i države članice prate vanjsko upletanje </w:t>
            </w:r>
            <w:r>
              <w:rPr>
                <w:b/>
                <w:i/>
              </w:rPr>
              <w:t>i poduzmu učinkovite mjere za zaštitu naših zajedničkih interesa;</w:t>
            </w:r>
            <w:r>
              <w:t xml:space="preserve"> </w:t>
            </w:r>
            <w:r>
              <w:rPr>
                <w:b/>
                <w:i/>
              </w:rPr>
              <w:t>naglašava da se</w:t>
            </w:r>
            <w:r>
              <w:t xml:space="preserve"> strane </w:t>
            </w:r>
            <w:r>
              <w:rPr>
                <w:b/>
                <w:i/>
              </w:rPr>
              <w:t>propagandne operacije mogu suzbiti bez napada na slobodu izražavanja, tj. pravilnim označivanjem organizacija koje se financiraju iz inozemstva ili neutralnim inicijativama kao što su „bilješke zajednice” (engl. community notes)</w:t>
            </w:r>
            <w:r>
              <w:t>; naglašava da Komisija mora osigurati pravilnu provedbu načela vladavine prava u institucijama EU-a i poziva institucije EU-a da se uključe u godišnju evaluaciju Komisijina izvješća o vladavini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Romana Tomc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preporučuje da Komisija i države članice prate vanjsko upletanje, posebno upotrebu društvenih medija za manipulaciju i zlonamjerne svrhe</w:t>
            </w:r>
            <w:r>
              <w:rPr>
                <w:b/>
                <w:i/>
              </w:rPr>
              <w:t>, uključujući njihovu upotrebu od strane pojedinaca kao što je Elon Musk radi utjecanja na javno mnijenje i širenje dezinformacija u Europi</w:t>
            </w:r>
            <w:r>
              <w:t>; naglašava da Komisija mora osigurati pravilnu provedbu načela vladavine prava u institucijama EU-a i poziva institucije EU-a da se uključe u godišnju evaluaciju Komisijina izvješća o vladavini prava;</w:t>
            </w:r>
          </w:p>
        </w:tc>
        <w:tc>
          <w:tcPr>
            <w:tcW w:w="4876" w:type="dxa"/>
            <w:tcBorders>
              <w:top w:val="nil"/>
              <w:left w:val="nil"/>
              <w:bottom w:val="nil"/>
              <w:right w:val="nil"/>
            </w:tcBorders>
          </w:tcPr>
          <w:p>
            <w:pPr>
              <w:pStyle w:val="Normal6a"/>
            </w:pPr>
            <w:r>
              <w:t>37.</w:t>
            </w:r>
            <w:r>
              <w:tab/>
            </w:r>
            <w:r>
              <w:t>preporučuje da Komisija i države članice prate vanjsko upletanje, posebno upotrebu društvenih medija za manipulaciju i zlonamjerne svrhe; naglašava da Komisija mora osigurati pravilnu provedbu načela vladavine prava u institucijama EU-a i poziva institucije EU-a da se uključe u godišnju evaluaciju Komisijina izvješća o vladavini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preporučuje da Komisija i države članice prate vanjsko upletanje, posebno upotrebu društvenih medija za manipulaciju i zlonamjerne svrhe</w:t>
            </w:r>
            <w:r>
              <w:rPr>
                <w:b/>
                <w:i/>
              </w:rPr>
              <w:t>, uključujući njihovu upotrebu od strane pojedinaca kao što je Elon Musk radi utjecanja na javno mnijenje i širenje dezinformacija u Europi</w:t>
            </w:r>
            <w:r>
              <w:t>; naglašava da Komisija mora osigurati pravilnu provedbu načela vladavine prava u institucijama EU-a i poziva institucije EU-a da se uključe u godišnju evaluaciju Komisijina izvješća o vladavini prava;</w:t>
            </w:r>
          </w:p>
        </w:tc>
        <w:tc>
          <w:tcPr>
            <w:tcW w:w="4876" w:type="dxa"/>
            <w:tcBorders>
              <w:top w:val="nil"/>
              <w:left w:val="nil"/>
              <w:bottom w:val="nil"/>
              <w:right w:val="nil"/>
            </w:tcBorders>
          </w:tcPr>
          <w:p>
            <w:pPr>
              <w:pStyle w:val="Normal6a"/>
            </w:pPr>
            <w:r>
              <w:t>37.</w:t>
            </w:r>
            <w:r>
              <w:tab/>
            </w:r>
            <w:r>
              <w:t>preporučuje da Komisija i države članice prate vanjsko upletanje, posebno upotrebu društvenih medija za manipulaciju i zlonamjerne svrhe; naglašava da Komisija mora osigurati pravilnu provedbu načela vladavine prava u institucijama EU-a i poziva institucije EU-a da se uključe u godišnju evaluaciju Komisijina izvješća o vladavini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Fabienne Keller, Raquel García Hermida-Van Der Walle,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preporučuje da Komisija i države članice prate </w:t>
            </w:r>
            <w:r>
              <w:rPr>
                <w:b/>
                <w:i/>
              </w:rPr>
              <w:t>vanjsko upletanje, posebno upotrebu društvenih medija za manipulaciju i zlonamjerne svrhe</w:t>
            </w:r>
            <w:r>
              <w:t xml:space="preserve">, uključujući </w:t>
            </w:r>
            <w:r>
              <w:rPr>
                <w:b/>
                <w:i/>
              </w:rPr>
              <w:t>njihovu</w:t>
            </w:r>
            <w:r>
              <w:t xml:space="preserve"> upotrebu </w:t>
            </w:r>
            <w:r>
              <w:rPr>
                <w:b/>
                <w:i/>
              </w:rPr>
              <w:t>od strane pojedinaca kao što je Elon Musk radi utjecanja na javno mnijenje</w:t>
            </w:r>
            <w:r>
              <w:t xml:space="preserve"> i širenje dezinformacija u Europi; naglašava da Komisija mora osigurati pravilnu provedbu načela vladavine prava u institucijama EU-a i poziva institucije EU-a da se uključe u godišnju evaluaciju Komisijina izvješća o vladavini prava;</w:t>
            </w:r>
          </w:p>
        </w:tc>
        <w:tc>
          <w:tcPr>
            <w:tcW w:w="4876" w:type="dxa"/>
            <w:tcBorders>
              <w:top w:val="nil"/>
              <w:left w:val="nil"/>
              <w:bottom w:val="nil"/>
              <w:right w:val="nil"/>
            </w:tcBorders>
          </w:tcPr>
          <w:p>
            <w:pPr>
              <w:pStyle w:val="Normal6a"/>
            </w:pPr>
            <w:r>
              <w:t>37.</w:t>
            </w:r>
            <w:r>
              <w:tab/>
            </w:r>
            <w:r>
              <w:t xml:space="preserve">preporučuje da Komisija i države članice prate </w:t>
            </w:r>
            <w:r>
              <w:rPr>
                <w:b/>
                <w:i/>
              </w:rPr>
              <w:t>i brzo reagiraju u slučaju vanjskog upletanja</w:t>
            </w:r>
            <w:r>
              <w:t xml:space="preserve">, uključujući upotrebu </w:t>
            </w:r>
            <w:r>
              <w:rPr>
                <w:b/>
                <w:i/>
              </w:rPr>
              <w:t>društvenih medija za manipulaciju, zlonamjerne svrhe</w:t>
            </w:r>
            <w:r>
              <w:t xml:space="preserve"> i širenje dezinformacija u Europi; naglašava da Komisija mora osigurati pravilnu provedbu načela vladavine prava u institucijama EU-a i poziva institucije EU-a da se uključe u godišnju evaluaciju Komisijina izvješća o vladavini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preporučuje da Komisija i države članice prate vanjsko upletanje, posebno upotrebu društvenih medija za manipulaciju i zlonamjerne svrhe, uključujući njihovu upotrebu od strane pojedinaca kao što </w:t>
            </w:r>
            <w:r>
              <w:rPr>
                <w:b/>
                <w:i/>
              </w:rPr>
              <w:t>je</w:t>
            </w:r>
            <w:r>
              <w:t xml:space="preserve"> Elon Musk radi utjecanja na javno mnijenje i širenje dezinformacija u Europi; naglašava da Komisija mora osigurati pravilnu provedbu načela vladavine prava u institucijama EU-a i poziva institucije EU-a da se uključe u godišnju evaluaciju Komisijina izvješća o vladavini prava;</w:t>
            </w:r>
          </w:p>
        </w:tc>
        <w:tc>
          <w:tcPr>
            <w:tcW w:w="4876" w:type="dxa"/>
            <w:tcBorders>
              <w:top w:val="nil"/>
              <w:left w:val="nil"/>
              <w:bottom w:val="nil"/>
              <w:right w:val="nil"/>
            </w:tcBorders>
          </w:tcPr>
          <w:p>
            <w:pPr>
              <w:pStyle w:val="Normal6a"/>
            </w:pPr>
            <w:r>
              <w:t>37.</w:t>
            </w:r>
            <w:r>
              <w:tab/>
            </w:r>
            <w:r>
              <w:t xml:space="preserve">preporučuje da Komisija i države članice prate vanjsko upletanje, posebno upotrebu društvenih medija za manipulaciju i zlonamjerne svrhe, uključujući njihovu upotrebu od strane pojedinaca kao što </w:t>
            </w:r>
            <w:r>
              <w:rPr>
                <w:b/>
                <w:i/>
              </w:rPr>
              <w:t>su</w:t>
            </w:r>
            <w:r>
              <w:t xml:space="preserve"> Elon Musk </w:t>
            </w:r>
            <w:r>
              <w:rPr>
                <w:b/>
                <w:i/>
              </w:rPr>
              <w:t>i Meta</w:t>
            </w:r>
            <w:r>
              <w:t xml:space="preserve"> radi utjecanja na javno mnijenje i širenje dezinformacija u Europi; naglašava da Komisija mora osigurati pravilnu provedbu načela vladavine prava u institucijama EU-a i poziva institucije EU-a da se uključe u godišnju evaluaciju Komisijina izvješća o vladavini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preporučuje da Komisija i države članice prate vanjsko upletanje, posebno </w:t>
            </w:r>
            <w:r>
              <w:rPr>
                <w:b/>
                <w:i/>
              </w:rPr>
              <w:t>upotrebu društvenih medija</w:t>
            </w:r>
            <w:r>
              <w:t xml:space="preserve"> za manipulaciju i zlonamjerne svrhe, uključujući </w:t>
            </w:r>
            <w:r>
              <w:rPr>
                <w:b/>
                <w:i/>
              </w:rPr>
              <w:t>njihovu upotrebu od strane pojedinaca kao što je Elon Musk radi utjecanja</w:t>
            </w:r>
            <w:r>
              <w:t xml:space="preserve"> na javno mnijenje i širenje dezinformacija u Europi; naglašava da Komisija mora osigurati pravilnu provedbu načela vladavine prava u institucijama EU-a i poziva institucije EU-a da se uključe u godišnju evaluaciju Komisijina izvješća o vladavini prava;</w:t>
            </w:r>
          </w:p>
        </w:tc>
        <w:tc>
          <w:tcPr>
            <w:tcW w:w="4876" w:type="dxa"/>
            <w:tcBorders>
              <w:top w:val="nil"/>
              <w:left w:val="nil"/>
              <w:bottom w:val="nil"/>
              <w:right w:val="nil"/>
            </w:tcBorders>
          </w:tcPr>
          <w:p>
            <w:pPr>
              <w:pStyle w:val="Normal6a"/>
            </w:pPr>
            <w:r>
              <w:t>37.</w:t>
            </w:r>
            <w:r>
              <w:tab/>
            </w:r>
            <w:r>
              <w:t xml:space="preserve">preporučuje da Komisija i države članice prate vanjsko upletanje, posebno </w:t>
            </w:r>
            <w:r>
              <w:rPr>
                <w:b/>
                <w:i/>
              </w:rPr>
              <w:t>nevladinih organizacija</w:t>
            </w:r>
            <w:r>
              <w:t xml:space="preserve"> za manipulaciju i zlonamjerne svrhe, uključujući </w:t>
            </w:r>
            <w:r>
              <w:rPr>
                <w:b/>
                <w:i/>
              </w:rPr>
              <w:t>slučajeve u kojima se nevladine organizacije koriste za utjecanje</w:t>
            </w:r>
            <w:r>
              <w:t xml:space="preserve"> na javno mnijenje i širenje dezinformacija u Europi; naglašava da Komisija mora osigurati pravilnu provedbu načela vladavine prava u institucijama EU-a i poziva institucije EU-a da se uključe u godišnju evaluaciju Komisijina izvješća o vladavini prava;</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Alessandro Zan, Cecilia Strada, Sandro Ruotolo, Pina Picierno,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potiče Komisiju da u potpunosti prati jesu li popisi sigurnih zemalja podrijetla koje su sastavila nadležna nacionalna tijela uvijek u skladu s demokratskim načelima, a time i s vladavinom prava, kriterijima utvrđenima u zakonodavstvu EU-a, poštuju li presude Suda Europske unije i poštuju li međunarodno pravo;</w:t>
            </w:r>
            <w:r>
              <w:t xml:space="preserve"> </w:t>
            </w:r>
            <w:r>
              <w:rPr>
                <w:b/>
                <w:i/>
              </w:rPr>
              <w:t>ističe obvezu u skladu s pravom EU-a i međunarodnim pravom da se odobri međunarodna zaštita osobama koje su progonjene i/ili izložene ozbiljnoj opasnosti na temelju rasnog i etničkog podrijetla, vjere ili uvjerenja, nacionalnosti, političkog mišljenja, jezika, invaliditeta, dobi, roda, uključujući rodni identitet i rodno izražavanje, te seksualne orijentacije;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naglašava važnost zaštite temeljnog prava na slobodu izražavanja, koje predstavlja stup naših demokratskih društava.</w:t>
            </w:r>
            <w:r>
              <w:t xml:space="preserve"> </w:t>
            </w:r>
            <w:r>
              <w:rPr>
                <w:b/>
                <w:i/>
              </w:rPr>
              <w:t>Komisija mora osigurati pravilnu primjenu regulatornog okvira Europske unije na platformama društvenih medija kako bi zaštitila to pravo, a ne omogućiti politički pritisak koji bi mogao gušiti iskrenu i otvorenu raspravu.</w:t>
            </w:r>
            <w:r>
              <w:t xml:space="preserve"> </w:t>
            </w:r>
            <w:r>
              <w:rPr>
                <w:b/>
                <w:i/>
              </w:rPr>
              <w:t>Iako platforme društvenih medija moraju djelovati odgovorno i pridržavati se važećih propisa, ključno je da prakse moderiranja sadržaja ne postanu alat za političku kontrolu, cenzuru ili manipulaciju.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poziva države članice da povećaju transparentnost i odgovornost aktivnosti lobiranja, uključujući uspostavu ili poboljšanje obveznih registara lobiranja i mehanizama „zakonodavnog otiska” za praćenje utjecaja na postupke donošenja zakona;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w:t>
      </w:r>
      <w:r>
        <w:rPr>
          <w:rStyle w:val="HideTWBExt"/>
          <w:b w:val="0"/>
        </w:rPr>
        <w:t>&lt;/Members&gt;</w:t>
      </w:r>
    </w:p>
    <w:p>
      <w:r>
        <w:rPr>
          <w:rStyle w:val="HideTWBExt"/>
          <w:b w:val="0"/>
        </w:rPr>
        <w:t>&lt;AuNomDe&gt;</w:t>
      </w:r>
      <w:r>
        <w:rPr>
          <w:rStyle w:val="HideTWBInt"/>
        </w:rPr>
        <w:t>{LIBE}</w:t>
      </w:r>
      <w:r>
        <w:t>u ime Odbora za građanske slobode, pravosuđe i unutarnje poslove</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naglašava da Komisija mora osigurati pravilnu provedbu načela vladavine prava u institucijama EU-a i poziva institucije EU-a da se uključe u evaluaciju u okviru Komisijina godišnjeg izvješća o vladavini prava;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poziva Vijeće da donese odluku o uvrštavanju govora mržnje i zločina iz mržnje u kaznena djela iz popisa u članku 83. stavka 1.UFEU-a;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37.b</w:t>
            </w:r>
            <w:r>
              <w:tab/>
            </w:r>
            <w:r>
              <w:rPr>
                <w:b/>
                <w:i/>
              </w:rPr>
              <w:t>izražava zabrinutost zbog sve veće tendencije iskorištavanja propisa, kao što je Akt o digitalnim uslugama, za promicanje političkih stavova i gledišta koji bi mogli ugroziti slobodu izražavanja.</w:t>
            </w:r>
            <w:r>
              <w:t xml:space="preserve"> </w:t>
            </w:r>
            <w:r>
              <w:rPr>
                <w:b/>
                <w:i/>
              </w:rPr>
              <w:t>Platforme društvenih medija trebale bi ostati mjesta na kojima se ideje mogu slobodno razmjenjivati, bez straha od politički motivirane cenzure.</w:t>
            </w:r>
            <w:r>
              <w:t xml:space="preserve"> </w:t>
            </w:r>
            <w:r>
              <w:rPr>
                <w:b/>
                <w:i/>
              </w:rPr>
              <w:t>EU mora ostati na oprezu i suprotstaviti se svakom pokušaju zloupotrebe moderacije sadržaja u političke svrhe, čime se jamči sloboda izražavanja;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37.c</w:t>
            </w:r>
            <w:r>
              <w:tab/>
            </w:r>
            <w:r>
              <w:rPr>
                <w:b/>
                <w:i/>
              </w:rPr>
              <w:t>potiče Komisiju da predstavi obnovljenu strategiju za ravnopravnost LGBTQIA+ osoba za razdoblje nakon 2025. kojom bi se u potpunosti uzeli u obzir trenutačni izazovi diljem Europe i kako bi prava LGBTQIA+ osoba postala međusektorski prioritet u svim područjima politike;</w:t>
            </w:r>
            <w:r>
              <w:t xml:space="preserve"> </w:t>
            </w:r>
            <w:r>
              <w:rPr>
                <w:b/>
                <w:i/>
              </w:rPr>
              <w:t>naglašava važnost samoodređenja LGBTQIA+ osoba i priznavanja njihovih identiteta i prava, bez dobnih ograničenja;</w:t>
            </w:r>
            <w:r>
              <w:t xml:space="preserve"> </w:t>
            </w:r>
            <w:r>
              <w:rPr>
                <w:b/>
                <w:i/>
              </w:rPr>
              <w:t>poziva na zaštitu i promicanje fizičkog i mentalnog zdravlja LGBTQIA+ osoba;</w:t>
            </w:r>
            <w:r>
              <w:t xml:space="preserve"> </w:t>
            </w:r>
            <w:r>
              <w:rPr>
                <w:b/>
                <w:i/>
              </w:rPr>
              <w:t>potiče Komisiju da predstavi zakonodavne prijedloge za borbu protiv zločina iz mržnje i govora mržnje na temelju rodnog identiteta i seksualne orijentacije te da zajamči jednaka prava istospolnim parovima;</w:t>
            </w:r>
            <w:r>
              <w:t xml:space="preserve"> </w:t>
            </w:r>
            <w:r>
              <w:rPr>
                <w:b/>
                <w:i/>
              </w:rPr>
              <w:t>potiče Komisiju da na razini EU-a predloži obvezujuću zabranu praksi konverzije u svim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37.d</w:t>
            </w:r>
            <w:r>
              <w:tab/>
            </w:r>
            <w:r>
              <w:rPr>
                <w:b/>
                <w:i/>
              </w:rPr>
              <w:t>poziva Komisiju i države članice da se bore protiv diskriminacije na temelju rasnog i etničkog podrijetla, vjere ili uvjerenja, nacionalnosti, političkog mišljenja, jezika, invaliditeta, dobi, roda, uključujući rodni identitet i rodno izražavanje, te seksualne orijentacije;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pozdravlja inicijativu Komisije da uključi Albaniju, Crnu Goru, Sjevernu Makedoniju i Srbiju u svoje godišnje izvješće o vladavini prava i potiče detaljnu evaluaciju vladavine prava u tim zemljama pristupnicama;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pozdravlja inicijativu Komisije da uključi Albaniju, Crnu Goru, Sjevernu Makedoniju i Srbiju u svoje godišnje izvješće o vladavini prava i potiče detaljnu evaluaciju vladavine prava u tim zemljama pristupnicama;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pozdravlja inicijativu Komisije da uključi Albaniju, Crnu Goru, Sjevernu Makedoniju i Srbiju u svoje godišnje izvješće o vladavini prava i potiče detaljnu evaluaciju vladavine prava u tim zemljama pristupnicama;</w:t>
            </w:r>
          </w:p>
        </w:tc>
        <w:tc>
          <w:tcPr>
            <w:tcW w:w="4876" w:type="dxa"/>
            <w:tcBorders>
              <w:top w:val="nil"/>
              <w:left w:val="nil"/>
              <w:bottom w:val="nil"/>
              <w:right w:val="nil"/>
            </w:tcBorders>
          </w:tcPr>
          <w:p>
            <w:pPr>
              <w:pStyle w:val="Normal6a"/>
            </w:pPr>
            <w:r>
              <w:t>38.</w:t>
            </w:r>
            <w:r>
              <w:tab/>
            </w:r>
            <w:r>
              <w:t xml:space="preserve">pozdravlja </w:t>
            </w:r>
            <w:r>
              <w:rPr>
                <w:b/>
                <w:i/>
              </w:rPr>
              <w:t>proširenje izvješća Komisije o vladavini prava na zemlje kandidatkinje, čime se potvrđuje da temeljne vrijednosti EU-a moraju poštovati ne samo sadašnje države članice nego i buduće članice tijekom procesa pristupanja;</w:t>
            </w:r>
            <w:r>
              <w:t xml:space="preserve"> </w:t>
            </w:r>
            <w:r>
              <w:rPr>
                <w:b/>
                <w:i/>
              </w:rPr>
              <w:t>pozdravlja</w:t>
            </w:r>
            <w:r>
              <w:t xml:space="preserve"> inicijativu Komisije da uključi Albaniju, Crnu Goru, Sjevernu Makedoniju i Srbiju u svoje godišnje izvješće o vladavini prava i potiče detaljnu evaluaciju vladavine prava u tim zemljama pristupnicama; </w:t>
            </w:r>
            <w:r>
              <w:rPr>
                <w:b/>
                <w:i/>
              </w:rPr>
              <w:t>očekuje od Komisije da u svoje izvješće o vladavini prava za 2025. uključi sve zemlje kandidatkinje;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u ime Odbora za građanske slobode, pravosuđe i unutarnje poslove</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pozdravlja inicijativu Komisije da uključi Albaniju, Crnu Goru, Sjevernu Makedoniju i Srbiju u svoje godišnje izvješće o vladavini prava i potiče detaljnu evaluaciju vladavine prava u </w:t>
            </w:r>
            <w:r>
              <w:rPr>
                <w:b/>
                <w:i/>
              </w:rPr>
              <w:t>tim</w:t>
            </w:r>
            <w:r>
              <w:t xml:space="preserve"> zemljama </w:t>
            </w:r>
            <w:r>
              <w:rPr>
                <w:b/>
                <w:i/>
              </w:rPr>
              <w:t>pristupnicama</w:t>
            </w:r>
            <w:r>
              <w:t>;</w:t>
            </w:r>
          </w:p>
        </w:tc>
        <w:tc>
          <w:tcPr>
            <w:tcW w:w="4876" w:type="dxa"/>
            <w:tcBorders>
              <w:top w:val="nil"/>
              <w:left w:val="nil"/>
              <w:bottom w:val="nil"/>
              <w:right w:val="nil"/>
            </w:tcBorders>
          </w:tcPr>
          <w:p>
            <w:pPr>
              <w:pStyle w:val="Normal6a"/>
            </w:pPr>
            <w:r>
              <w:t>38.</w:t>
            </w:r>
            <w:r>
              <w:tab/>
            </w:r>
            <w:r>
              <w:t xml:space="preserve">pozdravlja inicijativu Komisije da uključi Albaniju, Crnu Goru, Sjevernu Makedoniju i Srbiju u svoje godišnje izvješće o vladavini prava i potiče detaljnu evaluaciju vladavine prava u </w:t>
            </w:r>
            <w:r>
              <w:rPr>
                <w:b/>
                <w:i/>
              </w:rPr>
              <w:t>svim</w:t>
            </w:r>
            <w:r>
              <w:t xml:space="preserve"> zemljama </w:t>
            </w:r>
            <w:r>
              <w:rPr>
                <w:b/>
                <w:i/>
              </w:rPr>
              <w:t>u procesu pristupanja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pozdravlja</w:t>
            </w:r>
            <w:r>
              <w:t xml:space="preserve"> inicijativu Komisije da uključi Albaniju, Crnu Goru, Sjevernu Makedoniju i Srbiju u svoje godišnje izvješće o vladavini prava i potiče detaljnu evaluaciju vladavine prava u tim zemljama pristupnicama;</w:t>
            </w:r>
          </w:p>
        </w:tc>
        <w:tc>
          <w:tcPr>
            <w:tcW w:w="4876" w:type="dxa"/>
            <w:tcBorders>
              <w:top w:val="nil"/>
              <w:left w:val="nil"/>
              <w:bottom w:val="nil"/>
              <w:right w:val="nil"/>
            </w:tcBorders>
          </w:tcPr>
          <w:p>
            <w:pPr>
              <w:pStyle w:val="Normal6a"/>
            </w:pPr>
            <w:r>
              <w:t>38.</w:t>
            </w:r>
            <w:r>
              <w:tab/>
            </w:r>
            <w:r>
              <w:rPr>
                <w:b/>
                <w:i/>
              </w:rPr>
              <w:t>prima na znanje</w:t>
            </w:r>
            <w:r>
              <w:t xml:space="preserve"> inicijativu Komisije da uključi Albaniju, Crnu Goru, Sjevernu Makedoniju i Srbiju u svoje godišnje izvješće o vladavini prava i potiče detaljnu evaluaciju vladavine prava u tim zemljama pristupnicama;</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Lukas Mandl,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pozdravlja inicijativu Komisije da uključi Albaniju, Crnu Goru, Sjevernu Makedoniju i Srbiju u svoje godišnje izvješće o vladavini prava i potiče detaljnu evaluaciju vladavine prava u </w:t>
            </w:r>
            <w:r>
              <w:rPr>
                <w:b/>
                <w:i/>
              </w:rPr>
              <w:t>tim</w:t>
            </w:r>
            <w:r>
              <w:t xml:space="preserve"> zemljama </w:t>
            </w:r>
            <w:r>
              <w:rPr>
                <w:b/>
                <w:i/>
              </w:rPr>
              <w:t>pristupnicama</w:t>
            </w:r>
            <w:r>
              <w:t>;</w:t>
            </w:r>
          </w:p>
        </w:tc>
        <w:tc>
          <w:tcPr>
            <w:tcW w:w="4876" w:type="dxa"/>
            <w:tcBorders>
              <w:top w:val="nil"/>
              <w:left w:val="nil"/>
              <w:bottom w:val="nil"/>
              <w:right w:val="nil"/>
            </w:tcBorders>
          </w:tcPr>
          <w:p>
            <w:pPr>
              <w:pStyle w:val="Normal6a"/>
            </w:pPr>
            <w:r>
              <w:t>38.</w:t>
            </w:r>
            <w:r>
              <w:tab/>
            </w:r>
            <w:r>
              <w:t xml:space="preserve">pozdravlja inicijativu Komisije da uključi Albaniju, Crnu Goru, Sjevernu Makedoniju i Srbiju u svoje godišnje izvješće o vladavini prava i potiče detaljnu evaluaciju vladavine prava u </w:t>
            </w:r>
            <w:r>
              <w:rPr>
                <w:b/>
                <w:i/>
              </w:rPr>
              <w:t>svim</w:t>
            </w:r>
            <w:r>
              <w:t xml:space="preserve"> zemljama </w:t>
            </w:r>
            <w:r>
              <w:rPr>
                <w:b/>
                <w:i/>
              </w:rPr>
              <w:t>zapadnog Balkana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pozdravlja inicijativu Komisije da uključi Albaniju, Crnu Goru, </w:t>
            </w:r>
            <w:r>
              <w:rPr>
                <w:b/>
                <w:i/>
              </w:rPr>
              <w:t>Sjevernu Makedoniju</w:t>
            </w:r>
            <w:r>
              <w:t xml:space="preserve"> i Srbiju u svoje godišnje izvješće o vladavini prava i potiče detaljnu evaluaciju vladavine prava u tim zemljama </w:t>
            </w:r>
            <w:r>
              <w:rPr>
                <w:b/>
                <w:i/>
              </w:rPr>
              <w:t>pristupnicama</w:t>
            </w:r>
            <w:r>
              <w:t>;</w:t>
            </w:r>
          </w:p>
        </w:tc>
        <w:tc>
          <w:tcPr>
            <w:tcW w:w="4876" w:type="dxa"/>
            <w:tcBorders>
              <w:top w:val="nil"/>
              <w:left w:val="nil"/>
              <w:bottom w:val="nil"/>
              <w:right w:val="nil"/>
            </w:tcBorders>
          </w:tcPr>
          <w:p>
            <w:pPr>
              <w:pStyle w:val="Normal6a"/>
            </w:pPr>
            <w:r>
              <w:t>38.</w:t>
            </w:r>
            <w:r>
              <w:tab/>
            </w:r>
            <w:r>
              <w:t xml:space="preserve">pozdravlja inicijativu Komisije da uključi Albaniju, Crnu Goru, </w:t>
            </w:r>
            <w:r>
              <w:rPr>
                <w:b/>
                <w:i/>
              </w:rPr>
              <w:t>Skopje</w:t>
            </w:r>
            <w:r>
              <w:t xml:space="preserve"> i Srbiju u svoje godišnje izvješće o vladavini prava i potiče detaljnu evaluaciju vladavine prava u tim zemljama </w:t>
            </w:r>
            <w:r>
              <w:rPr>
                <w:b/>
                <w:i/>
              </w:rPr>
              <w:t>koje se razmatraju</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nalaže svojoj predsjednici da ovu Rezoluciju proslijedi Vijeću </w:t>
            </w:r>
            <w:r>
              <w:rPr>
                <w:b/>
                <w:i/>
              </w:rPr>
              <w:t>i Komisiji</w:t>
            </w:r>
            <w:r>
              <w:t>.</w:t>
            </w:r>
          </w:p>
        </w:tc>
        <w:tc>
          <w:tcPr>
            <w:tcW w:w="4876" w:type="dxa"/>
            <w:tcBorders>
              <w:top w:val="nil"/>
              <w:left w:val="nil"/>
              <w:bottom w:val="nil"/>
              <w:right w:val="nil"/>
            </w:tcBorders>
          </w:tcPr>
          <w:p>
            <w:pPr>
              <w:pStyle w:val="Normal6a"/>
            </w:pPr>
            <w:r>
              <w:t>39.</w:t>
            </w:r>
            <w:r>
              <w:tab/>
            </w:r>
            <w:r>
              <w:t>nalaže svojoj predsjednici da ovu Rezoluciju proslijedi Vijeću</w:t>
            </w:r>
            <w:r>
              <w:rPr>
                <w:b/>
                <w:i/>
              </w:rPr>
              <w:t>, Komisiji, Agenciji Europske unije za temeljna prava, Vijeću Europe te vladama i parlamentima država članica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nalaže svojoj predsjednici da ovu Rezoluciju proslijedi Vijeću </w:t>
            </w:r>
            <w:r>
              <w:rPr>
                <w:b/>
                <w:i/>
              </w:rPr>
              <w:t>i Komisiji</w:t>
            </w:r>
            <w:r>
              <w:t>.</w:t>
            </w:r>
          </w:p>
        </w:tc>
        <w:tc>
          <w:tcPr>
            <w:tcW w:w="4876" w:type="dxa"/>
            <w:tcBorders>
              <w:top w:val="nil"/>
              <w:left w:val="nil"/>
              <w:bottom w:val="nil"/>
              <w:right w:val="nil"/>
            </w:tcBorders>
          </w:tcPr>
          <w:p>
            <w:pPr>
              <w:pStyle w:val="Normal6a"/>
            </w:pPr>
            <w:r>
              <w:t>39.</w:t>
            </w:r>
            <w:r>
              <w:tab/>
            </w:r>
            <w:r>
              <w:t>nalaže svojoj predsjednici da ovu Rezoluciju proslijedi Vijeću</w:t>
            </w:r>
            <w:r>
              <w:rPr>
                <w:b/>
                <w:i/>
              </w:rPr>
              <w:t>, Komisiji i državama članicama</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769.959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48</w:t>
    </w:r>
    <w:r>
      <w:fldChar w:fldCharType="end"/>
    </w:r>
    <w:r>
      <w:t>/</w:t>
    </w:r>
    <w:r>
      <w:fldChar w:fldCharType="begin"/>
    </w:r>
    <w:r>
      <w:instrText xml:space="preserve"> NUMPAGES </w:instrText>
    </w:r>
    <w:r>
      <w:fldChar w:fldCharType="separate"/>
    </w:r>
    <w:r>
      <w:t>49</w:t>
    </w:r>
    <w:r>
      <w:fldChar w:fldCharType="end"/>
    </w:r>
    <w:r>
      <w:tab/>
    </w:r>
    <w:r>
      <w:rPr>
        <w:rStyle w:val="HideTWBExt"/>
      </w:rPr>
      <w:t>&lt;PathFdR&gt;</w:t>
    </w:r>
    <w:r>
      <w:t>AM\1315576HR.docx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AM\1315576HR.docx</w:t>
    </w:r>
    <w:r>
      <w:rPr>
        <w:rStyle w:val="HideTWBExt"/>
      </w:rPr>
      <w:t>&lt;/PathFdR&gt;</w:t>
    </w:r>
    <w:r>
      <w:tab/>
    </w:r>
    <w:r>
      <w:fldChar w:fldCharType="begin"/>
    </w:r>
    <w:r>
      <w:instrText xml:space="preserve"> PAGE </w:instrText>
    </w:r>
    <w:r>
      <w:fldChar w:fldCharType="separate"/>
    </w:r>
    <w:r>
      <w:t>49</w:t>
    </w:r>
    <w:r>
      <w:fldChar w:fldCharType="end"/>
    </w:r>
    <w:r>
      <w:t>/</w:t>
    </w:r>
    <w:r>
      <w:fldChar w:fldCharType="begin"/>
    </w:r>
    <w:r>
      <w:instrText xml:space="preserve"> NUMPAGES </w:instrText>
    </w:r>
    <w:r>
      <w:fldChar w:fldCharType="separate"/>
    </w:r>
    <w:r>
      <w:t>49</w:t>
    </w:r>
    <w:r>
      <w:fldChar w:fldCharType="end"/>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AM\1315576HR.docx</w:t>
    </w:r>
    <w:r>
      <w:rPr>
        <w:rStyle w:val="HideTWBExt"/>
      </w:rPr>
      <w:t>&lt;/PathFdR&gt;</w:t>
    </w:r>
    <w:r>
      <w:tab/>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49</Pages>
  <Words>9476</Words>
  <Characters>58006</Characters>
  <Application>Microsoft Office Word</Application>
  <DocSecurity>0</DocSecurity>
  <Lines>1</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1315576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149171</vt:lpwstr>
  </property>
  <property fmtid="{D5CDD505-2E9C-101B-9397-08002B2CF9AE}" pid="7" name="dmxml.render.traceId">
    <vt:lpwstr>67dd27cf893a15532479502764a604ae</vt:lpwstr>
  </property>
  <property fmtid="{D5CDD505-2E9C-101B-9397-08002B2CF9AE}" pid="8" name="FooterPath">
    <vt:lpwstr>AM\1315576HR.docx</vt:lpwstr>
  </property>
  <property fmtid="{D5CDD505-2E9C-101B-9397-08002B2CF9AE}" pid="9" name="PE Number">
    <vt:lpwstr>769.959</vt:lpwstr>
  </property>
  <property fmtid="{D5CDD505-2E9C-101B-9397-08002B2CF9AE}" pid="10" name="UID">
    <vt:lpwstr>eu.europa.europarl-DIN1-2025-0000027564_02.00-hr-01.00_text-xml</vt:lpwstr>
  </property>
</Properties>
</file>