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Európai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Állampolgári Jogi, Bel- és Igazságügyi Bizottság</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MÓDOSÍTÁS:</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Jelentéstervezet</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A Bizottság 2024. évi jogállamisági jelentése</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Módosítás</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egy, </w:t>
            </w:r>
            <w:r>
              <w:rPr>
                <w:b/>
                <w:i/>
              </w:rPr>
              <w:t>a</w:t>
            </w:r>
            <w:r>
              <w:t xml:space="preserve"> megkülönböztetés valamennyi formája elleni küzdelemre összpontosító új pillért;</w:t>
            </w:r>
          </w:p>
        </w:tc>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egy, </w:t>
            </w:r>
            <w:r>
              <w:rPr>
                <w:b/>
                <w:i/>
              </w:rPr>
              <w:t>az Európai Unió Alapjogi Chartájának 21. cikkében foglaltak szerinti</w:t>
            </w:r>
            <w:r>
              <w:t xml:space="preserve"> megkülönböztetés valamennyi formája elleni küzdelemre összpontosító új pillért;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w:t>
            </w:r>
            <w:r>
              <w:rPr>
                <w:b/>
                <w:i/>
              </w:rPr>
              <w:t>egy</w:t>
            </w:r>
            <w:r>
              <w:t xml:space="preserve">, a megkülönböztetés valamennyi formája elleni </w:t>
            </w:r>
            <w:r>
              <w:rPr>
                <w:b/>
                <w:i/>
              </w:rPr>
              <w:t>küzdelemre összpontosító új pillért</w:t>
            </w:r>
            <w:r>
              <w:t>;</w:t>
            </w:r>
          </w:p>
        </w:tc>
        <w:tc>
          <w:tcPr>
            <w:tcW w:w="4876" w:type="dxa"/>
            <w:tcBorders>
              <w:top w:val="nil"/>
              <w:left w:val="nil"/>
              <w:bottom w:val="nil"/>
              <w:right w:val="nil"/>
            </w:tcBorders>
          </w:tcPr>
          <w:p>
            <w:pPr>
              <w:pStyle w:val="Normal6a"/>
            </w:pPr>
            <w:r>
              <w:t>33.</w:t>
            </w:r>
            <w:r>
              <w:tab/>
            </w:r>
            <w:r>
              <w:t xml:space="preserve">sürgeti a Bizottságot, hogy a jogállamiságról szóló éves jelentésbe </w:t>
            </w:r>
            <w:r>
              <w:rPr>
                <w:b/>
                <w:i/>
              </w:rPr>
              <w:t>ne</w:t>
            </w:r>
            <w:r>
              <w:t xml:space="preserve"> foglaljon bele </w:t>
            </w:r>
            <w:r>
              <w:rPr>
                <w:b/>
                <w:i/>
              </w:rPr>
              <w:t>új pillért</w:t>
            </w:r>
            <w:r>
              <w:t xml:space="preserve">, </w:t>
            </w:r>
            <w:r>
              <w:rPr>
                <w:b/>
                <w:i/>
              </w:rPr>
              <w:t>beleértve</w:t>
            </w:r>
            <w:r>
              <w:t xml:space="preserve"> a megkülönböztetés valamennyi formája elleni </w:t>
            </w:r>
            <w:r>
              <w:rPr>
                <w:b/>
                <w:i/>
              </w:rPr>
              <w:t>küzdelmet is</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sürgeti a Bizottságot, hogy a jogállamiságról szóló éves jelentésbe foglaljon bele egy, a megkülönböztetés valamennyi formája elleni küzdelemre összpontosító új pillért;</w:t>
            </w:r>
          </w:p>
        </w:tc>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egy, a megkülönböztetés </w:t>
            </w:r>
            <w:r>
              <w:rPr>
                <w:b/>
                <w:i/>
              </w:rPr>
              <w:t>és a gyűlölet</w:t>
            </w:r>
            <w:r>
              <w:t xml:space="preserve"> valamennyi formája elleni küzdelemre összpontosító új pillért;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egy, a </w:t>
            </w:r>
            <w:r>
              <w:rPr>
                <w:b/>
                <w:i/>
              </w:rPr>
              <w:t>megkülönböztetés valamennyi formája</w:t>
            </w:r>
            <w:r>
              <w:t xml:space="preserve"> elleni küzdelemre összpontosító új pillért;</w:t>
            </w:r>
          </w:p>
        </w:tc>
        <w:tc>
          <w:tcPr>
            <w:tcW w:w="4876" w:type="dxa"/>
            <w:tcBorders>
              <w:top w:val="nil"/>
              <w:left w:val="nil"/>
              <w:bottom w:val="nil"/>
              <w:right w:val="nil"/>
            </w:tcBorders>
          </w:tcPr>
          <w:p>
            <w:pPr>
              <w:pStyle w:val="Normal6a"/>
            </w:pPr>
            <w:r>
              <w:t>33.</w:t>
            </w:r>
            <w:r>
              <w:tab/>
            </w:r>
            <w:r>
              <w:t xml:space="preserve">sürgeti a Bizottságot, hogy a jogállamiságról szóló éves jelentésbe foglaljon bele egy, a </w:t>
            </w:r>
            <w:r>
              <w:rPr>
                <w:b/>
                <w:i/>
              </w:rPr>
              <w:t>média és az online tartalmak cenzúrája</w:t>
            </w:r>
            <w:r>
              <w:t xml:space="preserve"> elleni küzdelemre összpontosító új pillért;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felhívja a tagállamokat, hogy a Szerződésekben, az Európai Unió Alapjogi Chartájában és a nemzetközi jogban foglalt elvekkel összhangban hajtsák végre a migrációs és menekültügyi paktumot;</w:t>
            </w:r>
            <w:r>
              <w:t xml:space="preserve"> </w:t>
            </w:r>
            <w:r>
              <w:rPr>
                <w:b/>
                <w:i/>
              </w:rPr>
              <w:t>felhívja a tagállamokat annak biztosítására, hogy a harmadik országbeli állampolgárok a nemzetközi joggal és a visszaküldés tilalmának elvével teljes összhangban egyenlő jogokat, egyenlő és humánus bánásmódot, valamint méltányos hozzáférést élvezzenek a nemzetközi védelemmel kapcsolatos eljárásokhoz;</w:t>
            </w:r>
            <w:r>
              <w:t xml:space="preserve"> </w:t>
            </w:r>
            <w:r>
              <w:rPr>
                <w:b/>
                <w:i/>
              </w:rPr>
              <w:t>sürgeti a Bizottságot annak biztosítására, hogy a migráció kiszervezése és területen kívüli kezelése – például a tagállamok harmadik államokkal kötött kétoldalú megállapodásai – semmilyen körülmények között se ássa alá ezeket az elveket és az uniós jogszabályokban meghatározott kritériumokat;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33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felhívja a Bizottságot, hogy vizsgálja felül a „Minority SafePack” kezdeményezéssel kapcsolatos álláspontját, és terjesszen elő jogalkotási kezdeményezéseket a kisebbségi jogok és a nyelvi jogok előmozdítása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ismételten felhívja a Bizottságot, hogy továbbra is építsen be reaktív eszközöket a jogállamiságról szóló jelentésbe, mint például az EUSZ 7. cikke szerinti eljárásokat, az általános feltételességi mechanizmus és a kötelezettségszegési eljárásokat</w:t>
            </w:r>
            <w:r>
              <w:rPr>
                <w:b/>
                <w:i/>
                <w:vertAlign w:val="superscript"/>
              </w:rPr>
              <w:t>48</w:t>
            </w:r>
            <w:r>
              <w:rPr>
                <w:b/>
                <w:i/>
              </w:rPr>
              <w: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ismételten felhívja a Bizottságot, hogy továbbra is építsen be reaktív eszközöket a jogállamiságról szóló jelentésbe, mint például az EUSZ 7. cikke szerinti eljárásokat, az általános feltételességi mechanizmus és a kötelezettségszegési eljárásokat</w:t>
            </w:r>
            <w:r>
              <w:rPr>
                <w:b/>
                <w:i/>
                <w:vertAlign w:val="superscript"/>
              </w:rPr>
              <w:t>48</w:t>
            </w:r>
            <w:r>
              <w:rPr>
                <w:b/>
                <w:i/>
              </w:rPr>
              <w: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ismételten felhívja a Bizottságot, hogy továbbra is építsen be reaktív eszközöket a jogállamiságról szóló jelentésbe, mint például az EUSZ 7. cikke szerinti eljárásokat, az általános feltételességi mechanizmus és a kötelezettségszegési eljárásokat</w:t>
            </w:r>
            <w:r>
              <w:rPr>
                <w:b/>
                <w:i/>
                <w:vertAlign w:val="superscript"/>
              </w:rPr>
              <w:t>48</w:t>
            </w:r>
            <w:r>
              <w:rPr>
                <w:b/>
                <w:i/>
              </w:rPr>
              <w:t>;</w:t>
            </w:r>
          </w:p>
        </w:tc>
        <w:tc>
          <w:tcPr>
            <w:tcW w:w="4876" w:type="dxa"/>
            <w:tcBorders>
              <w:top w:val="nil"/>
              <w:left w:val="nil"/>
              <w:bottom w:val="nil"/>
              <w:right w:val="nil"/>
            </w:tcBorders>
          </w:tcPr>
          <w:p>
            <w:pPr>
              <w:pStyle w:val="Normal6a"/>
            </w:pPr>
            <w:r>
              <w:rPr>
                <w:b/>
                <w:i/>
              </w:rPr>
              <w:t>törölve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ismételten felhívja a Bizottságot, hogy továbbra is építsen be reaktív eszközöket a jogállamiságról szóló jelentésbe, mint például az EUSZ 7. cikke szerinti eljárásokat, </w:t>
            </w:r>
            <w:r>
              <w:rPr>
                <w:b/>
                <w:i/>
              </w:rPr>
              <w:t>az általános feltételességi mechanizmus és a</w:t>
            </w:r>
            <w:r>
              <w:t xml:space="preserve"> kötelezettségszegési </w:t>
            </w:r>
            <w:r>
              <w:rPr>
                <w:b/>
                <w:i/>
              </w:rPr>
              <w:t>eljárásokat</w:t>
            </w:r>
            <w:r>
              <w:rPr>
                <w:b/>
                <w:i/>
                <w:vertAlign w:val="superscript"/>
              </w:rPr>
              <w:t>48</w:t>
            </w:r>
            <w:r>
              <w:t>;</w:t>
            </w:r>
          </w:p>
        </w:tc>
        <w:tc>
          <w:tcPr>
            <w:tcW w:w="4876" w:type="dxa"/>
            <w:tcBorders>
              <w:top w:val="nil"/>
              <w:left w:val="nil"/>
              <w:bottom w:val="nil"/>
              <w:right w:val="nil"/>
            </w:tcBorders>
          </w:tcPr>
          <w:p>
            <w:pPr>
              <w:pStyle w:val="Normal6a"/>
            </w:pPr>
            <w:r>
              <w:t>34.</w:t>
            </w:r>
            <w:r>
              <w:tab/>
            </w:r>
            <w:r>
              <w:t xml:space="preserve">ismételten felhívja a Bizottságot, hogy továbbra is építsen be reaktív eszközöket a jogállamiságról szóló jelentésbe, mint például az EUSZ 7. cikke szerinti eljárásokat, </w:t>
            </w:r>
            <w:r>
              <w:rPr>
                <w:b/>
                <w:i/>
              </w:rPr>
              <w:t>a jogállamisági feltételrendszerről szóló rendeletet és más költségvetési eljárásokat és kötelezettségszegési eljárásokat;</w:t>
            </w:r>
            <w:r>
              <w:t xml:space="preserve"> </w:t>
            </w:r>
            <w:r>
              <w:rPr>
                <w:b/>
                <w:i/>
              </w:rPr>
              <w:t>felhívja a Bizottságot, hogy kötelezettségszegési ügyekben rendszerszerűen folyamodjon a gyorsított eljárások és az EUB-hoz intézett ideiglenes intézkedés iránti kérelmek eszközéhez;</w:t>
            </w:r>
            <w:r>
              <w:t xml:space="preserve"> </w:t>
            </w:r>
            <w:r>
              <w:rPr>
                <w:b/>
                <w:i/>
              </w:rPr>
              <w:t>felhívja a Bizottságot, hogy a tagállamokkal folytatott „párbeszédet” vagy a „kísérleti” eljárást ne használja nyílt végű eszközként a tényleges</w:t>
            </w:r>
            <w:r>
              <w:t xml:space="preserve"> kötelezettségszegési </w:t>
            </w:r>
            <w:r>
              <w:rPr>
                <w:b/>
                <w:i/>
              </w:rPr>
              <w:t>eljárások megindításának elkerülésére; felhívja a Bizottságot, hogy vizsgálja felül az uniós jog érvényesítéséről szóló 2022. évi közleményében alkalmazott azon politikáját, hogy „egyedi” esetekben mellőzi a kötelezettségszegési eljárást, mivel ez a politika EU-szerte a polgárok súlyos jogfosztásához vezetett, különösen olyan esetekben, amikor a saját kormányaik megtagadják az uniós jognak vagy az EUB ítéleteinek való megfelelést, mivel ezen esetek többsége nem egyedi, hanem stratégiai és alapvető kérdéseket érint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ismételten</w:t>
            </w:r>
            <w:r>
              <w:t xml:space="preserve"> felhívja a Bizottságot, hogy </w:t>
            </w:r>
            <w:r>
              <w:rPr>
                <w:b/>
                <w:i/>
              </w:rPr>
              <w:t>továbbra is építsen be reaktív eszközöket a jogállamiságról szóló jelentésbe</w:t>
            </w:r>
            <w:r>
              <w:t xml:space="preserve">, </w:t>
            </w:r>
            <w:r>
              <w:rPr>
                <w:b/>
                <w:i/>
              </w:rPr>
              <w:t>mint például az EUSZ 7. cikke szerinti eljárásokat, az általános feltételességi mechanizmus és a kötelezettségszegési eljárásokat</w:t>
            </w:r>
            <w:r>
              <w:rPr>
                <w:b/>
                <w:i/>
                <w:vertAlign w:val="superscript"/>
              </w:rPr>
              <w:t>48</w:t>
            </w:r>
            <w:r>
              <w:t>;</w:t>
            </w:r>
          </w:p>
        </w:tc>
        <w:tc>
          <w:tcPr>
            <w:tcW w:w="4876" w:type="dxa"/>
            <w:tcBorders>
              <w:top w:val="nil"/>
              <w:left w:val="nil"/>
              <w:bottom w:val="nil"/>
              <w:right w:val="nil"/>
            </w:tcBorders>
          </w:tcPr>
          <w:p>
            <w:pPr>
              <w:pStyle w:val="Normal6a"/>
            </w:pPr>
            <w:r>
              <w:t>34.</w:t>
            </w:r>
            <w:r>
              <w:tab/>
            </w:r>
            <w:r>
              <w:rPr>
                <w:b/>
                <w:i/>
              </w:rPr>
              <w:t>mély aggodalmát fejezi ki a jogállamiság európai intézményeken belüli helyzete miatt;</w:t>
            </w:r>
            <w:r>
              <w:t xml:space="preserve"> felhívja a Bizottságot, hogy </w:t>
            </w:r>
            <w:r>
              <w:rPr>
                <w:b/>
                <w:i/>
              </w:rPr>
              <w:t>vizsgálja ki a jogállamiság ezen intézményeken belüli egyre gyakoribb megsértését;</w:t>
            </w:r>
            <w:r>
              <w:t xml:space="preserve"> </w:t>
            </w:r>
            <w:r>
              <w:rPr>
                <w:b/>
                <w:i/>
              </w:rPr>
              <w:t>mély aggodalommal állapítja meg Didier Reynders, volt jogérvényesülési biztos állítólagos érintettségét egy pénzmosási ügyben;</w:t>
            </w:r>
            <w:r>
              <w:t xml:space="preserve"> </w:t>
            </w:r>
            <w:r>
              <w:rPr>
                <w:b/>
                <w:i/>
              </w:rPr>
              <w:t>rendkívül aggasztónak tartja, hogy egy olyan jogérvényesülési biztos volt felelős a jogállamiság védelméért az Európai Unióban</w:t>
            </w:r>
            <w:r>
              <w:t xml:space="preserve">, </w:t>
            </w:r>
            <w:r>
              <w:rPr>
                <w:b/>
                <w:i/>
              </w:rPr>
              <w:t>aki lottójegyek vásárlásával állítólag több mint 1 millió eurót mosott tisztára;</w:t>
            </w:r>
            <w:r>
              <w:t xml:space="preserve"> </w:t>
            </w:r>
            <w:r>
              <w:rPr>
                <w:b/>
                <w:i/>
              </w:rPr>
              <w:t>hangsúlyozza, hogy a belga hatóságok 2019-ben biztosjelöltként Didier Reynders-t már megvádolták pénzmosással és korrupcióval;</w:t>
            </w:r>
            <w:r>
              <w:t xml:space="preserve"> </w:t>
            </w:r>
            <w:r>
              <w:rPr>
                <w:b/>
                <w:i/>
              </w:rPr>
              <w:t>felkéri a Bizottságot annak kifejtésére, hogy a súlyos állítások ellenére hogyan lehetett Didier Reynders a 9. mandátumciklusban a jogérvényesülési portfólió felelőse;</w:t>
            </w:r>
            <w:r>
              <w:t xml:space="preserve"> </w:t>
            </w:r>
            <w:r>
              <w:rPr>
                <w:b/>
                <w:i/>
              </w:rPr>
              <w:t>hangsúlyozza, hogy ez a jelentés nem szolgálhat további uniós mechanizmusok és eljárások alapjául</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ismételten</w:t>
            </w:r>
            <w:r>
              <w:t xml:space="preserve"> felhívja a Bizottságot, hogy </w:t>
            </w:r>
            <w:r>
              <w:rPr>
                <w:b/>
                <w:i/>
              </w:rPr>
              <w:t>továbbra is építsen be</w:t>
            </w:r>
            <w:r>
              <w:t xml:space="preserve"> reaktív </w:t>
            </w:r>
            <w:r>
              <w:rPr>
                <w:b/>
                <w:i/>
              </w:rPr>
              <w:t>eszközöket a jogállamiságról szóló jelentésbe,</w:t>
            </w:r>
            <w:r>
              <w:t xml:space="preserve"> mint például az EUSZ 7. cikke szerinti </w:t>
            </w:r>
            <w:r>
              <w:rPr>
                <w:b/>
                <w:i/>
              </w:rPr>
              <w:t>eljárásokat</w:t>
            </w:r>
            <w:r>
              <w:t xml:space="preserve">, az általános feltételességi mechanizmus és a kötelezettségszegési </w:t>
            </w:r>
            <w:r>
              <w:rPr>
                <w:b/>
                <w:i/>
              </w:rPr>
              <w:t>eljárásokat</w:t>
            </w:r>
            <w:r>
              <w:rPr>
                <w:vertAlign w:val="superscript"/>
              </w:rPr>
              <w:t>48</w:t>
            </w:r>
            <w:r>
              <w:t>;</w:t>
            </w:r>
          </w:p>
        </w:tc>
        <w:tc>
          <w:tcPr>
            <w:tcW w:w="4876" w:type="dxa"/>
            <w:tcBorders>
              <w:top w:val="nil"/>
              <w:left w:val="nil"/>
              <w:bottom w:val="nil"/>
              <w:right w:val="nil"/>
            </w:tcBorders>
          </w:tcPr>
          <w:p>
            <w:pPr>
              <w:pStyle w:val="Normal6a"/>
            </w:pPr>
            <w:r>
              <w:t>34.</w:t>
            </w:r>
            <w:r>
              <w:tab/>
            </w:r>
            <w:r>
              <w:t xml:space="preserve">felhívja a Bizottságot </w:t>
            </w:r>
            <w:r>
              <w:rPr>
                <w:b/>
                <w:i/>
              </w:rPr>
              <w:t>annak értékelésére</w:t>
            </w:r>
            <w:r>
              <w:t xml:space="preserve">, hogy reaktív </w:t>
            </w:r>
            <w:r>
              <w:rPr>
                <w:b/>
                <w:i/>
              </w:rPr>
              <w:t>eszközök –</w:t>
            </w:r>
            <w:r>
              <w:t xml:space="preserve"> mint például az EUSZ 7. cikke szerinti </w:t>
            </w:r>
            <w:r>
              <w:rPr>
                <w:b/>
                <w:i/>
              </w:rPr>
              <w:t>eljárások</w:t>
            </w:r>
            <w:r>
              <w:t xml:space="preserve">, az általános feltételességi mechanizmus és a kötelezettségszegési </w:t>
            </w:r>
            <w:r>
              <w:rPr>
                <w:b/>
                <w:i/>
              </w:rPr>
              <w:t>eljárások</w:t>
            </w:r>
            <w:r>
              <w:rPr>
                <w:vertAlign w:val="superscript"/>
              </w:rPr>
              <w:t>48</w:t>
            </w:r>
            <w:r>
              <w:t xml:space="preserve"> </w:t>
            </w:r>
            <w:r>
              <w:rPr>
                <w:b/>
                <w:i/>
              </w:rPr>
              <w:t>– további integrálása a RoL-jelentésbe megfelelő-e, tekintettel arra, hogy ezeket felháborítóan politikai módon alkalmazták, legjobb példa erre Lengyelország, ahol a Brüsszel és Berlin számára kedvező kormányváltást követően minden kritikát ejtettek és az EUSZ 7. cikke szerinti eljárást jogszabályi változtatások nélkül és az ország alkotmányos elveinek nyílt megsértése ellenére leállították</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ismételten felhívja a Bizottságot, hogy továbbra is építsen be reaktív eszközöket a jogállamiságról szóló jelentésbe, mint például az EUSZ 7. cikke szerinti eljárásokat, az általános feltételességi mechanizmus és a kötelezettségszegési eljárásokat</w:t>
            </w:r>
            <w:r>
              <w:rPr>
                <w:vertAlign w:val="superscript"/>
              </w:rPr>
              <w:t>48</w:t>
            </w:r>
            <w:r>
              <w:t>;</w:t>
            </w:r>
          </w:p>
        </w:tc>
        <w:tc>
          <w:tcPr>
            <w:tcW w:w="4876" w:type="dxa"/>
            <w:tcBorders>
              <w:top w:val="nil"/>
              <w:left w:val="nil"/>
              <w:bottom w:val="nil"/>
              <w:right w:val="nil"/>
            </w:tcBorders>
          </w:tcPr>
          <w:p>
            <w:pPr>
              <w:pStyle w:val="Normal6a"/>
            </w:pPr>
            <w:r>
              <w:t>34.</w:t>
            </w:r>
            <w:r>
              <w:tab/>
            </w:r>
            <w:r>
              <w:t>ismételten felhívja a Bizottságot, hogy továbbra is építsen be reaktív eszközöket a jogállamiságról szóló jelentésbe, mint például az EUSZ 7. cikke szerinti eljárásokat, az általános feltételességi mechanizmus és a kötelezettségszegési eljárásokat</w:t>
            </w:r>
            <w:r>
              <w:rPr>
                <w:vertAlign w:val="superscript"/>
              </w:rPr>
              <w:t>48</w:t>
            </w:r>
            <w:r>
              <w:t xml:space="preserve">; </w:t>
            </w:r>
            <w:r>
              <w:rPr>
                <w:b/>
                <w:i/>
              </w:rPr>
              <w:t>kéri a Bizottságot, hogy évente tegyen jelentést a jogállamisági elvek megsértése ellen alkalmazott eszközök alkalmazásáról és hatékonyságáról a tagállamokban;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ismételten felhívja a Bizottságot, hogy </w:t>
            </w:r>
            <w:r>
              <w:rPr>
                <w:b/>
                <w:i/>
              </w:rPr>
              <w:t>továbbra is építsen be reaktív eszközöket</w:t>
            </w:r>
            <w:r>
              <w:t xml:space="preserve"> a jogállamiságról szóló </w:t>
            </w:r>
            <w:r>
              <w:rPr>
                <w:b/>
                <w:i/>
              </w:rPr>
              <w:t>jelentésbe, mint például</w:t>
            </w:r>
            <w:r>
              <w:t xml:space="preserve"> az EUSZ 7. cikke szerinti </w:t>
            </w:r>
            <w:r>
              <w:rPr>
                <w:b/>
                <w:i/>
              </w:rPr>
              <w:t>eljárásokat, az általános feltételességi mechanizmus</w:t>
            </w:r>
            <w:r>
              <w:t xml:space="preserve"> és a kötelezettségszegési </w:t>
            </w:r>
            <w:r>
              <w:rPr>
                <w:b/>
                <w:i/>
              </w:rPr>
              <w:t>eljárásokat</w:t>
            </w:r>
            <w:r>
              <w:rPr>
                <w:vertAlign w:val="superscript"/>
              </w:rPr>
              <w:t>48</w:t>
            </w:r>
            <w:r>
              <w:t>;</w:t>
            </w:r>
          </w:p>
        </w:tc>
        <w:tc>
          <w:tcPr>
            <w:tcW w:w="4876" w:type="dxa"/>
            <w:tcBorders>
              <w:top w:val="nil"/>
              <w:left w:val="nil"/>
              <w:bottom w:val="nil"/>
              <w:right w:val="nil"/>
            </w:tcBorders>
          </w:tcPr>
          <w:p>
            <w:pPr>
              <w:pStyle w:val="Normal6a"/>
            </w:pPr>
            <w:r>
              <w:t>34.</w:t>
            </w:r>
            <w:r>
              <w:tab/>
            </w:r>
            <w:r>
              <w:t xml:space="preserve">ismételten felhívja a Bizottságot, hogy </w:t>
            </w:r>
            <w:r>
              <w:rPr>
                <w:b/>
                <w:i/>
              </w:rPr>
              <w:t>jobban tükrözze a jogállamisági eszköztár különböző eszközeit</w:t>
            </w:r>
            <w:r>
              <w:t xml:space="preserve"> a jogállamiságról szóló </w:t>
            </w:r>
            <w:r>
              <w:rPr>
                <w:b/>
                <w:i/>
              </w:rPr>
              <w:t>jelentésben, különös tekintettel</w:t>
            </w:r>
            <w:r>
              <w:t xml:space="preserve"> az EUSZ 7. cikke szerinti</w:t>
            </w:r>
            <w:r>
              <w:rPr>
                <w:b/>
                <w:i/>
              </w:rPr>
              <w:t>, folyamatban lévő eljárásokra, a jogállamisági feltételrendszerre</w:t>
            </w:r>
            <w:r>
              <w:t xml:space="preserve"> és a kötelezettségszegési </w:t>
            </w:r>
            <w:r>
              <w:rPr>
                <w:b/>
                <w:i/>
              </w:rPr>
              <w:t>eljárásokra</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ismételten felhívja a Bizottságot, hogy </w:t>
            </w:r>
            <w:r>
              <w:rPr>
                <w:b/>
                <w:i/>
              </w:rPr>
              <w:t>továbbra is építsen be reaktív eszközöket a jogállamiságról szóló jelentésbe, mint például az EUSZ 7. cikke szerinti eljárásokat, az általános feltételességi mechanizmus és a kötelezettségszegési eljárásokat</w:t>
            </w:r>
            <w:r>
              <w:rPr>
                <w:b/>
                <w:i/>
                <w:vertAlign w:val="superscript"/>
              </w:rPr>
              <w:t>48</w:t>
            </w:r>
            <w:r>
              <w:t>;</w:t>
            </w:r>
          </w:p>
        </w:tc>
        <w:tc>
          <w:tcPr>
            <w:tcW w:w="4876" w:type="dxa"/>
            <w:tcBorders>
              <w:top w:val="nil"/>
              <w:left w:val="nil"/>
              <w:bottom w:val="nil"/>
              <w:right w:val="nil"/>
            </w:tcBorders>
          </w:tcPr>
          <w:p>
            <w:pPr>
              <w:pStyle w:val="Normal6a"/>
            </w:pPr>
            <w:r>
              <w:t>34.</w:t>
            </w:r>
            <w:r>
              <w:tab/>
            </w:r>
            <w:r>
              <w:t xml:space="preserve">ismételten felhívja a Bizottságot, hogy </w:t>
            </w:r>
            <w:r>
              <w:rPr>
                <w:b/>
                <w:i/>
              </w:rPr>
              <w:t>tartózkodjon a jogállamiság védelmét szolgáló új mechanizmusok és eszközök létrehozásától, mivel a meglévő mechanizmusok és eszközök elegendőek</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Magyar Helsinki Bizottság, Disregard for EU values:</w:t>
            </w:r>
            <w:r>
              <w:t xml:space="preserve"> </w:t>
            </w:r>
            <w:r>
              <w:rPr>
                <w:b/>
                <w:i/>
              </w:rPr>
              <w:t>a snapshot of RoL issues in Hungary in light of the Article 7 procedure (Az uniós értékek figyelmen kívül hagyása:</w:t>
            </w:r>
            <w:r>
              <w:t xml:space="preserve"> </w:t>
            </w:r>
            <w:r>
              <w:rPr>
                <w:b/>
                <w:i/>
              </w:rPr>
              <w:t>pillanatkép a jogállamisággal kapcsolatos magyarországi kérdésekről a 7. cikk szerinti eljárás fényében), 2024. november 12.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ismételten felhívja a Bizottságot, hogy továbbra is építsen be </w:t>
            </w:r>
            <w:r>
              <w:rPr>
                <w:b/>
                <w:i/>
              </w:rPr>
              <w:t>reaktív eszközöket</w:t>
            </w:r>
            <w:r>
              <w:t xml:space="preserve"> a jogállamiságról szóló jelentésbe, mint például az EUSZ 7. cikke szerinti eljárásokat, az általános feltételességi mechanizmus és a kötelezettségszegési eljárásokat</w:t>
            </w:r>
            <w:r>
              <w:rPr>
                <w:vertAlign w:val="superscript"/>
              </w:rPr>
              <w:t>48</w:t>
            </w:r>
            <w:r>
              <w:t>;</w:t>
            </w:r>
          </w:p>
        </w:tc>
        <w:tc>
          <w:tcPr>
            <w:tcW w:w="4876" w:type="dxa"/>
            <w:tcBorders>
              <w:top w:val="nil"/>
              <w:left w:val="nil"/>
              <w:bottom w:val="nil"/>
              <w:right w:val="nil"/>
            </w:tcBorders>
          </w:tcPr>
          <w:p>
            <w:pPr>
              <w:pStyle w:val="Normal6a"/>
            </w:pPr>
            <w:r>
              <w:t>34.</w:t>
            </w:r>
            <w:r>
              <w:tab/>
            </w:r>
            <w:r>
              <w:t xml:space="preserve">ismételten felhívja a Bizottságot, hogy továbbra is építsen be </w:t>
            </w:r>
            <w:r>
              <w:rPr>
                <w:b/>
                <w:i/>
              </w:rPr>
              <w:t>végrehajtási intézkedéseket</w:t>
            </w:r>
            <w:r>
              <w:t xml:space="preserve"> a jogállamiságról szóló jelentésbe, mint például az EUSZ 7. cikke szerinti eljárásokat, az általános feltételességi mechanizmus és a kötelezettségszegési eljárásokat</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c>
          <w:tcPr>
            <w:tcW w:w="4876" w:type="dxa"/>
            <w:tcBorders>
              <w:top w:val="nil"/>
              <w:left w:val="nil"/>
              <w:bottom w:val="nil"/>
              <w:right w:val="nil"/>
            </w:tcBorders>
          </w:tcPr>
          <w:p>
            <w:pPr>
              <w:pStyle w:val="Normal6a"/>
            </w:pPr>
            <w:r>
              <w:rPr>
                <w:vertAlign w:val="superscript"/>
              </w:rPr>
              <w:t>48</w:t>
            </w:r>
            <w:r>
              <w:t xml:space="preserve"> </w:t>
            </w:r>
            <w:r>
              <w:t>Magyar Helsinki Bizottság, Disregard for EU values: a snapshot of RoL issues in Hungary in light of the Article 7 procedure (Az uniós értékek figyelmen kívül hagyása: pillanatkép a jogállamisággal kapcsolatos magyarországi kérdésekről a 7. cikk szerinti eljárás fényében), 2024. november 12.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sajnálatát fejezi ki amiatt, hogy a magyar kormány nem tett érdemi lépéseket a 2024. évi jogállamisági jelentés ajánlásainak végrehajtása érdekében;</w:t>
            </w:r>
            <w:r>
              <w:t xml:space="preserve"> </w:t>
            </w:r>
            <w:r>
              <w:rPr>
                <w:b/>
                <w:i/>
              </w:rPr>
              <w:t>hangsúlyozza, hogy a jelentés közzététele óta a médiaszabadság, a fékek és ellensúlyok, a magas szinten elkövetett korrupció és a civil társadalmi szervezetek mozgástere még tovább romlott;</w:t>
            </w:r>
            <w:r>
              <w:t xml:space="preserve"> </w:t>
            </w:r>
            <w:r>
              <w:rPr>
                <w:b/>
                <w:i/>
              </w:rPr>
              <w:t>kiemeli, hogy a 2023. évi igazságügyi reform nem eredményezett jelentős javulást az igazságszolgáltatás függetlensége tekintetében, és elítéli a kormány azon közelmúltbeli lépését, hogy a bírák javadalmazásának régóta esedékes korrekcióját a bírói függetlenség rovására történő további politikai beavatkozás elfogadásához köti;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felhívja a Bizottságot és a tagállamokat, hogy küzdjenek a faji és etnikai származáson, valláson vagy meggyőződésen, nemzetiségen, politikai véleményen, nyelven, fogyatékosságon, életkoron, nemen – beleértve a nemi identitást és a nemi önkifejezést – és szexuális irányultságon alapuló megkülönböztetés ellen;</w:t>
            </w:r>
            <w:r>
              <w:t xml:space="preserve"> </w:t>
            </w:r>
            <w:r>
              <w:rPr>
                <w:b/>
                <w:i/>
              </w:rPr>
              <w:t>sürgeti a Tanácsot, hogy érjen el megállapodást a 2008/140/EK irányelvről;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sajnálatát fejezi ki amiatt, hogy a magyar kormány nem tett érdemi lépéseket a 2024. évi jogállamisági jelentés ajánlásainak végrehajtása érdekében, és hogy Magyarország az egyetlen tagállam, amely továbbra is az EUSZ 7. cikkének (1) bekezdése szerinti eljárás hatálya alá tartozik;</w:t>
            </w:r>
            <w:r>
              <w:t xml:space="preserve"> </w:t>
            </w:r>
            <w:r>
              <w:rPr>
                <w:b/>
                <w:i/>
              </w:rPr>
              <w:t>hangsúlyozza, hogy a jogállamiság tiszteletben tartása folyamatosan romlik;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felhívja az Európai Bizottságot, hogy a jövőbeli jogállamisági jelentésekbe kifejezetten építsen be a faji igazságossággal kapcsolatos szempontokat, és írja elő a tagállamok számára, hogy az egyenlőségre vonatkozóan gyűjtsenek összehasonlítható és megbízható, lebontott adatokat a strukturális megkülönböztetés jogállamiságra gyakorolt hatásának teljes körű értékelése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b.</w:t>
            </w:r>
            <w:r>
              <w:tab/>
            </w:r>
            <w:r>
              <w:rPr>
                <w:b/>
                <w:i/>
              </w:rPr>
              <w:t>felhívja a Bizottságot és a tagállamokat, hogy biztosítsák egyrészt az LMBTIQ+ jogok teljes körű tiszteletben tartását az EU egész területén, másrészt azt, hogy az LMBTIQ+-személyek biztonságban élhessenek, gyakorolhassák jogaikat és teljes mértékben kiaknázhassák a bennük rejlő lehetőségeket;</w:t>
            </w:r>
            <w:r>
              <w:t xml:space="preserve"> </w:t>
            </w:r>
            <w:r>
              <w:rPr>
                <w:b/>
                <w:i/>
              </w:rPr>
              <w:t>felhívja a Bizottságot és a Tanácsot, hogy az LMBTIQ+ jogokat valamennyi szakpolitikai területen tegyék horizontális prioritássá;</w:t>
            </w:r>
            <w:r>
              <w:t xml:space="preserve"> </w:t>
            </w:r>
            <w:r>
              <w:rPr>
                <w:b/>
                <w:i/>
              </w:rPr>
              <w:t>felhívja a Bizottságot, hogy terjesszen elő megfelelő jogalkotási intézkedéseket ezen elvek tiszteletben tartásának biztosítása érdekében, és támaszkodjon a tagállamokkal szembeni kötelezettségszegési eljárásokra;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34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c.</w:t>
            </w:r>
            <w:r>
              <w:tab/>
            </w:r>
            <w:r>
              <w:rPr>
                <w:b/>
                <w:i/>
              </w:rPr>
              <w:t>ismételten felhívja a Bizottságot, hogy lépjen fel minden diszkriminatív gyakorlat ellen, és védje meg az Európai Unió Alapjogi Chartájában foglalt elveket;</w:t>
            </w:r>
            <w:r>
              <w:t xml:space="preserve"> </w:t>
            </w:r>
            <w:r>
              <w:rPr>
                <w:b/>
                <w:i/>
              </w:rPr>
              <w:t>sürgeti a Bizottságot annak biztosítására, hogy teljes mértékben tartsák tiszteletben a személyek Unión belüli szabad mozgását, a szabad tartózkodáshoz való jogot és a családegyesítési jogot, és hogy minden polgár egyenlő jogokat élvezhessen és teljes mértékben gyakorolhassa jogait az EU területén;</w:t>
            </w:r>
            <w:r>
              <w:t xml:space="preserve"> </w:t>
            </w:r>
            <w:r>
              <w:rPr>
                <w:b/>
                <w:i/>
              </w:rPr>
              <w:t>felhívja a Bizottságot, hogy az Európai Bíróság legutóbbi ítéleteinek fényében dolgozza át a 2004/38/EK irányelvet annak érdekében, hogy az magában foglalja a családi jogok – köztük az azonos nemű szülők szülői jogállásának – határokon átnyúló elismerését;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hangsúlyozza a jogállamisággal kapcsolatos mérföldkövek beépítésének fontosságát a finanszírozási eszközökbe, mint például a Helyreállítási és Rezilienciaépítési Eszközbe;</w:t>
            </w:r>
            <w:r>
              <w:t xml:space="preserve"> </w:t>
            </w:r>
            <w:r>
              <w:rPr>
                <w:b/>
                <w:i/>
              </w:rPr>
              <w:t>sajnálatát fejezi ki amiatt, hogy az ország bírói függetlenségével és korrupcióellenes kereteivel kapcsolatos hiányosságok ellenére uniós forrásokat bocsátottak Magyarország rendelkezésére;</w:t>
            </w:r>
            <w:r>
              <w:t xml:space="preserve"> </w:t>
            </w:r>
            <w:r>
              <w:rPr>
                <w:b/>
                <w:i/>
              </w:rPr>
              <w:t>javasolja, hogy függesszék fel a kifizetéseket mindaddig, amíg valamennyi jogállamisági kritérium nem teljesül;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hangsúlyozza a jogállamisággal kapcsolatos mérföldkövek beépítésének fontosságát a finanszírozási eszközökbe, mint például a Helyreállítási és Rezilienciaépítési Eszközbe;</w:t>
            </w:r>
            <w:r>
              <w:t xml:space="preserve"> </w:t>
            </w:r>
            <w:r>
              <w:rPr>
                <w:b/>
                <w:i/>
              </w:rPr>
              <w:t>sajnálatát fejezi ki amiatt, hogy az ország bírói függetlenségével és korrupcióellenes kereteivel kapcsolatos hiányosságok ellenére uniós forrásokat bocsátottak Magyarország rendelkezésére;</w:t>
            </w:r>
            <w:r>
              <w:t xml:space="preserve"> </w:t>
            </w:r>
            <w:r>
              <w:rPr>
                <w:b/>
                <w:i/>
              </w:rPr>
              <w:t>javasolja, hogy függesszék fel a kifizetéseket mindaddig, amíg valamennyi jogállamisági kritérium nem teljesül;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hangsúlyozza a jogállamisággal kapcsolatos mérföldkövek beépítésének fontosságát a finanszírozási eszközökbe, mint például a Helyreállítási és Rezilienciaépítési Eszközbe;</w:t>
            </w:r>
            <w:r>
              <w:t xml:space="preserve"> </w:t>
            </w:r>
            <w:r>
              <w:rPr>
                <w:b/>
                <w:i/>
              </w:rPr>
              <w:t>sajnálatát fejezi ki amiatt, hogy az ország bírói függetlenségével és korrupcióellenes kereteivel kapcsolatos hiányosságok ellenére uniós forrásokat bocsátottak Magyarország rendelkezésére;</w:t>
            </w:r>
            <w:r>
              <w:t xml:space="preserve"> </w:t>
            </w:r>
            <w:r>
              <w:rPr>
                <w:b/>
                <w:i/>
              </w:rPr>
              <w:t>javasolja, hogy függesszék fel a kifizetéseket mindaddig, amíg valamennyi jogállamisági kritérium nem teljesül;</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w:t>
            </w:r>
            <w:r>
              <w:rPr>
                <w:b/>
                <w:i/>
              </w:rPr>
              <w:t>Magyarország</w:t>
            </w:r>
            <w:r>
              <w:t xml:space="preserve"> rendelkezésére; javasolja, hogy függesszék fel a kifizetéseket mindaddig, amíg valamennyi jogállamisági kritérium nem teljesül;</w:t>
            </w:r>
          </w:p>
        </w:tc>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w:t>
            </w:r>
            <w:r>
              <w:rPr>
                <w:b/>
                <w:i/>
              </w:rPr>
              <w:t>folyamatos és súlyos</w:t>
            </w:r>
            <w:r>
              <w:t xml:space="preserve"> hiányosságok ellenére uniós forrásokat bocsátottak </w:t>
            </w:r>
            <w:r>
              <w:rPr>
                <w:b/>
                <w:i/>
              </w:rPr>
              <w:t>a magyar kormány</w:t>
            </w:r>
            <w:r>
              <w:t xml:space="preserve"> rendelkezésére; javasolja, hogy függesszék fel a kifizetéseket mindaddig, amíg valamennyi jogállamisági kritérium nem teljesül; </w:t>
            </w:r>
            <w:r>
              <w:rPr>
                <w:b/>
                <w:i/>
              </w:rPr>
              <w:t>sürgeti a Tanácsot, hogy oldja fel a Magyarország ellen folyamatban levő 7. cikk szerinti eljárás következő lépéseit, tekintettel az uniós értékek folyamatos megsértésére, többek között az igazságszolgáltatás függetlensége, a média szabadsága és a civil társadalom elleni támadásokra, amelyek azonnali és határozott fellépést tesznek szükségessé a jogállamiság Unión belüli védelme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hangsúlyozza a jogállamisággal kapcsolatos mérföldkövek beépítésének fontosságát a finanszírozási eszközökbe, mint például a Helyreállítási és Rezilienciaépítési Eszközbe;</w:t>
            </w:r>
            <w:r>
              <w:t xml:space="preserve"> </w:t>
            </w:r>
            <w:r>
              <w:rPr>
                <w:b/>
                <w:i/>
              </w:rPr>
              <w:t>sajnálatát fejezi ki amiatt, hogy az ország bírói függetlenségével és korrupcióellenes kereteivel</w:t>
            </w:r>
            <w:r>
              <w:t xml:space="preserve"> kapcsolatos </w:t>
            </w:r>
            <w:r>
              <w:rPr>
                <w:b/>
                <w:i/>
              </w:rPr>
              <w:t>hiányosságok ellenére</w:t>
            </w:r>
            <w:r>
              <w:t xml:space="preserve"> uniós </w:t>
            </w:r>
            <w:r>
              <w:rPr>
                <w:b/>
                <w:i/>
              </w:rPr>
              <w:t>forrásokat bocsátottak Magyarország rendelkezésére;</w:t>
            </w:r>
            <w:r>
              <w:t xml:space="preserve"> </w:t>
            </w:r>
            <w:r>
              <w:rPr>
                <w:b/>
                <w:i/>
              </w:rPr>
              <w:t>javasolja, hogy függesszék</w:t>
            </w:r>
            <w:r>
              <w:t xml:space="preserve"> fel a </w:t>
            </w:r>
            <w:r>
              <w:rPr>
                <w:b/>
                <w:i/>
              </w:rPr>
              <w:t>kifizetéseket mindaddig, amíg valamennyi jogállamisági kritérium nem teljesül</w:t>
            </w:r>
            <w:r>
              <w:t>;</w:t>
            </w:r>
          </w:p>
        </w:tc>
        <w:tc>
          <w:tcPr>
            <w:tcW w:w="4876" w:type="dxa"/>
            <w:tcBorders>
              <w:top w:val="nil"/>
              <w:left w:val="nil"/>
              <w:bottom w:val="nil"/>
              <w:right w:val="nil"/>
            </w:tcBorders>
          </w:tcPr>
          <w:p>
            <w:pPr>
              <w:pStyle w:val="Normal6a"/>
            </w:pPr>
            <w:r>
              <w:t>35.</w:t>
            </w:r>
            <w:r>
              <w:tab/>
            </w:r>
            <w:r>
              <w:rPr>
                <w:b/>
                <w:i/>
              </w:rPr>
              <w:t>aggodalommal figyeli a Bizottság politikai elfogultságát a jogállamisági referenciaértékek jogállamisági eszköztáron keresztül történő nyomon követése során;</w:t>
            </w:r>
            <w:r>
              <w:t xml:space="preserve"> </w:t>
            </w:r>
            <w:r>
              <w:rPr>
                <w:b/>
                <w:i/>
              </w:rPr>
              <w:t>felhívja a Bizottságot, hogy hagyjon fel a jobboldali, konzervatív kormányok elleni politikai támadásokkal;</w:t>
            </w:r>
            <w:r>
              <w:t xml:space="preserve"> </w:t>
            </w:r>
            <w:r>
              <w:rPr>
                <w:b/>
                <w:i/>
              </w:rPr>
              <w:t>hangsúlyozza, hogy a Bizottság pénzügyileg és politikailag zsarolja Magyarországot gyermekvédelmi törvénye, a nemzeti szuverenitás védelméről szóló törvény és a migrációs politikával</w:t>
            </w:r>
            <w:r>
              <w:t xml:space="preserve"> kapcsolatos </w:t>
            </w:r>
            <w:r>
              <w:rPr>
                <w:b/>
                <w:i/>
              </w:rPr>
              <w:t>határozott álláspontja miatt;</w:t>
            </w:r>
            <w:r>
              <w:t xml:space="preserve"> </w:t>
            </w:r>
            <w:r>
              <w:rPr>
                <w:b/>
                <w:i/>
              </w:rPr>
              <w:t>emlékeztet arra, hogy Magyarország jogosult minden olyan</w:t>
            </w:r>
            <w:r>
              <w:t xml:space="preserve"> uniós </w:t>
            </w:r>
            <w:r>
              <w:rPr>
                <w:b/>
                <w:i/>
              </w:rPr>
              <w:t>forrásra, amelyet a Bizottság jogellenesen visszatartott;</w:t>
            </w:r>
            <w:r>
              <w:t xml:space="preserve"> </w:t>
            </w:r>
            <w:r>
              <w:rPr>
                <w:b/>
                <w:i/>
              </w:rPr>
              <w:t>felhívja az Európai Bizottságot, hogy szabadítsa</w:t>
            </w:r>
            <w:r>
              <w:t xml:space="preserve"> fel a </w:t>
            </w:r>
            <w:r>
              <w:rPr>
                <w:b/>
                <w:i/>
              </w:rPr>
              <w:t>fennmaradó 20 milliárd EUR összegű uniós forrást, amelyre Magyarország jogszerint jogosult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hangsúlyozza</w:t>
            </w:r>
            <w:r>
              <w:t xml:space="preserve"> a jogállamisággal kapcsolatos </w:t>
            </w:r>
            <w:r>
              <w:rPr>
                <w:b/>
                <w:i/>
              </w:rPr>
              <w:t>mérföldkövek beépítésének fontosságát a</w:t>
            </w:r>
            <w:r>
              <w:t xml:space="preserve"> finanszírozási eszközökbe, mint </w:t>
            </w:r>
            <w:r>
              <w:rPr>
                <w:b/>
                <w:i/>
              </w:rPr>
              <w:t>például</w:t>
            </w:r>
            <w:r>
              <w:t xml:space="preserve"> a Helyreállítási és Rezilienciaépítési </w:t>
            </w:r>
            <w:r>
              <w:rPr>
                <w:b/>
                <w:i/>
              </w:rPr>
              <w:t>Eszközbe;</w:t>
            </w:r>
            <w:r>
              <w:t xml:space="preserve"> </w:t>
            </w:r>
            <w:r>
              <w:rPr>
                <w:b/>
                <w:i/>
              </w:rPr>
              <w:t>sajnálatát fejezi ki amiatt, hogy az ország bírói függetlenségével és korrupcióellenes kereteivel kapcsolatos hiányosságok ellenére uniós forrásokat bocsátottak Magyarország rendelkezésére;</w:t>
            </w:r>
            <w:r>
              <w:t xml:space="preserve"> </w:t>
            </w:r>
            <w:r>
              <w:rPr>
                <w:b/>
                <w:i/>
              </w:rPr>
              <w:t>javasolja, hogy függesszék fel a kifizetéseket mindaddig, amíg valamennyi jogállamisági kritérium nem teljesül</w:t>
            </w:r>
            <w:r>
              <w:t>;</w:t>
            </w:r>
          </w:p>
        </w:tc>
        <w:tc>
          <w:tcPr>
            <w:tcW w:w="4876" w:type="dxa"/>
            <w:tcBorders>
              <w:top w:val="nil"/>
              <w:left w:val="nil"/>
              <w:bottom w:val="nil"/>
              <w:right w:val="nil"/>
            </w:tcBorders>
          </w:tcPr>
          <w:p>
            <w:pPr>
              <w:pStyle w:val="Normal6a"/>
            </w:pPr>
            <w:r>
              <w:t>35.</w:t>
            </w:r>
            <w:r>
              <w:tab/>
            </w:r>
            <w:r>
              <w:rPr>
                <w:b/>
                <w:i/>
              </w:rPr>
              <w:t>megjegyzi, hogy</w:t>
            </w:r>
            <w:r>
              <w:t xml:space="preserve"> a jogállamisággal kapcsolatos </w:t>
            </w:r>
            <w:r>
              <w:rPr>
                <w:b/>
                <w:i/>
              </w:rPr>
              <w:t>mérföldköveket beépítették az olyan</w:t>
            </w:r>
            <w:r>
              <w:t xml:space="preserve"> finanszírozási eszközökbe, mint a Helyreállítási és Rezilienciaépítési </w:t>
            </w:r>
            <w:r>
              <w:rPr>
                <w:b/>
                <w:i/>
              </w:rPr>
              <w:t>Eszköz</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w:t>
            </w:r>
            <w:r>
              <w:rPr>
                <w:b/>
                <w:i/>
              </w:rPr>
              <w:t>Magyarország</w:t>
            </w:r>
            <w:r>
              <w:t xml:space="preserve"> rendelkezésére; javasolja, hogy függesszék fel a kifizetéseket mindaddig, amíg valamennyi jogállamisági </w:t>
            </w:r>
            <w:r>
              <w:rPr>
                <w:b/>
                <w:i/>
              </w:rPr>
              <w:t>kritérium nem teljesül</w:t>
            </w:r>
            <w:r>
              <w:t>;</w:t>
            </w:r>
          </w:p>
        </w:tc>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w:t>
            </w:r>
            <w:r>
              <w:rPr>
                <w:b/>
                <w:i/>
              </w:rPr>
              <w:t>a magyar kormány</w:t>
            </w:r>
            <w:r>
              <w:t xml:space="preserve"> rendelkezésére; javasolja, hogy függesszék fel a </w:t>
            </w:r>
            <w:r>
              <w:rPr>
                <w:b/>
                <w:i/>
              </w:rPr>
              <w:t>magyar kormánynak történő </w:t>
            </w:r>
            <w:r>
              <w:t xml:space="preserve">kifizetéseket mindaddig, amíg </w:t>
            </w:r>
            <w:r>
              <w:rPr>
                <w:b/>
                <w:i/>
              </w:rPr>
              <w:t>nem teljesíti</w:t>
            </w:r>
            <w:r>
              <w:t xml:space="preserve"> valamennyi jogállamisági </w:t>
            </w:r>
            <w:r>
              <w:rPr>
                <w:b/>
                <w:i/>
              </w:rPr>
              <w:t>kritériumot;</w:t>
            </w:r>
            <w:r>
              <w:t xml:space="preserve"> </w:t>
            </w:r>
            <w:r>
              <w:rPr>
                <w:b/>
                <w:i/>
              </w:rPr>
              <w:t>sürgeti a Bizottságot annak biztosítására, hogy az uniós források eljussanak a magyar lakossághoz, többek között a magyar kormánytól független végső címzettek és kedvezményezettek közvetlen vagy közvetett finanszírozása révén</w:t>
            </w:r>
            <w:r>
              <w:t>;</w:t>
            </w:r>
            <w:r>
              <w:rPr>
                <w:b/>
                <w:i/>
              </w:rP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hangsúlyozza a jogállamisággal kapcsolatos </w:t>
            </w:r>
            <w:r>
              <w:rPr>
                <w:b/>
                <w:i/>
              </w:rPr>
              <w:t>mérföldkövek beépítésének fontosságát</w:t>
            </w:r>
            <w:r>
              <w:t xml:space="preserve"> a finanszírozási </w:t>
            </w:r>
            <w:r>
              <w:rPr>
                <w:b/>
                <w:i/>
              </w:rPr>
              <w:t>eszközökbe</w:t>
            </w:r>
            <w:r>
              <w:t xml:space="preserve">, mint például a Helyreállítási és Rezilienciaépítési </w:t>
            </w:r>
            <w:r>
              <w:rPr>
                <w:b/>
                <w:i/>
              </w:rPr>
              <w:t>Eszközbe;</w:t>
            </w:r>
            <w:r>
              <w:t xml:space="preserve"> </w:t>
            </w:r>
            <w:r>
              <w:rPr>
                <w:b/>
                <w:i/>
              </w:rPr>
              <w:t>sajnálatát fejezi ki amiatt,</w:t>
            </w:r>
            <w:r>
              <w:t xml:space="preserve"> hogy az ország bírói függetlenségével és korrupcióellenes kereteivel kapcsolatos </w:t>
            </w:r>
            <w:r>
              <w:rPr>
                <w:b/>
                <w:i/>
              </w:rPr>
              <w:t>hiányosságok ellenére uniós forrásokat bocsátottak Magyarország rendelkezésére;</w:t>
            </w:r>
            <w:r>
              <w:t xml:space="preserve"> </w:t>
            </w:r>
            <w:r>
              <w:rPr>
                <w:b/>
                <w:i/>
              </w:rPr>
              <w:t>javasolja, hogy függesszék fel a kifizetéseket mindaddig, amíg valamennyi jogállamisági kritérium nem teljesül</w:t>
            </w:r>
            <w:r>
              <w:t>;</w:t>
            </w:r>
          </w:p>
        </w:tc>
        <w:tc>
          <w:tcPr>
            <w:tcW w:w="4876" w:type="dxa"/>
            <w:tcBorders>
              <w:top w:val="nil"/>
              <w:left w:val="nil"/>
              <w:bottom w:val="nil"/>
              <w:right w:val="nil"/>
            </w:tcBorders>
          </w:tcPr>
          <w:p>
            <w:pPr>
              <w:pStyle w:val="Normal6a"/>
            </w:pPr>
            <w:r>
              <w:t>35.</w:t>
            </w:r>
            <w:r>
              <w:tab/>
            </w:r>
            <w:r>
              <w:t>hangsúlyozza</w:t>
            </w:r>
            <w:r>
              <w:rPr>
                <w:b/>
                <w:i/>
              </w:rPr>
              <w:t>, hogy</w:t>
            </w:r>
            <w:r>
              <w:t xml:space="preserve"> a jogállamisággal kapcsolatos </w:t>
            </w:r>
            <w:r>
              <w:rPr>
                <w:b/>
                <w:i/>
              </w:rPr>
              <w:t>mérföldköveknek</w:t>
            </w:r>
            <w:r>
              <w:t xml:space="preserve"> a finanszírozási </w:t>
            </w:r>
            <w:r>
              <w:rPr>
                <w:b/>
                <w:i/>
              </w:rPr>
              <w:t>eszközökben</w:t>
            </w:r>
            <w:r>
              <w:t xml:space="preserve">, mint például a Helyreállítási és Rezilienciaépítési </w:t>
            </w:r>
            <w:r>
              <w:rPr>
                <w:b/>
                <w:i/>
              </w:rPr>
              <w:t>Eszközben való alkalmazása nincs összhangban a Szerződések betartására és az objektív kritériumokon alapuló megközelítés követésére vonatkozó kötelezettséggel;</w:t>
            </w:r>
            <w:r>
              <w:t xml:space="preserve"> </w:t>
            </w:r>
            <w:r>
              <w:rPr>
                <w:b/>
                <w:i/>
              </w:rPr>
              <w:t>megjegyzi, hogy uniós forrásokat bocsátottak Magyarország rendelkezésére, ami nem ellentétes a Szerződésekkel, és</w:t>
            </w:r>
            <w:r>
              <w:t xml:space="preserve"> hogy az ország bírói függetlenségével és korrupcióellenes kereteivel kapcsolatos </w:t>
            </w:r>
            <w:r>
              <w:rPr>
                <w:b/>
                <w:i/>
              </w:rPr>
              <w:t>állítólagos hiányosságokat a Szerződésekkel összhangban levő eljárások keretében kell kezelni;</w:t>
            </w:r>
            <w:r>
              <w:t xml:space="preserve"> </w:t>
            </w:r>
            <w:r>
              <w:rPr>
                <w:b/>
                <w:i/>
              </w:rPr>
              <w:t>hangsúlyozza, hogy az uniós alapokból történő kifizetések nem kapcsolódnak a jogállamiság önkényes kritériumaihoz</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w:t>
            </w:r>
            <w:r>
              <w:rPr>
                <w:b/>
                <w:i/>
              </w:rPr>
              <w:t>Magyarország</w:t>
            </w:r>
            <w:r>
              <w:t xml:space="preserve"> rendelkezésére; javasolja, hogy függesszék fel a kifizetéseket mindaddig, amíg valamennyi jogállamisági </w:t>
            </w:r>
            <w:r>
              <w:rPr>
                <w:b/>
                <w:i/>
              </w:rPr>
              <w:t>kritérium nem teljesül</w:t>
            </w:r>
            <w:r>
              <w:t>;</w:t>
            </w:r>
          </w:p>
        </w:tc>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w:t>
            </w:r>
            <w:r>
              <w:rPr>
                <w:b/>
                <w:i/>
              </w:rPr>
              <w:t>a magyar kormány</w:t>
            </w:r>
            <w:r>
              <w:t xml:space="preserve"> rendelkezésére; javasolja, hogy függesszék fel a </w:t>
            </w:r>
            <w:r>
              <w:rPr>
                <w:b/>
                <w:i/>
              </w:rPr>
              <w:t>magyar kormánynak történő </w:t>
            </w:r>
            <w:r>
              <w:t xml:space="preserve">kifizetéseket mindaddig, amíg </w:t>
            </w:r>
            <w:r>
              <w:rPr>
                <w:b/>
                <w:i/>
              </w:rPr>
              <w:t>nem teljesíti</w:t>
            </w:r>
            <w:r>
              <w:t xml:space="preserve"> valamennyi jogállamisági </w:t>
            </w:r>
            <w:r>
              <w:rPr>
                <w:b/>
                <w:i/>
              </w:rPr>
              <w:t>kritériumot;</w:t>
            </w:r>
            <w:r>
              <w:t xml:space="preserve"> </w:t>
            </w:r>
            <w:r>
              <w:rPr>
                <w:b/>
                <w:i/>
              </w:rPr>
              <w:t>sürgeti a Bizottságot annak biztosítására, hogy az uniós források eljussanak a magyar lakossághoz a meghozott intézkedések teljes hatásának fenntartása mellett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hangsúlyozza a jogállamisággal kapcsolatos mérföldkövek beépítésének fontosságát a finanszírozási eszközökbe, mint például a Helyreállítási és Rezilienciaépítési Eszközbe; sajnálatát fejezi ki amiatt, hogy az ország bírói függetlenségével és korrupcióellenes kereteivel kapcsolatos hiányosságok ellenére uniós forrásokat bocsátottak Magyarország rendelkezésére; javasolja, hogy függesszék fel a kifizetéseket mindaddig, amíg valamennyi jogállamisági kritérium nem teljesül;</w:t>
            </w:r>
          </w:p>
        </w:tc>
        <w:tc>
          <w:tcPr>
            <w:tcW w:w="4876" w:type="dxa"/>
            <w:tcBorders>
              <w:top w:val="nil"/>
              <w:left w:val="nil"/>
              <w:bottom w:val="nil"/>
              <w:right w:val="nil"/>
            </w:tcBorders>
          </w:tcPr>
          <w:p>
            <w:pPr>
              <w:pStyle w:val="Normal6a"/>
            </w:pPr>
            <w:r>
              <w:t>35.</w:t>
            </w:r>
            <w:r>
              <w:tab/>
            </w:r>
            <w:r>
              <w:t xml:space="preserve">hangsúlyozza a jogállamisággal kapcsolatos mérföldkövek beépítésének fontosságát a finanszírozási eszközökbe, mint például a Helyreállítási és Rezilienciaépítési Eszközbe; </w:t>
            </w:r>
            <w:r>
              <w:rPr>
                <w:b/>
                <w:i/>
              </w:rPr>
              <w:t>kéri, hogy a jövőbeli többéves pénzügyi keret tartalmazzon szilárd, valamennyi uniós alapra alkalmazandó jogállamisági biztosítékokat;</w:t>
            </w:r>
            <w:r>
              <w:t xml:space="preserve"> sajnálatát fejezi ki amiatt, hogy az ország bírói függetlenségével és korrupcióellenes kereteivel kapcsolatos hiányosságok ellenére uniós forrásokat bocsátottak Magyarország rendelkezésére; javasolja, hogy függesszék fel a kifizetéseket mindaddig, amíg valamennyi jogállamisági kritérium nem teljesül;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mély aggodalmát fejezi ki a szélsőjobboldali szélsőségesség erősödése és a demokratikus normákra és a jogállamiságra gyakorolt romboló hatása miatt számos tagállamban;</w:t>
            </w:r>
            <w:r>
              <w:t xml:space="preserve"> </w:t>
            </w:r>
            <w:r>
              <w:rPr>
                <w:b/>
                <w:i/>
              </w:rPr>
              <w:t>összehangolt uniós fellépésre szólít fel e fenyegetés leküzdése érdekében, többek között oktatási, társadalmi befogadási programok és szükség esetén jogi intézkedések révén;</w:t>
            </w:r>
            <w:r>
              <w:t xml:space="preserve"> </w:t>
            </w:r>
            <w:r>
              <w:rPr>
                <w:b/>
                <w:i/>
              </w:rPr>
              <w:t>aggodalommal állapítja meg, hogy ezek a csoportok aktívan támadják a kisebbségeket, köztük az LMBTIQ+-személyeket, és hozzájárulnak a félelem és a megkülönböztetés légköréhez;</w:t>
            </w:r>
            <w:r>
              <w:t xml:space="preserve"> </w:t>
            </w:r>
            <w:r>
              <w:rPr>
                <w:b/>
                <w:i/>
              </w:rPr>
              <w:t>felhívja a Bizottságot, hogy éves jogállamisági jelentésében kifejezetten azonosítsa az ilyen csoportokat a demokráciát, az emberi jogokat és az alapvető szabadságokat, többek között a tudományos és a médiafüggetlenséget fenyegető veszélyként;</w:t>
            </w:r>
            <w:r>
              <w:t xml:space="preserve"> </w:t>
            </w:r>
            <w:r>
              <w:rPr>
                <w:b/>
                <w:i/>
              </w:rPr>
              <w:t>sürgeti a tagállamokat, hogy tegyenek határozott lépéseket befolyásuk ellensúlyozására szilárd jogi keretek, a demokratikus értékeket előmozdító oktatás és a szélsőségesség ellen küzdő civil társadalmi szervezetek támogatása révén;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kéri, hogy a többéves pénzügyi keretről szóló rendeletbe vezessenek be egy teljesítményalapú eszközt az emberi méltóság, a szabadság, a demokrácia, az egyenlőség, a jogállamiság és az emberi jogok tiszteletben tartását illetően, hogy az említett elvek tiszteletben tartása és az uniós források odaítélése jobban össze legyen hangolva;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kitart amellett, hogy a mérföldkövek logikájában szorosabb kapcsolatot kell bevezetni a jogállamisági jelentés megállapításai és az uniós költségvetésből nyújtott pénzügyi támogatás elosztása között, biztosítva, hogy az uniós forrásokat a szükséges reformok megvalósításához kössék;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aggodalmát fejezi ki amiatt, hogy az éves jogállamisági jelentés közzétételének időpontja nem segíti elő a kellő láthatóságot, és ellentétes a jelentés azon céljával, hogy valódi nyilvános vitát indítson a megállapításairól;</w:t>
            </w:r>
            <w:r>
              <w:t xml:space="preserve"> </w:t>
            </w:r>
            <w:r>
              <w:rPr>
                <w:b/>
                <w:i/>
              </w:rPr>
              <w:t>sürgeti a Bizottságot, hogy vizsgálja felül a közzététel időpontját, és tegyen további erőfeszítéseket annak érdekében, hogy megállapításai széles körben ismertté váljanak valamennyi tagállamban;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elvárja, hogy a Bizottság 2025. évi jogállamisági jelentése határidőket határozzon meg az országspecifikus ajánlások végrehajtására;</w:t>
            </w:r>
            <w:r>
              <w:t xml:space="preserve"> </w:t>
            </w:r>
            <w:r>
              <w:rPr>
                <w:b/>
                <w:i/>
              </w:rPr>
              <w:t>fenntartja, hogy a befagyasztott uniós pénzeszközöket csak akkor szabad felszabadítani, ha az érdemi reformokat teljes mértékben végrehajtották, és a gyakorlatban igazolhatóan megvalósult a jogállamiságnak való megfelelés;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35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ösztönzi a tagállamokat, hogy az Aarhusi Egyezmény teljes körű végrehajtásának biztosítása révén erősítsék meg a környezeti demokráciát, különösen a környezeti ügyekben az igazságszolgáltatáshoz való hozzáférés, valamint a környezetvédelmi aktivisták és szervezetek védelme tekintetében;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úgy véli, hogy meg kell erősíteni a jogállamisággal kapcsolatos uniós szintű intézményközi párbeszédet és együttműködést;</w:t>
            </w:r>
            <w:r>
              <w:t xml:space="preserve"> </w:t>
            </w:r>
            <w:r>
              <w:rPr>
                <w:b/>
                <w:i/>
              </w:rPr>
              <w:t>kéri, hogy hozzanak létre állandó intézményközi párbeszédet a jogállamiságról, többek között a Parlament, a Tanács és a Bizottság bevonásával;</w:t>
            </w:r>
            <w:r>
              <w:t xml:space="preserve"> </w:t>
            </w:r>
            <w:r>
              <w:rPr>
                <w:b/>
                <w:i/>
              </w:rPr>
              <w:t>felhívja a Tanácsot, hogy tegye inkluzívabbá a jogállamiságról szóló párbeszédet azáltal, hogy más intézményeket, például a Velencei Bizottságot, az emberi jogi biztost és a Parlament képviselőit is meghívja üléseire;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úgy véli, hogy meg kell erősíteni a jogállamisággal kapcsolatos uniós szintű intézményközi párbeszédet és együttműködést;</w:t>
            </w:r>
            <w:r>
              <w:t xml:space="preserve"> </w:t>
            </w:r>
            <w:r>
              <w:rPr>
                <w:b/>
                <w:i/>
              </w:rPr>
              <w:t>kéri, hogy hozzanak létre állandó intézményközi párbeszédet a jogállamiságról, többek között a Parlament, a Tanács és a Bizottság bevonásával;</w:t>
            </w:r>
            <w:r>
              <w:t xml:space="preserve"> </w:t>
            </w:r>
            <w:r>
              <w:rPr>
                <w:b/>
                <w:i/>
              </w:rPr>
              <w:t>felhívja a Tanácsot, hogy tegye inkluzívabbá a jogállamiságról szóló párbeszédet azáltal, hogy más intézményeket, például a Velencei Bizottságot, az emberi jogi biztost és a Parlament képviselőit is meghívja üléseire;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úgy véli, hogy meg kell erősíteni a jogállamisággal kapcsolatos uniós szintű intézményközi párbeszédet és együttműködést;</w:t>
            </w:r>
            <w:r>
              <w:t xml:space="preserve"> </w:t>
            </w:r>
            <w:r>
              <w:rPr>
                <w:b/>
                <w:i/>
              </w:rPr>
              <w:t>kéri, hogy hozzanak létre állandó intézményközi párbeszédet a jogállamiságról, többek között a Parlament, a Tanács és a Bizottság bevonásával;</w:t>
            </w:r>
            <w:r>
              <w:t xml:space="preserve"> </w:t>
            </w:r>
            <w:r>
              <w:rPr>
                <w:b/>
                <w:i/>
              </w:rPr>
              <w:t>felhívja a Tanácsot, hogy tegye inkluzívabbá a jogállamiságról szóló párbeszédet azáltal, hogy más intézményeket, például a Velencei Bizottságot, az emberi jogi biztost és a Parlament képviselőit is meghívja üléseire;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w:t>
            </w:r>
            <w:r>
              <w:rPr>
                <w:b/>
                <w:i/>
              </w:rPr>
              <w:t>kéri, hogy hozzanak létre állandó</w:t>
            </w:r>
            <w:r>
              <w:t xml:space="preserve"> intézményközi </w:t>
            </w:r>
            <w:r>
              <w:rPr>
                <w:b/>
                <w:i/>
              </w:rPr>
              <w:t>párbeszédet</w:t>
            </w:r>
            <w:r>
              <w:t xml:space="preserve"> a jogállamiságról</w:t>
            </w:r>
            <w:r>
              <w:rPr>
                <w:b/>
                <w:i/>
              </w:rPr>
              <w:t>, többek között a Parlament, a Tanács és a Bizottság bevonásával</w:t>
            </w:r>
            <w:r>
              <w:t xml:space="preserve">; felhívja a Tanácsot, hogy tegye inkluzívabbá a jogállamiságról szóló párbeszédet azáltal, hogy más intézményeket, például a Velencei Bizottságot, az emberi jogi </w:t>
            </w:r>
            <w:r>
              <w:rPr>
                <w:b/>
                <w:i/>
              </w:rPr>
              <w:t>biztost</w:t>
            </w:r>
            <w:r>
              <w:t xml:space="preserve"> és a Parlament képviselőit is meghívja üléseire;</w:t>
            </w:r>
          </w:p>
        </w:tc>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w:t>
            </w:r>
            <w:r>
              <w:rPr>
                <w:b/>
                <w:i/>
              </w:rPr>
              <w:t>sajnálja, hogy a Bizottság és a Tanács eddig elutasította a Parlament azon ajánlatát, hogy</w:t>
            </w:r>
            <w:r>
              <w:t xml:space="preserve"> intézményközi </w:t>
            </w:r>
            <w:r>
              <w:rPr>
                <w:b/>
                <w:i/>
              </w:rPr>
              <w:t>megállapodást kössenek a demokráciáról,</w:t>
            </w:r>
            <w:r>
              <w:t xml:space="preserve"> a jogállamiságról </w:t>
            </w:r>
            <w:r>
              <w:rPr>
                <w:b/>
                <w:i/>
              </w:rPr>
              <w:t>és az alapvető jogokról;</w:t>
            </w:r>
            <w:r>
              <w:t xml:space="preserve"> </w:t>
            </w:r>
            <w:r>
              <w:rPr>
                <w:b/>
                <w:i/>
              </w:rPr>
              <w:t>megerősíti hajlandóságát a megállapodásról szóló tárgyalások folytatására;</w:t>
            </w:r>
            <w:r>
              <w:t xml:space="preserve"> </w:t>
            </w:r>
            <w:r>
              <w:rPr>
                <w:b/>
                <w:i/>
              </w:rPr>
              <w:t>addig is felhívja a többi intézményt, hogy térképezzék fel a további együttműködés lehetőségeit legalább a demokráciával, a jogállamisággal és az alapvető jogokkal foglalkozó javasolt intézményközi kísérleti program keretében, amely gyakorlati módon segítené az intézmények közötti bizalom kiépítését, különösen a nyomon követés, a párbeszéd és az ülésezési gyakorlatok megosztása révén</w:t>
            </w:r>
            <w:r>
              <w:t xml:space="preserve">; felhívja a Tanácsot, hogy tegye inkluzívabbá a jogállamiságról szóló párbeszédet azáltal, hogy más intézményeket, például a Velencei Bizottságot, az </w:t>
            </w:r>
            <w:r>
              <w:rPr>
                <w:b/>
                <w:i/>
              </w:rPr>
              <w:t>Európa Tanács</w:t>
            </w:r>
            <w:r>
              <w:t xml:space="preserve"> emberi jogi </w:t>
            </w:r>
            <w:r>
              <w:rPr>
                <w:b/>
                <w:i/>
              </w:rPr>
              <w:t>biztosát</w:t>
            </w:r>
            <w:r>
              <w:t xml:space="preserve"> és a Parlament képviselőit is meghívja üléseire; </w:t>
            </w:r>
            <w:r>
              <w:rPr>
                <w:b/>
                <w:i/>
              </w:rPr>
              <w:t>úgy véli, hogy a Tanács jogállamisággal kapcsolatos párbeszédének interaktívabbá és érdemibbé kell válnia, ezért felszólítja a tagállamokat, hogy fektessenek be e párbeszéd megfelelő előkészítésébe;</w:t>
            </w:r>
            <w:r>
              <w:t xml:space="preserve"> </w:t>
            </w:r>
            <w:r>
              <w:rPr>
                <w:b/>
                <w:i/>
              </w:rPr>
              <w:t>hangsúlyozza, hogy a nagyobb átláthatóság fokozná jogállamisági párbeszédet az Unióban, ezért felkéri a Tanácsot, hogy tegye nyilvánossá ezen országspecifikus megbeszéléseket, ideértve a részletes nyilvános következtetéseket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úgy véli, hogy meg kell erősíteni a jogállamisággal </w:t>
            </w:r>
            <w:r>
              <w:rPr>
                <w:b/>
                <w:i/>
              </w:rPr>
              <w:t>kapcsolatos uniós szintű intézményközi párbeszédet és együttműködést;</w:t>
            </w:r>
            <w:r>
              <w:t xml:space="preserve"> </w:t>
            </w:r>
            <w:r>
              <w:rPr>
                <w:b/>
                <w:i/>
              </w:rPr>
              <w:t>kéri, hogy hozzanak létre állandó</w:t>
            </w:r>
            <w:r>
              <w:t xml:space="preserve"> intézményközi párbeszédet </w:t>
            </w:r>
            <w:r>
              <w:rPr>
                <w:b/>
                <w:i/>
              </w:rPr>
              <w:t>a jogállamiságról, többek között a Parlament, a Tanács és a Bizottság bevonásával;</w:t>
            </w:r>
            <w:r>
              <w:t xml:space="preserve"> </w:t>
            </w:r>
            <w:r>
              <w:rPr>
                <w:b/>
                <w:i/>
              </w:rPr>
              <w:t>felhívja a Tanácsot, hogy tegye inkluzívabbá a jogállamiságról szóló párbeszédet azáltal, hogy más</w:t>
            </w:r>
            <w:r>
              <w:t xml:space="preserve"> intézményeket</w:t>
            </w:r>
            <w:r>
              <w:rPr>
                <w:b/>
                <w:i/>
              </w:rPr>
              <w:t>, például a Velencei Bizottságot, az emberi jogi biztost és a Parlament képviselőit is meghívja üléseire</w:t>
            </w:r>
            <w:r>
              <w:t>;</w:t>
            </w:r>
          </w:p>
        </w:tc>
        <w:tc>
          <w:tcPr>
            <w:tcW w:w="4876" w:type="dxa"/>
            <w:tcBorders>
              <w:top w:val="nil"/>
              <w:left w:val="nil"/>
              <w:bottom w:val="nil"/>
              <w:right w:val="nil"/>
            </w:tcBorders>
          </w:tcPr>
          <w:p>
            <w:pPr>
              <w:pStyle w:val="Normal6a"/>
            </w:pPr>
            <w:r>
              <w:t>36.</w:t>
            </w:r>
            <w:r>
              <w:tab/>
            </w:r>
            <w:r>
              <w:t xml:space="preserve">úgy véli, hogy meg kell erősíteni a jogállamisággal </w:t>
            </w:r>
            <w:r>
              <w:rPr>
                <w:b/>
                <w:i/>
              </w:rPr>
              <w:t>és a korrupció elleni küzdelemmel kapcsolatos uniós szintű</w:t>
            </w:r>
            <w:r>
              <w:t xml:space="preserve"> intézményközi párbeszédet </w:t>
            </w:r>
            <w:r>
              <w:rPr>
                <w:b/>
                <w:i/>
              </w:rPr>
              <w:t>és együttműködést azáltal, hogy az uniós</w:t>
            </w:r>
            <w:r>
              <w:t xml:space="preserve"> intézményeket </w:t>
            </w:r>
            <w:r>
              <w:rPr>
                <w:b/>
                <w:i/>
              </w:rPr>
              <w:t>bevonják az ellenőrzésbe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kéri, hogy hozzanak létre állandó intézményközi párbeszédet a jogállamiságról, </w:t>
            </w:r>
            <w:r>
              <w:rPr>
                <w:b/>
                <w:i/>
              </w:rPr>
              <w:t>többek között</w:t>
            </w:r>
            <w:r>
              <w:t xml:space="preserve"> a Parlament, a Tanács és a Bizottság bevonásával; felhívja a Tanácsot, hogy tegye inkluzívabbá a jogállamiságról szóló párbeszédet azáltal, hogy más intézményeket, például a Velencei Bizottságot, az emberi jogi biztost és a Parlament képviselőit is meghívja üléseire;</w:t>
            </w:r>
          </w:p>
        </w:tc>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kéri, hogy </w:t>
            </w:r>
            <w:r>
              <w:rPr>
                <w:b/>
                <w:i/>
              </w:rPr>
              <w:t>egy intézményközi megállapodás megkötése révén</w:t>
            </w:r>
            <w:r>
              <w:t xml:space="preserve"> hozzanak létre állandó intézményközi párbeszédet a jogállamiságról, a Parlament, a Tanács és a Bizottság bevonásával; felhívja a Tanácsot, hogy tegye inkluzívabbá a jogállamiságról szóló párbeszédet azáltal, hogy más intézményeket, például a Velencei Bizottságot, az emberi jogi biztost és a Parlament képviselőit is meghívja üléseire</w:t>
            </w:r>
            <w:r>
              <w:rPr>
                <w:b/>
                <w:i/>
              </w:rPr>
              <w:t>, vagy legalábbis adjon rendszeres visszajelzést az Európai Parlamentnek a jogállamisági párbeszéd keretében tartott ülésekről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úgy véli, hogy meg kell erősíteni a jogállamisággal kapcsolatos uniós szintű intézményközi párbeszédet és együttműködést; kéri, hogy hozzanak létre állandó intézményközi párbeszédet a jogállamiságról, többek között a Parlament, a Tanács és a Bizottság bevonásával; felhívja a Tanácsot, hogy tegye inkluzívabbá a jogállamiságról szóló párbeszédet azáltal, hogy más intézményeket, például a Velencei Bizottságot, az emberi jogi biztost és a Parlament képviselőit is meghívja üléseire;</w:t>
            </w:r>
          </w:p>
        </w:tc>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kéri, hogy hozzanak létre állandó intézményközi párbeszédet a jogállamiságról, többek között a Parlament, a Tanács és a Bizottság bevonásával; felhívja a Tanácsot, hogy tegye inkluzívabbá a jogállamiságról szóló párbeszédet azáltal, hogy más intézményeket, például a Velencei Bizottságot, az emberi jogi biztost és a Parlament képviselőit is meghívja üléseire; </w:t>
            </w:r>
            <w:r>
              <w:rPr>
                <w:b/>
                <w:i/>
              </w:rPr>
              <w:t>sürgeti a Tanácsot, hogy működjön együtt a nemzeti parlamentekkel az uniós jogállamisági normáknak való tagállami megfelelés demokratikus felügyeletének fokozása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úgy véli</w:t>
            </w:r>
            <w:r>
              <w:t>, hogy meg kell erősíteni a jogállamisággal kapcsolatos uniós szintű intézményközi párbeszédet és együttműködést</w:t>
            </w:r>
            <w:r>
              <w:rPr>
                <w:b/>
                <w:i/>
              </w:rPr>
              <w:t>;</w:t>
            </w:r>
            <w:r>
              <w:t xml:space="preserve"> </w:t>
            </w:r>
            <w:r>
              <w:rPr>
                <w:b/>
                <w:i/>
              </w:rPr>
              <w:t>kéri, hogy hozzanak létre állandó intézményközi párbeszédet a jogállamiságról, többek között a Parlament, a Tanács és a Bizottság bevonásával;</w:t>
            </w:r>
            <w:r>
              <w:t xml:space="preserve"> </w:t>
            </w:r>
            <w:r>
              <w:rPr>
                <w:b/>
                <w:i/>
              </w:rPr>
              <w:t>felhívja a Tanácsot, hogy tegye inkluzívabbá a jogállamiságról szóló párbeszédet azáltal, hogy más intézményeket, például a Velencei Bizottságot, az emberi jogi biztost és a Parlament képviselőit is meghívja üléseire</w:t>
            </w:r>
            <w:r>
              <w:t>;</w:t>
            </w:r>
          </w:p>
        </w:tc>
        <w:tc>
          <w:tcPr>
            <w:tcW w:w="4876" w:type="dxa"/>
            <w:tcBorders>
              <w:top w:val="nil"/>
              <w:left w:val="nil"/>
              <w:bottom w:val="nil"/>
              <w:right w:val="nil"/>
            </w:tcBorders>
          </w:tcPr>
          <w:p>
            <w:pPr>
              <w:pStyle w:val="Normal6a"/>
            </w:pPr>
            <w:r>
              <w:t>36.</w:t>
            </w:r>
            <w:r>
              <w:tab/>
            </w:r>
            <w:r>
              <w:rPr>
                <w:b/>
                <w:i/>
              </w:rPr>
              <w:t>megjegyzi, hogy vannak arra irányuló felhívások</w:t>
            </w:r>
            <w:r>
              <w:t>, hogy meg kell erősíteni a jogállamisággal kapcsolatos uniós szintű intézményközi párbeszédet és együttműködést</w:t>
            </w:r>
            <w:r>
              <w:rPr>
                <w:b/>
                <w:i/>
              </w:rPr>
              <w:t>, ám ez nem áll összhangban a Szerződések szövegével;</w:t>
            </w:r>
            <w:r>
              <w:t xml:space="preserve"> </w:t>
            </w:r>
            <w:r>
              <w:rPr>
                <w:b/>
                <w:i/>
              </w:rPr>
              <w:t>megjegyzi ugyanakkor, hogy különösen a Parlament álláspontjait gyakran befolyásolják az egyes csoportok pártérdekei, ami csak megerősíti a jogállamiságról folytatott úgynevezett „párbeszéd” elfogultságát és politikai dimenzióját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kéri, hogy </w:t>
            </w:r>
            <w:r>
              <w:rPr>
                <w:b/>
                <w:i/>
              </w:rPr>
              <w:t>hozzanak</w:t>
            </w:r>
            <w:r>
              <w:t xml:space="preserve"> létre </w:t>
            </w:r>
            <w:r>
              <w:rPr>
                <w:b/>
                <w:i/>
              </w:rPr>
              <w:t>állandó intézményközi párbeszédet a jogállamiságról, többek között a Parlament,</w:t>
            </w:r>
            <w:r>
              <w:t xml:space="preserve"> a Tanács és </w:t>
            </w:r>
            <w:r>
              <w:rPr>
                <w:b/>
                <w:i/>
              </w:rPr>
              <w:t>a Bizottság bevonásával;</w:t>
            </w:r>
            <w:r>
              <w:t xml:space="preserve"> </w:t>
            </w:r>
            <w:r>
              <w:rPr>
                <w:b/>
                <w:i/>
              </w:rPr>
              <w:t>felhívja a Tanácsot, hogy tegye inkluzívabbá a jogállamiságról szóló párbeszédet azáltal, hogy más intézményeket, például a Velencei Bizottságot, az emberi jogi biztost és a Parlament képviselőit is meghívja üléseire</w:t>
            </w:r>
            <w:r>
              <w:t>;</w:t>
            </w:r>
          </w:p>
        </w:tc>
        <w:tc>
          <w:tcPr>
            <w:tcW w:w="4876" w:type="dxa"/>
            <w:tcBorders>
              <w:top w:val="nil"/>
              <w:left w:val="nil"/>
              <w:bottom w:val="nil"/>
              <w:right w:val="nil"/>
            </w:tcBorders>
          </w:tcPr>
          <w:p>
            <w:pPr>
              <w:pStyle w:val="Normal6a"/>
            </w:pPr>
            <w:r>
              <w:t>36.</w:t>
            </w:r>
            <w:r>
              <w:tab/>
            </w:r>
            <w:r>
              <w:t xml:space="preserve">úgy véli, hogy meg kell erősíteni a jogállamisággal kapcsolatos uniós szintű intézményközi párbeszédet és együttműködést; kéri, hogy </w:t>
            </w:r>
            <w:r>
              <w:rPr>
                <w:b/>
                <w:i/>
              </w:rPr>
              <w:t>hozzák</w:t>
            </w:r>
            <w:r>
              <w:t xml:space="preserve"> létre </w:t>
            </w:r>
            <w:r>
              <w:rPr>
                <w:b/>
                <w:i/>
              </w:rPr>
              <w:t>a jogállamiság európai szemeszterét, amely</w:t>
            </w:r>
            <w:r>
              <w:t xml:space="preserve"> a Tanács és </w:t>
            </w:r>
            <w:r>
              <w:rPr>
                <w:b/>
                <w:i/>
              </w:rPr>
              <w:t>az Európai Parlament kulcsfontosságú szerepével, valamint a Bizottságnak a megfelelés érvényesítésére vonatkozó hatáskörével támogatva keretet teremt;</w:t>
            </w:r>
            <w:r>
              <w:t xml:space="preserve"> </w:t>
            </w:r>
            <w:r>
              <w:rPr>
                <w:b/>
                <w:i/>
              </w:rPr>
              <w:t>megjegyzi, hogy ez a keret kezelné a demokratikus deficitet, és biztosítaná a jogállamiság tiszteletben tartását a tagállamokban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rendkívül sajnálatosnak tartja, hogy a Tanács nem képes érdemi előrelépést elérni az EUSZ 7. cikkének (1) bekezdése szerinti, folyamatban lévő eljárásban;</w:t>
            </w:r>
            <w:r>
              <w:t xml:space="preserve"> </w:t>
            </w:r>
            <w:r>
              <w:rPr>
                <w:b/>
                <w:i/>
              </w:rPr>
              <w:t>sürgeti a Tanácsot annak biztosítására, hogy elnökségenként legalább egyszer kerüljön sor meghallgatásokra az EUSZ 7. cikke szerinti, folyamatban lévő eljárásokban, és hogy foglalkozzon a jogállamiságot, a demokráciát és az alapvető jogokat érintő új fejleményekkel;</w:t>
            </w:r>
            <w:r>
              <w:t xml:space="preserve"> </w:t>
            </w:r>
            <w:r>
              <w:rPr>
                <w:b/>
                <w:i/>
              </w:rPr>
              <w:t>hangsúlyozza, hogy a Tanácsban nincs szükség egyhangúságra ahhoz, hogy azonosítsák a 7. cikk (1) bekezdése szerinti uniós értékek súlyos megsértésének egyértelmű kockázatát, és ahhoz sem, hogy konkrét ajánlásokat intézzenek az érintett tagállamokhoz, és határidőket tűzzenek ki ezen ajánlások végrehajtására;</w:t>
            </w:r>
            <w:r>
              <w:t xml:space="preserve"> </w:t>
            </w:r>
            <w:r>
              <w:rPr>
                <w:b/>
                <w:i/>
              </w:rPr>
              <w:t>ismételten felszólítja a Tanácsot e lépések megtételére, kiemelve, hogy e fellépés további késleltetése a jogállamiság elvének Tanács általi megsértését jelentené;</w:t>
            </w:r>
            <w:r>
              <w:t xml:space="preserve"> </w:t>
            </w:r>
            <w:r>
              <w:rPr>
                <w:b/>
                <w:i/>
              </w:rPr>
              <w:t>ragaszkodik a Parlament szerepének és hatásköreinek tiszteletben tartásához;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emlékeztet arra a régóta hangoztatott kérésére, hogy intézményközi megállapodás formájában hozzanak létre egy, a demokráciával, a jogállamisággal és az alapvető jogokkal foglalkozó uniós mechanizmust (a demokrácia, a jogállamiság és az alapvető jogok uniós paktuma), és felhívja a Bizottságot és a Tanácsot, hogy kössenek ilyen intézményközi megállapodást;</w:t>
            </w:r>
            <w:r>
              <w:t xml:space="preserve"> </w:t>
            </w:r>
            <w:r>
              <w:rPr>
                <w:b/>
                <w:i/>
              </w:rPr>
              <w:t>emlékeztet arra, hogy az új mechanizmusnak integrálnia kell és ki kell egészítenie a meglévő mechanizmusokat, beleértve a jogállamiságról szóló jelentést, bizonyítékokon kell alapulnia és objektívnek kell lennie, a tagállamokra és az uniós intézményekre kell vonatkoznia, beleértve a megelőző és korrekciós intézkedéseket is, és munkáját független szakértőkből álló testületnek kell segítenie;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felhívja a tagállamokat annak biztosítására, hogy a hatalmi ágak szétválasztását érintő jogalkotási reformok teljes mértékben feleljenek meg az európai jogelveknek;</w:t>
            </w:r>
            <w:r>
              <w:t xml:space="preserve"> </w:t>
            </w:r>
            <w:r>
              <w:rPr>
                <w:b/>
                <w:i/>
              </w:rPr>
              <w:t>sürgeti a Bizottságot annak értékelésére, hogy az igazságszolgáltatást, a jogi előnyöket vagy az igazságügyi intézmények feletti végrehajtói ellenőrzést érintő jogalkotási intézkedések összhangban vannak-e az EUSZ 2. cikkével, és indokolhatják-e az EUSZ 7. cikke szerinti eljárás megindítását;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úgy véli, hogy tovább kell erősíteni az EU és a nemzetközi szervezetek, például az Európa Tanács, az EBESZ és az ENSZ közötti együttműködést a demokrácia, a jogállamiság, az alapvető szabadságok és az emberi jogok, köztük a kisebbségek jogainak előmozdítása és védelme terén;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úgy véli, hogy a tagállamok között folytatott együttműködés különösen fontos a demokrácia, a jogállamiság és az alapvető jogok EU-ban történő előmozdítása szempontjából;</w:t>
            </w:r>
            <w:r>
              <w:t xml:space="preserve"> </w:t>
            </w:r>
            <w:r>
              <w:rPr>
                <w:b/>
                <w:i/>
              </w:rPr>
              <w:t>sürgeti a Bizottságot, hogy tartsa fenn saját szabályait az átláthatóság, a korrupció elleni küzdelem és az igazságszolgáltatás területén;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felhívja a tagállamokat annak biztosítására, hogy a válságokra (például világjárványokra vagy biztonsági fenyegetésekre) válaszul elfogadott vészhelyzeti intézkedések rendszeres parlamenti ellenőrzés és bírósági felülvizsgálat tárgyát képezzék, és időben szigorúan korlátozottak és arányosak legyenek;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sajnálatát fejezi ki amiatt, hogy a Bizottság nem vette figyelembe a Parlament számos, a Bizottság jogállamisági jelentéseivel kapcsolatos ismételt kérését;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kéri, hogy a Bizottság 2025. december 31-ig adjon ki közleményt, amelyben részletezi a Parlament által a Bizottság jogállamisági jelentéseivel kapcsolatban 2021 óta elfogadott azon kéréseket, amelyeket a Bizottság végre fog hajtani, és amelyeket nem fog végrehajtani, valamint az elutasítás konkrét okait;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hangsúlyozza annak fontosságát, hogy a tagállamok kezeljék az igazságszolgáltatásban és más kulcsfontosságú demokratikus intézményekben a nemek közötti szakadékot;</w:t>
            </w:r>
            <w:r>
              <w:t xml:space="preserve"> </w:t>
            </w:r>
            <w:r>
              <w:rPr>
                <w:b/>
                <w:i/>
              </w:rPr>
              <w:t>javasolja, hogy hajtsanak végre célzott intézkedéseket a nők vezető bírói és közigazgatási pozíciókban való képviseletének növelése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felhívja a Bizottságot, hogy ne használja a jogállamiság és az alapvető jogok védelmét ürügyként arra, hogy politikai nyomást gyakoroljon egyes tagállamokra a tagállami hatáskörbe tartozó politikák megváltoztatása érdekében;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36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súlyos aggodalmának ad hangot amiatt, hogy a 7. cikk szerinti eljárásokhoz hasonlóan a jogállamisági feltételrendszerről szóló rendelet szerinti intézkedéseket is politikai eszmék előmozdítása és egyes tagállamok delegitimálása céljából fogják alkalmazni;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javasolja, hogy a Bizottság és a tagállamok 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w:t>
            </w:r>
            <w:r>
              <w:t xml:space="preserve"> </w:t>
            </w:r>
            <w:r>
              <w:rPr>
                <w:b/>
                <w:i/>
              </w:rPr>
              <w:t>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javasolja, hogy a Bizottság és</w:t>
            </w:r>
            <w:r>
              <w:t xml:space="preserve"> a tagállamok </w:t>
            </w:r>
            <w:r>
              <w:rPr>
                <w:b/>
                <w:i/>
              </w:rPr>
              <w:t>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rPr>
                <w:b/>
                <w:i/>
              </w:rPr>
              <w:t>aggodalmát fejezi ki amiatt, hogy az Európai Parlament és az Európai Bizottság beavatkozik</w:t>
            </w:r>
            <w:r>
              <w:t xml:space="preserve"> a tagállamok </w:t>
            </w:r>
            <w:r>
              <w:rPr>
                <w:b/>
                <w:i/>
              </w:rPr>
              <w:t>belügyeibe;</w:t>
            </w:r>
            <w:r>
              <w:t xml:space="preserve"> </w:t>
            </w:r>
            <w:r>
              <w:rPr>
                <w:b/>
                <w:i/>
              </w:rPr>
              <w:t>emlékeztet arra, hogy 2025. január 7-én Mark Zuckerberg, a Meta vezérigazgatója elismerte, hogy a Facebook politikai alapon cenzúrázta a tartalmakat;</w:t>
            </w:r>
            <w:r>
              <w:t xml:space="preserve"> </w:t>
            </w:r>
            <w:r>
              <w:rPr>
                <w:b/>
                <w:i/>
              </w:rPr>
              <w:t>üdvözli a Meta arra irányuló erőfeszítéseit, hogy előmozdítsa a szólásszabadságot a közösségimédia-platformjain;</w:t>
            </w:r>
            <w:r>
              <w:t xml:space="preserve"> </w:t>
            </w:r>
            <w:r>
              <w:rPr>
                <w:b/>
                <w:i/>
              </w:rPr>
              <w:t>sajnálatát fejezi ki amiatt, hogy a közösségimédia-platformok politikailag elfogult tényellenőrzését még mindig alkalmazzák Európában;</w:t>
            </w:r>
            <w:r>
              <w:t xml:space="preserve"> </w:t>
            </w:r>
            <w:r>
              <w:rPr>
                <w:b/>
                <w:i/>
              </w:rPr>
              <w:t>felhívja a Bizottságot, hogy hagyjon fel a jobboldali, konzervatív hangok cenzúrázására irányuló erőfeszítéseivel a közösségimédia-platformokon;</w:t>
            </w:r>
            <w:r>
              <w:t xml:space="preserve"> </w:t>
            </w:r>
            <w:r>
              <w:rPr>
                <w:b/>
                <w:i/>
              </w:rPr>
              <w:t>felhívja az Európai Parlamentet, hogy hozzon létre vizsgálóbizottságot a Facebook-cenzúra ügyében;</w:t>
            </w:r>
            <w:r>
              <w:t xml:space="preserve"> </w:t>
            </w:r>
            <w:r>
              <w:rPr>
                <w:b/>
                <w:i/>
              </w:rPr>
              <w:t>üdvözli Elon Musk erőfeszítéseit a szólásszabadságért folytatott küzdelemben</w:t>
            </w:r>
            <w:r>
              <w: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javasolja, hogy a Bizottság és a tagállamok kövessék nyomon a külföldi beavatkozást</w:t>
            </w:r>
            <w:r>
              <w:rPr>
                <w:b/>
                <w:i/>
              </w:rPr>
              <w:t>, különösen a közösségi média manipulációs és rosszindulatú célokra történő felhasználását, beleértve az olyan személyek általi felhasználást, mint Elon Musk, hogy befolyásolják a közvéleményt és dezinformációt terjesszenek Európában;</w:t>
            </w:r>
            <w:r>
              <w:t xml:space="preserve"> </w:t>
            </w:r>
            <w:r>
              <w:rPr>
                <w:b/>
                <w:i/>
              </w:rPr>
              <w:t>hangsúlyozza, hogy a Bizottságnak biztosítania kell a jogállamiság megfelelő végrehajtását az uniós intézményekben, és kéri, hogy az uniós intézményeket foglalja bele a jogállamiságról szóló éves jelentésébe</w:t>
            </w:r>
            <w:r>
              <w:t>;</w:t>
            </w:r>
          </w:p>
        </w:tc>
        <w:tc>
          <w:tcPr>
            <w:tcW w:w="4876" w:type="dxa"/>
            <w:tcBorders>
              <w:top w:val="nil"/>
              <w:left w:val="nil"/>
              <w:bottom w:val="nil"/>
              <w:right w:val="nil"/>
            </w:tcBorders>
          </w:tcPr>
          <w:p>
            <w:pPr>
              <w:pStyle w:val="Normal6a"/>
            </w:pPr>
            <w:r>
              <w:t>37.</w:t>
            </w:r>
            <w:r>
              <w:tab/>
            </w:r>
            <w:r>
              <w:t>javasolja, hogy a Bizottság és a tagállamok kövessék nyomon a külföldi beavatkozást;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w:t>
            </w:r>
            <w:r>
              <w:rPr>
                <w:b/>
                <w:i/>
              </w:rPr>
              <w:t>és a tagállamok 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w:t>
            </w:r>
            <w:r>
              <w:t xml:space="preserve"> </w:t>
            </w:r>
            <w:r>
              <w:rPr>
                <w:b/>
                <w:i/>
              </w:rPr>
              <w:t>hangsúlyozza, hogy a Bizottságnak biztosítania kell</w:t>
            </w:r>
            <w:r>
              <w:t xml:space="preserve">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w:t>
            </w:r>
            <w:r>
              <w:rPr>
                <w:b/>
                <w:i/>
              </w:rPr>
              <w:t>biztosítsa</w:t>
            </w:r>
            <w:r>
              <w:t xml:space="preserve">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különösen a közösségi média manipulációs és rosszindulatú célokra történő felhasználását, </w:t>
            </w:r>
            <w:r>
              <w:rPr>
                <w:b/>
                <w:i/>
              </w:rPr>
              <w:t>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különösen a közösségi média manipulációs és rosszindulatú célokra történő felhasználását, </w:t>
            </w:r>
            <w:r>
              <w:rPr>
                <w:b/>
                <w:i/>
              </w:rPr>
              <w:t>amely arra irányul, hogy befolyásolja a közvéleményt és dezinformációt terjesszen Európában;</w:t>
            </w:r>
            <w:r>
              <w:t xml:space="preserve"> </w:t>
            </w:r>
            <w:r>
              <w:rPr>
                <w:b/>
                <w:i/>
              </w:rPr>
              <w:t>megjegyzi, hogy a Bizottság évek óta nem vesz tudomást a közösségi média baloldali-liberális dominanciájáról, beleértve azt is, hogy ezt a trendet bizonyos fővárosok, nemzetközi alapítványok és uniós intézmények írják elő</w:t>
            </w:r>
            <w:r>
              <w: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 </w:t>
            </w:r>
            <w:r>
              <w:rPr>
                <w:b/>
                <w:i/>
              </w:rPr>
              <w:t>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javasolja, hogy a Bizottság és a tagállamok kövessék nyomon a külföldi beavatkozást</w:t>
            </w:r>
            <w:r>
              <w:rPr>
                <w:b/>
                <w:i/>
              </w:rPr>
              <w:t>, különösen a közösségi média manipulációs és rosszindulatú célokra történő felhasználását,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javasolja, hogy a Bizottság és a tagállamok kövessék nyomon a külföldi beavatkozást;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w:t>
            </w:r>
            <w:r>
              <w:rPr>
                <w:b/>
                <w:i/>
              </w:rPr>
              <w:t>különösen</w:t>
            </w:r>
            <w:r>
              <w:t xml:space="preserve"> a közösségi média manipulációs és rosszindulatú célokra történő felhasználását</w:t>
            </w:r>
            <w:r>
              <w:rPr>
                <w:b/>
                <w:i/>
              </w:rPr>
              <w: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w:t>
            </w:r>
            <w:r>
              <w:rPr>
                <w:b/>
                <w:i/>
              </w:rPr>
              <w:t>beleértve</w:t>
            </w:r>
            <w:r>
              <w:t xml:space="preserve"> a közösségi média manipulációs és rosszindulatú célokra történő felhasználását </w:t>
            </w:r>
            <w:r>
              <w:rPr>
                <w:b/>
                <w:i/>
              </w:rPr>
              <w:t>is</w:t>
            </w:r>
            <w:r>
              <w: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w:t>
            </w:r>
            <w:r>
              <w:rPr>
                <w:b/>
                <w:i/>
              </w:rPr>
              <w:t>különösen a közösségi média manipulációs és rosszindulatú célokra történő felhasználását,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w:t>
            </w:r>
            <w:r>
              <w:rPr>
                <w:b/>
                <w:i/>
              </w:rPr>
              <w:t>és hozzanak hatékony intézkedéseket közös érdekeink védelme érdekében;</w:t>
            </w:r>
            <w:r>
              <w:t xml:space="preserve"> </w:t>
            </w:r>
            <w:r>
              <w:rPr>
                <w:b/>
                <w:i/>
              </w:rPr>
              <w:t>hangsúlyozza, hogy a külföldi propagandaműveletek ellen a véleménynyilvánítás szabadságának sérelme nélkül is fel lehet lépni, például a külföldről finanszírozott szervezetek megfelelő megjelölésével vagy semleges kezdeményezésekkel, például közösségi feljegyzésekkel</w:t>
            </w:r>
            <w:r>
              <w: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w:t>
            </w:r>
            <w:r>
              <w:rPr>
                <w:b/>
                <w:i/>
              </w:rPr>
              <w: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w:t>
            </w:r>
            <w:r>
              <w:rPr>
                <w:b/>
                <w:i/>
              </w:rPr>
              <w:t>, beleértve az olyan személyek általi felhasználást, mint Elon Musk, hogy befolyásolják a közvéleményt és dezinformációt terjesszenek Európában</w:t>
            </w:r>
            <w:r>
              <w:t>;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w:t>
            </w:r>
            <w:r>
              <w:rPr>
                <w:b/>
                <w:i/>
              </w:rPr>
              <w:t>különösen</w:t>
            </w:r>
            <w:r>
              <w:t xml:space="preserve"> a közösségi média </w:t>
            </w:r>
            <w:r>
              <w:rPr>
                <w:b/>
                <w:i/>
              </w:rPr>
              <w:t>manipulációs és</w:t>
            </w:r>
            <w:r>
              <w:t xml:space="preserve"> rosszindulatú célokra </w:t>
            </w:r>
            <w:r>
              <w:rPr>
                <w:b/>
                <w:i/>
              </w:rPr>
              <w:t>történő felhasználását, beleértve az olyan személyek általi felhasználást, mint Elon Musk, hogy befolyásolják a közvéleményt és dezinformációt terjesszenek</w:t>
            </w:r>
            <w:r>
              <w:t xml:space="preserve"> Európában;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w:t>
            </w:r>
            <w:r>
              <w:rPr>
                <w:b/>
                <w:i/>
              </w:rPr>
              <w:t>és gyorsan kezeljék</w:t>
            </w:r>
            <w:r>
              <w:t xml:space="preserve"> a külföldi beavatkozást, </w:t>
            </w:r>
            <w:r>
              <w:rPr>
                <w:b/>
                <w:i/>
              </w:rPr>
              <w:t>beleértve</w:t>
            </w:r>
            <w:r>
              <w:t xml:space="preserve"> a közösségi média </w:t>
            </w:r>
            <w:r>
              <w:rPr>
                <w:b/>
                <w:i/>
              </w:rPr>
              <w:t>manipulációra,</w:t>
            </w:r>
            <w:r>
              <w:t xml:space="preserve"> rosszindulatú célokra </w:t>
            </w:r>
            <w:r>
              <w:rPr>
                <w:b/>
                <w:i/>
              </w:rPr>
              <w:t>és a dezinformáció terjesztésére való felhasználását</w:t>
            </w:r>
            <w:r>
              <w:t xml:space="preserve"> Európában;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javasolja, hogy a Bizottság és a tagállamok kövessék nyomon a külföldi beavatkozást, különösen a közösségi média manipulációs és rosszindulatú célokra történő felhasználását, beleértve az olyan személyek általi felhasználást, mint Elon Musk, hogy befolyásolják a közvéleményt és dezinformációt terjesszenek Európában;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a külföldi beavatkozást, különösen a közösségi média manipulációs és rosszindulatú célokra történő felhasználását, beleértve az olyan személyek általi felhasználást, mint Elon Musk </w:t>
            </w:r>
            <w:r>
              <w:rPr>
                <w:b/>
                <w:i/>
              </w:rPr>
              <w:t>és a Meta</w:t>
            </w:r>
            <w:r>
              <w:t>, hogy befolyásolják a közvéleményt és dezinformációt terjesszenek Európában;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javasolja, hogy a Bizottság és a tagállamok kövessék nyomon </w:t>
            </w:r>
            <w:r>
              <w:rPr>
                <w:b/>
                <w:i/>
              </w:rPr>
              <w:t>a külföldi beavatkozást, különösen a közösségi média</w:t>
            </w:r>
            <w:r>
              <w:t xml:space="preserve"> manipulációs és rosszindulatú célokra </w:t>
            </w:r>
            <w:r>
              <w:rPr>
                <w:b/>
                <w:i/>
              </w:rPr>
              <w:t>történő felhasználását</w:t>
            </w:r>
            <w:r>
              <w:t xml:space="preserve">, beleértve az olyan </w:t>
            </w:r>
            <w:r>
              <w:rPr>
                <w:b/>
                <w:i/>
              </w:rPr>
              <w:t>személyek általi felhasználást, mint Elon Musk</w:t>
            </w:r>
            <w:r>
              <w:t>, hogy befolyásolják a közvéleményt és dezinformációt terjesszenek Európában; hangsúlyozza, hogy a Bizottságnak biztosítania kell a jogállamiság megfelelő végrehajtását az uniós intézményekben, és kéri, hogy az uniós intézményeket foglalja bele a jogállamiságról szóló éves jelentésébe;</w:t>
            </w:r>
          </w:p>
        </w:tc>
        <w:tc>
          <w:tcPr>
            <w:tcW w:w="4876" w:type="dxa"/>
            <w:tcBorders>
              <w:top w:val="nil"/>
              <w:left w:val="nil"/>
              <w:bottom w:val="nil"/>
              <w:right w:val="nil"/>
            </w:tcBorders>
          </w:tcPr>
          <w:p>
            <w:pPr>
              <w:pStyle w:val="Normal6a"/>
            </w:pPr>
            <w:r>
              <w:t>37.</w:t>
            </w:r>
            <w:r>
              <w:tab/>
            </w:r>
            <w:r>
              <w:t xml:space="preserve">javasolja, hogy a Bizottság és a tagállamok kövessék nyomon </w:t>
            </w:r>
            <w:r>
              <w:rPr>
                <w:b/>
                <w:i/>
              </w:rPr>
              <w:t>különösen az NGO-k általi külföldi beavatkozást</w:t>
            </w:r>
            <w:r>
              <w:t xml:space="preserve"> manipulációs és rosszindulatú célokra, beleértve az olyan </w:t>
            </w:r>
            <w:r>
              <w:rPr>
                <w:b/>
                <w:i/>
              </w:rPr>
              <w:t>eseteket, amikor az NGO-kat használják</w:t>
            </w:r>
            <w:r>
              <w:t>, hogy befolyásolják a közvéleményt és dezinformációt terjesszenek Európában; 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sürgeti a Bizottságot, hogy teljes mértékben kövesse nyomon, hogy a biztonságos származási országok illetékes nemzeti hatóságok által összeállított jegyzékei mindig megfelelnek-e a demokratikus elveknek, így a jogállamiságnak, az uniós jogszabályokban meghatározott kritériumoknak, tiszteletben tartják-e az EUB ítéleteit és betartják-e a nemzetközi jogot;</w:t>
            </w:r>
            <w:r>
              <w:t xml:space="preserve"> </w:t>
            </w:r>
            <w:r>
              <w:rPr>
                <w:b/>
                <w:i/>
              </w:rPr>
              <w:t>hangsúlyozza az uniós és a nemzetközi jog szerinti azon kötelezettséget, hogy nemzetközi védelmet kell nyújtani a faji és etnikai származás, vallás vagy meggyőződés, nemzetiség, politikai vélemény, nyelv, fogyatékosság, életkor, nem – beleértve a nemi identitást és a nemi önkifejezést –, valamint szexuális irányultság alapján üldözött és/vagy súlyos sérelemnek kitett személyek számára;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hangsúlyozza, hogy meg kell őrizni a véleménynyilvánítás szabadságához való alapvető jogot, amely demokratikus társadalmaink egyik pillére;</w:t>
            </w:r>
            <w:r>
              <w:t xml:space="preserve"> </w:t>
            </w:r>
            <w:r>
              <w:rPr>
                <w:b/>
                <w:i/>
              </w:rPr>
              <w:t>hangsúlyozza, hogy a Bizottságnak e jog védelme érdekében garantálnia kell a közösségimédia-platformokra vonatkozó uniós szabályozási keret megfelelő alkalmazását, ahelyett, hogy politikai nyomást gyakorolna, ami korlátozhatja a nyílt és őszinte vitát;</w:t>
            </w:r>
            <w:r>
              <w:t xml:space="preserve"> </w:t>
            </w:r>
            <w:r>
              <w:rPr>
                <w:b/>
                <w:i/>
              </w:rPr>
              <w:t>hangsúlyozza, hogy bár a közösségimédia-platformoknak felelősségteljesen kell fellépniük, és meg kell felelniük a hatályos szabályoknak, alapvető fontosságú, hogy a tartalommoderálási gyakorlatok ne váljanak a politikai ellenőrzés, a bizalmatlanság vagy a manipuláció eszközévé;</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felhívja a tagállamokat, hogy fokozzák a lobbitevékenységek átláthatóságát és elszámoltathatóságát, beleértve a kötelező lobbinyilvántartások és a jogalkotási folyamatokra gyakorolt befolyás nyomon követésére szolgáló „jogalkotási lábnyom” mechanizmusok létrehozását vagy javítását;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hangsúlyozza, hogy a Bizottságnak biztosítania kell a jogállamiság megfelelő végrehajtását az uniós intézményekben, és kéri, hogy az uniós intézményeket foglalja bele a jogállamiságról szóló éves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a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felszólítja a Tanácsot, hogy fogadjon el határozatot a gyűlöletbeszédnek és a gyűlölet-bűncselekménynek az EUMSZ 83. cikkének (1) bekezdése szerinti listán szereplő bűncselekmények közé történő felvételéről;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b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aggodalmát fejezi ki amiatt, hogy egyre gyakrabban használják fel az olyan szabályozásokat, mint a digitális szolgáltatásokról szóló jogszabály, a véleménynyilvánítás szabadságát veszélyeztető politikai álláspontok és nézetek előmozdítására;</w:t>
            </w:r>
            <w:r>
              <w:t xml:space="preserve"> </w:t>
            </w:r>
            <w:r>
              <w:rPr>
                <w:b/>
                <w:i/>
              </w:rPr>
              <w:t>kijelenti, hogy a közösségimédia-platformoknak továbbra is olyan fórumoknak kell maradniuk, ahol az ötletek szabadon cserélhetők a politikai indíttatású cenzúrától való félelem nélkül;</w:t>
            </w:r>
            <w:r>
              <w:t xml:space="preserve"> </w:t>
            </w:r>
            <w:r>
              <w:rPr>
                <w:b/>
                <w:i/>
              </w:rPr>
              <w:t>kijelenti, hogy az EU-nak továbbra is ébernek kell maradnia, és elleneznie kell – ezáltal biztosítva a véleménynyilvánítás szabadságának védelmét – minden olyan kísérletet, amely arra irányul, hogy politikai célokra fegyverként használja a tartalommoderálást;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c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sürgeti a Bizottságot, hogy terjesszen elő a 2025 utáni időszakra vonatkozó megújított LGBTIQ+ esélyegyenlőségi stratégiát, amely Európa-szerte teljes mértékben kezeli a jelenlegi kihívásokat, és az LGBTIQ+ jogokat valamennyi szakpolitikai területen horizontális prioritássá teszi;</w:t>
            </w:r>
            <w:r>
              <w:t xml:space="preserve"> </w:t>
            </w:r>
            <w:r>
              <w:rPr>
                <w:b/>
                <w:i/>
              </w:rPr>
              <w:t>hangsúlyozza az LGBTIQ+-személyek önrendelkezésének, valamint identitásuk és jogaik elismerésének fontosságát, korhatártól függetlenül;</w:t>
            </w:r>
            <w:r>
              <w:t xml:space="preserve"> </w:t>
            </w:r>
            <w:r>
              <w:rPr>
                <w:b/>
                <w:i/>
              </w:rPr>
              <w:t>felszólít az LGBTIQ+-személyek fizikai és mentális egészségének védelmére és előmozdítására;</w:t>
            </w:r>
            <w:r>
              <w:t xml:space="preserve"> </w:t>
            </w:r>
            <w:r>
              <w:rPr>
                <w:b/>
                <w:i/>
              </w:rPr>
              <w:t>sürgeti a Bizottságot, hogy terjesszen elő jogalkotási javaslatokat a nemi identitáson és szexuális irányultságon alapuló gyűlölet-bűncselekmények és gyűlöletbeszéd elleni küzdelem, valamint az azonos nemű párok egyenlő jogainak garantálása érdekében;</w:t>
            </w:r>
            <w:r>
              <w:t xml:space="preserve"> </w:t>
            </w:r>
            <w:r>
              <w:rPr>
                <w:b/>
                <w:i/>
              </w:rPr>
              <w:t>sürgeti a Bizottságot, hogy terjesszen elő javaslatot a konverziós terápia kötelező uniós betiltására valamennyi tagállamban;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37 d bekezdés (új)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felhívja a Bizottságot és a tagállamokat, hogy küzdjenek a faji és etnikai származáson, valláson vagy meggyőződésen, nemzetiségen, politikai véleményen, nyelven, fogyatékosságon, életkoron, nemen – beleértve a nemi identitást és a nemi önkifejezést – és szexuális irányultságon alapuló megkülönböztetés 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üdvözli a Bizottság arra irányuló kezdeményezését, hogy Albániát, Montenegrót, Észak-Macedóniát és Szerbiát belefoglalja a jogállamiságról szóló éves jelentésébe, és ösztönzi a jogállamiság alapos értékelését ezekben a csatlakozásra váró országokban;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üdvözli a Bizottság arra irányuló kezdeményezését, hogy Albániát, Montenegrót, Észak-Macedóniát és Szerbiát belefoglalja a jogállamiságról szóló éves jelentésébe, és ösztönzi a jogállamiság alapos értékelését ezekben a csatlakozásra váró országokban;</w:t>
            </w:r>
          </w:p>
        </w:tc>
        <w:tc>
          <w:tcPr>
            <w:tcW w:w="4876" w:type="dxa"/>
            <w:tcBorders>
              <w:top w:val="nil"/>
              <w:left w:val="nil"/>
              <w:bottom w:val="nil"/>
              <w:right w:val="nil"/>
            </w:tcBorders>
          </w:tcPr>
          <w:p>
            <w:pPr>
              <w:pStyle w:val="Normal6a"/>
            </w:pPr>
            <w:r>
              <w:rPr>
                <w:b/>
                <w:i/>
              </w:rPr>
              <w:t>törölve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üdvözli a Bizottság arra irányuló kezdeményezését, hogy Albániát, Montenegrót, Észak-Macedóniát és Szerbiát belefoglalja a jogállamiságról szóló éves jelentésébe, és ösztönzi a jogállamiság alapos értékelését ezekben a csatlakozásra váró országokban;</w:t>
            </w:r>
          </w:p>
        </w:tc>
        <w:tc>
          <w:tcPr>
            <w:tcW w:w="4876" w:type="dxa"/>
            <w:tcBorders>
              <w:top w:val="nil"/>
              <w:left w:val="nil"/>
              <w:bottom w:val="nil"/>
              <w:right w:val="nil"/>
            </w:tcBorders>
          </w:tcPr>
          <w:p>
            <w:pPr>
              <w:pStyle w:val="Normal6a"/>
            </w:pPr>
            <w:r>
              <w:t>38.</w:t>
            </w:r>
            <w:r>
              <w:tab/>
            </w:r>
            <w:r>
              <w:t>üdvözli</w:t>
            </w:r>
            <w:r>
              <w:rPr>
                <w:b/>
                <w:i/>
              </w:rPr>
              <w:t>, hogy a Bizottság jogállamisági jelentését kiterjesztették a csatlakozásra váró országokra is, megerősítve, hogy az EU alapvető értékeit nemcsak a jelenlegi tagállamoknak, hanem a jövőbeli tagoknak is tiszteletben kell tartaniuk a csatlakozási folyamatok során;</w:t>
            </w:r>
            <w:r>
              <w:t xml:space="preserve"> </w:t>
            </w:r>
            <w:r>
              <w:rPr>
                <w:b/>
                <w:i/>
              </w:rPr>
              <w:t>üdvözli</w:t>
            </w:r>
            <w:r>
              <w:t xml:space="preserve"> a Bizottság arra irányuló kezdeményezését, hogy Albániát, Montenegrót, Észak-Macedóniát és Szerbiát belefoglalja a jogállamiságról szóló éves jelentésébe, és ösztönzi a jogállamiság alapos értékelését ezekben a csatlakozásra váró országokban; </w:t>
            </w:r>
            <w:r>
              <w:rPr>
                <w:b/>
                <w:i/>
              </w:rPr>
              <w:t>elvárja, hogy a Bizottság valamennyi tagjelölt országot belefoglalja a 2025. évi jogállamisági jelentésébe;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az Állampolgári Jogi, Bel- és Igazságügyi Bizottság nevében</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Észak-Macedóniát és Szerbiát belefoglalja a jogállamiságról szóló éves jelentésébe, és ösztönzi a jogállamiság alapos értékelését </w:t>
            </w:r>
            <w:r>
              <w:rPr>
                <w:b/>
                <w:i/>
              </w:rPr>
              <w:t>ezekben a csatlakozásra váró országokban</w:t>
            </w:r>
            <w:r>
              <w:t>;</w:t>
            </w:r>
          </w:p>
        </w:tc>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Észak-Macedóniát és Szerbiát belefoglalja a jogállamiságról szóló éves jelentésébe, és ösztönzi a jogállamiság alapos értékelését </w:t>
            </w:r>
            <w:r>
              <w:rPr>
                <w:b/>
                <w:i/>
              </w:rPr>
              <w:t>a csatlakozási folyamatban levő valamennyi országban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üdvözli</w:t>
            </w:r>
            <w:r>
              <w:t xml:space="preserve"> a Bizottság arra irányuló kezdeményezését, hogy Albániát, Montenegrót, Észak-Macedóniát és Szerbiát belefoglalja a jogállamiságról szóló éves jelentésébe, és ösztönzi a jogállamiság alapos értékelését ezekben a csatlakozásra váró országokban;</w:t>
            </w:r>
          </w:p>
        </w:tc>
        <w:tc>
          <w:tcPr>
            <w:tcW w:w="4876" w:type="dxa"/>
            <w:tcBorders>
              <w:top w:val="nil"/>
              <w:left w:val="nil"/>
              <w:bottom w:val="nil"/>
              <w:right w:val="nil"/>
            </w:tcBorders>
          </w:tcPr>
          <w:p>
            <w:pPr>
              <w:pStyle w:val="Normal6a"/>
            </w:pPr>
            <w:r>
              <w:t>38.</w:t>
            </w:r>
            <w:r>
              <w:tab/>
            </w:r>
            <w:r>
              <w:rPr>
                <w:b/>
                <w:i/>
              </w:rPr>
              <w:t>tudomásul veszi</w:t>
            </w:r>
            <w:r>
              <w:t xml:space="preserve"> a Bizottság arra irányuló kezdeményezését, hogy Albániát, Montenegrót, Észak-Macedóniát és Szerbiát belefoglalja a jogállamiságról szóló éves jelentésébe, és ösztönzi a jogállamiság alapos értékelését ezekben a csatlakozásra váró országokban;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Észak-Macedóniát és Szerbiát belefoglalja a jogállamiságról szóló éves jelentésébe, és ösztönzi a jogállamiság alapos értékelését </w:t>
            </w:r>
            <w:r>
              <w:rPr>
                <w:b/>
                <w:i/>
              </w:rPr>
              <w:t>ezekben a csatlakozásra váró országokban</w:t>
            </w:r>
            <w:r>
              <w:t>;</w:t>
            </w:r>
          </w:p>
        </w:tc>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Észak-Macedóniát és Szerbiát belefoglalja a jogállamiságról szóló éves jelentésébe, és ösztönzi a jogállamiság alapos értékelését </w:t>
            </w:r>
            <w:r>
              <w:rPr>
                <w:b/>
                <w:i/>
              </w:rPr>
              <w:t>valamennyi nyugat-balkáni országban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38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w:t>
            </w:r>
            <w:r>
              <w:rPr>
                <w:b/>
                <w:i/>
              </w:rPr>
              <w:t>Észak-Macedóniát</w:t>
            </w:r>
            <w:r>
              <w:t xml:space="preserve"> és Szerbiát belefoglalja a jogállamiságról szóló éves jelentésébe, és ösztönzi a jogállamiság alapos értékelését </w:t>
            </w:r>
            <w:r>
              <w:rPr>
                <w:b/>
                <w:i/>
              </w:rPr>
              <w:t>ezekben a csatlakozásra váró</w:t>
            </w:r>
            <w:r>
              <w:t xml:space="preserve"> országokban;</w:t>
            </w:r>
          </w:p>
        </w:tc>
        <w:tc>
          <w:tcPr>
            <w:tcW w:w="4876" w:type="dxa"/>
            <w:tcBorders>
              <w:top w:val="nil"/>
              <w:left w:val="nil"/>
              <w:bottom w:val="nil"/>
              <w:right w:val="nil"/>
            </w:tcBorders>
          </w:tcPr>
          <w:p>
            <w:pPr>
              <w:pStyle w:val="Normal6a"/>
            </w:pPr>
            <w:r>
              <w:t>38.</w:t>
            </w:r>
            <w:r>
              <w:tab/>
            </w:r>
            <w:r>
              <w:t xml:space="preserve">üdvözli a Bizottság arra irányuló kezdeményezését, hogy Albániát, Montenegrót, </w:t>
            </w:r>
            <w:r>
              <w:rPr>
                <w:b/>
                <w:i/>
              </w:rPr>
              <w:t>Szkopjét</w:t>
            </w:r>
            <w:r>
              <w:t xml:space="preserve"> és Szerbiát belefoglalja a jogállamiságról szóló éves jelentésébe, és ösztönzi a jogállamiság alapos értékelését</w:t>
            </w:r>
            <w:r>
              <w:rPr>
                <w:b/>
                <w:i/>
              </w:rPr>
              <w:t> a vizsgált</w:t>
            </w:r>
            <w:r>
              <w:t xml:space="preserve"> országokban;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utasítja elnökét, hogy továbbítsa </w:t>
            </w:r>
            <w:r>
              <w:rPr>
                <w:b/>
                <w:i/>
              </w:rPr>
              <w:t>ezt az</w:t>
            </w:r>
            <w:r>
              <w:t xml:space="preserve"> állásfoglalást a Tanácsnak </w:t>
            </w:r>
            <w:r>
              <w:rPr>
                <w:b/>
                <w:i/>
              </w:rPr>
              <w:t>és</w:t>
            </w:r>
            <w:r>
              <w:t xml:space="preserve"> a Bizottságnak.</w:t>
            </w:r>
          </w:p>
        </w:tc>
        <w:tc>
          <w:tcPr>
            <w:tcW w:w="4876" w:type="dxa"/>
            <w:tcBorders>
              <w:top w:val="nil"/>
              <w:left w:val="nil"/>
              <w:bottom w:val="nil"/>
              <w:right w:val="nil"/>
            </w:tcBorders>
          </w:tcPr>
          <w:p>
            <w:pPr>
              <w:pStyle w:val="Normal6a"/>
            </w:pPr>
            <w:r>
              <w:t>39.</w:t>
            </w:r>
            <w:r>
              <w:tab/>
            </w:r>
            <w:r>
              <w:t xml:space="preserve">utasítja elnökét, hogy továbbítsa </w:t>
            </w:r>
            <w:r>
              <w:rPr>
                <w:b/>
                <w:i/>
              </w:rPr>
              <w:t>ezen</w:t>
            </w:r>
            <w:r>
              <w:t xml:space="preserve"> állásfoglalást a Tanácsnak</w:t>
            </w:r>
            <w:r>
              <w:rPr>
                <w:b/>
                <w:i/>
              </w:rPr>
              <w:t>,</w:t>
            </w:r>
            <w:r>
              <w:t xml:space="preserve"> a Bizottságnak</w:t>
            </w:r>
            <w:r>
              <w:rPr>
                <w:b/>
                <w:i/>
              </w:rPr>
              <w:t>, az Európai Unió Alapjogi Ügynökségének, az Európa Tanácsnak, valamint a tagállamok kormányainak és parlamentjeinek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Módosítás</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Állásfoglalási indítvány</w:t>
      </w:r>
      <w:r>
        <w:rPr>
          <w:rStyle w:val="HideTWBExt"/>
        </w:rPr>
        <w:t>&lt;/DocAmend&gt;</w:t>
      </w:r>
    </w:p>
    <w:p>
      <w:pPr>
        <w:pStyle w:val="NormalBold"/>
      </w:pPr>
      <w:r>
        <w:rPr>
          <w:rStyle w:val="HideTWBExt"/>
        </w:rPr>
        <w:t>&lt;Article&gt;</w:t>
      </w:r>
      <w:r>
        <w:t>39 bekezdés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Állásfoglalási indítvány</w:t>
            </w:r>
          </w:p>
        </w:tc>
        <w:tc>
          <w:tcPr>
            <w:tcW w:w="4876" w:type="dxa"/>
            <w:tcBorders>
              <w:top w:val="nil"/>
              <w:left w:val="nil"/>
              <w:bottom w:val="nil"/>
              <w:right w:val="nil"/>
            </w:tcBorders>
          </w:tcPr>
          <w:p>
            <w:pPr>
              <w:pStyle w:val="AmColumnHeading"/>
            </w:pPr>
            <w:r>
              <w:t>Módosítás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utasítja elnökét, hogy továbbítsa ezt az állásfoglalást a Tanácsnak </w:t>
            </w:r>
            <w:r>
              <w:rPr>
                <w:b/>
                <w:i/>
              </w:rPr>
              <w:t>és</w:t>
            </w:r>
            <w:r>
              <w:t xml:space="preserve"> a Bizottságnak.</w:t>
            </w:r>
          </w:p>
        </w:tc>
        <w:tc>
          <w:tcPr>
            <w:tcW w:w="4876" w:type="dxa"/>
            <w:tcBorders>
              <w:top w:val="nil"/>
              <w:left w:val="nil"/>
              <w:bottom w:val="nil"/>
              <w:right w:val="nil"/>
            </w:tcBorders>
          </w:tcPr>
          <w:p>
            <w:pPr>
              <w:pStyle w:val="Normal6a"/>
            </w:pPr>
            <w:r>
              <w:t>39.</w:t>
            </w:r>
            <w:r>
              <w:tab/>
            </w:r>
            <w:r>
              <w:t>utasítja elnökét, hogy továbbítsa ezt az állásfoglalást a Tanácsnak</w:t>
            </w:r>
            <w:r>
              <w:rPr>
                <w:b/>
                <w:i/>
              </w:rPr>
              <w:t>,</w:t>
            </w:r>
            <w:r>
              <w:t xml:space="preserve"> a Bizottságnak</w:t>
            </w:r>
            <w:r>
              <w:rPr>
                <w:b/>
                <w:i/>
              </w:rPr>
              <w:t>, valamint a tagállamoknak</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53</w:t>
    </w:r>
    <w:r>
      <w:fldChar w:fldCharType="end"/>
    </w:r>
    <w:r>
      <w:tab/>
    </w:r>
    <w:r>
      <w:rPr>
        <w:rStyle w:val="HideTWBExt"/>
      </w:rPr>
      <w:t>&lt;PathFdR&gt;</w:t>
    </w:r>
    <w:r>
      <w:t>AM\1315576HU.docx</w:t>
    </w:r>
    <w:r>
      <w:rPr>
        <w:rStyle w:val="HideTWBExt"/>
      </w:rPr>
      <w:t>&lt;/PathFdR&gt;</w:t>
    </w:r>
  </w:p>
  <w:p>
    <w:pPr>
      <w:pStyle w:val="EPFooter2"/>
    </w:pPr>
    <w:r>
      <w:t>HU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AM\1315576HU.docx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53</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HU</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AM\1315576HU.docx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HU</w:t>
    </w:r>
    <w:r>
      <w:tab/>
    </w:r>
    <w:r>
      <w:rPr>
        <w:rStyle w:val="EPFooter2Motto"/>
      </w:rPr>
      <w:t>Egyesülve a sokféleségben</w:t>
    </w:r>
    <w:r>
      <w:tab/>
    </w:r>
    <w:r>
      <w:t>HU</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53</Pages>
  <Words>9649</Words>
  <Characters>68366</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144229</vt:lpwstr>
  </property>
  <property fmtid="{D5CDD505-2E9C-101B-9397-08002B2CF9AE}" pid="7" name="dmxml.render.traceId">
    <vt:lpwstr>67d2d620c7593734c06a5239b0c22c7e</vt:lpwstr>
  </property>
  <property fmtid="{D5CDD505-2E9C-101B-9397-08002B2CF9AE}" pid="8" name="FooterPath">
    <vt:lpwstr>AM\1315576HU.docx</vt:lpwstr>
  </property>
  <property fmtid="{D5CDD505-2E9C-101B-9397-08002B2CF9AE}" pid="9" name="PE Number">
    <vt:lpwstr>769.959</vt:lpwstr>
  </property>
  <property fmtid="{D5CDD505-2E9C-101B-9397-08002B2CF9AE}" pid="10" name="UID">
    <vt:lpwstr>eu.europa.europarl-DIN1-2025-0000027564_02.00-hu-01.00_text-xml</vt:lpwstr>
  </property>
</Properties>
</file>