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Europos Parlamentas</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{LIBE}</w:t>
      </w:r>
      <w:r>
        <w:t>Piliečių laisvių, teisingumo ir vidaus reikalų komitetas</w:t>
      </w:r>
      <w:r>
        <w:rPr>
          <w:rStyle w:val="HideTWBExt"/>
        </w:rPr>
        <w:t>&lt;/Commission&gt;</w:t>
      </w:r>
    </w:p>
    <w:p>
      <w:pPr>
        <w:pStyle w:val="LineBottom"/>
      </w:pPr>
      <w:r>
        <w:t xml:space="preserve"> </w:t>
      </w:r>
    </w:p>
    <w:p>
      <w:pPr>
        <w:pStyle w:val="CoverReference"/>
      </w:pPr>
      <w:r>
        <w:rPr>
          <w:rStyle w:val="HideTWBExt"/>
        </w:rPr>
        <w:t>&lt;RefProc&gt;</w:t>
      </w:r>
      <w:r>
        <w:t>2024/2078</w:t>
      </w:r>
      <w:r>
        <w:rPr>
          <w:rStyle w:val="HideTWBExt"/>
        </w:rPr>
        <w:t>&lt;/RefProc&gt;</w:t>
      </w:r>
      <w:r>
        <w:rPr>
          <w:rStyle w:val="HideTWBExt"/>
        </w:rPr>
        <w:t>&lt;RefTypeProc&gt;</w:t>
      </w:r>
      <w:r>
        <w:t>(INI)</w:t>
      </w:r>
      <w:r>
        <w:rPr>
          <w:rStyle w:val="HideTWBExt"/>
        </w:rPr>
        <w:t>&lt;/RefTypeProc&gt;</w:t>
      </w:r>
    </w:p>
    <w:p>
      <w:pPr>
        <w:pStyle w:val="CoverDate"/>
      </w:pPr>
      <w:r>
        <w:rPr>
          <w:rStyle w:val="HideTWBExt"/>
        </w:rPr>
        <w:t>&lt;Date&gt;</w:t>
      </w:r>
      <w:r>
        <w:rPr>
          <w:rStyle w:val="HideTWBInt"/>
        </w:rPr>
        <w:t>{19/02/2025}</w:t>
      </w:r>
      <w:r>
        <w:t>19.2.2025</w:t>
      </w:r>
      <w:r>
        <w:rPr>
          <w:rStyle w:val="HideTWBExt"/>
        </w:rPr>
        <w:t>&lt;/Date&gt;</w:t>
      </w:r>
    </w:p>
    <w:p>
      <w:pPr>
        <w:pStyle w:val="CoverDocType"/>
      </w:pPr>
      <w:r>
        <w:rPr>
          <w:rStyle w:val="HideTWBExt"/>
        </w:rPr>
        <w:t>&lt;TypeAM&gt;</w:t>
      </w:r>
      <w:r>
        <w:t>PAKEITIMAI</w:t>
      </w:r>
      <w:r>
        <w:rPr>
          <w:rStyle w:val="HideTWBExt"/>
        </w:rPr>
        <w:t>&lt;/TypeAM&gt;</w:t>
      </w:r>
    </w:p>
    <w:p>
      <w:pPr>
        <w:pStyle w:val="CoverDocType24a"/>
      </w:pPr>
      <w:r>
        <w:rPr>
          <w:rStyle w:val="HideTWBExt"/>
        </w:rPr>
        <w:t>&lt;RangeAM&gt;</w:t>
      </w:r>
      <w:r>
        <w:t>708</w:t>
      </w:r>
      <w:r>
        <w:t xml:space="preserve"> - </w:t>
      </w:r>
      <w:r>
        <w:t>796</w:t>
      </w:r>
      <w:r>
        <w:rPr>
          <w:rStyle w:val="HideTWBExt"/>
        </w:rPr>
        <w:t>&lt;/RangeAM&gt;</w:t>
      </w:r>
    </w:p>
    <w:p>
      <w:pPr>
        <w:pStyle w:val="CoverBold"/>
      </w:pPr>
      <w:r>
        <w:rPr>
          <w:rStyle w:val="HideTWBExt"/>
        </w:rPr>
        <w:t>&lt;TitreType&gt;</w:t>
      </w:r>
      <w:r>
        <w:t>Pranešimo projektas</w:t>
      </w:r>
      <w:r>
        <w:rPr>
          <w:rStyle w:val="HideTWBExt"/>
        </w:rPr>
        <w:t>&lt;/TitreType&gt;</w:t>
      </w:r>
    </w:p>
    <w:p>
      <w:pPr>
        <w:pStyle w:val="CoverBold"/>
      </w:pPr>
      <w:r>
        <w:rPr>
          <w:rStyle w:val="HideTWBExt"/>
        </w:rPr>
        <w:t>&lt;Rapporteur&gt;</w:t>
      </w:r>
      <w:r>
        <w:t>Ana Catarina Mendes</w:t>
      </w:r>
      <w:r>
        <w:rPr>
          <w:rStyle w:val="HideTWBExt"/>
        </w:rPr>
        <w:t>&lt;/Rapporteur&gt;</w:t>
      </w:r>
    </w:p>
    <w:p>
      <w:pPr>
        <w:pStyle w:val="CoverNormal24a"/>
      </w:pPr>
      <w:r>
        <w:rPr>
          <w:rStyle w:val="HideTWBExt"/>
        </w:rPr>
        <w:t>&lt;DocRefPE&gt;</w:t>
      </w:r>
      <w:r>
        <w:t>(PE767.867v01-00)</w:t>
      </w:r>
      <w:r>
        <w:rPr>
          <w:rStyle w:val="HideTWBExt"/>
        </w:rPr>
        <w:t>&lt;/DocRefPE&gt;</w:t>
      </w:r>
    </w:p>
    <w:p>
      <w:pPr>
        <w:pStyle w:val="CoverNormal"/>
      </w:pPr>
      <w:r>
        <w:rPr>
          <w:rStyle w:val="HideTWBExt"/>
        </w:rPr>
        <w:t>&lt;Titre&gt;</w:t>
      </w:r>
      <w:r>
        <w:t>Komisijos 2024 m. teisinės valstybės principo taikymo ataskaita</w:t>
      </w:r>
      <w:r>
        <w:rPr>
          <w:rStyle w:val="HideTWBExt"/>
        </w:rPr>
        <w:t>&lt;/Titre&gt;</w:t>
      </w:r>
    </w:p>
    <w:p>
      <w:pPr>
        <w:pStyle w:val="CoverNormal24a"/>
      </w:pPr>
      <w:r>
        <w:rPr>
          <w:rStyle w:val="HideTWBExt"/>
        </w:rPr>
        <w:t>&lt;DocRef&gt;</w:t>
      </w:r>
      <w:r>
        <w:t>(2024/2078(INI))</w:t>
      </w:r>
      <w:r>
        <w:rPr>
          <w:rStyle w:val="HideTWBExt"/>
        </w:rPr>
        <w:t>&lt;/DocRef&gt;</w:t>
      </w:r>
    </w:p>
    <w:p>
      <w:r>
        <w:br w:type="page"/>
      </w:r>
      <w:r>
        <w:t>AM_Com_NonLegReport</w:t>
      </w:r>
    </w:p>
    <w:p>
      <w:pPr>
        <w:pStyle w:val="AmNumberTabs"/>
      </w:pPr>
      <w:r>
        <w:br w:type="page"/>
      </w:r>
      <w:r>
        <w:rPr>
          <w:rStyle w:val="HideTWBExt"/>
        </w:rPr>
        <w:t>&lt;RepeatBlock-Amend&gt;</w:t>
      </w:r>
      <w:r>
        <w:rPr>
          <w:rStyle w:val="HideTWBExt"/>
        </w:rPr>
        <w:t>&lt;Amend&gt;</w:t>
      </w:r>
      <w:r>
        <w:t>Pakeitimas</w:t>
      </w:r>
      <w:r>
        <w:tab/>
      </w:r>
      <w:r>
        <w:tab/>
      </w:r>
      <w:r>
        <w:rPr>
          <w:rStyle w:val="HideTWBExt"/>
        </w:rPr>
        <w:t>&lt;NumAm&gt;</w:t>
      </w:r>
      <w:r>
        <w:t>708</w:t>
      </w:r>
      <w:r>
        <w:rPr>
          <w:rStyle w:val="HideTWBExt"/>
        </w:rPr>
        <w:t>&lt;/NumAm&gt;</w:t>
      </w:r>
    </w:p>
    <w:p>
      <w:pPr>
        <w:pStyle w:val="NormalBold"/>
      </w:pPr>
      <w:r>
        <w:rPr>
          <w:rStyle w:val="HideTWBExt"/>
          <w:b w:val="0"/>
        </w:rPr>
        <w:t>&lt;RepeatBlock-By&gt;</w:t>
      </w:r>
      <w:r>
        <w:rPr>
          <w:rStyle w:val="HideTWBExt"/>
          <w:b w:val="0"/>
        </w:rPr>
        <w:t>&lt;Members&gt;</w:t>
      </w:r>
      <w:r>
        <w:t>Loránt Vincze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33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33.</w:t>
            </w:r>
            <w:r>
              <w:tab/>
            </w:r>
            <w:r>
              <w:t>primygtinai ragina Komisiją į metinę teisinės valstybės principo taikymo ataskaitą įtraukti naują ramstį, kuriame daugiausia dėmesio būtų skiriama kovai su visų formų diskriminacija;</w:t>
            </w:r>
          </w:p>
        </w:tc>
        <w:tc>
          <w:tcPr>
            <w:tcW w:w="4876" w:type="dxa"/>
            <w:tcBorders>
              <w:top w:val="nil"/>
              <w:left w:val="nil"/>
              <w:bottom w:val="nil"/>
              <w:right w:val="nil"/>
            </w:tcBorders>
          </w:tcPr>
          <w:p>
            <w:pPr>
              <w:pStyle w:val="Normal6a"/>
            </w:pPr>
            <w:r>
              <w:t>33.</w:t>
            </w:r>
            <w:r>
              <w:tab/>
            </w:r>
            <w:r>
              <w:t>primygtinai ragina Komisiją į metinę teisinės valstybės principo taikymo ataskaitą įtraukti naują ramstį, kuriame daugiausia dėmesio būtų skiriama kovai su visų formų diskriminacija</w:t>
            </w:r>
            <w:r>
              <w:rPr>
                <w:b/>
                <w:i/>
              </w:rPr>
              <w:t>, kaip įtvirtinta Europos Sąjungos pagrindinių teisių chartijos 21 straipsnyje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709</w:t>
      </w:r>
      <w:r>
        <w:rPr>
          <w:rStyle w:val="HideTWBExt"/>
        </w:rPr>
        <w:t>&lt;/NumAm&gt;</w:t>
      </w:r>
    </w:p>
    <w:p>
      <w:pPr>
        <w:pStyle w:val="NormalBold"/>
      </w:pPr>
      <w:r>
        <w:rPr>
          <w:rStyle w:val="HideTWBExt"/>
          <w:b w:val="0"/>
        </w:rPr>
        <w:t>&lt;RepeatBlock-By&gt;</w:t>
      </w:r>
      <w:r>
        <w:rPr>
          <w:rStyle w:val="HideTWBExt"/>
          <w:b w:val="0"/>
        </w:rPr>
        <w:t>&lt;Members&gt;</w:t>
      </w:r>
      <w:r>
        <w:t>Mariusz Kamiński, Joachim Stanisław Brudziński, Jadwiga Wiśniewska, Maciej Wąsik, Jacek Ozdoba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33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33.</w:t>
            </w:r>
            <w:r>
              <w:tab/>
            </w:r>
            <w:r>
              <w:t xml:space="preserve">primygtinai ragina Komisiją į metinę teisinės valstybės principo taikymo ataskaitą </w:t>
            </w:r>
            <w:r>
              <w:rPr>
                <w:b/>
                <w:i/>
              </w:rPr>
              <w:t>įtraukti naują ramstį, kuriame daugiausia dėmesio būtų skiriama</w:t>
            </w:r>
            <w:r>
              <w:t xml:space="preserve"> kovai su visų formų diskriminacija;</w:t>
            </w:r>
          </w:p>
        </w:tc>
        <w:tc>
          <w:tcPr>
            <w:tcW w:w="4876" w:type="dxa"/>
            <w:tcBorders>
              <w:top w:val="nil"/>
              <w:left w:val="nil"/>
              <w:bottom w:val="nil"/>
              <w:right w:val="nil"/>
            </w:tcBorders>
          </w:tcPr>
          <w:p>
            <w:pPr>
              <w:pStyle w:val="Normal6a"/>
            </w:pPr>
            <w:r>
              <w:t>33.</w:t>
            </w:r>
            <w:r>
              <w:tab/>
            </w:r>
            <w:r>
              <w:t xml:space="preserve">primygtinai ragina Komisiją į metinę teisinės valstybės principo taikymo ataskaitą </w:t>
            </w:r>
            <w:r>
              <w:rPr>
                <w:b/>
                <w:i/>
              </w:rPr>
              <w:t>neįtraukti naujų ramsčių, be kita ko, skirtų</w:t>
            </w:r>
            <w:r>
              <w:t xml:space="preserve"> kovai su visų formų diskriminacija;</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710</w:t>
      </w:r>
      <w:r>
        <w:rPr>
          <w:rStyle w:val="HideTWBExt"/>
        </w:rPr>
        <w:t>&lt;/NumAm&gt;</w:t>
      </w:r>
    </w:p>
    <w:p>
      <w:pPr>
        <w:pStyle w:val="NormalBold"/>
      </w:pPr>
      <w:r>
        <w:rPr>
          <w:rStyle w:val="HideTWBExt"/>
          <w:b w:val="0"/>
        </w:rPr>
        <w:t>&lt;RepeatBlock-By&gt;</w:t>
      </w:r>
      <w:r>
        <w:rPr>
          <w:rStyle w:val="HideTWBExt"/>
          <w:b w:val="0"/>
        </w:rPr>
        <w:t>&lt;Members&gt;</w:t>
      </w:r>
      <w:r>
        <w:t>Alessandro Zan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33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33.</w:t>
            </w:r>
            <w:r>
              <w:tab/>
            </w:r>
            <w:r>
              <w:t>primygtinai ragina Komisiją į metinę teisinės valstybės principo taikymo ataskaitą įtraukti naują ramstį, kuriame daugiausia dėmesio būtų skiriama kovai su visų formų diskriminacija;</w:t>
            </w:r>
          </w:p>
        </w:tc>
        <w:tc>
          <w:tcPr>
            <w:tcW w:w="4876" w:type="dxa"/>
            <w:tcBorders>
              <w:top w:val="nil"/>
              <w:left w:val="nil"/>
              <w:bottom w:val="nil"/>
              <w:right w:val="nil"/>
            </w:tcBorders>
          </w:tcPr>
          <w:p>
            <w:pPr>
              <w:pStyle w:val="Normal6a"/>
            </w:pPr>
            <w:r>
              <w:t>33.</w:t>
            </w:r>
            <w:r>
              <w:tab/>
            </w:r>
            <w:r>
              <w:t xml:space="preserve">primygtinai ragina Komisiją į metinę teisinės valstybės principo taikymo ataskaitą įtraukti naują ramstį, kuriame daugiausia dėmesio būtų skiriama kovai su visų formų diskriminacija </w:t>
            </w:r>
            <w:r>
              <w:rPr>
                <w:b/>
                <w:i/>
              </w:rPr>
              <w:t>ir neapykanta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711</w:t>
      </w:r>
      <w:r>
        <w:rPr>
          <w:rStyle w:val="HideTWBExt"/>
        </w:rPr>
        <w:t>&lt;/NumAm&gt;</w:t>
      </w:r>
    </w:p>
    <w:p>
      <w:pPr>
        <w:pStyle w:val="NormalBold"/>
      </w:pPr>
      <w:r>
        <w:rPr>
          <w:rStyle w:val="HideTWBExt"/>
          <w:b w:val="0"/>
        </w:rPr>
        <w:t>&lt;RepeatBlock-By&gt;</w:t>
      </w:r>
      <w:r>
        <w:rPr>
          <w:rStyle w:val="HideTWBExt"/>
          <w:b w:val="0"/>
        </w:rPr>
        <w:t>&lt;Members&gt;</w:t>
      </w:r>
      <w:r>
        <w:t>Nicolas Bay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33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33.</w:t>
            </w:r>
            <w:r>
              <w:tab/>
            </w:r>
            <w:r>
              <w:t xml:space="preserve">primygtinai ragina Komisiją į metinę teisinės valstybės principo taikymo ataskaitą įtraukti naują ramstį, kuriame daugiausia dėmesio būtų skiriama </w:t>
            </w:r>
            <w:r>
              <w:rPr>
                <w:b/>
                <w:i/>
              </w:rPr>
              <w:t>kovai su visų formų diskriminacija</w:t>
            </w:r>
            <w:r>
              <w:t>;</w:t>
            </w:r>
          </w:p>
        </w:tc>
        <w:tc>
          <w:tcPr>
            <w:tcW w:w="4876" w:type="dxa"/>
            <w:tcBorders>
              <w:top w:val="nil"/>
              <w:left w:val="nil"/>
              <w:bottom w:val="nil"/>
              <w:right w:val="nil"/>
            </w:tcBorders>
          </w:tcPr>
          <w:p>
            <w:pPr>
              <w:pStyle w:val="Normal6a"/>
            </w:pPr>
            <w:r>
              <w:t>33.</w:t>
            </w:r>
            <w:r>
              <w:tab/>
            </w:r>
            <w:r>
              <w:t xml:space="preserve">primygtinai ragina Komisiją į metinę teisinės valstybės principo taikymo ataskaitą įtraukti naują ramstį, kuriame daugiausia dėmesio būtų skiriama </w:t>
            </w:r>
            <w:r>
              <w:rPr>
                <w:b/>
                <w:i/>
              </w:rPr>
              <w:t>žiniasklaidos cenzūrai ir internetiniam turiniui</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712</w:t>
      </w:r>
      <w:r>
        <w:rPr>
          <w:rStyle w:val="HideTWBExt"/>
        </w:rPr>
        <w:t>&lt;/NumAm&gt;</w:t>
      </w:r>
    </w:p>
    <w:p>
      <w:pPr>
        <w:pStyle w:val="NormalBold"/>
      </w:pPr>
      <w:r>
        <w:rPr>
          <w:rStyle w:val="HideTWBExt"/>
          <w:b w:val="0"/>
        </w:rPr>
        <w:t>&lt;RepeatBlock-By&gt;</w:t>
      </w:r>
      <w:r>
        <w:rPr>
          <w:rStyle w:val="HideTWBExt"/>
          <w:b w:val="0"/>
        </w:rPr>
        <w:t>&lt;Members&gt;</w:t>
      </w:r>
      <w:r>
        <w:t>Ana Catarina Mendes, Chloé Ridel, Sandro Ruotolo, Francisco Assis, Hannes Heide, Pina Picierno, Matjaž Nemec, Emma Rafowicz, Krzysztof Śmiszek, Katarina Barley, Evin Incir, Juan Fernando López Aguilar, Nacho Sánchez Amor, Marco Tarquinio, Javier Moreno Sánchez, Alessandro Zan, Cecilia Strada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33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33a.</w:t>
            </w:r>
            <w:r>
              <w:tab/>
            </w:r>
            <w:r>
              <w:rPr>
                <w:b/>
                <w:i/>
              </w:rPr>
              <w:t>ragina valstybes nares įgyvendinti Migracijos ir prieglobsčio paktą laikantis Sutartyse ir ES pagrindinių teisių chartijoje bei tarptautinėje teisėje įtvirtintų principų;</w:t>
            </w:r>
            <w:r>
              <w:t xml:space="preserve"> </w:t>
            </w:r>
            <w:r>
              <w:rPr>
                <w:b/>
                <w:i/>
              </w:rPr>
              <w:t>ragina valstybes nares užtikrinti, kad trečiųjų valstybių piliečiai galėtų naudotis tokiomis pačiomis teisėmis, su jais būtų elgiamasi vienodai ir humaniškai, taip pat jiems būtų sudaryta sąžininga galimybė pasinaudoti tarptautinės apsaugos procedūromis, visapusiškai laikantis tarptautinės teisės ir negrąžinimo principo;</w:t>
            </w:r>
            <w:r>
              <w:t xml:space="preserve"> </w:t>
            </w:r>
            <w:r>
              <w:rPr>
                <w:b/>
                <w:i/>
              </w:rPr>
              <w:t>primygtinai ragina Komisiją užtikrinti, kad perkėlimas išorės subjektams ir eksteritorinis migracijos valdymas, pvz., valstybių narių dvišaliai susitarimai su trečiosiomis valstybėmis, jokiomis aplinkybėmis nepakenktų šiems principams ir ES teisės aktuose nustatytiems kriterijams;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713</w:t>
      </w:r>
      <w:r>
        <w:rPr>
          <w:rStyle w:val="HideTWBExt"/>
        </w:rPr>
        <w:t>&lt;/NumAm&gt;</w:t>
      </w:r>
    </w:p>
    <w:p>
      <w:pPr>
        <w:pStyle w:val="NormalBold"/>
      </w:pPr>
      <w:r>
        <w:rPr>
          <w:rStyle w:val="HideTWBExt"/>
          <w:b w:val="0"/>
        </w:rPr>
        <w:t>&lt;RepeatBlock-By&gt;</w:t>
      </w:r>
      <w:r>
        <w:rPr>
          <w:rStyle w:val="HideTWBExt"/>
          <w:b w:val="0"/>
        </w:rPr>
        <w:t>&lt;Members&gt;</w:t>
      </w:r>
      <w:r>
        <w:t>Raquel García Hermida-Van Der Walle, Fabienne Keller, Sophie Wilmès, Abir Al-Sahlani, Sigrid Friis,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33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33a.</w:t>
            </w:r>
            <w:r>
              <w:tab/>
            </w:r>
            <w:r>
              <w:rPr>
                <w:b/>
                <w:i/>
              </w:rPr>
              <w:t>ragina Komisiją persvarstyti savo poziciją dėl iniciatyvos „Minority SafePack“ ir pateikti teisėkūros iniciatyvas, kuriomis apsaugomas mažumų teisių ir kalbinių teisių propagavimas;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714</w:t>
      </w:r>
      <w:r>
        <w:rPr>
          <w:rStyle w:val="HideTWBExt"/>
        </w:rPr>
        <w:t>&lt;/NumAm&gt;</w:t>
      </w:r>
    </w:p>
    <w:p>
      <w:pPr>
        <w:pStyle w:val="NormalBold"/>
      </w:pPr>
      <w:r>
        <w:rPr>
          <w:rStyle w:val="HideTWBExt"/>
          <w:b w:val="0"/>
        </w:rPr>
        <w:t>&lt;RepeatBlock-By&gt;</w:t>
      </w:r>
      <w:r>
        <w:rPr>
          <w:rStyle w:val="HideTWBExt"/>
          <w:b w:val="0"/>
        </w:rPr>
        <w:t>&lt;Members&gt;</w:t>
      </w:r>
      <w:r>
        <w:t>Nicolas Bay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34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34.</w:t>
            </w:r>
            <w:r>
              <w:tab/>
            </w:r>
            <w:r>
              <w:rPr>
                <w:b/>
                <w:i/>
              </w:rPr>
              <w:t>pakartoja savo raginimą Komisijai toliau integruoti reagavimo priemones į teisinės valstybės principo taikymo ataskaitą, pvz., ES sutarties 7 straipsnyje numatytas procedūras, bendrą sąlygų mechanizmą ir pažeidimo nagrinėjimo procedūras</w:t>
            </w:r>
            <w:r>
              <w:rPr>
                <w:b/>
                <w:i/>
                <w:vertAlign w:val="superscript"/>
              </w:rPr>
              <w:t>48</w:t>
            </w:r>
            <w:r>
              <w:rPr>
                <w:b/>
                <w:i/>
              </w:rPr>
              <w:t>;</w:t>
            </w:r>
          </w:p>
        </w:tc>
        <w:tc>
          <w:tcPr>
            <w:tcW w:w="4876" w:type="dxa"/>
            <w:tcBorders>
              <w:top w:val="nil"/>
              <w:left w:val="nil"/>
              <w:bottom w:val="nil"/>
              <w:right w:val="nil"/>
            </w:tcBorders>
          </w:tcPr>
          <w:p>
            <w:pPr>
              <w:pStyle w:val="Normal6a"/>
            </w:pPr>
            <w:r>
              <w:rPr>
                <w:b/>
                <w:i/>
              </w:rPr>
              <w:t>Išbraukta.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48</w:t>
            </w:r>
            <w:r>
              <w:t xml:space="preserve"> </w:t>
            </w:r>
            <w:r>
              <w:rPr>
                <w:b/>
                <w:i/>
              </w:rPr>
              <w:t>NVO „Hungarian Helsinki Committee“, „ES vertybių nepaisymas.teisinės valstybės principo taikymo problemų Vengrijoje apžvalga atsižvelgiant į 7 straipsnio procedūrą“ („Disregard for EU values: a snapshot of RoL issues in Hungary in light of the Article 7 procedure“), 2024 m. lapkričio 12 d.</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715</w:t>
      </w:r>
      <w:r>
        <w:rPr>
          <w:rStyle w:val="HideTWBExt"/>
        </w:rPr>
        <w:t>&lt;/NumAm&gt;</w:t>
      </w:r>
    </w:p>
    <w:p>
      <w:pPr>
        <w:pStyle w:val="NormalBold"/>
      </w:pPr>
      <w:r>
        <w:rPr>
          <w:rStyle w:val="HideTWBExt"/>
          <w:b w:val="0"/>
        </w:rPr>
        <w:t>&lt;RepeatBlock-By&gt;</w:t>
      </w:r>
      <w:r>
        <w:rPr>
          <w:rStyle w:val="HideTWBExt"/>
          <w:b w:val="0"/>
        </w:rPr>
        <w:t>&lt;Members&gt;</w:t>
      </w:r>
      <w:r>
        <w:t>Alessandro Ciriani, Paolo Inselvini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34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34.</w:t>
            </w:r>
            <w:r>
              <w:tab/>
            </w:r>
            <w:r>
              <w:rPr>
                <w:b/>
                <w:i/>
              </w:rPr>
              <w:t>pakartoja savo raginimą Komisijai toliau integruoti reagavimo priemones į teisinės valstybės principo taikymo ataskaitą, pvz., ES sutarties 7 straipsnyje numatytas procedūras, bendrą sąlygų mechanizmą ir pažeidimo nagrinėjimo procedūras</w:t>
            </w:r>
            <w:r>
              <w:rPr>
                <w:b/>
                <w:i/>
                <w:vertAlign w:val="superscript"/>
              </w:rPr>
              <w:t>48</w:t>
            </w:r>
            <w:r>
              <w:rPr>
                <w:b/>
                <w:i/>
              </w:rPr>
              <w:t>;</w:t>
            </w:r>
          </w:p>
        </w:tc>
        <w:tc>
          <w:tcPr>
            <w:tcW w:w="4876" w:type="dxa"/>
            <w:tcBorders>
              <w:top w:val="nil"/>
              <w:left w:val="nil"/>
              <w:bottom w:val="nil"/>
              <w:right w:val="nil"/>
            </w:tcBorders>
          </w:tcPr>
          <w:p>
            <w:pPr>
              <w:pStyle w:val="Normal6a"/>
            </w:pPr>
            <w:r>
              <w:rPr>
                <w:b/>
                <w:i/>
              </w:rPr>
              <w:t>Išbraukta.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48</w:t>
            </w:r>
            <w:r>
              <w:t xml:space="preserve"> </w:t>
            </w:r>
            <w:r>
              <w:rPr>
                <w:b/>
                <w:i/>
              </w:rPr>
              <w:t>NVO „Hungarian Helsinki Committee“, „ES vertybių nepaisymas.teisinės valstybės principo taikymo problemų Vengrijoje apžvalga atsižvelgiant į 7 straipsnio procedūrą“ („Disregard for EU values: a snapshot of RoL issues in Hungary in light of the Article 7 procedure“), 2024 m. lapkričio 12 d.</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716</w:t>
      </w:r>
      <w:r>
        <w:rPr>
          <w:rStyle w:val="HideTWBExt"/>
        </w:rPr>
        <w:t>&lt;/NumAm&gt;</w:t>
      </w:r>
    </w:p>
    <w:p>
      <w:pPr>
        <w:pStyle w:val="NormalBold"/>
      </w:pPr>
      <w:r>
        <w:rPr>
          <w:rStyle w:val="HideTWBExt"/>
          <w:b w:val="0"/>
        </w:rPr>
        <w:t>&lt;RepeatBlock-By&gt;</w:t>
      </w:r>
      <w:r>
        <w:rPr>
          <w:rStyle w:val="HideTWBExt"/>
          <w:b w:val="0"/>
        </w:rPr>
        <w:t>&lt;Members&gt;</w:t>
      </w:r>
      <w:r>
        <w:t>Jorge Buxadé Villalba, Marieke Ehlers, Malika Sorel,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34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34.</w:t>
            </w:r>
            <w:r>
              <w:tab/>
            </w:r>
            <w:r>
              <w:rPr>
                <w:b/>
                <w:i/>
              </w:rPr>
              <w:t>pakartoja savo raginimą Komisijai toliau integruoti reagavimo priemones į teisinės valstybės principo taikymo ataskaitą, pvz., ES sutarties 7 straipsnyje numatytas procedūras, bendrą sąlygų mechanizmą ir pažeidimo nagrinėjimo procedūras</w:t>
            </w:r>
            <w:r>
              <w:rPr>
                <w:b/>
                <w:i/>
                <w:vertAlign w:val="superscript"/>
              </w:rPr>
              <w:t>48</w:t>
            </w:r>
            <w:r>
              <w:rPr>
                <w:b/>
                <w:i/>
              </w:rPr>
              <w:t>;</w:t>
            </w:r>
          </w:p>
        </w:tc>
        <w:tc>
          <w:tcPr>
            <w:tcW w:w="4876" w:type="dxa"/>
            <w:tcBorders>
              <w:top w:val="nil"/>
              <w:left w:val="nil"/>
              <w:bottom w:val="nil"/>
              <w:right w:val="nil"/>
            </w:tcBorders>
          </w:tcPr>
          <w:p>
            <w:pPr>
              <w:pStyle w:val="Normal6a"/>
            </w:pPr>
            <w:r>
              <w:rPr>
                <w:b/>
                <w:i/>
              </w:rPr>
              <w:t>Išbraukta.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48</w:t>
            </w:r>
            <w:r>
              <w:t xml:space="preserve"> </w:t>
            </w:r>
            <w:r>
              <w:rPr>
                <w:b/>
                <w:i/>
              </w:rPr>
              <w:t>NVO „Hungarian Helsinki Committee“, „ES vertybių nepaisymas.teisinės valstybės principo taikymo problemų Vengrijoje apžvalga atsižvelgiant į 7 straipsnio procedūrą“ („Disregard for EU values: a snapshot of RoL issues in Hungary in light of the Article 7 procedure“), 2024 m. lapkričio 12 d.</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717</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34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34.</w:t>
            </w:r>
            <w:r>
              <w:tab/>
            </w:r>
            <w:r>
              <w:t xml:space="preserve">pakartoja savo raginimą Komisijai toliau integruoti reagavimo priemones į teisinės valstybės principo taikymo ataskaitą, pvz., ES sutarties 7 straipsnyje numatytas procedūras, </w:t>
            </w:r>
            <w:r>
              <w:rPr>
                <w:b/>
                <w:i/>
              </w:rPr>
              <w:t>bendrą</w:t>
            </w:r>
            <w:r>
              <w:t xml:space="preserve"> sąlygų </w:t>
            </w:r>
            <w:r>
              <w:rPr>
                <w:b/>
                <w:i/>
              </w:rPr>
              <w:t>mechanizmą ir</w:t>
            </w:r>
            <w:r>
              <w:t xml:space="preserve"> pažeidimo nagrinėjimo procedūras</w:t>
            </w:r>
            <w:r>
              <w:rPr>
                <w:b/>
                <w:i/>
                <w:vertAlign w:val="superscript"/>
              </w:rPr>
              <w:t>48</w:t>
            </w:r>
            <w:r>
              <w:t>;</w:t>
            </w:r>
          </w:p>
        </w:tc>
        <w:tc>
          <w:tcPr>
            <w:tcW w:w="4876" w:type="dxa"/>
            <w:tcBorders>
              <w:top w:val="nil"/>
              <w:left w:val="nil"/>
              <w:bottom w:val="nil"/>
              <w:right w:val="nil"/>
            </w:tcBorders>
          </w:tcPr>
          <w:p>
            <w:pPr>
              <w:pStyle w:val="Normal6a"/>
            </w:pPr>
            <w:r>
              <w:t>34.</w:t>
            </w:r>
            <w:r>
              <w:tab/>
            </w:r>
            <w:r>
              <w:t xml:space="preserve">pakartoja savo raginimą Komisijai toliau integruoti reagavimo priemones į teisinės valstybės principo taikymo ataskaitą, pvz., ES sutarties 7 straipsnyje numatytas procedūras, </w:t>
            </w:r>
            <w:r>
              <w:rPr>
                <w:b/>
                <w:i/>
              </w:rPr>
              <w:t>Teisinės valstybės</w:t>
            </w:r>
            <w:r>
              <w:t xml:space="preserve"> sąlygų </w:t>
            </w:r>
            <w:r>
              <w:rPr>
                <w:b/>
                <w:i/>
              </w:rPr>
              <w:t>reglamentą ir kitas biudžeto bei</w:t>
            </w:r>
            <w:r>
              <w:t xml:space="preserve"> pažeidimo nagrinėjimo procedūras</w:t>
            </w:r>
            <w:r>
              <w:rPr>
                <w:b/>
                <w:i/>
              </w:rPr>
              <w:t>;</w:t>
            </w:r>
            <w:r>
              <w:t xml:space="preserve"> </w:t>
            </w:r>
            <w:r>
              <w:rPr>
                <w:b/>
                <w:i/>
              </w:rPr>
              <w:t>ragina Komisiją pažeidimų bylose sistemingai taikyti pagreitintą procedūrą ir teikti ES Teisingumo Teismui prašymus taikyti laikinąsias priemones;</w:t>
            </w:r>
            <w:r>
              <w:t xml:space="preserve"> </w:t>
            </w:r>
            <w:r>
              <w:rPr>
                <w:b/>
                <w:i/>
              </w:rPr>
              <w:t>ragina Komisiją dialogo su valstybėmis narėmis arba bandomosios procedūros nenaudoti kaip neterminuotų priemonių, kad būtų galima nepradėti faktinių pažeidimų nagrinėjimo procedūrų; ragina Komisiją persvarstyti 2022 m. komunikate dėl ES teisės vykdymo užtikrinimo išdėstytą savo politiką, pagal kurią ieškiniai dėl pažeidimo nebūtų taikomi pavieniais teisių gynimo atvejais, nes ši politika lėmė tai, jog piliečiai visoje ES daugeliu atvejų neteko teisių, ypač tais atvejais, kai jų pačių vyriausybės atsisako laikytis ES teisės ar ES Teisingumo Teismo sprendimų, nes dauguma šių atvejų taip pat yra ne pavieniai, o susiję su strateginiais ir esminiais klausimais</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48</w:t>
            </w:r>
            <w:r>
              <w:t xml:space="preserve"> </w:t>
            </w:r>
            <w:r>
              <w:rPr>
                <w:b/>
                <w:i/>
              </w:rPr>
              <w:t>NVO „Hungarian Helsinki Committee“, „ES vertybių nepaisymas.teisinės valstybės principo taikymo problemų Vengrijoje apžvalga atsižvelgiant į 7 straipsnio procedūrą“ („Disregard for EU values: a snapshot of RoL issues in Hungary in light of the Article 7 procedure“), 2024 m. lapkričio 12 d.</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718</w:t>
      </w:r>
      <w:r>
        <w:rPr>
          <w:rStyle w:val="HideTWBExt"/>
        </w:rPr>
        <w:t>&lt;/NumAm&gt;</w:t>
      </w:r>
    </w:p>
    <w:p>
      <w:pPr>
        <w:pStyle w:val="NormalBold"/>
      </w:pPr>
      <w:r>
        <w:rPr>
          <w:rStyle w:val="HideTWBExt"/>
          <w:b w:val="0"/>
        </w:rPr>
        <w:t>&lt;RepeatBlock-By&gt;</w:t>
      </w:r>
      <w:r>
        <w:rPr>
          <w:rStyle w:val="HideTWBExt"/>
          <w:b w:val="0"/>
        </w:rPr>
        <w:t>&lt;Members&gt;</w:t>
      </w:r>
      <w:r>
        <w:t>András László</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34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34.</w:t>
            </w:r>
            <w:r>
              <w:tab/>
            </w:r>
            <w:r>
              <w:rPr>
                <w:b/>
                <w:i/>
              </w:rPr>
              <w:t>pakartoja savo raginimą Komisijai toliau integruoti reagavimo priemones į</w:t>
            </w:r>
            <w:r>
              <w:t xml:space="preserve"> teisinės valstybės principo </w:t>
            </w:r>
            <w:r>
              <w:rPr>
                <w:b/>
                <w:i/>
              </w:rPr>
              <w:t>taikymo ataskaitą, pvz</w:t>
            </w:r>
            <w:r>
              <w:t>.</w:t>
            </w:r>
            <w:r>
              <w:rPr>
                <w:b/>
                <w:i/>
              </w:rPr>
              <w:t>, ES sutarties 7 straipsnyje numatytas procedūras, bendrą sąlygų mechanizmą ir pažeidimo nagrinėjimo procedūras</w:t>
            </w:r>
            <w:r>
              <w:rPr>
                <w:b/>
                <w:i/>
                <w:vertAlign w:val="superscript"/>
              </w:rPr>
              <w:t>48</w:t>
            </w:r>
            <w:r>
              <w:t>;</w:t>
            </w:r>
          </w:p>
        </w:tc>
        <w:tc>
          <w:tcPr>
            <w:tcW w:w="4876" w:type="dxa"/>
            <w:tcBorders>
              <w:top w:val="nil"/>
              <w:left w:val="nil"/>
              <w:bottom w:val="nil"/>
              <w:right w:val="nil"/>
            </w:tcBorders>
          </w:tcPr>
          <w:p>
            <w:pPr>
              <w:pStyle w:val="Normal6a"/>
            </w:pPr>
            <w:r>
              <w:t>34.</w:t>
            </w:r>
            <w:r>
              <w:tab/>
            </w:r>
            <w:r>
              <w:rPr>
                <w:b/>
                <w:i/>
              </w:rPr>
              <w:t>yra labai susirūpinęs dėl teisinės valstybės padėties Europos institucijose;</w:t>
            </w:r>
            <w:r>
              <w:t xml:space="preserve"> </w:t>
            </w:r>
            <w:r>
              <w:rPr>
                <w:b/>
                <w:i/>
              </w:rPr>
              <w:t>ragina Komisiją ištirti vis dažniau šiose institucijose pasitaikančius teisinės valstybės principo pažeidimo atvejus;</w:t>
            </w:r>
            <w:r>
              <w:t xml:space="preserve"> </w:t>
            </w:r>
            <w:r>
              <w:rPr>
                <w:b/>
                <w:i/>
              </w:rPr>
              <w:t>su dideliu susirūpinimu atkreipia dėmesį į galimą buvusio už teisingumą atsakingo Komisijos nario Didier Reynderso dalyvavimą pinigų plovimo schemoje;</w:t>
            </w:r>
            <w:r>
              <w:t xml:space="preserve"> </w:t>
            </w:r>
            <w:r>
              <w:rPr>
                <w:b/>
                <w:i/>
              </w:rPr>
              <w:t>yra ypač susirūpinęs dėl to, kad už</w:t>
            </w:r>
            <w:r>
              <w:t xml:space="preserve"> teisinės valstybės principo </w:t>
            </w:r>
            <w:r>
              <w:rPr>
                <w:b/>
                <w:i/>
              </w:rPr>
              <w:t>laikymąsi Europos Sąjungoje buvo atsakingas už teisingumą atsakingas Komisijos narys, kuris, pirkdamas loterijų bilietus, galimai išplovė daugiau kaip 1 mln</w:t>
            </w:r>
            <w:r>
              <w:t xml:space="preserve">. </w:t>
            </w:r>
            <w:r>
              <w:rPr>
                <w:b/>
                <w:i/>
              </w:rPr>
              <w:t>EUR;</w:t>
            </w:r>
            <w:r>
              <w:t xml:space="preserve"> </w:t>
            </w:r>
            <w:r>
              <w:rPr>
                <w:b/>
                <w:i/>
              </w:rPr>
              <w:t>pabrėžia, kad 2019 metais paskirtasis Komisijos narys Didier Reynders Belgijos valdžios institucijų jau buvo kaltinamas pinigų plovimu ir korupcija;</w:t>
            </w:r>
            <w:r>
              <w:t xml:space="preserve"> </w:t>
            </w:r>
            <w:r>
              <w:rPr>
                <w:b/>
                <w:i/>
              </w:rPr>
              <w:t>ragina Komisiją paaiškinti, kaip, nepaisant šių rimtų įtarimų, 9-osios kadencijos laikotarpiu Didier Reynders buvo atsakingas už teisingumą;</w:t>
            </w:r>
            <w:r>
              <w:t xml:space="preserve"> </w:t>
            </w:r>
            <w:r>
              <w:rPr>
                <w:b/>
                <w:i/>
              </w:rPr>
              <w:t>pakartoja, kad ši ataskaita negali būti pagrindas kitiems ES mechanizmams ir procedūroms</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48</w:t>
            </w:r>
            <w:r>
              <w:t xml:space="preserve"> </w:t>
            </w:r>
            <w:r>
              <w:rPr>
                <w:b/>
                <w:i/>
              </w:rPr>
              <w:t>NVO „Hungarian Helsinki Committee“, „ES vertybių nepaisymas.teisinės valstybės principo taikymo problemų Vengrijoje apžvalga atsižvelgiant į 7 straipsnio procedūrą“ („Disregard for EU values: a snapshot of RoL issues in Hungary in light of the Article 7 procedure“), 2024 m. lapkričio 12 d.</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719</w:t>
      </w:r>
      <w:r>
        <w:rPr>
          <w:rStyle w:val="HideTWBExt"/>
        </w:rPr>
        <w:t>&lt;/NumAm&gt;</w:t>
      </w:r>
    </w:p>
    <w:p>
      <w:pPr>
        <w:pStyle w:val="NormalBold"/>
      </w:pPr>
      <w:r>
        <w:rPr>
          <w:rStyle w:val="HideTWBExt"/>
          <w:b w:val="0"/>
        </w:rPr>
        <w:t>&lt;RepeatBlock-By&gt;</w:t>
      </w:r>
      <w:r>
        <w:rPr>
          <w:rStyle w:val="HideTWBExt"/>
          <w:b w:val="0"/>
        </w:rPr>
        <w:t>&lt;Members&gt;</w:t>
      </w:r>
      <w:r>
        <w:t>Mariusz Kamiński, Joachim Stanisław Brudziński, Jadwiga Wiśniewska, Maciej Wąsik, Jacek Ozdoba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34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34.</w:t>
            </w:r>
            <w:r>
              <w:tab/>
            </w:r>
            <w:r>
              <w:rPr>
                <w:b/>
                <w:i/>
              </w:rPr>
              <w:t>pakartoja savo raginimą Komisijai toliau integruoti reagavimo priemones</w:t>
            </w:r>
            <w:r>
              <w:t xml:space="preserve"> į teisinės valstybės principo taikymo ataskaitą, pvz., ES sutarties 7 straipsnyje numatytas procedūras, bendrą sąlygų mechanizmą ir </w:t>
            </w:r>
            <w:r>
              <w:rPr>
                <w:b/>
                <w:i/>
              </w:rPr>
              <w:t>pažeidimo</w:t>
            </w:r>
            <w:r>
              <w:t xml:space="preserve"> nagrinėjimo procedūras</w:t>
            </w:r>
            <w:r>
              <w:rPr>
                <w:vertAlign w:val="superscript"/>
              </w:rPr>
              <w:t>48</w:t>
            </w:r>
            <w:r>
              <w:t>;</w:t>
            </w:r>
          </w:p>
        </w:tc>
        <w:tc>
          <w:tcPr>
            <w:tcW w:w="4876" w:type="dxa"/>
            <w:tcBorders>
              <w:top w:val="nil"/>
              <w:left w:val="nil"/>
              <w:bottom w:val="nil"/>
              <w:right w:val="nil"/>
            </w:tcBorders>
          </w:tcPr>
          <w:p>
            <w:pPr>
              <w:pStyle w:val="Normal6a"/>
            </w:pPr>
            <w:r>
              <w:t>34.</w:t>
            </w:r>
            <w:r>
              <w:tab/>
            </w:r>
            <w:r>
              <w:rPr>
                <w:b/>
                <w:i/>
              </w:rPr>
              <w:t>ragina Komisiją įvertinti, ar tinkama ir toliau</w:t>
            </w:r>
            <w:r>
              <w:t xml:space="preserve"> į teisinės valstybės principo taikymo ataskaitą </w:t>
            </w:r>
            <w:r>
              <w:rPr>
                <w:b/>
                <w:i/>
              </w:rPr>
              <w:t>įtraukti atsakomąsias priemones</w:t>
            </w:r>
            <w:r>
              <w:t xml:space="preserve">, pvz., ES sutarties 7 straipsnyje numatytas procedūras, bendrą sąlygų mechanizmą ir </w:t>
            </w:r>
            <w:r>
              <w:rPr>
                <w:b/>
                <w:i/>
              </w:rPr>
              <w:t>pažeidimų</w:t>
            </w:r>
            <w:r>
              <w:t xml:space="preserve"> nagrinėjimo procedūras</w:t>
            </w:r>
            <w:r>
              <w:rPr>
                <w:vertAlign w:val="superscript"/>
              </w:rPr>
              <w:t>48</w:t>
            </w:r>
            <w:r>
              <w:rPr>
                <w:b/>
                <w:i/>
              </w:rPr>
              <w:t>, atsižvelgiant į tai, kad ji buvo skandalingai supolitinta priemonė, kurios geriausias pavyzdys yra Lenkija, kai, pasikeitus vyriausybei, naujoji yra palanki Briuseliui ir Berlynui, todėl visa kritika nutilo, o ES sutarties 7 straipsnyje numatyta procedūra buvo sustabdyta nepaisant to, kad nebuvo padaryta jokių teisės aktų pakeitimų, ir nepaisant atviro valstybės konstitucinių principų pažeidimo</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48</w:t>
            </w:r>
            <w:r>
              <w:t xml:space="preserve"> </w:t>
            </w:r>
            <w:r>
              <w:t xml:space="preserve">NVO „Hungarian Helsinki Committee“, „ES vertybių </w:t>
            </w:r>
            <w:r>
              <w:rPr>
                <w:b/>
                <w:i/>
              </w:rPr>
              <w:t>nepaisymas.teisinės</w:t>
            </w:r>
            <w:r>
              <w:t xml:space="preserve"> valstybės principo taikymo problemų Vengrijoje apžvalga atsižvelgiant į 7 straipsnio procedūrą“ („Disregard for EU values: a snapshot of RoL issues in Hungary in light of the Article 7 procedure“), 2024 m. lapkričio 12 d.</w:t>
            </w:r>
          </w:p>
        </w:tc>
        <w:tc>
          <w:tcPr>
            <w:tcW w:w="4876" w:type="dxa"/>
            <w:tcBorders>
              <w:top w:val="nil"/>
              <w:left w:val="nil"/>
              <w:bottom w:val="nil"/>
              <w:right w:val="nil"/>
            </w:tcBorders>
          </w:tcPr>
          <w:p>
            <w:pPr>
              <w:pStyle w:val="Normal6a"/>
            </w:pPr>
            <w:r>
              <w:rPr>
                <w:vertAlign w:val="superscript"/>
              </w:rPr>
              <w:t>48</w:t>
            </w:r>
            <w:r>
              <w:t xml:space="preserve"> </w:t>
            </w:r>
            <w:r>
              <w:t xml:space="preserve">NVO „Hungarian Helsinki Committee“, „ES vertybių </w:t>
            </w:r>
            <w:r>
              <w:rPr>
                <w:b/>
                <w:i/>
              </w:rPr>
              <w:t>nepaisymas.</w:t>
            </w:r>
            <w:r>
              <w:t xml:space="preserve"> </w:t>
            </w:r>
            <w:r>
              <w:rPr>
                <w:b/>
                <w:i/>
              </w:rPr>
              <w:t>Teisinės</w:t>
            </w:r>
            <w:r>
              <w:t xml:space="preserve"> valstybės principo taikymo problemų Vengrijoje apžvalga atsižvelgiant į 7 straipsnio procedūrą“</w:t>
            </w:r>
            <w:r>
              <w:rPr>
                <w:b/>
                <w:i/>
              </w:rPr>
              <w:t>,</w:t>
            </w:r>
            <w:r>
              <w:t xml:space="preserve"> („Disregard for EU values: a snapshot of RoL issues in Hungary in light of the Article 7 procedure“), 2024 m. lapkričio 12 d.</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720</w:t>
      </w:r>
      <w:r>
        <w:rPr>
          <w:rStyle w:val="HideTWBExt"/>
        </w:rPr>
        <w:t>&lt;/NumAm&gt;</w:t>
      </w:r>
    </w:p>
    <w:p>
      <w:pPr>
        <w:pStyle w:val="NormalBold"/>
      </w:pPr>
      <w:r>
        <w:rPr>
          <w:rStyle w:val="HideTWBExt"/>
          <w:b w:val="0"/>
        </w:rPr>
        <w:t>&lt;RepeatBlock-By&gt;</w:t>
      </w:r>
      <w:r>
        <w:rPr>
          <w:rStyle w:val="HideTWBExt"/>
          <w:b w:val="0"/>
        </w:rPr>
        <w:t>&lt;Members&gt;</w:t>
      </w:r>
      <w:r>
        <w:t>Nikola Minchev, Moritz Körner, Hilde Vautmans, Veronika Cifrová Ostrihoňová, Abir Al-Sahlani, Chloé Ridel, Fabienne Keller, Lucia Yar, Irena Joveva, Isabel Wiseler-Lima, Daniel Freund</w:t>
      </w:r>
      <w:r>
        <w:rPr>
          <w:rStyle w:val="HideTWBExt"/>
          <w:b w:val="0"/>
        </w:rPr>
        <w:t>&lt;/Members&gt;</w:t>
      </w:r>
    </w:p>
    <w:p>
      <w:r>
        <w:rPr>
          <w:rStyle w:val="HideTWBExt"/>
          <w:b w:val="0"/>
        </w:rPr>
        <w:t>&lt;AuNomDe&gt;</w:t>
      </w:r>
      <w:r>
        <w:rPr>
          <w:rStyle w:val="HideTWBInt"/>
        </w:rPr>
        <w:t>{LIBE}</w:t>
      </w:r>
      <w:r>
        <w:t>Piliečių laisvių, teisingumo ir vidaus reikalų komiteto vardu</w:t>
      </w:r>
      <w:r>
        <w:rPr>
          <w:rStyle w:val="HideTWBExt"/>
          <w:b w:val="0"/>
        </w:rPr>
        <w:t>&lt;/AuNomDe&gt;</w:t>
      </w:r>
    </w:p>
    <w:p>
      <w:pPr>
        <w:pStyle w:val="NormalBold"/>
      </w:pPr>
      <w:r>
        <w:rPr>
          <w:rStyle w:val="HideTWBExt"/>
          <w:b w:val="0"/>
        </w:rPr>
        <w:t>&lt;Members&gt;</w:t>
      </w:r>
      <w:r>
        <w:t>Sophie Wilmès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34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34.</w:t>
            </w:r>
            <w:r>
              <w:tab/>
            </w:r>
            <w:r>
              <w:t>pakartoja savo raginimą Komisijai toliau integruoti reagavimo priemones į teisinės valstybės principo taikymo ataskaitą, pvz., ES sutarties 7 straipsnyje numatytas procedūras, bendrą sąlygų mechanizmą ir pažeidimo nagrinėjimo procedūras</w:t>
            </w:r>
            <w:r>
              <w:rPr>
                <w:vertAlign w:val="superscript"/>
              </w:rPr>
              <w:t>48</w:t>
            </w:r>
            <w:r>
              <w:t>;</w:t>
            </w:r>
          </w:p>
        </w:tc>
        <w:tc>
          <w:tcPr>
            <w:tcW w:w="4876" w:type="dxa"/>
            <w:tcBorders>
              <w:top w:val="nil"/>
              <w:left w:val="nil"/>
              <w:bottom w:val="nil"/>
              <w:right w:val="nil"/>
            </w:tcBorders>
          </w:tcPr>
          <w:p>
            <w:pPr>
              <w:pStyle w:val="Normal6a"/>
            </w:pPr>
            <w:r>
              <w:t>34.</w:t>
            </w:r>
            <w:r>
              <w:tab/>
            </w:r>
            <w:r>
              <w:t>pakartoja savo raginimą Komisijai toliau integruoti reagavimo priemones į teisinės valstybės principo taikymo ataskaitą, pvz., ES sutarties 7 straipsnyje numatytas procedūras, bendrą sąlygų mechanizmą ir pažeidimo nagrinėjimo procedūras</w:t>
            </w:r>
            <w:r>
              <w:rPr>
                <w:vertAlign w:val="superscript"/>
              </w:rPr>
              <w:t>48</w:t>
            </w:r>
            <w:r>
              <w:t xml:space="preserve">; </w:t>
            </w:r>
            <w:r>
              <w:rPr>
                <w:b/>
                <w:i/>
              </w:rPr>
              <w:t>prašo Komisijos kasmet teikti ataskaitas dėl priemonių, naudojamų kovojant su teisinės valstybės principo pažeidimais valstybėse narėse, taikymo ir veiksmingumo;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48</w:t>
            </w:r>
            <w:r>
              <w:t xml:space="preserve"> </w:t>
            </w:r>
            <w:r>
              <w:t xml:space="preserve">NVO „Hungarian Helsinki Committee“, „ES vertybių </w:t>
            </w:r>
            <w:r>
              <w:rPr>
                <w:b/>
                <w:i/>
              </w:rPr>
              <w:t>nepaisymas.teisinės</w:t>
            </w:r>
            <w:r>
              <w:t xml:space="preserve"> valstybės principo taikymo problemų Vengrijoje apžvalga atsižvelgiant į 7 straipsnio procedūrą“ („Disregard for EU values: a snapshot of RoL issues in Hungary in light of the Article 7 procedure“), 2024 m. lapkričio 12 d.</w:t>
            </w:r>
          </w:p>
        </w:tc>
        <w:tc>
          <w:tcPr>
            <w:tcW w:w="4876" w:type="dxa"/>
            <w:tcBorders>
              <w:top w:val="nil"/>
              <w:left w:val="nil"/>
              <w:bottom w:val="nil"/>
              <w:right w:val="nil"/>
            </w:tcBorders>
          </w:tcPr>
          <w:p>
            <w:pPr>
              <w:pStyle w:val="Normal6a"/>
            </w:pPr>
            <w:r>
              <w:rPr>
                <w:vertAlign w:val="superscript"/>
              </w:rPr>
              <w:t>48</w:t>
            </w:r>
            <w:r>
              <w:t xml:space="preserve"> </w:t>
            </w:r>
            <w:r>
              <w:t xml:space="preserve">NVO „Hungarian Helsinki Committee“, „ES vertybių </w:t>
            </w:r>
            <w:r>
              <w:rPr>
                <w:b/>
                <w:i/>
              </w:rPr>
              <w:t>nepaisymas.</w:t>
            </w:r>
            <w:r>
              <w:t xml:space="preserve"> </w:t>
            </w:r>
            <w:r>
              <w:rPr>
                <w:b/>
                <w:i/>
              </w:rPr>
              <w:t>Teisinės</w:t>
            </w:r>
            <w:r>
              <w:t xml:space="preserve"> valstybės principo taikymo problemų Vengrijoje apžvalga atsižvelgiant į 7 straipsnio procedūrą“ („Disregard for EU values: a snapshot of RoL issues in Hungary in light of the Article 7 procedure“), 2024 m. lapkričio 12 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721</w:t>
      </w:r>
      <w:r>
        <w:rPr>
          <w:rStyle w:val="HideTWBExt"/>
        </w:rPr>
        <w:t>&lt;/NumAm&gt;</w:t>
      </w:r>
    </w:p>
    <w:p>
      <w:pPr>
        <w:pStyle w:val="NormalBold"/>
      </w:pPr>
      <w:r>
        <w:rPr>
          <w:rStyle w:val="HideTWBExt"/>
          <w:b w:val="0"/>
        </w:rPr>
        <w:t>&lt;RepeatBlock-By&gt;</w:t>
      </w:r>
      <w:r>
        <w:rPr>
          <w:rStyle w:val="HideTWBExt"/>
          <w:b w:val="0"/>
        </w:rPr>
        <w:t>&lt;Members&gt;</w:t>
      </w:r>
      <w:r>
        <w:t>Birgit Sippel, Klára Dobrev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34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34.</w:t>
            </w:r>
            <w:r>
              <w:tab/>
            </w:r>
            <w:r>
              <w:t xml:space="preserve">pakartoja savo raginimą Komisijai </w:t>
            </w:r>
            <w:r>
              <w:rPr>
                <w:b/>
                <w:i/>
              </w:rPr>
              <w:t>toliau integruoti reagavimo priemones į</w:t>
            </w:r>
            <w:r>
              <w:t xml:space="preserve"> teisinės valstybės </w:t>
            </w:r>
            <w:r>
              <w:rPr>
                <w:b/>
                <w:i/>
              </w:rPr>
              <w:t>principo taikymo ataskaitą, pvz.,</w:t>
            </w:r>
            <w:r>
              <w:t xml:space="preserve"> ES sutarties 7 straipsnyje </w:t>
            </w:r>
            <w:r>
              <w:rPr>
                <w:b/>
                <w:i/>
              </w:rPr>
              <w:t>numatytas procedūras, bendrą</w:t>
            </w:r>
            <w:r>
              <w:t xml:space="preserve"> sąlygų </w:t>
            </w:r>
            <w:r>
              <w:rPr>
                <w:b/>
                <w:i/>
              </w:rPr>
              <w:t>mechanizmą</w:t>
            </w:r>
            <w:r>
              <w:t xml:space="preserve"> ir pažeidimo nagrinėjimo </w:t>
            </w:r>
            <w:r>
              <w:rPr>
                <w:b/>
                <w:i/>
              </w:rPr>
              <w:t>procedūras</w:t>
            </w:r>
            <w:r>
              <w:rPr>
                <w:vertAlign w:val="superscript"/>
              </w:rPr>
              <w:t>48</w:t>
            </w:r>
            <w:r>
              <w:t>;</w:t>
            </w:r>
          </w:p>
        </w:tc>
        <w:tc>
          <w:tcPr>
            <w:tcW w:w="4876" w:type="dxa"/>
            <w:tcBorders>
              <w:top w:val="nil"/>
              <w:left w:val="nil"/>
              <w:bottom w:val="nil"/>
              <w:right w:val="nil"/>
            </w:tcBorders>
          </w:tcPr>
          <w:p>
            <w:pPr>
              <w:pStyle w:val="Normal6a"/>
            </w:pPr>
            <w:r>
              <w:t>34.</w:t>
            </w:r>
            <w:r>
              <w:tab/>
            </w:r>
            <w:r>
              <w:t xml:space="preserve">pakartoja savo raginimą Komisijai </w:t>
            </w:r>
            <w:r>
              <w:rPr>
                <w:b/>
                <w:i/>
              </w:rPr>
              <w:t>teisinės valstybės principo taikymo ataskaitoje tinkamiau atspindėti įvairias</w:t>
            </w:r>
            <w:r>
              <w:t xml:space="preserve"> teisinės valstybės </w:t>
            </w:r>
            <w:r>
              <w:rPr>
                <w:b/>
                <w:i/>
              </w:rPr>
              <w:t>priemonių rinkinio priemones, tokias kaip tebevykdomos</w:t>
            </w:r>
            <w:r>
              <w:t xml:space="preserve"> ES sutarties 7 straipsnyje </w:t>
            </w:r>
            <w:r>
              <w:rPr>
                <w:b/>
                <w:i/>
              </w:rPr>
              <w:t>numatytos procedūros, teisinės valstybės</w:t>
            </w:r>
            <w:r>
              <w:t xml:space="preserve"> sąlygų </w:t>
            </w:r>
            <w:r>
              <w:rPr>
                <w:b/>
                <w:i/>
              </w:rPr>
              <w:t>mechanizmas</w:t>
            </w:r>
            <w:r>
              <w:t xml:space="preserve"> ir pažeidimo nagrinėjimo </w:t>
            </w:r>
            <w:r>
              <w:rPr>
                <w:b/>
                <w:i/>
              </w:rPr>
              <w:t>procedūros</w:t>
            </w:r>
            <w:r>
              <w:rPr>
                <w:vertAlign w:val="superscript"/>
              </w:rPr>
              <w:t>48</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48</w:t>
            </w:r>
            <w:r>
              <w:t xml:space="preserve"> </w:t>
            </w:r>
            <w:r>
              <w:t xml:space="preserve">NVO „Hungarian Helsinki Committee“, „ES vertybių </w:t>
            </w:r>
            <w:r>
              <w:rPr>
                <w:b/>
                <w:i/>
              </w:rPr>
              <w:t>nepaisymas.teisinės</w:t>
            </w:r>
            <w:r>
              <w:t xml:space="preserve"> valstybės principo taikymo problemų Vengrijoje apžvalga atsižvelgiant į 7 straipsnio procedūrą“ („Disregard for EU values: a snapshot of RoL issues in Hungary in light of the Article 7 procedure“), 2024 m. lapkričio 12 d.</w:t>
            </w:r>
          </w:p>
        </w:tc>
        <w:tc>
          <w:tcPr>
            <w:tcW w:w="4876" w:type="dxa"/>
            <w:tcBorders>
              <w:top w:val="nil"/>
              <w:left w:val="nil"/>
              <w:bottom w:val="nil"/>
              <w:right w:val="nil"/>
            </w:tcBorders>
          </w:tcPr>
          <w:p>
            <w:pPr>
              <w:pStyle w:val="Normal6a"/>
            </w:pPr>
            <w:r>
              <w:rPr>
                <w:vertAlign w:val="superscript"/>
              </w:rPr>
              <w:t>48</w:t>
            </w:r>
            <w:r>
              <w:t xml:space="preserve"> </w:t>
            </w:r>
            <w:r>
              <w:t xml:space="preserve">NVO „Hungarian Helsinki Committee“, „ES vertybių </w:t>
            </w:r>
            <w:r>
              <w:rPr>
                <w:b/>
                <w:i/>
              </w:rPr>
              <w:t>nepaisymas.</w:t>
            </w:r>
            <w:r>
              <w:t xml:space="preserve"> </w:t>
            </w:r>
            <w:r>
              <w:rPr>
                <w:b/>
                <w:i/>
              </w:rPr>
              <w:t>Teisinės</w:t>
            </w:r>
            <w:r>
              <w:t xml:space="preserve"> valstybės principo taikymo problemų Vengrijoje apžvalga atsižvelgiant į 7 straipsnio procedūrą“ („Disregard for EU values: a snapshot of RoL issues in Hungary in light of the Article 7 procedure“), 2024 m. lapkričio 12 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722</w:t>
      </w:r>
      <w:r>
        <w:rPr>
          <w:rStyle w:val="HideTWBExt"/>
        </w:rPr>
        <w:t>&lt;/NumAm&gt;</w:t>
      </w:r>
    </w:p>
    <w:p>
      <w:pPr>
        <w:pStyle w:val="NormalBold"/>
      </w:pPr>
      <w:r>
        <w:rPr>
          <w:rStyle w:val="HideTWBExt"/>
          <w:b w:val="0"/>
        </w:rPr>
        <w:t>&lt;RepeatBlock-By&gt;</w:t>
      </w:r>
      <w:r>
        <w:rPr>
          <w:rStyle w:val="HideTWBExt"/>
          <w:b w:val="0"/>
        </w:rPr>
        <w:t>&lt;Members&gt;</w:t>
      </w:r>
      <w:r>
        <w:t>Erik Kaliňák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34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34.</w:t>
            </w:r>
            <w:r>
              <w:tab/>
            </w:r>
            <w:r>
              <w:t xml:space="preserve">pakartoja savo raginimą Komisijai </w:t>
            </w:r>
            <w:r>
              <w:rPr>
                <w:b/>
                <w:i/>
              </w:rPr>
              <w:t>toliau integruoti reagavimo priemones į</w:t>
            </w:r>
            <w:r>
              <w:t xml:space="preserve"> teisinės valstybės </w:t>
            </w:r>
            <w:r>
              <w:rPr>
                <w:b/>
                <w:i/>
              </w:rPr>
              <w:t>principo taikymo ataskaitą, pvz., ES sutarties 7 straipsnyje numatytas procedūras, bendrą sąlygų mechanizmą ir pažeidimo nagrinėjimo procedūras</w:t>
            </w:r>
            <w:r>
              <w:rPr>
                <w:b/>
                <w:i/>
                <w:vertAlign w:val="superscript"/>
              </w:rPr>
              <w:t>48</w:t>
            </w:r>
            <w:r>
              <w:t>;</w:t>
            </w:r>
          </w:p>
        </w:tc>
        <w:tc>
          <w:tcPr>
            <w:tcW w:w="4876" w:type="dxa"/>
            <w:tcBorders>
              <w:top w:val="nil"/>
              <w:left w:val="nil"/>
              <w:bottom w:val="nil"/>
              <w:right w:val="nil"/>
            </w:tcBorders>
          </w:tcPr>
          <w:p>
            <w:pPr>
              <w:pStyle w:val="Normal6a"/>
            </w:pPr>
            <w:r>
              <w:t>34.</w:t>
            </w:r>
            <w:r>
              <w:tab/>
            </w:r>
            <w:r>
              <w:t xml:space="preserve">pakartoja savo raginimą Komisijai </w:t>
            </w:r>
            <w:r>
              <w:rPr>
                <w:b/>
                <w:i/>
              </w:rPr>
              <w:t>nekurti naujų</w:t>
            </w:r>
            <w:r>
              <w:t xml:space="preserve"> teisinės valstybės </w:t>
            </w:r>
            <w:r>
              <w:rPr>
                <w:b/>
                <w:i/>
              </w:rPr>
              <w:t>apsaugos mechanizmų ir priemonių, nes esamų mechanizmų ir priemonių pakanka</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48</w:t>
            </w:r>
            <w:r>
              <w:t xml:space="preserve"> </w:t>
            </w:r>
            <w:r>
              <w:rPr>
                <w:b/>
                <w:i/>
              </w:rPr>
              <w:t>NVO „Hungarian Helsinki Committee“, „ES vertybių nepaisymas.teisinės valstybės principo taikymo problemų Vengrijoje apžvalga atsižvelgiant į 7 straipsnio procedūrą“ („Disregard for EU values: a snapshot of RoL issues in Hungary in light of the Article 7 procedure“), 2024 m. lapkričio 12 d.</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{SK}</w:t>
      </w:r>
      <w:r>
        <w:t>sk</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723</w:t>
      </w:r>
      <w:r>
        <w:rPr>
          <w:rStyle w:val="HideTWBExt"/>
        </w:rPr>
        <w:t>&lt;/NumAm&gt;</w:t>
      </w:r>
    </w:p>
    <w:p>
      <w:pPr>
        <w:pStyle w:val="NormalBold"/>
      </w:pPr>
      <w:r>
        <w:rPr>
          <w:rStyle w:val="HideTWBExt"/>
          <w:b w:val="0"/>
        </w:rPr>
        <w:t>&lt;RepeatBlock-By&gt;</w:t>
      </w:r>
      <w:r>
        <w:rPr>
          <w:rStyle w:val="HideTWBExt"/>
          <w:b w:val="0"/>
        </w:rPr>
        <w:t>&lt;Members&gt;</w:t>
      </w:r>
      <w:r>
        <w:t>Michał Wawrykiewicz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34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34.</w:t>
            </w:r>
            <w:r>
              <w:tab/>
            </w:r>
            <w:r>
              <w:t xml:space="preserve">pakartoja savo raginimą Komisijai toliau integruoti </w:t>
            </w:r>
            <w:r>
              <w:rPr>
                <w:b/>
                <w:i/>
              </w:rPr>
              <w:t>reagavimo priemones</w:t>
            </w:r>
            <w:r>
              <w:t xml:space="preserve"> į teisinės valstybės principo taikymo ataskaitą, pvz., ES sutarties 7 straipsnyje numatytas procedūras, bendrą sąlygų mechanizmą ir pažeidimo nagrinėjimo procedūras</w:t>
            </w:r>
            <w:r>
              <w:rPr>
                <w:vertAlign w:val="superscript"/>
              </w:rPr>
              <w:t>48</w:t>
            </w:r>
            <w:r>
              <w:t>;</w:t>
            </w:r>
          </w:p>
        </w:tc>
        <w:tc>
          <w:tcPr>
            <w:tcW w:w="4876" w:type="dxa"/>
            <w:tcBorders>
              <w:top w:val="nil"/>
              <w:left w:val="nil"/>
              <w:bottom w:val="nil"/>
              <w:right w:val="nil"/>
            </w:tcBorders>
          </w:tcPr>
          <w:p>
            <w:pPr>
              <w:pStyle w:val="Normal6a"/>
            </w:pPr>
            <w:r>
              <w:t>34.</w:t>
            </w:r>
            <w:r>
              <w:tab/>
            </w:r>
            <w:r>
              <w:t xml:space="preserve">pakartoja savo raginimą Komisijai toliau integruoti į teisinės valstybės principo taikymo ataskaitą </w:t>
            </w:r>
            <w:r>
              <w:rPr>
                <w:b/>
                <w:i/>
              </w:rPr>
              <w:t>vykdymo užtikrinimo priemones</w:t>
            </w:r>
            <w:r>
              <w:t>, pvz., ES sutarties 7 straipsnyje numatytas procedūras, bendrą sąlygų mechanizmą ir pažeidimo nagrinėjimo procedūras</w:t>
            </w:r>
            <w:r>
              <w:rPr>
                <w:vertAlign w:val="superscript"/>
              </w:rPr>
              <w:t>48</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48</w:t>
            </w:r>
            <w:r>
              <w:t xml:space="preserve"> </w:t>
            </w:r>
            <w:r>
              <w:t xml:space="preserve">NVO „Hungarian Helsinki Committee“, „ES vertybių </w:t>
            </w:r>
            <w:r>
              <w:rPr>
                <w:b/>
                <w:i/>
              </w:rPr>
              <w:t>nepaisymas.teisinės</w:t>
            </w:r>
            <w:r>
              <w:t xml:space="preserve"> valstybės principo taikymo problemų Vengrijoje apžvalga atsižvelgiant į 7 straipsnio procedūrą“ („Disregard for EU values: a snapshot of RoL issues in Hungary in light of the Article 7 procedure“), 2024 m. lapkričio 12 d.</w:t>
            </w:r>
          </w:p>
        </w:tc>
        <w:tc>
          <w:tcPr>
            <w:tcW w:w="4876" w:type="dxa"/>
            <w:tcBorders>
              <w:top w:val="nil"/>
              <w:left w:val="nil"/>
              <w:bottom w:val="nil"/>
              <w:right w:val="nil"/>
            </w:tcBorders>
          </w:tcPr>
          <w:p>
            <w:pPr>
              <w:pStyle w:val="Normal6a"/>
            </w:pPr>
            <w:r>
              <w:rPr>
                <w:vertAlign w:val="superscript"/>
              </w:rPr>
              <w:t>48</w:t>
            </w:r>
            <w:r>
              <w:t xml:space="preserve"> </w:t>
            </w:r>
            <w:r>
              <w:t xml:space="preserve">NVO „Hungarian Helsinki Committee“, „ES vertybių </w:t>
            </w:r>
            <w:r>
              <w:rPr>
                <w:b/>
                <w:i/>
              </w:rPr>
              <w:t>nepaisymas.</w:t>
            </w:r>
            <w:r>
              <w:t xml:space="preserve"> </w:t>
            </w:r>
            <w:r>
              <w:rPr>
                <w:b/>
                <w:i/>
              </w:rPr>
              <w:t>Teisinės</w:t>
            </w:r>
            <w:r>
              <w:t xml:space="preserve"> valstybės principo taikymo problemų Vengrijoje apžvalga atsižvelgiant į 7 straipsnio procedūrą“ („Disregard for EU values: a snapshot of RoL issues in Hungary in light of the Article 7 procedure“), 2024 m. lapkričio 12 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724</w:t>
      </w:r>
      <w:r>
        <w:rPr>
          <w:rStyle w:val="HideTWBExt"/>
        </w:rPr>
        <w:t>&lt;/NumAm&gt;</w:t>
      </w:r>
    </w:p>
    <w:p>
      <w:pPr>
        <w:pStyle w:val="NormalBold"/>
      </w:pPr>
      <w:r>
        <w:rPr>
          <w:rStyle w:val="HideTWBExt"/>
          <w:b w:val="0"/>
        </w:rPr>
        <w:t>&lt;RepeatBlock-By&gt;</w:t>
      </w:r>
      <w:r>
        <w:rPr>
          <w:rStyle w:val="HideTWBExt"/>
          <w:b w:val="0"/>
        </w:rPr>
        <w:t>&lt;Members&gt;</w:t>
      </w:r>
      <w:r>
        <w:t>Birgit Sippel, Klára Dobrev, Krzysztof Śmiszek, 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34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34a.</w:t>
            </w:r>
            <w:r>
              <w:tab/>
            </w:r>
            <w:r>
              <w:rPr>
                <w:b/>
                <w:i/>
              </w:rPr>
              <w:t>apgailestauja, kad Vengrijos vyriausybė nėra ėmusis jokių prasmingų veiksmų, kad įgyvendintų 2024 m. teisinės valstybės principo taikymo ataskaitoje išdėstytas rekomendacijas;</w:t>
            </w:r>
            <w:r>
              <w:t xml:space="preserve"> </w:t>
            </w:r>
            <w:r>
              <w:rPr>
                <w:b/>
                <w:i/>
              </w:rPr>
              <w:t>pabrėžia, kad padėtis, susijusi su žiniasklaidos laisve, stabdžių ir atsvarų sistema, aukšto lygio korupcija ir pilietinės visuomenės organizacijų erdve, nuo jos paskelbimo pablogėjo dar labiau;</w:t>
            </w:r>
            <w:r>
              <w:t xml:space="preserve"> </w:t>
            </w:r>
            <w:r>
              <w:rPr>
                <w:b/>
                <w:i/>
              </w:rPr>
              <w:t>pabrėžia, kad 2023 m. teismų reforma nepadėjo pasiekti esminio pagerėjimo, susijusio su teisminių institucijų nepriklausomumu, smerkia vyriausybės pastarojo meto žingsnį ilgai lauktą teisėjų atlyginimų korekciją susieti su jų pritarimu tolesniam politiniam kišimuisi, kuris kenkia teismų nepriklausomumui;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725</w:t>
      </w:r>
      <w:r>
        <w:rPr>
          <w:rStyle w:val="HideTWBExt"/>
        </w:rPr>
        <w:t>&lt;/NumAm&gt;</w:t>
      </w:r>
    </w:p>
    <w:p>
      <w:pPr>
        <w:pStyle w:val="NormalBold"/>
      </w:pPr>
      <w:r>
        <w:rPr>
          <w:rStyle w:val="HideTWBExt"/>
          <w:b w:val="0"/>
        </w:rPr>
        <w:t>&lt;RepeatBlock-By&gt;</w:t>
      </w:r>
      <w:r>
        <w:rPr>
          <w:rStyle w:val="HideTWBExt"/>
          <w:b w:val="0"/>
        </w:rPr>
        <w:t>&lt;Members&gt;</w:t>
      </w:r>
      <w:r>
        <w:t>Alessandro Zan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34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34a.</w:t>
            </w:r>
            <w:r>
              <w:tab/>
            </w:r>
            <w:r>
              <w:rPr>
                <w:b/>
                <w:i/>
              </w:rPr>
              <w:t>ragina Komisiją ir valstybes nares kovoti su diskriminacija dėl rasinės ir etninės kilmės, religijos ar tikėjimo, pilietybės, politinių pažiūrų, kalbos, negalios, amžiaus, lyties, įskaitant lytinę tapatybę ir lyties raišką, ir seksualinės orientacijos;</w:t>
            </w:r>
            <w:r>
              <w:t xml:space="preserve"> </w:t>
            </w:r>
            <w:r>
              <w:rPr>
                <w:b/>
                <w:i/>
              </w:rPr>
              <w:t>ragina Tarybą pasiekti susitarimą dėl Direktyvos 2008/140/EB;</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726</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34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34a.</w:t>
            </w:r>
            <w:r>
              <w:tab/>
            </w:r>
            <w:r>
              <w:rPr>
                <w:b/>
                <w:i/>
              </w:rPr>
              <w:t>apgailestauja, kad Vengrijos vyriausybė nėra ėmusis jokių prasmingų veiksmų, kad įgyvendintų 2024 m. teisinės valstybės principo taikymo ataskaitoje išdėstytas rekomendacijas, ir kad Vengrija yra vienintelė valstybė narė, kuriai taikoma ES sutarties 7 straipsnio 1 dalyje numatyta procedūra;</w:t>
            </w:r>
            <w:r>
              <w:t xml:space="preserve"> </w:t>
            </w:r>
            <w:r>
              <w:rPr>
                <w:b/>
                <w:i/>
              </w:rPr>
              <w:t>pabrėžia, kad teisinės valstybės principo laikomasi vis prasčiau;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727</w:t>
      </w:r>
      <w:r>
        <w:rPr>
          <w:rStyle w:val="HideTWBExt"/>
        </w:rPr>
        <w:t>&lt;/NumAm&gt;</w:t>
      </w:r>
    </w:p>
    <w:p>
      <w:pPr>
        <w:pStyle w:val="NormalBold"/>
      </w:pPr>
      <w:r>
        <w:rPr>
          <w:rStyle w:val="HideTWBExt"/>
          <w:b w:val="0"/>
        </w:rPr>
        <w:t>&lt;RepeatBlock-By&gt;</w:t>
      </w:r>
      <w:r>
        <w:rPr>
          <w:rStyle w:val="HideTWBExt"/>
          <w:b w:val="0"/>
        </w:rPr>
        <w:t>&lt;Members&gt;</w:t>
      </w:r>
      <w:r>
        <w:t>Marco Tarquinio, Alessandro Zan, Damien Carême, Mélissa Camara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34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34a.</w:t>
            </w:r>
            <w:r>
              <w:tab/>
            </w:r>
            <w:r>
              <w:rPr>
                <w:b/>
                <w:i/>
              </w:rPr>
              <w:t>ragina Europos Komisiją į būsimas teisinės valstybės principo taikymo ataskaitas aiškiai įtraukti rasinio teisingumo aspektus ir reikalauti, kad valstybės narės rinktų palyginamus ir patikimus suskirstytus duomenis apie lygybę, kad būtų galima visapusiškai įvertinti struktūrinės diskriminacijos poveikį teisinei valstybei;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728</w:t>
      </w:r>
      <w:r>
        <w:rPr>
          <w:rStyle w:val="HideTWBExt"/>
        </w:rPr>
        <w:t>&lt;/NumAm&gt;</w:t>
      </w:r>
    </w:p>
    <w:p>
      <w:pPr>
        <w:pStyle w:val="NormalBold"/>
      </w:pPr>
      <w:r>
        <w:rPr>
          <w:rStyle w:val="HideTWBExt"/>
          <w:b w:val="0"/>
        </w:rPr>
        <w:t>&lt;RepeatBlock-By&gt;</w:t>
      </w:r>
      <w:r>
        <w:rPr>
          <w:rStyle w:val="HideTWBExt"/>
          <w:b w:val="0"/>
        </w:rPr>
        <w:t>&lt;Members&gt;</w:t>
      </w:r>
      <w:r>
        <w:t>Alessandro Zan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34 b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34b.</w:t>
            </w:r>
            <w:r>
              <w:tab/>
            </w:r>
            <w:r>
              <w:rPr>
                <w:b/>
                <w:i/>
              </w:rPr>
              <w:t>ragina Komisiją ir valstybes nares užtikrinti, kad visoje ES teritorijoje būtų visapusiškai gerbiamos LGBTQIA+ teisės ir kad LGBTQIA+ asmenys galėtų saugiai gyventi, naudotis savo teisėmis ir visapusiškai išnaudoti savo potencialą;</w:t>
            </w:r>
            <w:r>
              <w:t xml:space="preserve"> </w:t>
            </w:r>
            <w:r>
              <w:rPr>
                <w:b/>
                <w:i/>
              </w:rPr>
              <w:t>ragina Komisiją ir Tarybą užtikrinti, kad LGBTQIA+ teisės būtų kompleksinis prioritetas visose politikos srityse;</w:t>
            </w:r>
            <w:r>
              <w:t xml:space="preserve"> </w:t>
            </w:r>
            <w:r>
              <w:rPr>
                <w:b/>
                <w:i/>
              </w:rPr>
              <w:t>ragina Komisiją pasiūlyti tinkamų teisėkūros priemonių, kuriomis užtikrinama, kad būtų laikomasi šių principų, taip pat valstybių narių atžvilgiu taikyti pažeidimo nagrinėjimo procedūras;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729</w:t>
      </w:r>
      <w:r>
        <w:rPr>
          <w:rStyle w:val="HideTWBExt"/>
        </w:rPr>
        <w:t>&lt;/NumAm&gt;</w:t>
      </w:r>
    </w:p>
    <w:p>
      <w:pPr>
        <w:pStyle w:val="NormalBold"/>
      </w:pPr>
      <w:r>
        <w:rPr>
          <w:rStyle w:val="HideTWBExt"/>
          <w:b w:val="0"/>
        </w:rPr>
        <w:t>&lt;RepeatBlock-By&gt;</w:t>
      </w:r>
      <w:r>
        <w:rPr>
          <w:rStyle w:val="HideTWBExt"/>
          <w:b w:val="0"/>
        </w:rPr>
        <w:t>&lt;Members&gt;</w:t>
      </w:r>
      <w:r>
        <w:t>Alessandro Zan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34 c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34c.</w:t>
            </w:r>
            <w:r>
              <w:tab/>
            </w:r>
            <w:r>
              <w:rPr>
                <w:b/>
                <w:i/>
              </w:rPr>
              <w:t>pakartoja savo raginimą Komisijai kovoti su bet kokia diskriminacine praktika ir užtikrinti ES pagrindinių teisių chartijoje įtvirtintų principų apsaugą;</w:t>
            </w:r>
            <w:r>
              <w:t xml:space="preserve"> </w:t>
            </w:r>
            <w:r>
              <w:rPr>
                <w:b/>
                <w:i/>
              </w:rPr>
              <w:t>primygtinai ragina Komisiją užtikrinti, kad ES teritorijoje būtų visapusiškai gerbiamas laisvas asmenų judėjimas ES viduje, teisė laisvai apsigyventi ir šeimos susijungimas ir kad kiekvienas pilietis galėtų teisėmis naudotis vienodomis sąlygomis ir visapusiškai;</w:t>
            </w:r>
            <w:r>
              <w:t xml:space="preserve"> </w:t>
            </w:r>
            <w:r>
              <w:rPr>
                <w:b/>
                <w:i/>
              </w:rPr>
              <w:t>ragina Komisiją Direktyvą 2004/38/EB išdėstyti nauja redakcija, kad į ją būtų įtrauktas tarpvalstybinis šeimos teisių pripažinimas, įskaitant tos pačios lyties tėvų vaiko kilmės pripažinimą, atsižvelgiant į naujausius ES Teisingumo Teismo sprendimus;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730</w:t>
      </w:r>
      <w:r>
        <w:rPr>
          <w:rStyle w:val="HideTWBExt"/>
        </w:rPr>
        <w:t>&lt;/NumAm&gt;</w:t>
      </w:r>
    </w:p>
    <w:p>
      <w:pPr>
        <w:pStyle w:val="NormalBold"/>
      </w:pPr>
      <w:r>
        <w:rPr>
          <w:rStyle w:val="HideTWBExt"/>
          <w:b w:val="0"/>
        </w:rPr>
        <w:t>&lt;RepeatBlock-By&gt;</w:t>
      </w:r>
      <w:r>
        <w:rPr>
          <w:rStyle w:val="HideTWBExt"/>
          <w:b w:val="0"/>
        </w:rPr>
        <w:t>&lt;Members&gt;</w:t>
      </w:r>
      <w:r>
        <w:t>Nicolas Bay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35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35.</w:t>
            </w:r>
            <w:r>
              <w:tab/>
            </w:r>
            <w:r>
              <w:rPr>
                <w:b/>
                <w:i/>
              </w:rPr>
              <w:t>pabrėžia, kad svarbu į finansavimo priemones, pvz., EGADP, įtraukti su teisine valstybe susijusias tarpines reikšmes;</w:t>
            </w:r>
            <w:r>
              <w:t xml:space="preserve"> </w:t>
            </w:r>
            <w:r>
              <w:rPr>
                <w:b/>
                <w:i/>
              </w:rPr>
              <w:t>apgailestauja dėl sprendimo išmokėti ES lėšas Vengrijai, nepaisant problemų užtikrinant teismų nepriklausomumą ir kovos su korupcija sistemų trūkumų šioje šalyje;</w:t>
            </w:r>
            <w:r>
              <w:t xml:space="preserve"> </w:t>
            </w:r>
            <w:r>
              <w:rPr>
                <w:b/>
                <w:i/>
              </w:rPr>
              <w:t>rekomenduoja sustabdyti lėšų mokėjimą, kol bus įvykdyti visi teisinės valstybės kriterijai;</w:t>
            </w:r>
          </w:p>
        </w:tc>
        <w:tc>
          <w:tcPr>
            <w:tcW w:w="4876" w:type="dxa"/>
            <w:tcBorders>
              <w:top w:val="nil"/>
              <w:left w:val="nil"/>
              <w:bottom w:val="nil"/>
              <w:right w:val="nil"/>
            </w:tcBorders>
          </w:tcPr>
          <w:p>
            <w:pPr>
              <w:pStyle w:val="Normal6a"/>
            </w:pPr>
            <w:r>
              <w:rPr>
                <w:b/>
                <w:i/>
              </w:rPr>
              <w:t>Išbraukta.</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731</w:t>
      </w:r>
      <w:r>
        <w:rPr>
          <w:rStyle w:val="HideTWBExt"/>
        </w:rPr>
        <w:t>&lt;/NumAm&gt;</w:t>
      </w:r>
    </w:p>
    <w:p>
      <w:pPr>
        <w:pStyle w:val="NormalBold"/>
      </w:pPr>
      <w:r>
        <w:rPr>
          <w:rStyle w:val="HideTWBExt"/>
          <w:b w:val="0"/>
        </w:rPr>
        <w:t>&lt;RepeatBlock-By&gt;</w:t>
      </w:r>
      <w:r>
        <w:rPr>
          <w:rStyle w:val="HideTWBExt"/>
          <w:b w:val="0"/>
        </w:rPr>
        <w:t>&lt;Members&gt;</w:t>
      </w:r>
      <w:r>
        <w:t>Erik Kaliňák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35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35.</w:t>
            </w:r>
            <w:r>
              <w:tab/>
            </w:r>
            <w:r>
              <w:rPr>
                <w:b/>
                <w:i/>
              </w:rPr>
              <w:t>pabrėžia, kad svarbu į finansavimo priemones, pvz., EGADP, įtraukti su teisine valstybe susijusias tarpines reikšmes;</w:t>
            </w:r>
            <w:r>
              <w:t xml:space="preserve"> </w:t>
            </w:r>
            <w:r>
              <w:rPr>
                <w:b/>
                <w:i/>
              </w:rPr>
              <w:t>apgailestauja dėl sprendimo išmokėti ES lėšas Vengrijai, nepaisant problemų užtikrinant teismų nepriklausomumą ir kovos su korupcija sistemų trūkumų šioje šalyje;</w:t>
            </w:r>
            <w:r>
              <w:t xml:space="preserve"> </w:t>
            </w:r>
            <w:r>
              <w:rPr>
                <w:b/>
                <w:i/>
              </w:rPr>
              <w:t>rekomenduoja sustabdyti lėšų mokėjimą, kol bus įvykdyti visi teisinės valstybės kriterijai;</w:t>
            </w:r>
          </w:p>
        </w:tc>
        <w:tc>
          <w:tcPr>
            <w:tcW w:w="4876" w:type="dxa"/>
            <w:tcBorders>
              <w:top w:val="nil"/>
              <w:left w:val="nil"/>
              <w:bottom w:val="nil"/>
              <w:right w:val="nil"/>
            </w:tcBorders>
          </w:tcPr>
          <w:p>
            <w:pPr>
              <w:pStyle w:val="Normal6a"/>
            </w:pPr>
            <w:r>
              <w:rPr>
                <w:b/>
                <w:i/>
              </w:rPr>
              <w:t>Išbraukta.</w:t>
            </w:r>
          </w:p>
        </w:tc>
      </w:tr>
    </w:tbl>
    <w:p>
      <w:pPr>
        <w:pStyle w:val="AmOrLang"/>
      </w:pPr>
      <w:r>
        <w:t xml:space="preserve">Or. </w:t>
      </w:r>
      <w:r>
        <w:rPr>
          <w:rStyle w:val="HideTWBExt"/>
        </w:rPr>
        <w:t>&lt;Original&gt;</w:t>
      </w:r>
      <w:r>
        <w:rPr>
          <w:rStyle w:val="HideTWBInt"/>
        </w:rPr>
        <w:t>{SK}</w:t>
      </w:r>
      <w:r>
        <w:t>sk</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732</w:t>
      </w:r>
      <w:r>
        <w:rPr>
          <w:rStyle w:val="HideTWBExt"/>
        </w:rPr>
        <w:t>&lt;/NumAm&gt;</w:t>
      </w:r>
    </w:p>
    <w:p>
      <w:pPr>
        <w:pStyle w:val="NormalBold"/>
      </w:pPr>
      <w:r>
        <w:rPr>
          <w:rStyle w:val="HideTWBExt"/>
          <w:b w:val="0"/>
        </w:rPr>
        <w:t>&lt;RepeatBlock-By&gt;</w:t>
      </w:r>
      <w:r>
        <w:rPr>
          <w:rStyle w:val="HideTWBExt"/>
          <w:b w:val="0"/>
        </w:rPr>
        <w:t>&lt;Members&gt;</w:t>
      </w:r>
      <w:r>
        <w:t>Jorge Buxadé Villalba, Marieke Ehlers, Malika Sorel,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35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35.</w:t>
            </w:r>
            <w:r>
              <w:tab/>
            </w:r>
            <w:r>
              <w:rPr>
                <w:b/>
                <w:i/>
              </w:rPr>
              <w:t>pabrėžia, kad svarbu į finansavimo priemones, pvz., EGADP, įtraukti su teisine valstybe susijusias tarpines reikšmes;</w:t>
            </w:r>
            <w:r>
              <w:t xml:space="preserve"> </w:t>
            </w:r>
            <w:r>
              <w:rPr>
                <w:b/>
                <w:i/>
              </w:rPr>
              <w:t>apgailestauja dėl sprendimo išmokėti ES lėšas Vengrijai, nepaisant problemų užtikrinant teismų nepriklausomumą ir kovos su korupcija sistemų trūkumų šioje šalyje;</w:t>
            </w:r>
            <w:r>
              <w:t xml:space="preserve"> </w:t>
            </w:r>
            <w:r>
              <w:rPr>
                <w:b/>
                <w:i/>
              </w:rPr>
              <w:t>rekomenduoja sustabdyti lėšų mokėjimą, kol bus įvykdyti visi teisinės valstybės kriterijai;</w:t>
            </w:r>
          </w:p>
        </w:tc>
        <w:tc>
          <w:tcPr>
            <w:tcW w:w="4876" w:type="dxa"/>
            <w:tcBorders>
              <w:top w:val="nil"/>
              <w:left w:val="nil"/>
              <w:bottom w:val="nil"/>
              <w:right w:val="nil"/>
            </w:tcBorders>
          </w:tcPr>
          <w:p>
            <w:pPr>
              <w:pStyle w:val="Normal6a"/>
            </w:pPr>
            <w:r>
              <w:rPr>
                <w:b/>
                <w:i/>
              </w:rPr>
              <w:t>Išbraukta.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733</w:t>
      </w:r>
      <w:r>
        <w:rPr>
          <w:rStyle w:val="HideTWBExt"/>
        </w:rPr>
        <w:t>&lt;/NumAm&gt;</w:t>
      </w:r>
    </w:p>
    <w:p>
      <w:pPr>
        <w:pStyle w:val="NormalBold"/>
      </w:pPr>
      <w:r>
        <w:rPr>
          <w:rStyle w:val="HideTWBExt"/>
          <w:b w:val="0"/>
        </w:rPr>
        <w:t>&lt;RepeatBlock-By&gt;</w:t>
      </w:r>
      <w:r>
        <w:rPr>
          <w:rStyle w:val="HideTWBExt"/>
          <w:b w:val="0"/>
        </w:rPr>
        <w:t>&lt;Members&gt;</w:t>
      </w:r>
      <w:r>
        <w:t>Krzysztof Śmiszek, Matjaž Nemec, Robert Biedroń, Katarina Barley, Cecilia Strada, Klára Dobrev, Csaba Molnár, Emma Rafowicz, Alessandro Zan, Birgit Sippel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35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35.</w:t>
            </w:r>
            <w:r>
              <w:tab/>
            </w:r>
            <w:r>
              <w:t xml:space="preserve">pabrėžia, kad svarbu į finansavimo priemones, pvz., EGADP, įtraukti su teisine valstybe susijusias tarpines reikšmes; apgailestauja dėl sprendimo išmokėti ES lėšas </w:t>
            </w:r>
            <w:r>
              <w:rPr>
                <w:b/>
                <w:i/>
              </w:rPr>
              <w:t>Vengrijai</w:t>
            </w:r>
            <w:r>
              <w:t>, nepaisant problemų užtikrinant teismų nepriklausomumą ir kovos su korupcija sistemų trūkumų šioje šalyje; rekomenduoja sustabdyti lėšų mokėjimą, kol bus įvykdyti visi teisinės valstybės kriterijai;</w:t>
            </w:r>
          </w:p>
        </w:tc>
        <w:tc>
          <w:tcPr>
            <w:tcW w:w="4876" w:type="dxa"/>
            <w:tcBorders>
              <w:top w:val="nil"/>
              <w:left w:val="nil"/>
              <w:bottom w:val="nil"/>
              <w:right w:val="nil"/>
            </w:tcBorders>
          </w:tcPr>
          <w:p>
            <w:pPr>
              <w:pStyle w:val="Normal6a"/>
            </w:pPr>
            <w:r>
              <w:t>35.</w:t>
            </w:r>
            <w:r>
              <w:tab/>
            </w:r>
            <w:r>
              <w:t xml:space="preserve">pabrėžia, kad svarbu į finansavimo priemones, pvz., EGADP, įtraukti su teisine valstybe susijusias tarpines reikšmes; apgailestauja dėl sprendimo išmokėti ES lėšas </w:t>
            </w:r>
            <w:r>
              <w:rPr>
                <w:b/>
                <w:i/>
              </w:rPr>
              <w:t>Vengrijos vyriausybei</w:t>
            </w:r>
            <w:r>
              <w:t xml:space="preserve">, nepaisant </w:t>
            </w:r>
            <w:r>
              <w:rPr>
                <w:b/>
                <w:i/>
              </w:rPr>
              <w:t>tebesitęsiančių rimtų</w:t>
            </w:r>
            <w:r>
              <w:t xml:space="preserve"> problemų užtikrinant teismų nepriklausomumą ir kovos su korupcija sistemų trūkumų šioje šalyje; rekomenduoja sustabdyti lėšų mokėjimą, kol bus įvykdyti visi teisinės valstybės kriterijai; </w:t>
            </w:r>
            <w:r>
              <w:rPr>
                <w:b/>
                <w:i/>
              </w:rPr>
              <w:t>primygtinai ragina Tarybą sudaryti prielaidas imtis tolesnių veiksmų, susijusių su 7 straipsnyje numatyta procedūra prieš Vengriją, atsižvelgiant į nuolatinius ES vertybių pažeidimus, įskaitant išpuolius prieš teismų nepriklausomumą, žiniasklaidos laisvę ir pilietinę visuomenę, dėl kurių reikia nedelsiant imtis ryžtingų veiksmų siekiant Europos Sąjungoje apsaugoti teisinės valstybės principą;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734</w:t>
      </w:r>
      <w:r>
        <w:rPr>
          <w:rStyle w:val="HideTWBExt"/>
        </w:rPr>
        <w:t>&lt;/NumAm&gt;</w:t>
      </w:r>
    </w:p>
    <w:p>
      <w:pPr>
        <w:pStyle w:val="NormalBold"/>
      </w:pPr>
      <w:r>
        <w:rPr>
          <w:rStyle w:val="HideTWBExt"/>
          <w:b w:val="0"/>
        </w:rPr>
        <w:t>&lt;RepeatBlock-By&gt;</w:t>
      </w:r>
      <w:r>
        <w:rPr>
          <w:rStyle w:val="HideTWBExt"/>
          <w:b w:val="0"/>
        </w:rPr>
        <w:t>&lt;Members&gt;</w:t>
      </w:r>
      <w:r>
        <w:t>András László</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35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35.</w:t>
            </w:r>
            <w:r>
              <w:tab/>
            </w:r>
            <w:r>
              <w:rPr>
                <w:b/>
                <w:i/>
              </w:rPr>
              <w:t>pabrėžia, kad svarbu į finansavimo priemones, pvz., EGADP, įtraukti su teisine valstybe susijusias tarpines reikšmes;</w:t>
            </w:r>
            <w:r>
              <w:t xml:space="preserve"> </w:t>
            </w:r>
            <w:r>
              <w:rPr>
                <w:b/>
                <w:i/>
              </w:rPr>
              <w:t>apgailestauja dėl sprendimo išmokėti ES lėšas Vengrijai, nepaisant problemų užtikrinant teismų nepriklausomumą ir kovos su korupcija sistemų trūkumų šioje šalyje;</w:t>
            </w:r>
            <w:r>
              <w:t xml:space="preserve"> </w:t>
            </w:r>
            <w:r>
              <w:rPr>
                <w:b/>
                <w:i/>
              </w:rPr>
              <w:t>rekomenduoja sustabdyti lėšų mokėjimą, kol bus įvykdyti visi teisinės valstybės kriterijai</w:t>
            </w:r>
            <w:r>
              <w:t>;</w:t>
            </w:r>
          </w:p>
        </w:tc>
        <w:tc>
          <w:tcPr>
            <w:tcW w:w="4876" w:type="dxa"/>
            <w:tcBorders>
              <w:top w:val="nil"/>
              <w:left w:val="nil"/>
              <w:bottom w:val="nil"/>
              <w:right w:val="nil"/>
            </w:tcBorders>
          </w:tcPr>
          <w:p>
            <w:pPr>
              <w:pStyle w:val="Normal6a"/>
            </w:pPr>
            <w:r>
              <w:t>35.</w:t>
            </w:r>
            <w:r>
              <w:tab/>
            </w:r>
            <w:r>
              <w:rPr>
                <w:b/>
                <w:i/>
              </w:rPr>
              <w:t>su susirūpinimu atkreipia dėmesį į tai, kad Komisijos vykdoma teisinės valstybės kriterijų stebėsena pagal teisinės valstybės priemonių rinkinį yra politiškai šališka;</w:t>
            </w:r>
            <w:r>
              <w:t xml:space="preserve"> </w:t>
            </w:r>
            <w:r>
              <w:rPr>
                <w:b/>
                <w:i/>
              </w:rPr>
              <w:t>ragina Komisiją sustabdyti politinius išpuolius prieš dešiniąsias, konservatyvias vyriausybes;</w:t>
            </w:r>
            <w:r>
              <w:t xml:space="preserve"> </w:t>
            </w:r>
            <w:r>
              <w:rPr>
                <w:b/>
                <w:i/>
              </w:rPr>
              <w:t>pabrėžia, kad Komisija finansiškai ir politiškai šantažuoja Vengriją dėl jos Vaikų apsaugos įstatymo, Nacionalinio suvereniteto apsaugos įstatymo ir tvirtos pozicijos dėl migracijos politikos;</w:t>
            </w:r>
            <w:r>
              <w:t xml:space="preserve"> </w:t>
            </w:r>
            <w:r>
              <w:rPr>
                <w:b/>
                <w:i/>
              </w:rPr>
              <w:t>primena, kad Vengrija turi teisę į visas ES lėšas, kurias Komisija neteisėtai sustabdė;</w:t>
            </w:r>
            <w:r>
              <w:t xml:space="preserve"> </w:t>
            </w:r>
            <w:r>
              <w:rPr>
                <w:b/>
                <w:i/>
              </w:rPr>
              <w:t>ragina Europos Komisiją pervesti likusius 20 mlrd. EUR ES lėšų, į kurias Vengrija teisėtai turi teisę</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735</w:t>
      </w:r>
      <w:r>
        <w:rPr>
          <w:rStyle w:val="HideTWBExt"/>
        </w:rPr>
        <w:t>&lt;/NumAm&gt;</w:t>
      </w:r>
    </w:p>
    <w:p>
      <w:pPr>
        <w:pStyle w:val="NormalBold"/>
      </w:pPr>
      <w:r>
        <w:rPr>
          <w:rStyle w:val="HideTWBExt"/>
          <w:b w:val="0"/>
        </w:rPr>
        <w:t>&lt;RepeatBlock-By&gt;</w:t>
      </w:r>
      <w:r>
        <w:rPr>
          <w:rStyle w:val="HideTWBExt"/>
          <w:b w:val="0"/>
        </w:rPr>
        <w:t>&lt;Members&gt;</w:t>
      </w:r>
      <w:r>
        <w:t>Alessandro Ciriani, Paolo Inselvini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35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35.</w:t>
            </w:r>
            <w:r>
              <w:tab/>
            </w:r>
            <w:r>
              <w:rPr>
                <w:b/>
                <w:i/>
              </w:rPr>
              <w:t>pabrėžia, kad svarbu į finansavimo priemones, pvz., EGADP, įtraukti</w:t>
            </w:r>
            <w:r>
              <w:t xml:space="preserve"> su teisine valstybe </w:t>
            </w:r>
            <w:r>
              <w:rPr>
                <w:b/>
                <w:i/>
              </w:rPr>
              <w:t>susijusias tarpines reikšmes;</w:t>
            </w:r>
            <w:r>
              <w:t xml:space="preserve"> </w:t>
            </w:r>
            <w:r>
              <w:rPr>
                <w:b/>
                <w:i/>
              </w:rPr>
              <w:t>apgailestauja dėl sprendimo išmokėti ES lėšas Vengrijai, nepaisant problemų užtikrinant teismų nepriklausomumą ir kovos su korupcija sistemų trūkumų šioje šalyje;</w:t>
            </w:r>
            <w:r>
              <w:t xml:space="preserve"> </w:t>
            </w:r>
            <w:r>
              <w:rPr>
                <w:b/>
                <w:i/>
              </w:rPr>
              <w:t>rekomenduoja sustabdyti lėšų mokėjimą, kol bus įvykdyti visi teisinės valstybės kriterijai</w:t>
            </w:r>
            <w:r>
              <w:t>;</w:t>
            </w:r>
          </w:p>
        </w:tc>
        <w:tc>
          <w:tcPr>
            <w:tcW w:w="4876" w:type="dxa"/>
            <w:tcBorders>
              <w:top w:val="nil"/>
              <w:left w:val="nil"/>
              <w:bottom w:val="nil"/>
              <w:right w:val="nil"/>
            </w:tcBorders>
          </w:tcPr>
          <w:p>
            <w:pPr>
              <w:pStyle w:val="Normal6a"/>
            </w:pPr>
            <w:r>
              <w:t>35.</w:t>
            </w:r>
            <w:r>
              <w:tab/>
            </w:r>
            <w:r>
              <w:rPr>
                <w:b/>
                <w:i/>
              </w:rPr>
              <w:t>pažymi, kad</w:t>
            </w:r>
            <w:r>
              <w:t xml:space="preserve"> su teisine valstybe </w:t>
            </w:r>
            <w:r>
              <w:rPr>
                <w:b/>
                <w:i/>
              </w:rPr>
              <w:t>susijusios tarpinės reikšmės yra įtrauktos į finansavimo priemones, pvz., EGADP</w:t>
            </w:r>
            <w:r>
              <w:t>;</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736</w:t>
      </w:r>
      <w:r>
        <w:rPr>
          <w:rStyle w:val="HideTWBExt"/>
        </w:rPr>
        <w:t>&lt;/NumAm&gt;</w:t>
      </w:r>
    </w:p>
    <w:p>
      <w:pPr>
        <w:pStyle w:val="NormalBold"/>
      </w:pPr>
      <w:r>
        <w:rPr>
          <w:rStyle w:val="HideTWBExt"/>
          <w:b w:val="0"/>
        </w:rPr>
        <w:t>&lt;RepeatBlock-By&gt;</w:t>
      </w:r>
      <w:r>
        <w:rPr>
          <w:rStyle w:val="HideTWBExt"/>
          <w:b w:val="0"/>
        </w:rPr>
        <w:t>&lt;Members&gt;</w:t>
      </w:r>
      <w:r>
        <w:t>Birgit Sippel, Klára Dobrev, Krzysztof Śmiszek, 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35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35.</w:t>
            </w:r>
            <w:r>
              <w:tab/>
            </w:r>
            <w:r>
              <w:t xml:space="preserve">pabrėžia, kad svarbu į finansavimo priemones, pvz., EGADP, įtraukti su teisine valstybe susijusias tarpines reikšmes; apgailestauja dėl sprendimo išmokėti ES lėšas </w:t>
            </w:r>
            <w:r>
              <w:rPr>
                <w:b/>
                <w:i/>
              </w:rPr>
              <w:t>Vengrijai</w:t>
            </w:r>
            <w:r>
              <w:t xml:space="preserve">, nepaisant problemų užtikrinant teismų nepriklausomumą ir kovos su korupcija sistemų trūkumų šioje šalyje; rekomenduoja sustabdyti lėšų </w:t>
            </w:r>
            <w:r>
              <w:rPr>
                <w:b/>
                <w:i/>
              </w:rPr>
              <w:t>mokėjimą</w:t>
            </w:r>
            <w:r>
              <w:t>, kol bus įvykdyti visi teisinės valstybės kriterijai;</w:t>
            </w:r>
          </w:p>
        </w:tc>
        <w:tc>
          <w:tcPr>
            <w:tcW w:w="4876" w:type="dxa"/>
            <w:tcBorders>
              <w:top w:val="nil"/>
              <w:left w:val="nil"/>
              <w:bottom w:val="nil"/>
              <w:right w:val="nil"/>
            </w:tcBorders>
          </w:tcPr>
          <w:p>
            <w:pPr>
              <w:pStyle w:val="Normal6a"/>
            </w:pPr>
            <w:r>
              <w:t>35.</w:t>
            </w:r>
            <w:r>
              <w:tab/>
            </w:r>
            <w:r>
              <w:t xml:space="preserve">pabrėžia, kad svarbu į finansavimo priemones, pvz., EGADP, įtraukti su teisine valstybe susijusias tarpines reikšmes; apgailestauja dėl sprendimo išmokėti ES lėšas </w:t>
            </w:r>
            <w:r>
              <w:rPr>
                <w:b/>
                <w:i/>
              </w:rPr>
              <w:t>Vengrijos vyriausybei</w:t>
            </w:r>
            <w:r>
              <w:t xml:space="preserve">, nepaisant problemų užtikrinant teismų nepriklausomumą ir kovos su korupcija sistemų trūkumų šioje šalyje; rekomenduoja sustabdyti lėšų </w:t>
            </w:r>
            <w:r>
              <w:rPr>
                <w:b/>
                <w:i/>
              </w:rPr>
              <w:t>išmokėjimą Vengrijos vyriausybei tol</w:t>
            </w:r>
            <w:r>
              <w:t xml:space="preserve">, kol bus įvykdyti visi teisinės valstybės kriterijai; </w:t>
            </w:r>
            <w:r>
              <w:rPr>
                <w:b/>
                <w:i/>
              </w:rPr>
              <w:t>primygtinai ragina Komisiją užtikrinti, kad ES lėšos pasiektų Vengrijos gyventojus, be kita ko, per tiesioginį ar netiesioginį galutinių gavėjų ir nuo Vengrijos vyriausybės nepriklausančių naudos gavėjų finansavimą;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737</w:t>
      </w:r>
      <w:r>
        <w:rPr>
          <w:rStyle w:val="HideTWBExt"/>
        </w:rPr>
        <w:t>&lt;/NumAm&gt;</w:t>
      </w:r>
    </w:p>
    <w:p>
      <w:pPr>
        <w:pStyle w:val="NormalBold"/>
      </w:pPr>
      <w:r>
        <w:rPr>
          <w:rStyle w:val="HideTWBExt"/>
          <w:b w:val="0"/>
        </w:rPr>
        <w:t>&lt;RepeatBlock-By&gt;</w:t>
      </w:r>
      <w:r>
        <w:rPr>
          <w:rStyle w:val="HideTWBExt"/>
          <w:b w:val="0"/>
        </w:rPr>
        <w:t>&lt;Members&gt;</w:t>
      </w:r>
      <w:r>
        <w:t>Mariusz Kamiński, Joachim Stanisław Brudziński, Jadwiga Wiśniewska, Maciej Wąsik, Jacek Ozdoba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35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35.</w:t>
            </w:r>
            <w:r>
              <w:tab/>
            </w:r>
            <w:r>
              <w:t xml:space="preserve">pabrėžia, kad </w:t>
            </w:r>
            <w:r>
              <w:rPr>
                <w:b/>
                <w:i/>
              </w:rPr>
              <w:t>svarbu į</w:t>
            </w:r>
            <w:r>
              <w:t xml:space="preserve"> finansavimo </w:t>
            </w:r>
            <w:r>
              <w:rPr>
                <w:b/>
                <w:i/>
              </w:rPr>
              <w:t>priemones</w:t>
            </w:r>
            <w:r>
              <w:t xml:space="preserve">, pvz., EGADP, </w:t>
            </w:r>
            <w:r>
              <w:rPr>
                <w:b/>
                <w:i/>
              </w:rPr>
              <w:t>įtraukti su teisine valstybe susijusias tarpines reikšmes;</w:t>
            </w:r>
            <w:r>
              <w:t xml:space="preserve"> </w:t>
            </w:r>
            <w:r>
              <w:rPr>
                <w:b/>
                <w:i/>
              </w:rPr>
              <w:t>apgailestauja dėl sprendimo</w:t>
            </w:r>
            <w:r>
              <w:t xml:space="preserve"> išmokėti ES lėšas Vengrijai, </w:t>
            </w:r>
            <w:r>
              <w:rPr>
                <w:b/>
                <w:i/>
              </w:rPr>
              <w:t>nepaisant problemų</w:t>
            </w:r>
            <w:r>
              <w:t xml:space="preserve"> užtikrinant teismų nepriklausomumą ir kovos su korupcija sistemų trūkumų šioje šalyje</w:t>
            </w:r>
            <w:r>
              <w:rPr>
                <w:b/>
                <w:i/>
              </w:rPr>
              <w:t>;</w:t>
            </w:r>
            <w:r>
              <w:t xml:space="preserve"> </w:t>
            </w:r>
            <w:r>
              <w:rPr>
                <w:b/>
                <w:i/>
              </w:rPr>
              <w:t>rekomenduoja sustabdyti lėšų mokėjimą, kol bus įvykdyti visi</w:t>
            </w:r>
            <w:r>
              <w:t xml:space="preserve"> teisinės valstybės </w:t>
            </w:r>
            <w:r>
              <w:rPr>
                <w:b/>
                <w:i/>
              </w:rPr>
              <w:t>kriterijai</w:t>
            </w:r>
            <w:r>
              <w:t>;</w:t>
            </w:r>
          </w:p>
        </w:tc>
        <w:tc>
          <w:tcPr>
            <w:tcW w:w="4876" w:type="dxa"/>
            <w:tcBorders>
              <w:top w:val="nil"/>
              <w:left w:val="nil"/>
              <w:bottom w:val="nil"/>
              <w:right w:val="nil"/>
            </w:tcBorders>
          </w:tcPr>
          <w:p>
            <w:pPr>
              <w:pStyle w:val="Normal6a"/>
            </w:pPr>
            <w:r>
              <w:t>35.</w:t>
            </w:r>
            <w:r>
              <w:tab/>
            </w:r>
            <w:r>
              <w:t xml:space="preserve">pabrėžia, kad </w:t>
            </w:r>
            <w:r>
              <w:rPr>
                <w:b/>
                <w:i/>
              </w:rPr>
              <w:t>su teisine valstybe susijusių tarpinių reikšmių taikymas</w:t>
            </w:r>
            <w:r>
              <w:t xml:space="preserve"> finansavimo </w:t>
            </w:r>
            <w:r>
              <w:rPr>
                <w:b/>
                <w:i/>
              </w:rPr>
              <w:t>priemonėse</w:t>
            </w:r>
            <w:r>
              <w:t xml:space="preserve">, pvz., EGADP, </w:t>
            </w:r>
            <w:r>
              <w:rPr>
                <w:b/>
                <w:i/>
              </w:rPr>
              <w:t>yra nesuderinamas su pareiga laikytis Sutarčių ir objektyviais kriterijais grindžiamo požiūrio;</w:t>
            </w:r>
            <w:r>
              <w:t xml:space="preserve"> </w:t>
            </w:r>
            <w:r>
              <w:rPr>
                <w:b/>
                <w:i/>
              </w:rPr>
              <w:t>atkreipia dėmesį į sprendimą</w:t>
            </w:r>
            <w:r>
              <w:t xml:space="preserve"> išmokėti ES lėšas Vengrijai, </w:t>
            </w:r>
            <w:r>
              <w:rPr>
                <w:b/>
                <w:i/>
              </w:rPr>
              <w:t>kuris neprieštarauja Sutartims, ir į tai, kad galimos problemos</w:t>
            </w:r>
            <w:r>
              <w:t xml:space="preserve"> užtikrinant teismų nepriklausomumą ir kovos su korupcija sistemų trūkumų šioje šalyje </w:t>
            </w:r>
            <w:r>
              <w:rPr>
                <w:b/>
                <w:i/>
              </w:rPr>
              <w:t>turėtų būti sprendžiamos taikant Sutartims neprieštaraujančias procedūras;</w:t>
            </w:r>
            <w:r>
              <w:t xml:space="preserve"> </w:t>
            </w:r>
            <w:r>
              <w:rPr>
                <w:b/>
                <w:i/>
              </w:rPr>
              <w:t>pabrėžia, kad lėšų mokėjimas iš ES fondų nėra susietas su savavališkais</w:t>
            </w:r>
            <w:r>
              <w:t xml:space="preserve"> teisinės valstybės </w:t>
            </w:r>
            <w:r>
              <w:rPr>
                <w:b/>
                <w:i/>
              </w:rPr>
              <w:t>kriterijais</w:t>
            </w:r>
            <w:r>
              <w:t>;</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738</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35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35.</w:t>
            </w:r>
            <w:r>
              <w:tab/>
            </w:r>
            <w:r>
              <w:t xml:space="preserve">pabrėžia, kad svarbu į finansavimo priemones, pvz., EGADP, įtraukti su teisine valstybe susijusias tarpines reikšmes; apgailestauja dėl sprendimo išmokėti ES lėšas </w:t>
            </w:r>
            <w:r>
              <w:rPr>
                <w:b/>
                <w:i/>
              </w:rPr>
              <w:t>Vengrijai</w:t>
            </w:r>
            <w:r>
              <w:t xml:space="preserve">, nepaisant problemų užtikrinant teismų nepriklausomumą ir kovos su korupcija sistemų trūkumų šioje šalyje; rekomenduoja sustabdyti lėšų </w:t>
            </w:r>
            <w:r>
              <w:rPr>
                <w:b/>
                <w:i/>
              </w:rPr>
              <w:t>mokėjimą, kol bus įvykdyti visi</w:t>
            </w:r>
            <w:r>
              <w:t xml:space="preserve"> teisinės valstybės </w:t>
            </w:r>
            <w:r>
              <w:rPr>
                <w:b/>
                <w:i/>
              </w:rPr>
              <w:t>kriterijai</w:t>
            </w:r>
            <w:r>
              <w:t>;</w:t>
            </w:r>
          </w:p>
        </w:tc>
        <w:tc>
          <w:tcPr>
            <w:tcW w:w="4876" w:type="dxa"/>
            <w:tcBorders>
              <w:top w:val="nil"/>
              <w:left w:val="nil"/>
              <w:bottom w:val="nil"/>
              <w:right w:val="nil"/>
            </w:tcBorders>
          </w:tcPr>
          <w:p>
            <w:pPr>
              <w:pStyle w:val="Normal6a"/>
            </w:pPr>
            <w:r>
              <w:t>35.</w:t>
            </w:r>
            <w:r>
              <w:tab/>
            </w:r>
            <w:r>
              <w:t xml:space="preserve">pabrėžia, kad svarbu į finansavimo priemones, pvz., EGADP, įtraukti su teisine valstybe susijusias tarpines reikšmes; apgailestauja dėl sprendimo išmokėti ES lėšas </w:t>
            </w:r>
            <w:r>
              <w:rPr>
                <w:b/>
                <w:i/>
              </w:rPr>
              <w:t>Vengrijos vyriausybei</w:t>
            </w:r>
            <w:r>
              <w:t xml:space="preserve">, nepaisant problemų užtikrinant teismų nepriklausomumą ir kovos su korupcija sistemų trūkumų šioje šalyje; rekomenduoja sustabdyti lėšų </w:t>
            </w:r>
            <w:r>
              <w:rPr>
                <w:b/>
                <w:i/>
              </w:rPr>
              <w:t>išmokėjimą Vengrijos vyriausybei tol, kol ji neatitinka visų</w:t>
            </w:r>
            <w:r>
              <w:t xml:space="preserve"> teisinės valstybės </w:t>
            </w:r>
            <w:r>
              <w:rPr>
                <w:b/>
                <w:i/>
              </w:rPr>
              <w:t>kriterijų;</w:t>
            </w:r>
            <w:r>
              <w:t xml:space="preserve"> </w:t>
            </w:r>
            <w:r>
              <w:rPr>
                <w:b/>
                <w:i/>
              </w:rPr>
              <w:t>primygtinai ragina Komisiją užtikrinti, kad ES lėšos pasiektų Vengrijos gyventojus, kartu išlaikant visapusišką priemonių, kurių imtasi, poveikį</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739</w:t>
      </w:r>
      <w:r>
        <w:rPr>
          <w:rStyle w:val="HideTWBExt"/>
        </w:rPr>
        <w:t>&lt;/NumAm&gt;</w:t>
      </w:r>
    </w:p>
    <w:p>
      <w:pPr>
        <w:pStyle w:val="NormalBold"/>
      </w:pPr>
      <w:r>
        <w:rPr>
          <w:rStyle w:val="HideTWBExt"/>
          <w:b w:val="0"/>
        </w:rPr>
        <w:t>&lt;RepeatBlock-By&gt;</w:t>
      </w:r>
      <w:r>
        <w:rPr>
          <w:rStyle w:val="HideTWBExt"/>
          <w:b w:val="0"/>
        </w:rPr>
        <w:t>&lt;Members&gt;</w:t>
      </w:r>
      <w:r>
        <w:t>Nikola Minchev, Moritz Körner, Veronika Cifrová Ostrihoňová, Abir Al-Sahlani, Chloé Ridel, Alessandro Zan, Fabienne Keller, Lucia Yar, Irena Joveva, Isabel Wiseler-Lima, Daniel Freund</w:t>
      </w:r>
      <w:r>
        <w:rPr>
          <w:rStyle w:val="HideTWBExt"/>
          <w:b w:val="0"/>
        </w:rPr>
        <w:t>&lt;/Members&gt;</w:t>
      </w:r>
    </w:p>
    <w:p>
      <w:r>
        <w:rPr>
          <w:rStyle w:val="HideTWBExt"/>
          <w:b w:val="0"/>
        </w:rPr>
        <w:t>&lt;AuNomDe&gt;</w:t>
      </w:r>
      <w:r>
        <w:rPr>
          <w:rStyle w:val="HideTWBInt"/>
        </w:rPr>
        <w:t>{LIBE}</w:t>
      </w:r>
      <w:r>
        <w:t>Piliečių laisvių, teisingumo ir vidaus reikalų komiteto vardu</w:t>
      </w:r>
      <w:r>
        <w:rPr>
          <w:rStyle w:val="HideTWBExt"/>
          <w:b w:val="0"/>
        </w:rPr>
        <w:t>&lt;/AuNomDe&gt;</w:t>
      </w:r>
    </w:p>
    <w:p>
      <w:pPr>
        <w:pStyle w:val="NormalBold"/>
      </w:pPr>
      <w:r>
        <w:rPr>
          <w:rStyle w:val="HideTWBExt"/>
          <w:b w:val="0"/>
        </w:rPr>
        <w:t>&lt;Members&gt;</w:t>
      </w:r>
      <w:r>
        <w:t>Sophie Wilmès, Hilde Vautmans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35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35.</w:t>
            </w:r>
            <w:r>
              <w:tab/>
            </w:r>
            <w:r>
              <w:t>pabrėžia, kad svarbu į finansavimo priemones, pvz., EGADP, įtraukti su teisine valstybe susijusias tarpines reikšmes; apgailestauja dėl sprendimo išmokėti ES lėšas Vengrijai, nepaisant problemų užtikrinant teismų nepriklausomumą ir kovos su korupcija sistemų trūkumų šioje šalyje; rekomenduoja sustabdyti lėšų mokėjimą, kol bus įvykdyti visi teisinės valstybės kriterijai;</w:t>
            </w:r>
          </w:p>
        </w:tc>
        <w:tc>
          <w:tcPr>
            <w:tcW w:w="4876" w:type="dxa"/>
            <w:tcBorders>
              <w:top w:val="nil"/>
              <w:left w:val="nil"/>
              <w:bottom w:val="nil"/>
              <w:right w:val="nil"/>
            </w:tcBorders>
          </w:tcPr>
          <w:p>
            <w:pPr>
              <w:pStyle w:val="Normal6a"/>
            </w:pPr>
            <w:r>
              <w:t>35.</w:t>
            </w:r>
            <w:r>
              <w:tab/>
            </w:r>
            <w:r>
              <w:t xml:space="preserve">pabrėžia, kad svarbu į finansavimo priemones, pvz., EGADP, įtraukti su teisine valstybe susijusias tarpines reikšmes; </w:t>
            </w:r>
            <w:r>
              <w:rPr>
                <w:b/>
                <w:i/>
              </w:rPr>
              <w:t>prašo, kad į būsimą DFP būtų įtrauktos patikimos teisinės valstybės apsaugos priemonės, taikomos visiems ES fondams;</w:t>
            </w:r>
            <w:r>
              <w:t xml:space="preserve"> apgailestauja dėl sprendimo išmokėti ES lėšas Vengrijai, nepaisant problemų užtikrinant teismų nepriklausomumą ir kovos su korupcija sistemų trūkumų šioje šalyje; rekomenduoja sustabdyti lėšų mokėjimą, kol bus įvykdyti visi teisinės valstybės kriterijai;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740</w:t>
      </w:r>
      <w:r>
        <w:rPr>
          <w:rStyle w:val="HideTWBExt"/>
        </w:rPr>
        <w:t>&lt;/NumAm&gt;</w:t>
      </w:r>
    </w:p>
    <w:p>
      <w:pPr>
        <w:pStyle w:val="NormalBold"/>
      </w:pPr>
      <w:r>
        <w:rPr>
          <w:rStyle w:val="HideTWBExt"/>
          <w:b w:val="0"/>
        </w:rPr>
        <w:t>&lt;RepeatBlock-By&gt;</w:t>
      </w:r>
      <w:r>
        <w:rPr>
          <w:rStyle w:val="HideTWBExt"/>
          <w:b w:val="0"/>
        </w:rPr>
        <w:t>&lt;Members&gt;</w:t>
      </w:r>
      <w:r>
        <w:t>Krzysztof Śmiszek, Matjaž Nemec, Robert Biedroń, Katarina Barley, Cecilia Strada, Klára Dobrev, Csaba Molnár, Emma Rafowicz, Alessandro Zan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35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35a.</w:t>
            </w:r>
            <w:r>
              <w:tab/>
            </w:r>
            <w:r>
              <w:rPr>
                <w:b/>
                <w:i/>
              </w:rPr>
              <w:t>reiškia didelį susirūpinimą dėl stiprėjančio kraštutinių dešiniųjų ekstremizmo ir jo ardomojo poveikio demokratinėms normoms bei teisinei valstybei kai kuriose valstybėse narėse;</w:t>
            </w:r>
            <w:r>
              <w:t xml:space="preserve"> </w:t>
            </w:r>
            <w:r>
              <w:rPr>
                <w:b/>
                <w:i/>
              </w:rPr>
              <w:t>ragina ES imtis koordinuotų veiksmų siekiant kovoti su šia grėsme, be kita ko, pasitelkiant švietimą, socialinės įtraukties programas ir prireikus teisines priemones;</w:t>
            </w:r>
            <w:r>
              <w:t xml:space="preserve"> </w:t>
            </w:r>
            <w:r>
              <w:rPr>
                <w:b/>
                <w:i/>
              </w:rPr>
              <w:t>su susirūpinimu pažymi, kad šios grupės aktyviai taikosi į mažumas, įskaitant LGBTQI+ asmenis, ir padeda kurti baimės ir diskriminacijos atmosferą;</w:t>
            </w:r>
            <w:r>
              <w:t xml:space="preserve"> </w:t>
            </w:r>
            <w:r>
              <w:rPr>
                <w:b/>
                <w:i/>
              </w:rPr>
              <w:t>ragina Komisiją savo metinėje teisinės valstybės principo taikymo ataskaitoje aiškiai įvardyti tokias grupes kaip grėsmę demokratijai, žmogaus teisėms ir pagrindinėms laisvėms, įskaitant akademinę ir žiniasklaidos nepriklausomybę;</w:t>
            </w:r>
            <w:r>
              <w:t xml:space="preserve"> </w:t>
            </w:r>
            <w:r>
              <w:rPr>
                <w:b/>
                <w:i/>
              </w:rPr>
              <w:t>primygtinai ragina valstybes nares imtis ryžtingų veiksmų siekiant kovoti su jų įtaka pasitelkiant griežtą teisinį reglamentavimą, švietimą, kuriuo propaguojamos demokratinės vertybės, ir paramą pilietinės visuomenės organizacijoms, kovojančioms su ekstremizmu;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741</w:t>
      </w:r>
      <w:r>
        <w:rPr>
          <w:rStyle w:val="HideTWBExt"/>
        </w:rPr>
        <w:t>&lt;/NumAm&gt;</w:t>
      </w:r>
    </w:p>
    <w:p>
      <w:pPr>
        <w:pStyle w:val="NormalBold"/>
      </w:pPr>
      <w:r>
        <w:rPr>
          <w:rStyle w:val="HideTWBExt"/>
          <w:b w:val="0"/>
        </w:rPr>
        <w:t>&lt;RepeatBlock-By&gt;</w:t>
      </w:r>
      <w:r>
        <w:rPr>
          <w:rStyle w:val="HideTWBExt"/>
          <w:b w:val="0"/>
        </w:rPr>
        <w:t>&lt;Members&gt;</w:t>
      </w:r>
      <w:r>
        <w:t>Ana Catarina Mendes, Chloé Ridel, Sandro Ruotolo, Francisco Assis, Hannes Heide, Pina Picierno, Matjaž Nemec, Emma Rafowicz, Krzysztof Śmiszek, Katarina Barley, Evin Incir, Juan Fernando López Aguilar, Nacho Sánchez Amor, Marco Tarquinio, Javier Moreno Sánchez, Alessandro Zan, Isabel Serra Sánchez, Cecilia Strada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35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35a.</w:t>
            </w:r>
            <w:r>
              <w:tab/>
            </w:r>
            <w:r>
              <w:rPr>
                <w:b/>
                <w:i/>
              </w:rPr>
              <w:t>ragina daugiametės finansinės programos reglamente nustatyti rezultatais grindžiamą priemonę, remiantis pagarba žmogaus orumui, laisve, demokratija, lygybe, teisine valstybe ir žmogaus teisėmis, kad šių principų laikymasis būtų geriau suderintas su ES fondų dotacijomis;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742</w:t>
      </w:r>
      <w:r>
        <w:rPr>
          <w:rStyle w:val="HideTWBExt"/>
        </w:rPr>
        <w:t>&lt;/NumAm&gt;</w:t>
      </w:r>
    </w:p>
    <w:p>
      <w:pPr>
        <w:pStyle w:val="NormalBold"/>
      </w:pPr>
      <w:r>
        <w:rPr>
          <w:rStyle w:val="HideTWBExt"/>
          <w:b w:val="0"/>
        </w:rPr>
        <w:t>&lt;RepeatBlock-By&gt;</w:t>
      </w:r>
      <w:r>
        <w:rPr>
          <w:rStyle w:val="HideTWBExt"/>
          <w:b w:val="0"/>
        </w:rPr>
        <w:t>&lt;Members&gt;</w:t>
      </w:r>
      <w:r>
        <w:t>Moritz Körner, Malik Azmani, Dainius Žalimas, Lucia Yar, Fabienne Keller, Sophie Wilmès, Raquel García Hermida-Van Der Walle, Abir Al-Sahlani, Veronika Cifrová Ostrihoňová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35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35a.</w:t>
            </w:r>
            <w:r>
              <w:tab/>
            </w:r>
            <w:r>
              <w:rPr>
                <w:b/>
                <w:i/>
              </w:rPr>
              <w:t>primygtinai reikalauja, kad kaip tarpinės reikšmės būtų nustatytas glaudesnis teisinės valstybės principo taikymo ataskaitos išvadų ir finansinės paramos skyrimo iš Sąjungos biudžeto ryšys, užtikrinant, kad ES lėšos būtų susietos su būtinų reformų įgyvendinimu;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743</w:t>
      </w:r>
      <w:r>
        <w:rPr>
          <w:rStyle w:val="HideTWBExt"/>
        </w:rPr>
        <w:t>&lt;/NumAm&gt;</w:t>
      </w:r>
    </w:p>
    <w:p>
      <w:pPr>
        <w:pStyle w:val="NormalBold"/>
      </w:pPr>
      <w:r>
        <w:rPr>
          <w:rStyle w:val="HideTWBExt"/>
          <w:b w:val="0"/>
        </w:rPr>
        <w:t>&lt;RepeatBlock-By&gt;</w:t>
      </w:r>
      <w:r>
        <w:rPr>
          <w:rStyle w:val="HideTWBExt"/>
          <w:b w:val="0"/>
        </w:rPr>
        <w:t>&lt;Members&gt;</w:t>
      </w:r>
      <w:r>
        <w:t>Ana Catarina Mendes, Chloé Ridel, Sandro Ruotolo, Francisco Assis, Hannes Heide, Pina Picierno, Matjaž Nemec, Emma Rafowicz, Krzysztof Śmiszek, Katarina Barley, Evin Incir, Juan Fernando López Aguilar, Nacho Sánchez Amor, Marco Tarquinio, Javier Moreno Sánchez, Klára Dobrev, Csaba Molnár, Moritz Körner, Daniel Freund, Cecilia Strada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35 b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35b.</w:t>
            </w:r>
            <w:r>
              <w:tab/>
            </w:r>
            <w:r>
              <w:rPr>
                <w:b/>
                <w:i/>
              </w:rPr>
              <w:t>yra susirūpinęs dėl to, kad metinės teisinės valstybės principo taikymo ataskaitos paskelbimo data nepadeda užtikrinti pakankamo matomumo ir prieštarauja numatytam ataskaitos tikslui – surengti tikras viešas diskusijas dėl jos išvadų;</w:t>
            </w:r>
            <w:r>
              <w:t xml:space="preserve"> </w:t>
            </w:r>
            <w:r>
              <w:rPr>
                <w:b/>
                <w:i/>
              </w:rPr>
              <w:t>primygtinai ragina Komisiją persvarstyti paskelbimo datą ir dėti papildomas pastangas, kad jos išvados būtų plačiai žinomos visose valstybėse narėse;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744</w:t>
      </w:r>
      <w:r>
        <w:rPr>
          <w:rStyle w:val="HideTWBExt"/>
        </w:rPr>
        <w:t>&lt;/NumAm&gt;</w:t>
      </w:r>
    </w:p>
    <w:p>
      <w:pPr>
        <w:pStyle w:val="NormalBold"/>
      </w:pPr>
      <w:r>
        <w:rPr>
          <w:rStyle w:val="HideTWBExt"/>
          <w:b w:val="0"/>
        </w:rPr>
        <w:t>&lt;RepeatBlock-By&gt;</w:t>
      </w:r>
      <w:r>
        <w:rPr>
          <w:rStyle w:val="HideTWBExt"/>
          <w:b w:val="0"/>
        </w:rPr>
        <w:t>&lt;Members&gt;</w:t>
      </w:r>
      <w:r>
        <w:t>Moritz Körner, Malik Azmani, Dainius Žalimas, Lucia Yar, Fabienne Keller, Sophie Wilmès, Raquel García Hermida-Van Der Walle, Abir Al-Sahlani, Veronika Cifrová Ostrihoňová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35 b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35b.</w:t>
            </w:r>
            <w:r>
              <w:tab/>
            </w:r>
            <w:r>
              <w:rPr>
                <w:b/>
                <w:i/>
              </w:rPr>
              <w:t>tikisi, kad Komisijos 2025 m. teisinės valstybės principo taikymo ataskaitoje bus nustatyti konkrečioms šalims skirtų rekomendacijų įgyvendinimo terminai;</w:t>
            </w:r>
            <w:r>
              <w:t xml:space="preserve"> </w:t>
            </w:r>
            <w:r>
              <w:rPr>
                <w:b/>
                <w:i/>
              </w:rPr>
              <w:t>laikosi nuomonės, kad įšaldytos ES lėšos turėtų būti išmokamos tik visiškai įgyvendinus reikšmingas reformas ir praktiškai užtikrinus, kad būtų laikomasi teisinės valstybės principo;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745</w:t>
      </w:r>
      <w:r>
        <w:rPr>
          <w:rStyle w:val="HideTWBExt"/>
        </w:rPr>
        <w:t>&lt;/NumAm&gt;</w:t>
      </w:r>
    </w:p>
    <w:p>
      <w:pPr>
        <w:pStyle w:val="NormalBold"/>
      </w:pPr>
      <w:r>
        <w:rPr>
          <w:rStyle w:val="HideTWBExt"/>
          <w:b w:val="0"/>
        </w:rPr>
        <w:t>&lt;RepeatBlock-By&gt;</w:t>
      </w:r>
      <w:r>
        <w:rPr>
          <w:rStyle w:val="HideTWBExt"/>
          <w:b w:val="0"/>
        </w:rPr>
        <w:t>&lt;Members&gt;</w:t>
      </w:r>
      <w:r>
        <w:t>Krzysztof Śmiszek, Matjaž Nemec, Robert Biedroń, Katarina Barley, Cecilia Strada, Klára Dobrev, 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35 b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35b.</w:t>
            </w:r>
            <w:r>
              <w:tab/>
            </w:r>
            <w:r>
              <w:rPr>
                <w:b/>
                <w:i/>
              </w:rPr>
              <w:t>ragina valstybes nares stiprinti demokratiją aplinkos srityje, užtikrinant visapusišką Orhuso konvencijos įgyvendinimą, visų pirma kiek tai susiję su teise kreiptis į teismą aplinkosaugos klausimais ir aplinkos aktyvistų bei organizacijų apsauga;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746</w:t>
      </w:r>
      <w:r>
        <w:rPr>
          <w:rStyle w:val="HideTWBExt"/>
        </w:rPr>
        <w:t>&lt;/NumAm&gt;</w:t>
      </w:r>
    </w:p>
    <w:p>
      <w:pPr>
        <w:pStyle w:val="NormalBold"/>
      </w:pPr>
      <w:r>
        <w:rPr>
          <w:rStyle w:val="HideTWBExt"/>
          <w:b w:val="0"/>
        </w:rPr>
        <w:t>&lt;RepeatBlock-By&gt;</w:t>
      </w:r>
      <w:r>
        <w:rPr>
          <w:rStyle w:val="HideTWBExt"/>
          <w:b w:val="0"/>
        </w:rPr>
        <w:t>&lt;Members&gt;</w:t>
      </w:r>
      <w:r>
        <w:t>Nicolas Bay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36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36.</w:t>
            </w:r>
            <w:r>
              <w:tab/>
            </w:r>
            <w:r>
              <w:rPr>
                <w:b/>
                <w:i/>
              </w:rPr>
              <w:t>mano, kad reikėtų stiprinti ES lygmens tarpinstitucinį dialogą ir bendradarbiavimą teisinės valstybės klausimu;</w:t>
            </w:r>
            <w:r>
              <w:t xml:space="preserve"> </w:t>
            </w:r>
            <w:r>
              <w:rPr>
                <w:b/>
                <w:i/>
              </w:rPr>
              <w:t>ragina pradėti vykdyti nuolatinį tarpinstitucinį dialogą teisinės valstybės klausimu, kuriame, be kita ko, dalyvautų Parlamentas, Taryba ir Komisija;</w:t>
            </w:r>
            <w:r>
              <w:t xml:space="preserve"> </w:t>
            </w:r>
            <w:r>
              <w:rPr>
                <w:b/>
                <w:i/>
              </w:rPr>
              <w:t>ragina Tarybą pasirūpinti, kad jos vykdomas dialogas teisinės valstybės klausimu būtų įtraukesnis, šiuo tikslu kviečiant jo sesijose dalyvauti kitas institucijas, pvz., Venecijos komisiją, žmogaus teisių komisarą ir Parlamento atstovus;</w:t>
            </w:r>
          </w:p>
        </w:tc>
        <w:tc>
          <w:tcPr>
            <w:tcW w:w="4876" w:type="dxa"/>
            <w:tcBorders>
              <w:top w:val="nil"/>
              <w:left w:val="nil"/>
              <w:bottom w:val="nil"/>
              <w:right w:val="nil"/>
            </w:tcBorders>
          </w:tcPr>
          <w:p>
            <w:pPr>
              <w:pStyle w:val="Normal6a"/>
            </w:pPr>
            <w:r>
              <w:rPr>
                <w:b/>
                <w:i/>
              </w:rPr>
              <w:t>Išbraukta.</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747</w:t>
      </w:r>
      <w:r>
        <w:rPr>
          <w:rStyle w:val="HideTWBExt"/>
        </w:rPr>
        <w:t>&lt;/NumAm&gt;</w:t>
      </w:r>
    </w:p>
    <w:p>
      <w:pPr>
        <w:pStyle w:val="NormalBold"/>
      </w:pPr>
      <w:r>
        <w:rPr>
          <w:rStyle w:val="HideTWBExt"/>
          <w:b w:val="0"/>
        </w:rPr>
        <w:t>&lt;RepeatBlock-By&gt;</w:t>
      </w:r>
      <w:r>
        <w:rPr>
          <w:rStyle w:val="HideTWBExt"/>
          <w:b w:val="0"/>
        </w:rPr>
        <w:t>&lt;Members&gt;</w:t>
      </w:r>
      <w:r>
        <w:t>Erik Kaliňák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36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36.</w:t>
            </w:r>
            <w:r>
              <w:tab/>
            </w:r>
            <w:r>
              <w:rPr>
                <w:b/>
                <w:i/>
              </w:rPr>
              <w:t>mano, kad reikėtų stiprinti ES lygmens tarpinstitucinį dialogą ir bendradarbiavimą teisinės valstybės klausimu;</w:t>
            </w:r>
            <w:r>
              <w:t xml:space="preserve"> </w:t>
            </w:r>
            <w:r>
              <w:rPr>
                <w:b/>
                <w:i/>
              </w:rPr>
              <w:t>ragina pradėti vykdyti nuolatinį tarpinstitucinį dialogą teisinės valstybės klausimu, kuriame, be kita ko, dalyvautų Parlamentas, Taryba ir Komisija;</w:t>
            </w:r>
            <w:r>
              <w:t xml:space="preserve"> </w:t>
            </w:r>
            <w:r>
              <w:rPr>
                <w:b/>
                <w:i/>
              </w:rPr>
              <w:t>ragina Tarybą pasirūpinti, kad jos vykdomas dialogas teisinės valstybės klausimu būtų įtraukesnis, šiuo tikslu kviečiant jo sesijose dalyvauti kitas institucijas, pvz., Venecijos komisiją, žmogaus teisių komisarą ir Parlamento atstovus;</w:t>
            </w:r>
          </w:p>
        </w:tc>
        <w:tc>
          <w:tcPr>
            <w:tcW w:w="4876" w:type="dxa"/>
            <w:tcBorders>
              <w:top w:val="nil"/>
              <w:left w:val="nil"/>
              <w:bottom w:val="nil"/>
              <w:right w:val="nil"/>
            </w:tcBorders>
          </w:tcPr>
          <w:p>
            <w:pPr>
              <w:pStyle w:val="Normal6a"/>
            </w:pPr>
            <w:r>
              <w:rPr>
                <w:b/>
                <w:i/>
              </w:rPr>
              <w:t>Išbraukta.</w:t>
            </w:r>
          </w:p>
        </w:tc>
      </w:tr>
    </w:tbl>
    <w:p>
      <w:pPr>
        <w:pStyle w:val="AmOrLang"/>
      </w:pPr>
      <w:r>
        <w:t xml:space="preserve">Or. </w:t>
      </w:r>
      <w:r>
        <w:rPr>
          <w:rStyle w:val="HideTWBExt"/>
        </w:rPr>
        <w:t>&lt;Original&gt;</w:t>
      </w:r>
      <w:r>
        <w:rPr>
          <w:rStyle w:val="HideTWBInt"/>
        </w:rPr>
        <w:t>{SK}</w:t>
      </w:r>
      <w:r>
        <w:t>sk</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748</w:t>
      </w:r>
      <w:r>
        <w:rPr>
          <w:rStyle w:val="HideTWBExt"/>
        </w:rPr>
        <w:t>&lt;/NumAm&gt;</w:t>
      </w:r>
    </w:p>
    <w:p>
      <w:pPr>
        <w:pStyle w:val="NormalBold"/>
      </w:pPr>
      <w:r>
        <w:rPr>
          <w:rStyle w:val="HideTWBExt"/>
          <w:b w:val="0"/>
        </w:rPr>
        <w:t>&lt;RepeatBlock-By&gt;</w:t>
      </w:r>
      <w:r>
        <w:rPr>
          <w:rStyle w:val="HideTWBExt"/>
          <w:b w:val="0"/>
        </w:rPr>
        <w:t>&lt;Members&gt;</w:t>
      </w:r>
      <w:r>
        <w:t>András László</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36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36.</w:t>
            </w:r>
            <w:r>
              <w:tab/>
            </w:r>
            <w:r>
              <w:rPr>
                <w:b/>
                <w:i/>
              </w:rPr>
              <w:t>mano, kad reikėtų stiprinti ES lygmens tarpinstitucinį dialogą ir bendradarbiavimą teisinės valstybės klausimu;</w:t>
            </w:r>
            <w:r>
              <w:t xml:space="preserve"> </w:t>
            </w:r>
            <w:r>
              <w:rPr>
                <w:b/>
                <w:i/>
              </w:rPr>
              <w:t>ragina pradėti vykdyti nuolatinį tarpinstitucinį dialogą teisinės valstybės klausimu, kuriame, be kita ko, dalyvautų Parlamentas, Taryba ir Komisija;</w:t>
            </w:r>
            <w:r>
              <w:t xml:space="preserve"> </w:t>
            </w:r>
            <w:r>
              <w:rPr>
                <w:b/>
                <w:i/>
              </w:rPr>
              <w:t>ragina Tarybą pasirūpinti, kad jos vykdomas dialogas teisinės valstybės klausimu būtų įtraukesnis, šiuo tikslu kviečiant jo sesijose dalyvauti kitas institucijas, pvz., Venecijos komisiją, žmogaus teisių komisarą ir Parlamento atstovus;</w:t>
            </w:r>
          </w:p>
        </w:tc>
        <w:tc>
          <w:tcPr>
            <w:tcW w:w="4876" w:type="dxa"/>
            <w:tcBorders>
              <w:top w:val="nil"/>
              <w:left w:val="nil"/>
              <w:bottom w:val="nil"/>
              <w:right w:val="nil"/>
            </w:tcBorders>
          </w:tcPr>
          <w:p>
            <w:pPr>
              <w:pStyle w:val="Normal6a"/>
            </w:pPr>
            <w:r>
              <w:rPr>
                <w:b/>
                <w:i/>
              </w:rPr>
              <w:t>Išbraukta.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749</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36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36.</w:t>
            </w:r>
            <w:r>
              <w:tab/>
            </w:r>
            <w:r>
              <w:t xml:space="preserve">mano, kad reikėtų stiprinti ES lygmens tarpinstitucinį dialogą ir bendradarbiavimą teisinės valstybės klausimu; </w:t>
            </w:r>
            <w:r>
              <w:rPr>
                <w:b/>
                <w:i/>
              </w:rPr>
              <w:t>ragina pradėti vykdyti nuolatinį</w:t>
            </w:r>
            <w:r>
              <w:t xml:space="preserve"> tarpinstitucinį </w:t>
            </w:r>
            <w:r>
              <w:rPr>
                <w:b/>
                <w:i/>
              </w:rPr>
              <w:t>dialogą</w:t>
            </w:r>
            <w:r>
              <w:t xml:space="preserve"> teisinės valstybės </w:t>
            </w:r>
            <w:r>
              <w:rPr>
                <w:b/>
                <w:i/>
              </w:rPr>
              <w:t>klausimu, kuriame, be kita ko, dalyvautų Parlamentas, Taryba ir Komisija</w:t>
            </w:r>
            <w:r>
              <w:t>; ragina Tarybą pasirūpinti, kad jos vykdomas dialogas teisinės valstybės klausimu būtų įtraukesnis, šiuo tikslu kviečiant jo sesijose dalyvauti kitas institucijas, pvz., Venecijos komisiją, žmogaus teisių komisarą ir Parlamento atstovus;</w:t>
            </w:r>
          </w:p>
        </w:tc>
        <w:tc>
          <w:tcPr>
            <w:tcW w:w="4876" w:type="dxa"/>
            <w:tcBorders>
              <w:top w:val="nil"/>
              <w:left w:val="nil"/>
              <w:bottom w:val="nil"/>
              <w:right w:val="nil"/>
            </w:tcBorders>
          </w:tcPr>
          <w:p>
            <w:pPr>
              <w:pStyle w:val="Normal6a"/>
            </w:pPr>
            <w:r>
              <w:t>36.</w:t>
            </w:r>
            <w:r>
              <w:tab/>
            </w:r>
            <w:r>
              <w:t xml:space="preserve">mano, kad reikėtų stiprinti ES lygmens tarpinstitucinį dialogą ir bendradarbiavimą teisinės valstybės klausimu; </w:t>
            </w:r>
            <w:r>
              <w:rPr>
                <w:b/>
                <w:i/>
              </w:rPr>
              <w:t>apgailestauja, kad Komisija ir Taryba iki šiol yra atmetusios Parlamento pasiūlymą sudaryti</w:t>
            </w:r>
            <w:r>
              <w:t xml:space="preserve"> tarpinstitucinį </w:t>
            </w:r>
            <w:r>
              <w:rPr>
                <w:b/>
                <w:i/>
              </w:rPr>
              <w:t>susitarimą dėl demokratijos,</w:t>
            </w:r>
            <w:r>
              <w:t xml:space="preserve"> teisinės valstybės </w:t>
            </w:r>
            <w:r>
              <w:rPr>
                <w:b/>
                <w:i/>
              </w:rPr>
              <w:t>ir pagrindinių teisių;</w:t>
            </w:r>
            <w:r>
              <w:t xml:space="preserve"> </w:t>
            </w:r>
            <w:r>
              <w:rPr>
                <w:b/>
                <w:i/>
              </w:rPr>
              <w:t>dar kartą patvirtina, kad yra pasirengęs atnaujinti derybas dėl šio susitarimo;</w:t>
            </w:r>
            <w:r>
              <w:t xml:space="preserve"> </w:t>
            </w:r>
            <w:r>
              <w:rPr>
                <w:b/>
                <w:i/>
              </w:rPr>
              <w:t>ragina kitas institucijas tuo tarpu bent išnagrinėti tolesnio bendradarbiavimo pagal siūlomą tarpinstitucinį bandomąjį projektą demokratijos, teisinės valstybės ir pagrindinių teisių srityje galimybes, nes tai padėtų praktiškai stiprinti institucijų tarpusavio pasitikėjimą, visų pirma keičiantis stebėsenos, dialogo ir susitikimų praktika</w:t>
            </w:r>
            <w:r>
              <w:t xml:space="preserve">; ragina Tarybą pasirūpinti, kad jos vykdomas dialogas teisinės valstybės klausimu būtų įtraukesnis, šiuo tikslu kviečiant jo sesijose dalyvauti kitas institucijas, pvz., Venecijos komisiją, </w:t>
            </w:r>
            <w:r>
              <w:rPr>
                <w:b/>
                <w:i/>
              </w:rPr>
              <w:t>Europos Tarybos</w:t>
            </w:r>
            <w:r>
              <w:t xml:space="preserve"> žmogaus teisių komisarą ir Parlamento atstovus; </w:t>
            </w:r>
            <w:r>
              <w:rPr>
                <w:b/>
                <w:i/>
              </w:rPr>
              <w:t>mano, kad Tarybos dialogas teisinės valstybės klausimu turėtų tapti sąveikesnis ir esmingesnis, todėl ragina valstybes nares investuoti į tinkamą pasirengimą šiam dialogui;</w:t>
            </w:r>
            <w:r>
              <w:t xml:space="preserve"> </w:t>
            </w:r>
            <w:r>
              <w:rPr>
                <w:b/>
                <w:i/>
              </w:rPr>
              <w:t>pabrėžia, kad didesnis skaidrumas sustiprintų dialogą teisinės valstybės klausimais Sąjungoje, ir todėl ragina Tarybą užtikrinti, kad šios diskusijos dėl konkrečių šalių būtų viešos, įskaitant išsamias viešas išvadas;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750</w:t>
      </w:r>
      <w:r>
        <w:rPr>
          <w:rStyle w:val="HideTWBExt"/>
        </w:rPr>
        <w:t>&lt;/NumAm&gt;</w:t>
      </w:r>
    </w:p>
    <w:p>
      <w:pPr>
        <w:pStyle w:val="NormalBold"/>
      </w:pPr>
      <w:r>
        <w:rPr>
          <w:rStyle w:val="HideTWBExt"/>
          <w:b w:val="0"/>
        </w:rPr>
        <w:t>&lt;RepeatBlock-By&gt;</w:t>
      </w:r>
      <w:r>
        <w:rPr>
          <w:rStyle w:val="HideTWBExt"/>
          <w:b w:val="0"/>
        </w:rPr>
        <w:t>&lt;Members&gt;</w:t>
      </w:r>
      <w:r>
        <w:t>Jorge Buxadé Villalba, Marieke Ehlers, Malika Sorel,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36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36.</w:t>
            </w:r>
            <w:r>
              <w:tab/>
            </w:r>
            <w:r>
              <w:t>mano, kad reikėtų stiprinti ES lygmens tarpinstitucinį dialogą ir bendradarbiavimą teisinės valstybės klausimu</w:t>
            </w:r>
            <w:r>
              <w:rPr>
                <w:b/>
                <w:i/>
              </w:rPr>
              <w:t>;</w:t>
            </w:r>
            <w:r>
              <w:t xml:space="preserve"> </w:t>
            </w:r>
            <w:r>
              <w:rPr>
                <w:b/>
                <w:i/>
              </w:rPr>
              <w:t>ragina pradėti vykdyti nuolatinį tarpinstitucinį dialogą teisinės valstybės klausimu, kuriame, be kita ko, dalyvautų Parlamentas, Taryba ir Komisija;</w:t>
            </w:r>
            <w:r>
              <w:t xml:space="preserve"> </w:t>
            </w:r>
            <w:r>
              <w:rPr>
                <w:b/>
                <w:i/>
              </w:rPr>
              <w:t>ragina Tarybą pasirūpinti, kad jos vykdomas dialogas teisinės valstybės klausimu būtų įtraukesnis, šiuo tikslu kviečiant jo sesijose dalyvauti kitas</w:t>
            </w:r>
            <w:r>
              <w:t xml:space="preserve"> institucijas</w:t>
            </w:r>
            <w:r>
              <w:rPr>
                <w:b/>
                <w:i/>
              </w:rPr>
              <w:t>, pvz., Venecijos komisiją, žmogaus teisių komisarą ir Parlamento atstovus</w:t>
            </w:r>
            <w:r>
              <w:t>;</w:t>
            </w:r>
          </w:p>
        </w:tc>
        <w:tc>
          <w:tcPr>
            <w:tcW w:w="4876" w:type="dxa"/>
            <w:tcBorders>
              <w:top w:val="nil"/>
              <w:left w:val="nil"/>
              <w:bottom w:val="nil"/>
              <w:right w:val="nil"/>
            </w:tcBorders>
          </w:tcPr>
          <w:p>
            <w:pPr>
              <w:pStyle w:val="Normal6a"/>
            </w:pPr>
            <w:r>
              <w:t>36.</w:t>
            </w:r>
            <w:r>
              <w:tab/>
            </w:r>
            <w:r>
              <w:t xml:space="preserve">mano, kad reikėtų stiprinti ES lygmens tarpinstitucinį dialogą ir bendradarbiavimą teisinės valstybės klausimu </w:t>
            </w:r>
            <w:r>
              <w:rPr>
                <w:b/>
                <w:i/>
              </w:rPr>
              <w:t>ir kovą su korupcija, į priežiūrą įtraukiant ES</w:t>
            </w:r>
            <w:r>
              <w:t xml:space="preserve"> institucijas;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751</w:t>
      </w:r>
      <w:r>
        <w:rPr>
          <w:rStyle w:val="HideTWBExt"/>
        </w:rPr>
        <w:t>&lt;/NumAm&gt;</w:t>
      </w:r>
    </w:p>
    <w:p>
      <w:pPr>
        <w:pStyle w:val="NormalBold"/>
      </w:pPr>
      <w:r>
        <w:rPr>
          <w:rStyle w:val="HideTWBExt"/>
          <w:b w:val="0"/>
        </w:rPr>
        <w:t>&lt;RepeatBlock-By&gt;</w:t>
      </w:r>
      <w:r>
        <w:rPr>
          <w:rStyle w:val="HideTWBExt"/>
          <w:b w:val="0"/>
        </w:rPr>
        <w:t>&lt;Members&gt;</w:t>
      </w:r>
      <w:r>
        <w:t>Nikola Minchev, Moritz Körner, Veronika Cifrová Ostrihoňová, Abir Al-Sahlani, Chloé Ridel, Alessandro Zan, Fabienne Keller, Lucia Yar, Isabel Wiseler-Lima, Daniel Freund</w:t>
      </w:r>
      <w:r>
        <w:rPr>
          <w:rStyle w:val="HideTWBExt"/>
          <w:b w:val="0"/>
        </w:rPr>
        <w:t>&lt;/Members&gt;</w:t>
      </w:r>
    </w:p>
    <w:p>
      <w:r>
        <w:rPr>
          <w:rStyle w:val="HideTWBExt"/>
          <w:b w:val="0"/>
        </w:rPr>
        <w:t>&lt;AuNomDe&gt;</w:t>
      </w:r>
      <w:r>
        <w:rPr>
          <w:rStyle w:val="HideTWBInt"/>
        </w:rPr>
        <w:t>{LIBE}</w:t>
      </w:r>
      <w:r>
        <w:t>Piliečių laisvių, teisingumo ir vidaus reikalų komiteto vardu</w:t>
      </w:r>
      <w:r>
        <w:rPr>
          <w:rStyle w:val="HideTWBExt"/>
          <w:b w:val="0"/>
        </w:rPr>
        <w:t>&lt;/AuNomDe&gt;</w:t>
      </w:r>
    </w:p>
    <w:p>
      <w:pPr>
        <w:pStyle w:val="NormalBold"/>
      </w:pPr>
      <w:r>
        <w:rPr>
          <w:rStyle w:val="HideTWBExt"/>
          <w:b w:val="0"/>
        </w:rPr>
        <w:t>&lt;Members&gt;</w:t>
      </w:r>
      <w:r>
        <w:t>Sophie Wilmès, Hilde Vautmans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36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36.</w:t>
            </w:r>
            <w:r>
              <w:tab/>
            </w:r>
            <w:r>
              <w:t xml:space="preserve">mano, kad reikėtų stiprinti ES lygmens tarpinstitucinį dialogą ir bendradarbiavimą teisinės valstybės klausimu; ragina </w:t>
            </w:r>
            <w:r>
              <w:rPr>
                <w:b/>
                <w:i/>
              </w:rPr>
              <w:t>pradėti vykdyti nuolatinį</w:t>
            </w:r>
            <w:r>
              <w:t xml:space="preserve"> tarpinstitucinį </w:t>
            </w:r>
            <w:r>
              <w:rPr>
                <w:b/>
                <w:i/>
              </w:rPr>
              <w:t>dialogą</w:t>
            </w:r>
            <w:r>
              <w:t xml:space="preserve"> teisinės valstybės klausimu</w:t>
            </w:r>
            <w:r>
              <w:rPr>
                <w:b/>
                <w:i/>
              </w:rPr>
              <w:t>, kuriame, be kita ko,</w:t>
            </w:r>
            <w:r>
              <w:t xml:space="preserve"> dalyvautų Parlamentas, Taryba ir Komisija; ragina Tarybą pasirūpinti, kad jos vykdomas dialogas teisinės valstybės klausimu būtų įtraukesnis, šiuo tikslu kviečiant jo sesijose dalyvauti kitas institucijas, pvz., Venecijos komisiją, žmogaus teisių komisarą ir Parlamento atstovus;</w:t>
            </w:r>
          </w:p>
        </w:tc>
        <w:tc>
          <w:tcPr>
            <w:tcW w:w="4876" w:type="dxa"/>
            <w:tcBorders>
              <w:top w:val="nil"/>
              <w:left w:val="nil"/>
              <w:bottom w:val="nil"/>
              <w:right w:val="nil"/>
            </w:tcBorders>
          </w:tcPr>
          <w:p>
            <w:pPr>
              <w:pStyle w:val="Normal6a"/>
            </w:pPr>
            <w:r>
              <w:t>36.</w:t>
            </w:r>
            <w:r>
              <w:tab/>
            </w:r>
            <w:r>
              <w:t xml:space="preserve">mano, kad reikėtų stiprinti ES lygmens tarpinstitucinį dialogą ir bendradarbiavimą teisinės valstybės klausimu; ragina </w:t>
            </w:r>
            <w:r>
              <w:rPr>
                <w:b/>
                <w:i/>
              </w:rPr>
              <w:t>sudarant</w:t>
            </w:r>
            <w:r>
              <w:t xml:space="preserve"> tarpinstitucinį </w:t>
            </w:r>
            <w:r>
              <w:rPr>
                <w:b/>
                <w:i/>
              </w:rPr>
              <w:t>susitarimą</w:t>
            </w:r>
            <w:r>
              <w:t xml:space="preserve"> teisinės valstybės klausimu </w:t>
            </w:r>
            <w:r>
              <w:rPr>
                <w:b/>
                <w:i/>
              </w:rPr>
              <w:t>užmegzti nuolatinį tarpinstitucinį dialogą, kuriame</w:t>
            </w:r>
            <w:r>
              <w:t xml:space="preserve"> dalyvautų Parlamentas, Taryba ir Komisija; ragina Tarybą pasirūpinti, kad jos vykdomas dialogas teisinės valstybės klausimu būtų įtraukesnis, šiuo tikslu kviečiant jo sesijose dalyvauti kitas institucijas, pvz., Venecijos komisiją, žmogaus teisių komisarą ir Parlamento atstovus</w:t>
            </w:r>
            <w:r>
              <w:rPr>
                <w:b/>
                <w:i/>
              </w:rPr>
              <w:t>, arba bent nuolat teikiant grįžtamąją informaciją Europos Parlamentui apie susitikimus teisinės valstybės klausimu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752</w:t>
      </w:r>
      <w:r>
        <w:rPr>
          <w:rStyle w:val="HideTWBExt"/>
        </w:rPr>
        <w:t>&lt;/NumAm&gt;</w:t>
      </w:r>
    </w:p>
    <w:p>
      <w:pPr>
        <w:pStyle w:val="NormalBold"/>
      </w:pPr>
      <w:r>
        <w:rPr>
          <w:rStyle w:val="HideTWBExt"/>
          <w:b w:val="0"/>
        </w:rPr>
        <w:t>&lt;RepeatBlock-By&gt;</w:t>
      </w:r>
      <w:r>
        <w:rPr>
          <w:rStyle w:val="HideTWBExt"/>
          <w:b w:val="0"/>
        </w:rPr>
        <w:t>&lt;Members&gt;</w:t>
      </w:r>
      <w:r>
        <w:t>Michał Wawrykiewicz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36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36.</w:t>
            </w:r>
            <w:r>
              <w:tab/>
            </w:r>
            <w:r>
              <w:t>mano, kad reikėtų stiprinti ES lygmens tarpinstitucinį dialogą ir bendradarbiavimą teisinės valstybės klausimu; ragina pradėti vykdyti nuolatinį tarpinstitucinį dialogą teisinės valstybės klausimu, kuriame, be kita ko, dalyvautų Parlamentas, Taryba ir Komisija; ragina Tarybą pasirūpinti, kad jos vykdomas dialogas teisinės valstybės klausimu būtų įtraukesnis, šiuo tikslu kviečiant jo sesijose dalyvauti kitas institucijas, pvz., Venecijos komisiją, žmogaus teisių komisarą ir Parlamento atstovus;</w:t>
            </w:r>
          </w:p>
        </w:tc>
        <w:tc>
          <w:tcPr>
            <w:tcW w:w="4876" w:type="dxa"/>
            <w:tcBorders>
              <w:top w:val="nil"/>
              <w:left w:val="nil"/>
              <w:bottom w:val="nil"/>
              <w:right w:val="nil"/>
            </w:tcBorders>
          </w:tcPr>
          <w:p>
            <w:pPr>
              <w:pStyle w:val="Normal6a"/>
            </w:pPr>
            <w:r>
              <w:t>36.</w:t>
            </w:r>
            <w:r>
              <w:tab/>
            </w:r>
            <w:r>
              <w:t xml:space="preserve">mano, kad reikėtų stiprinti ES lygmens tarpinstitucinį dialogą ir bendradarbiavimą teisinės valstybės klausimu; ragina pradėti vykdyti nuolatinį tarpinstitucinį dialogą teisinės valstybės klausimu, kuriame, be kita ko, dalyvautų Parlamentas, Taryba ir Komisija; ragina Tarybą pasirūpinti, kad jos vykdomas dialogas teisinės valstybės klausimu būtų įtraukesnis, šiuo tikslu kviečiant jo sesijose dalyvauti kitas institucijas, pvz., Venecijos komisiją, žmogaus teisių komisarą ir Parlamento atstovus; </w:t>
            </w:r>
            <w:r>
              <w:rPr>
                <w:b/>
                <w:i/>
              </w:rPr>
              <w:t>primygtinai ragina Tarybą bendradarbiauti su nacionaliniais parlamentais siekiant sustiprinti demokratinę priežiūrą, kaip valstybės narės laikosi ES teisinės valstybės standartų;</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753</w:t>
      </w:r>
      <w:r>
        <w:rPr>
          <w:rStyle w:val="HideTWBExt"/>
        </w:rPr>
        <w:t>&lt;/NumAm&gt;</w:t>
      </w:r>
    </w:p>
    <w:p>
      <w:pPr>
        <w:pStyle w:val="NormalBold"/>
      </w:pPr>
      <w:r>
        <w:rPr>
          <w:rStyle w:val="HideTWBExt"/>
          <w:b w:val="0"/>
        </w:rPr>
        <w:t>&lt;RepeatBlock-By&gt;</w:t>
      </w:r>
      <w:r>
        <w:rPr>
          <w:rStyle w:val="HideTWBExt"/>
          <w:b w:val="0"/>
        </w:rPr>
        <w:t>&lt;Members&gt;</w:t>
      </w:r>
      <w:r>
        <w:t>Mariusz Kamiński, Joachim Stanisław Brudziński, Jadwiga Wiśniewska, Maciej Wąsik, Jacek Ozdoba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36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36.</w:t>
            </w:r>
            <w:r>
              <w:tab/>
            </w:r>
            <w:r>
              <w:rPr>
                <w:b/>
                <w:i/>
              </w:rPr>
              <w:t>mano, kad reikėtų</w:t>
            </w:r>
            <w:r>
              <w:t xml:space="preserve"> stiprinti ES lygmens tarpinstitucinį dialogą ir bendradarbiavimą teisinės valstybės klausimu</w:t>
            </w:r>
            <w:r>
              <w:rPr>
                <w:b/>
                <w:i/>
              </w:rPr>
              <w:t>;</w:t>
            </w:r>
            <w:r>
              <w:t xml:space="preserve"> </w:t>
            </w:r>
            <w:r>
              <w:rPr>
                <w:b/>
                <w:i/>
              </w:rPr>
              <w:t>ragina pradėti vykdyti nuolatinį tarpinstitucinį dialogą teisinės valstybės klausimu, kuriame, be kita ko, dalyvautų Parlamentas, Taryba ir Komisija;</w:t>
            </w:r>
            <w:r>
              <w:t xml:space="preserve"> </w:t>
            </w:r>
            <w:r>
              <w:rPr>
                <w:b/>
                <w:i/>
              </w:rPr>
              <w:t>ragina Tarybą pasirūpinti, kad jos vykdomas dialogas teisinės valstybės klausimu būtų įtraukesnis, šiuo tikslu kviečiant jo sesijose dalyvauti kitas institucijas, pvz., Venecijos komisiją, žmogaus teisių komisarą ir Parlamento atstovus</w:t>
            </w:r>
            <w:r>
              <w:t>;</w:t>
            </w:r>
          </w:p>
        </w:tc>
        <w:tc>
          <w:tcPr>
            <w:tcW w:w="4876" w:type="dxa"/>
            <w:tcBorders>
              <w:top w:val="nil"/>
              <w:left w:val="nil"/>
              <w:bottom w:val="nil"/>
              <w:right w:val="nil"/>
            </w:tcBorders>
          </w:tcPr>
          <w:p>
            <w:pPr>
              <w:pStyle w:val="Normal6a"/>
            </w:pPr>
            <w:r>
              <w:t>36.</w:t>
            </w:r>
            <w:r>
              <w:tab/>
            </w:r>
            <w:r>
              <w:rPr>
                <w:b/>
                <w:i/>
              </w:rPr>
              <w:t>pažymi, kad esama raginimų</w:t>
            </w:r>
            <w:r>
              <w:t xml:space="preserve"> stiprinti ES lygmens tarpinstitucinį dialogą ir bendradarbiavimą teisinės valstybės klausimu</w:t>
            </w:r>
            <w:r>
              <w:rPr>
                <w:b/>
                <w:i/>
              </w:rPr>
              <w:t>, nors tai neatitinka Sutarčių teksto;</w:t>
            </w:r>
            <w:r>
              <w:t xml:space="preserve"> </w:t>
            </w:r>
            <w:r>
              <w:rPr>
                <w:b/>
                <w:i/>
              </w:rPr>
              <w:t>kartu pažymi, kad visų pirma Parlamento pozicijai dažnai įtaką daro pavienių grupių partiniai interesai, o tai tik sustiprina vadinamojo dialogo teisinės valstybės klausimu šališkumą ir politinį aspektą</w:t>
            </w:r>
            <w:r>
              <w:t>;</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754</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36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36.</w:t>
            </w:r>
            <w:r>
              <w:tab/>
            </w:r>
            <w:r>
              <w:t xml:space="preserve">mano, kad reikėtų stiprinti ES lygmens tarpinstitucinį dialogą ir bendradarbiavimą teisinės valstybės klausimu; ragina </w:t>
            </w:r>
            <w:r>
              <w:rPr>
                <w:b/>
                <w:i/>
              </w:rPr>
              <w:t>pradėti vykdyti nuolatinį tarpinstitucinį dialogą</w:t>
            </w:r>
            <w:r>
              <w:t xml:space="preserve"> teisinės valstybės </w:t>
            </w:r>
            <w:r>
              <w:rPr>
                <w:b/>
                <w:i/>
              </w:rPr>
              <w:t>klausimu, kuriame, be kita ko, dalyvautų Parlamentas, Taryba ir Komisija;</w:t>
            </w:r>
            <w:r>
              <w:t xml:space="preserve"> </w:t>
            </w:r>
            <w:r>
              <w:rPr>
                <w:b/>
                <w:i/>
              </w:rPr>
              <w:t>ragina Tarybą pasirūpinti, kad jos vykdomas dialogas teisinės valstybės klausimu būtų įtraukesnis, šiuo tikslu kviečiant jo sesijose dalyvauti kitas institucijas, pvz., Venecijos komisiją, žmogaus teisių komisarą ir Parlamento atstovus</w:t>
            </w:r>
            <w:r>
              <w:t>;</w:t>
            </w:r>
          </w:p>
        </w:tc>
        <w:tc>
          <w:tcPr>
            <w:tcW w:w="4876" w:type="dxa"/>
            <w:tcBorders>
              <w:top w:val="nil"/>
              <w:left w:val="nil"/>
              <w:bottom w:val="nil"/>
              <w:right w:val="nil"/>
            </w:tcBorders>
          </w:tcPr>
          <w:p>
            <w:pPr>
              <w:pStyle w:val="Normal6a"/>
            </w:pPr>
            <w:r>
              <w:t>36.</w:t>
            </w:r>
            <w:r>
              <w:tab/>
            </w:r>
            <w:r>
              <w:t xml:space="preserve">mano, kad reikėtų stiprinti ES lygmens tarpinstitucinį dialogą ir bendradarbiavimą teisinės valstybės klausimu; ragina </w:t>
            </w:r>
            <w:r>
              <w:rPr>
                <w:b/>
                <w:i/>
              </w:rPr>
              <w:t>įvesti Europos</w:t>
            </w:r>
            <w:r>
              <w:t xml:space="preserve"> teisinės valstybės </w:t>
            </w:r>
            <w:r>
              <w:rPr>
                <w:b/>
                <w:i/>
              </w:rPr>
              <w:t>semestrą, sukuriant sistemą, kurioje pagrindinis vaidmuo tektų Tarybai ir Europos Parlamentui, kuriuos remtų Komisija, turinti įgaliojimus užtikrinti reikalavimų laikymąsi;</w:t>
            </w:r>
            <w:r>
              <w:t xml:space="preserve"> </w:t>
            </w:r>
            <w:r>
              <w:rPr>
                <w:b/>
                <w:i/>
              </w:rPr>
              <w:t>pažymi, kad ši sistema padėtų spręsti demokratijos trūkumo problemą ir užtikrintų teisinės valstybės principo laikymąsi visose valstybėse narėse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755</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36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36a.</w:t>
            </w:r>
            <w:r>
              <w:tab/>
            </w:r>
            <w:r>
              <w:rPr>
                <w:b/>
                <w:i/>
              </w:rPr>
              <w:t>labai apgailestauja dėl to, kad Taryba nesugebėjo padaryti prasmingos pažangos vykdant procedūras ES sutarties 7 straipsnio 1 dalyje numatytas procedūras;</w:t>
            </w:r>
            <w:r>
              <w:t xml:space="preserve"> </w:t>
            </w:r>
            <w:r>
              <w:rPr>
                <w:b/>
                <w:i/>
              </w:rPr>
              <w:t>primygtinai ragina Tarybą užtikrinti, kad vykdant 7 straipsnyje numatytas procedūras klausymai vyktų bent kartą per pirmininkavimo Tarybai laikotarpį, taip pat atsižvelgti į naujus įvykius, kurie daro poveikį teisinei valstybei, demokratijai ir pagrindinėms teisėms;</w:t>
            </w:r>
            <w:r>
              <w:t xml:space="preserve"> </w:t>
            </w:r>
            <w:r>
              <w:rPr>
                <w:b/>
                <w:i/>
              </w:rPr>
              <w:t>pabrėžia, kad Taryboje nebūtinas vieningas balsavimas siekiant nustatyti, ar iškilo aiškus šiurkštaus Sąjungos vertybių pažeidimo pavojus pagal ES sutarties 7 straipsnio 1 dalį, ir norint pateikti konkrečias rekomendacijas atitinkamoms valstybėms narėms bei nurodyti šių rekomendacijų įgyvendinimo terminus;</w:t>
            </w:r>
            <w:r>
              <w:t xml:space="preserve"> </w:t>
            </w:r>
            <w:r>
              <w:rPr>
                <w:b/>
                <w:i/>
              </w:rPr>
              <w:t>pakartoja savo raginimą Tarybai imtis nurodytų veiksmų ir pabrėžia, kad bet koks tolesnis tokių veiksmų vilkinimas reikštų, jog pati Taryba pažeistų teisinės valstybės principą;</w:t>
            </w:r>
            <w:r>
              <w:t xml:space="preserve"> </w:t>
            </w:r>
            <w:r>
              <w:rPr>
                <w:b/>
                <w:i/>
              </w:rPr>
              <w:t>reikalauja, kad būtų paisoma Parlamento vaidmens ir kompetencijos;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756</w:t>
      </w:r>
      <w:r>
        <w:rPr>
          <w:rStyle w:val="HideTWBExt"/>
        </w:rPr>
        <w:t>&lt;/NumAm&gt;</w:t>
      </w:r>
    </w:p>
    <w:p>
      <w:pPr>
        <w:pStyle w:val="NormalBold"/>
      </w:pPr>
      <w:r>
        <w:rPr>
          <w:rStyle w:val="HideTWBExt"/>
          <w:b w:val="0"/>
        </w:rPr>
        <w:t>&lt;RepeatBlock-By&gt;</w:t>
      </w:r>
      <w:r>
        <w:rPr>
          <w:rStyle w:val="HideTWBExt"/>
          <w:b w:val="0"/>
        </w:rPr>
        <w:t>&lt;Members&gt;</w:t>
      </w:r>
      <w:r>
        <w:t>Birgit Sippel, Klára Dobrev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36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36a.</w:t>
            </w:r>
            <w:r>
              <w:tab/>
            </w:r>
            <w:r>
              <w:rPr>
                <w:b/>
                <w:i/>
              </w:rPr>
              <w:t>primena savo ilgalaikį reikalavimą sukurti ES demokratijos, teisinės valstybės ir pagrindinių teisių mechanizmą (ES demokratijos, teisinės valstybės ir pagrindinių teisių paktą) tarpinstitucinio susitarimo forma ir ragina Komisiją ir Tarybą sudaryti tokį tarpinstitucinį susitarimą;</w:t>
            </w:r>
            <w:r>
              <w:t xml:space="preserve"> </w:t>
            </w:r>
            <w:r>
              <w:rPr>
                <w:b/>
                <w:i/>
              </w:rPr>
              <w:t>primena, kad naujasis mechanizmas turėtų integruoti ir papildyti esamus mechanizmus, įskaitant teisinės valstybės principo taikymo ataskaitą, turėtų būti pagrįstas įrodymais, objektyvus, skirtas valstybėms narėms ir ES institucijoms, įskaitant prevencines ir taisomąsias priemones, ir jam turėtų talkinti nepriklausomų ekspertų grupė;</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757</w:t>
      </w:r>
      <w:r>
        <w:rPr>
          <w:rStyle w:val="HideTWBExt"/>
        </w:rPr>
        <w:t>&lt;/NumAm&gt;</w:t>
      </w:r>
    </w:p>
    <w:p>
      <w:pPr>
        <w:pStyle w:val="NormalBold"/>
      </w:pPr>
      <w:r>
        <w:rPr>
          <w:rStyle w:val="HideTWBExt"/>
          <w:b w:val="0"/>
        </w:rPr>
        <w:t>&lt;RepeatBlock-By&gt;</w:t>
      </w:r>
      <w:r>
        <w:rPr>
          <w:rStyle w:val="HideTWBExt"/>
          <w:b w:val="0"/>
        </w:rPr>
        <w:t>&lt;Members&gt;</w:t>
      </w:r>
      <w:r>
        <w:t>Javier Zarzalejos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36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36a.</w:t>
            </w:r>
            <w:r>
              <w:tab/>
            </w:r>
            <w:r>
              <w:rPr>
                <w:b/>
                <w:i/>
              </w:rPr>
              <w:t>ragina valstybes nares užtikrinti, kad bet kokios teisėkūros reformos, turinčios įtakos valdžių atskyrimui, visiškai atitiktų Europos teisės principus;</w:t>
            </w:r>
            <w:r>
              <w:t xml:space="preserve"> </w:t>
            </w:r>
            <w:r>
              <w:rPr>
                <w:b/>
                <w:i/>
              </w:rPr>
              <w:t>primygtinai ragina Komisiją įvertinti, ar teisėkūros priemonės, darančios poveikį teisminėms institucijoms, teisinėms garantijoms ar vykdomosios valdžios kontrolei teisminių institucijų atžvilgiu, atitinka ES sutarties 2 straipsnį ir ar jos gali būti pagrindas pradėti ES sutarties 7 straipsnyje numatytas procedūras;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758</w:t>
      </w:r>
      <w:r>
        <w:rPr>
          <w:rStyle w:val="HideTWBExt"/>
        </w:rPr>
        <w:t>&lt;/NumAm&gt;</w:t>
      </w:r>
    </w:p>
    <w:p>
      <w:pPr>
        <w:pStyle w:val="NormalBold"/>
      </w:pPr>
      <w:r>
        <w:rPr>
          <w:rStyle w:val="HideTWBExt"/>
          <w:b w:val="0"/>
        </w:rPr>
        <w:t>&lt;RepeatBlock-By&gt;</w:t>
      </w:r>
      <w:r>
        <w:rPr>
          <w:rStyle w:val="HideTWBExt"/>
          <w:b w:val="0"/>
        </w:rPr>
        <w:t>&lt;Members&gt;</w:t>
      </w:r>
      <w:r>
        <w:t>Loránt Vincze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36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36a.</w:t>
            </w:r>
            <w:r>
              <w:tab/>
            </w:r>
            <w:r>
              <w:rPr>
                <w:b/>
                <w:i/>
              </w:rPr>
              <w:t>mano, kad reikėtų toliau stiprinti ES ir tokių tarptautinių organizacijų kaip Europos Taryba, ESBO ir Jungtinės Tautos bendradarbiavimą propaguojant ir ginant demokratiją, teisinę valstybę, pagrindines laisves ir žmogaus teises, įskaitant mažumų teises;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759</w:t>
      </w:r>
      <w:r>
        <w:rPr>
          <w:rStyle w:val="HideTWBExt"/>
        </w:rPr>
        <w:t>&lt;/NumAm&gt;</w:t>
      </w:r>
    </w:p>
    <w:p>
      <w:pPr>
        <w:pStyle w:val="NormalBold"/>
      </w:pPr>
      <w:r>
        <w:rPr>
          <w:rStyle w:val="HideTWBExt"/>
          <w:b w:val="0"/>
        </w:rPr>
        <w:t>&lt;RepeatBlock-By&gt;</w:t>
      </w:r>
      <w:r>
        <w:rPr>
          <w:rStyle w:val="HideTWBExt"/>
          <w:b w:val="0"/>
        </w:rPr>
        <w:t>&lt;Members&gt;</w:t>
      </w:r>
      <w:r>
        <w:t>Marieke Ehlers, Jorge Buxadé Villalba, Tom Vandendriessche,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36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36a.</w:t>
            </w:r>
            <w:r>
              <w:tab/>
            </w:r>
            <w:r>
              <w:rPr>
                <w:b/>
                <w:i/>
              </w:rPr>
              <w:t>mano, kad, siekiant stiprinti demokratiją, teisinės valstybės principo laikymąsi ir pagrindines teises ES, ypač svarbu, kad valstybės narės tarpusavyje bendradarbiautų;</w:t>
            </w:r>
            <w:r>
              <w:t xml:space="preserve"> </w:t>
            </w:r>
            <w:r>
              <w:rPr>
                <w:b/>
                <w:i/>
              </w:rPr>
              <w:t>primygtinai ragina Komisiją laikytis savo pačios taisyklių skaidrumo kovos su korupcija ir teisingumo srityse;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760</w:t>
      </w:r>
      <w:r>
        <w:rPr>
          <w:rStyle w:val="HideTWBExt"/>
        </w:rPr>
        <w:t>&lt;/NumAm&gt;</w:t>
      </w:r>
    </w:p>
    <w:p>
      <w:pPr>
        <w:pStyle w:val="NormalBold"/>
      </w:pPr>
      <w:r>
        <w:rPr>
          <w:rStyle w:val="HideTWBExt"/>
          <w:b w:val="0"/>
        </w:rPr>
        <w:t>&lt;RepeatBlock-By&gt;</w:t>
      </w:r>
      <w:r>
        <w:rPr>
          <w:rStyle w:val="HideTWBExt"/>
          <w:b w:val="0"/>
        </w:rPr>
        <w:t>&lt;Members&gt;</w:t>
      </w:r>
      <w:r>
        <w:t>Krzysztof Śmiszek, Matjaž Nemec, Robert Biedroń, Katarina Barley, Cecilia Strada, Klára Dobrev, Csaba Molnár, Birgit Sippel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36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36a.</w:t>
            </w:r>
            <w:r>
              <w:tab/>
            </w:r>
            <w:r>
              <w:rPr>
                <w:b/>
                <w:i/>
              </w:rPr>
              <w:t>ragina valstybes nares užtikrinti, kad neatidėliotinoms priemonėms, kurių imtasi reaguojant į krizes (pvz., pandemijas ar grėsmes saugumui), būtų taikoma reguliari parlamentinė kontrolė ir teisminė peržiūra ir kad jos būtų griežtai ribotos trukmės ir proporcingos;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761</w:t>
      </w:r>
      <w:r>
        <w:rPr>
          <w:rStyle w:val="HideTWBExt"/>
        </w:rPr>
        <w:t>&lt;/NumAm&gt;</w:t>
      </w:r>
    </w:p>
    <w:p>
      <w:pPr>
        <w:pStyle w:val="NormalBold"/>
      </w:pPr>
      <w:r>
        <w:rPr>
          <w:rStyle w:val="HideTWBExt"/>
          <w:b w:val="0"/>
        </w:rPr>
        <w:t>&lt;RepeatBlock-By&gt;</w:t>
      </w:r>
      <w:r>
        <w:rPr>
          <w:rStyle w:val="HideTWBExt"/>
          <w:b w:val="0"/>
        </w:rPr>
        <w:t>&lt;Members&gt;</w:t>
      </w:r>
      <w:r>
        <w:t>Moritz Körner, Malik Azmani, Dainius Žalimas, Lucia Yar, Fabienne Keller, Sophie Wilmès, Raquel García Hermida-Van Der Walle, Abir Al-Sahlani, Veronika Cifrová Ostrihoňová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36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36a.</w:t>
            </w:r>
            <w:r>
              <w:tab/>
            </w:r>
            <w:r>
              <w:rPr>
                <w:b/>
                <w:i/>
              </w:rPr>
              <w:t>Apgailestauja, kad Komisija neįtraukė daugelio Parlamento pakartotinių prašymų, susijusių su Komisijos teisinės valstybės principo taikymo ataskaitomis;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762</w:t>
      </w:r>
      <w:r>
        <w:rPr>
          <w:rStyle w:val="HideTWBExt"/>
        </w:rPr>
        <w:t>&lt;/NumAm&gt;</w:t>
      </w:r>
    </w:p>
    <w:p>
      <w:pPr>
        <w:pStyle w:val="NormalBold"/>
      </w:pPr>
      <w:r>
        <w:rPr>
          <w:rStyle w:val="HideTWBExt"/>
          <w:b w:val="0"/>
        </w:rPr>
        <w:t>&lt;RepeatBlock-By&gt;</w:t>
      </w:r>
      <w:r>
        <w:rPr>
          <w:rStyle w:val="HideTWBExt"/>
          <w:b w:val="0"/>
        </w:rPr>
        <w:t>&lt;Members&gt;</w:t>
      </w:r>
      <w:r>
        <w:t>Moritz Körner, Malik Azmani, Dainius Žalimas, Lucia Yar, Fabienne Keller, Sophie Wilmès, Raquel García Hermida-Van Der Walle, Abir Al-Sahlani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36 b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36b.</w:t>
            </w:r>
            <w:r>
              <w:tab/>
            </w:r>
            <w:r>
              <w:rPr>
                <w:b/>
                <w:i/>
              </w:rPr>
              <w:t>reikalauja, kad Komisija ne vėliau kaip 2025 m. gruodžio 31 d. paskelbtų komunikatą, kuriame būtų išsamiai išdėstyta, kuriuos Parlamento priimtus prašymus, susijusius su Komisijos teisinės valstybės principo taikymo ataskaitomis nuo 2021 m., ji įgyvendins, o kurių ne, ir konkrečios atsisakymo priežastys;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763</w:t>
      </w:r>
      <w:r>
        <w:rPr>
          <w:rStyle w:val="HideTWBExt"/>
        </w:rPr>
        <w:t>&lt;/NumAm&gt;</w:t>
      </w:r>
    </w:p>
    <w:p>
      <w:pPr>
        <w:pStyle w:val="NormalBold"/>
      </w:pPr>
      <w:r>
        <w:rPr>
          <w:rStyle w:val="HideTWBExt"/>
          <w:b w:val="0"/>
        </w:rPr>
        <w:t>&lt;RepeatBlock-By&gt;</w:t>
      </w:r>
      <w:r>
        <w:rPr>
          <w:rStyle w:val="HideTWBExt"/>
          <w:b w:val="0"/>
        </w:rPr>
        <w:t>&lt;Members&gt;</w:t>
      </w:r>
      <w:r>
        <w:t>Krzysztof Śmiszek, Matjaž Nemec, Robert Biedroń, Katarina Barley, Cecilia Strada, Klára Dobrev, Csaba Molnár, Emma Rafowicz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36 b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36b.</w:t>
            </w:r>
            <w:r>
              <w:tab/>
            </w:r>
            <w:r>
              <w:rPr>
                <w:b/>
                <w:i/>
              </w:rPr>
              <w:t>pabrėžia, kad valstybės narės turi spręsti lyčių nelygybės teisminėse institucijose ir kitose pagrindinėse demokratinėse institucijose problemą;</w:t>
            </w:r>
            <w:r>
              <w:t xml:space="preserve"> </w:t>
            </w:r>
            <w:r>
              <w:rPr>
                <w:b/>
                <w:i/>
              </w:rPr>
              <w:t>rekomenduoja įgyvendinti tikslines priemones, kuriomis siekiama padidinti moterų atstovavimą vyresniosios grandies teisėjų ir viešojo administravimo institucijų pareigose;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764</w:t>
      </w:r>
      <w:r>
        <w:rPr>
          <w:rStyle w:val="HideTWBExt"/>
        </w:rPr>
        <w:t>&lt;/NumAm&gt;</w:t>
      </w:r>
    </w:p>
    <w:p>
      <w:pPr>
        <w:pStyle w:val="NormalBold"/>
      </w:pPr>
      <w:r>
        <w:rPr>
          <w:rStyle w:val="HideTWBExt"/>
          <w:b w:val="0"/>
        </w:rPr>
        <w:t>&lt;RepeatBlock-By&gt;</w:t>
      </w:r>
      <w:r>
        <w:rPr>
          <w:rStyle w:val="HideTWBExt"/>
          <w:b w:val="0"/>
        </w:rPr>
        <w:t>&lt;Members&gt;</w:t>
      </w:r>
      <w:r>
        <w:t>Marieke Ehlers, Jorge Buxadé Villalba, Tom Vandendriessche,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36 b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36b.</w:t>
            </w:r>
            <w:r>
              <w:tab/>
            </w:r>
            <w:r>
              <w:rPr>
                <w:b/>
                <w:i/>
              </w:rPr>
              <w:t>ragina Komisiją teisinės valstybės ir pagrindinių teisių apsaugos nenaudoti kaip preteksto daryti politinį spaudimą kai kurioms valstybėms narėms, kad jos pakeistų politiką srityse, kurios priklauso valstybių narių kompetencijai;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765</w:t>
      </w:r>
      <w:r>
        <w:rPr>
          <w:rStyle w:val="HideTWBExt"/>
        </w:rPr>
        <w:t>&lt;/NumAm&gt;</w:t>
      </w:r>
    </w:p>
    <w:p>
      <w:pPr>
        <w:pStyle w:val="NormalBold"/>
      </w:pPr>
      <w:r>
        <w:rPr>
          <w:rStyle w:val="HideTWBExt"/>
          <w:b w:val="0"/>
        </w:rPr>
        <w:t>&lt;RepeatBlock-By&gt;</w:t>
      </w:r>
      <w:r>
        <w:rPr>
          <w:rStyle w:val="HideTWBExt"/>
          <w:b w:val="0"/>
        </w:rPr>
        <w:t>&lt;Members&gt;</w:t>
      </w:r>
      <w:r>
        <w:t>Marieke Ehlers, Jorge Buxadé Villalba, Tom Vandendriessche,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36 c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36c.</w:t>
            </w:r>
            <w:r>
              <w:tab/>
            </w:r>
            <w:r>
              <w:rPr>
                <w:b/>
                <w:i/>
              </w:rPr>
              <w:t>reiškia didelį susirūpinimą dėl to, kad, kaip ir 7 straipsnyje numatytos procedūros atveju, priemonės pagal Teisinės valstybės sąlygų reglamentą bus įgyvendinamos siekiant propaguoti politinius idealus ir paneigti kai kurių valstybių narių legitimumą;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766</w:t>
      </w:r>
      <w:r>
        <w:rPr>
          <w:rStyle w:val="HideTWBExt"/>
        </w:rPr>
        <w:t>&lt;/NumAm&gt;</w:t>
      </w:r>
    </w:p>
    <w:p>
      <w:pPr>
        <w:pStyle w:val="NormalBold"/>
      </w:pPr>
      <w:r>
        <w:rPr>
          <w:rStyle w:val="HideTWBExt"/>
          <w:b w:val="0"/>
        </w:rPr>
        <w:t>&lt;RepeatBlock-By&gt;</w:t>
      </w:r>
      <w:r>
        <w:rPr>
          <w:rStyle w:val="HideTWBExt"/>
          <w:b w:val="0"/>
        </w:rPr>
        <w:t>&lt;Members&gt;</w:t>
      </w:r>
      <w:r>
        <w:t>Alessandro Ciriani, Paolo Inselvini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37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37.</w:t>
            </w:r>
            <w:r>
              <w:tab/>
            </w:r>
            <w:r>
              <w:rPr>
                <w:b/>
                <w:i/>
              </w:rPr>
              <w:t>rekomenduoja Komisijai ir valstybėms narėms stebėti užsienio šalių kišimosi veiklą, ypač socialinės žiniasklaidos naudojimą manipuliaciniais ir piktavališkais tikslais, įskaitant atvejus, kai tokie asmenys, kaip Elon Musk, naudojasi socialine žiniasklaida siekdami daryti įtaką viešajai nuomonei ir skleisti dezinformaciją Europoje;</w:t>
            </w:r>
            <w:r>
              <w:t xml:space="preserve"> </w:t>
            </w:r>
            <w:r>
              <w:rPr>
                <w:b/>
                <w:i/>
              </w:rPr>
              <w:t>pabrėžia, kad Komisija turi užtikrinti, jog teisinės valstybės principas būtų tinkamai įgyvendinamas ES institucijose, ir ragina ją į savo metinę teisinės valstybės principo taikymo ataskaitą įtraukti ES institucijų vertinimą;</w:t>
            </w:r>
          </w:p>
        </w:tc>
        <w:tc>
          <w:tcPr>
            <w:tcW w:w="4876" w:type="dxa"/>
            <w:tcBorders>
              <w:top w:val="nil"/>
              <w:left w:val="nil"/>
              <w:bottom w:val="nil"/>
              <w:right w:val="nil"/>
            </w:tcBorders>
          </w:tcPr>
          <w:p>
            <w:pPr>
              <w:pStyle w:val="Normal6a"/>
            </w:pPr>
            <w:r>
              <w:rPr>
                <w:b/>
                <w:i/>
              </w:rPr>
              <w:t>Išbraukta.</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767</w:t>
      </w:r>
      <w:r>
        <w:rPr>
          <w:rStyle w:val="HideTWBExt"/>
        </w:rPr>
        <w:t>&lt;/NumAm&gt;</w:t>
      </w:r>
    </w:p>
    <w:p>
      <w:pPr>
        <w:pStyle w:val="NormalBold"/>
      </w:pPr>
      <w:r>
        <w:rPr>
          <w:rStyle w:val="HideTWBExt"/>
          <w:b w:val="0"/>
        </w:rPr>
        <w:t>&lt;RepeatBlock-By&gt;</w:t>
      </w:r>
      <w:r>
        <w:rPr>
          <w:rStyle w:val="HideTWBExt"/>
          <w:b w:val="0"/>
        </w:rPr>
        <w:t>&lt;Members&gt;</w:t>
      </w:r>
      <w:r>
        <w:t>András László</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37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rPr>
                <w:b/>
                <w:i/>
              </w:rPr>
              <w:t>rekomenduoja Komisijai ir valstybėms narėms stebėti užsienio šalių kišimosi veiklą, ypač socialinės žiniasklaidos naudojimą manipuliaciniais ir piktavališkais tikslais, įskaitant atvejus, kai tokie asmenys, kaip Elon Musk, naudojasi socialine žiniasklaida siekdami daryti įtaką viešajai nuomonei ir skleisti dezinformaciją Europoje</w:t>
            </w:r>
            <w:r>
              <w:t>; pabrėžia, kad Komisija turi užtikrinti, jog teisinės valstybės principas būtų tinkamai įgyvendinamas ES institucijose, ir ragina ją į savo metinę teisinės valstybės principo taikymo ataskaitą įtraukti ES institucijų vertinimą;</w:t>
            </w:r>
          </w:p>
        </w:tc>
        <w:tc>
          <w:tcPr>
            <w:tcW w:w="4876" w:type="dxa"/>
            <w:tcBorders>
              <w:top w:val="nil"/>
              <w:left w:val="nil"/>
              <w:bottom w:val="nil"/>
              <w:right w:val="nil"/>
            </w:tcBorders>
          </w:tcPr>
          <w:p>
            <w:pPr>
              <w:pStyle w:val="Normal6a"/>
            </w:pPr>
            <w:r>
              <w:t>37.</w:t>
            </w:r>
            <w:r>
              <w:tab/>
            </w:r>
            <w:r>
              <w:rPr>
                <w:b/>
                <w:i/>
              </w:rPr>
              <w:t>yra susirūpinęs dėl Europos Parlamento ir Europos Komisijos kišimosi į valstybių narių vidaus reikalus;</w:t>
            </w:r>
            <w:r>
              <w:t xml:space="preserve"> </w:t>
            </w:r>
            <w:r>
              <w:rPr>
                <w:b/>
                <w:i/>
              </w:rPr>
              <w:t>primena, kad 2025 m. sausio 7 d. bendrovės „Meta“ generalinis direktorius Mark Zuckerberg pripažino, kad „Facebook“ cenzūravo turinį politiniu pagrindu;</w:t>
            </w:r>
            <w:r>
              <w:t xml:space="preserve"> </w:t>
            </w:r>
            <w:r>
              <w:rPr>
                <w:b/>
                <w:i/>
              </w:rPr>
              <w:t>palankiai vertina bendrovės „Meta“ pastangas skatinti žodžio laisvę savo socialinių medijų platformose;</w:t>
            </w:r>
            <w:r>
              <w:t xml:space="preserve"> </w:t>
            </w:r>
            <w:r>
              <w:rPr>
                <w:b/>
                <w:i/>
              </w:rPr>
              <w:t>apgailestauja, kad Europoje tebetaikomas politiškai šališkas faktų tikrinimas socialinių medijų platformose;</w:t>
            </w:r>
            <w:r>
              <w:t xml:space="preserve"> </w:t>
            </w:r>
            <w:r>
              <w:rPr>
                <w:b/>
                <w:i/>
              </w:rPr>
              <w:t>ragina Komisiją nebecenzūruoti dešiniosios ir konservatyviosios pakraipos nuomonės socialinių medijų platformose;</w:t>
            </w:r>
            <w:r>
              <w:t xml:space="preserve"> </w:t>
            </w:r>
            <w:r>
              <w:rPr>
                <w:b/>
                <w:i/>
              </w:rPr>
              <w:t>ragina Europos Parlamentą įsteigti „Facebook“ cenzūros tyrimo komitetą;</w:t>
            </w:r>
            <w:r>
              <w:t xml:space="preserve"> </w:t>
            </w:r>
            <w:r>
              <w:rPr>
                <w:b/>
                <w:i/>
              </w:rPr>
              <w:t>palankiai vertina Elono Musko pastangas kovojant už saviraiškos laisvę</w:t>
            </w:r>
            <w:r>
              <w:t>; pabrėžia, kad Komisija turi užtikrinti, jog teisinės valstybės principas būtų tinkamai įgyvendinamas ES institucijose, ir ragina ją į savo metinę teisinės valstybės principo taikymo ataskaitą įtraukti ES institucijų vertinimą;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768</w:t>
      </w:r>
      <w:r>
        <w:rPr>
          <w:rStyle w:val="HideTWBExt"/>
        </w:rPr>
        <w:t>&lt;/NumAm&gt;</w:t>
      </w:r>
    </w:p>
    <w:p>
      <w:pPr>
        <w:pStyle w:val="NormalBold"/>
      </w:pPr>
      <w:r>
        <w:rPr>
          <w:rStyle w:val="HideTWBExt"/>
          <w:b w:val="0"/>
        </w:rPr>
        <w:t>&lt;RepeatBlock-By&gt;</w:t>
      </w:r>
      <w:r>
        <w:rPr>
          <w:rStyle w:val="HideTWBExt"/>
          <w:b w:val="0"/>
        </w:rPr>
        <w:t>&lt;Members&gt;</w:t>
      </w:r>
      <w:r>
        <w:t>Nicolas Bay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37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rekomenduoja Komisijai ir valstybėms narėms stebėti užsienio šalių kišimosi veiklą</w:t>
            </w:r>
            <w:r>
              <w:rPr>
                <w:b/>
                <w:i/>
              </w:rPr>
              <w:t>, ypač socialinės žiniasklaidos naudojimą manipuliaciniais ir piktavališkais tikslais, įskaitant atvejus, kai tokie asmenys, kaip Elon Musk, naudojasi socialine žiniasklaida siekdami daryti įtaką viešajai nuomonei ir skleisti dezinformaciją Europoje;</w:t>
            </w:r>
            <w:r>
              <w:t xml:space="preserve"> </w:t>
            </w:r>
            <w:r>
              <w:rPr>
                <w:b/>
                <w:i/>
              </w:rPr>
              <w:t>pabrėžia, kad Komisija turi užtikrinti, jog teisinės valstybės principas būtų tinkamai įgyvendinamas ES institucijose, ir ragina ją į savo metinę teisinės valstybės principo taikymo ataskaitą įtraukti ES institucijų vertinimą</w:t>
            </w:r>
            <w:r>
              <w:t>;</w:t>
            </w:r>
          </w:p>
        </w:tc>
        <w:tc>
          <w:tcPr>
            <w:tcW w:w="4876" w:type="dxa"/>
            <w:tcBorders>
              <w:top w:val="nil"/>
              <w:left w:val="nil"/>
              <w:bottom w:val="nil"/>
              <w:right w:val="nil"/>
            </w:tcBorders>
          </w:tcPr>
          <w:p>
            <w:pPr>
              <w:pStyle w:val="Normal6a"/>
            </w:pPr>
            <w:r>
              <w:t>37.</w:t>
            </w:r>
            <w:r>
              <w:tab/>
            </w:r>
            <w:r>
              <w:t>rekomenduoja Komisijai ir valstybėms narėms stebėti užsienio šalių kišimosi veiklą;</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769</w:t>
      </w:r>
      <w:r>
        <w:rPr>
          <w:rStyle w:val="HideTWBExt"/>
        </w:rPr>
        <w:t>&lt;/NumAm&gt;</w:t>
      </w:r>
    </w:p>
    <w:p>
      <w:pPr>
        <w:pStyle w:val="NormalBold"/>
      </w:pPr>
      <w:r>
        <w:rPr>
          <w:rStyle w:val="HideTWBExt"/>
          <w:b w:val="0"/>
        </w:rPr>
        <w:t>&lt;RepeatBlock-By&gt;</w:t>
      </w:r>
      <w:r>
        <w:rPr>
          <w:rStyle w:val="HideTWBExt"/>
          <w:b w:val="0"/>
        </w:rPr>
        <w:t>&lt;Members&gt;</w:t>
      </w:r>
      <w:r>
        <w:t>Mary Khan, Milan Uhrík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37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 xml:space="preserve">rekomenduoja Komisijai </w:t>
            </w:r>
            <w:r>
              <w:rPr>
                <w:b/>
                <w:i/>
              </w:rPr>
              <w:t>ir valstybėms narėms stebėti užsienio šalių kišimosi veiklą, ypač socialinės žiniasklaidos naudojimą manipuliaciniais ir piktavališkais tikslais, įskaitant atvejus, kai tokie asmenys, kaip Elon Musk, naudojasi socialine žiniasklaida siekdami daryti įtaką viešajai nuomonei ir skleisti dezinformaciją Europoje;</w:t>
            </w:r>
            <w:r>
              <w:t xml:space="preserve"> </w:t>
            </w:r>
            <w:r>
              <w:rPr>
                <w:b/>
                <w:i/>
              </w:rPr>
              <w:t>pabrėžia, kad Komisija turi užtikrinti, jog</w:t>
            </w:r>
            <w:r>
              <w:t xml:space="preserve"> teisinės valstybės principas būtų tinkamai įgyvendinamas ES institucijose, ir ragina ją į savo metinę teisinės valstybės principo taikymo ataskaitą įtraukti ES institucijų vertinimą;</w:t>
            </w:r>
          </w:p>
        </w:tc>
        <w:tc>
          <w:tcPr>
            <w:tcW w:w="4876" w:type="dxa"/>
            <w:tcBorders>
              <w:top w:val="nil"/>
              <w:left w:val="nil"/>
              <w:bottom w:val="nil"/>
              <w:right w:val="nil"/>
            </w:tcBorders>
          </w:tcPr>
          <w:p>
            <w:pPr>
              <w:pStyle w:val="Normal6a"/>
            </w:pPr>
            <w:r>
              <w:t>37.</w:t>
            </w:r>
            <w:r>
              <w:tab/>
            </w:r>
            <w:r>
              <w:t xml:space="preserve">rekomenduoja Komisijai </w:t>
            </w:r>
            <w:r>
              <w:rPr>
                <w:b/>
                <w:i/>
              </w:rPr>
              <w:t>užtikrinti, kad</w:t>
            </w:r>
            <w:r>
              <w:t xml:space="preserve"> teisinės valstybės principas būtų tinkamai įgyvendinamas ES institucijose, ir ragina ją į savo metinę teisinės valstybės principo taikymo ataskaitą įtraukti ES institucijų vertinimą;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770</w:t>
      </w:r>
      <w:r>
        <w:rPr>
          <w:rStyle w:val="HideTWBExt"/>
        </w:rPr>
        <w:t>&lt;/NumAm&gt;</w:t>
      </w:r>
    </w:p>
    <w:p>
      <w:pPr>
        <w:pStyle w:val="NormalBold"/>
      </w:pPr>
      <w:r>
        <w:rPr>
          <w:rStyle w:val="HideTWBExt"/>
          <w:b w:val="0"/>
        </w:rPr>
        <w:t>&lt;RepeatBlock-By&gt;</w:t>
      </w:r>
      <w:r>
        <w:rPr>
          <w:rStyle w:val="HideTWBExt"/>
          <w:b w:val="0"/>
        </w:rPr>
        <w:t>&lt;Members&gt;</w:t>
      </w:r>
      <w:r>
        <w:t>Mariusz Kamiński, Joachim Stanisław Brudziński, Jadwiga Wiśniewska, Maciej Wąsik, Jacek Ozdoba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37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 xml:space="preserve">rekomenduoja Komisijai ir valstybėms narėms stebėti užsienio šalių kišimosi veiklą, ypač socialinės žiniasklaidos naudojimą manipuliaciniais ir piktavališkais tikslais, </w:t>
            </w:r>
            <w:r>
              <w:rPr>
                <w:b/>
                <w:i/>
              </w:rPr>
              <w:t>įskaitant atvejus, kai tokie asmenys, kaip Elon Musk, naudojasi socialine žiniasklaida siekdami daryti įtaką viešajai nuomonei ir skleisti dezinformaciją Europoje</w:t>
            </w:r>
            <w:r>
              <w:t>; pabrėžia, kad Komisija turi užtikrinti, jog teisinės valstybės principas būtų tinkamai įgyvendinamas ES institucijose, ir ragina ją į savo metinę teisinės valstybės principo taikymo ataskaitą įtraukti ES institucijų vertinimą;</w:t>
            </w:r>
          </w:p>
        </w:tc>
        <w:tc>
          <w:tcPr>
            <w:tcW w:w="4876" w:type="dxa"/>
            <w:tcBorders>
              <w:top w:val="nil"/>
              <w:left w:val="nil"/>
              <w:bottom w:val="nil"/>
              <w:right w:val="nil"/>
            </w:tcBorders>
          </w:tcPr>
          <w:p>
            <w:pPr>
              <w:pStyle w:val="Normal6a"/>
            </w:pPr>
            <w:r>
              <w:t>37.</w:t>
            </w:r>
            <w:r>
              <w:tab/>
            </w:r>
            <w:r>
              <w:t xml:space="preserve">rekomenduoja Komisijai ir valstybėms narėms stebėti užsienio šalių kišimosi veiklą, ypač socialinės žiniasklaidos naudojimą manipuliaciniais ir piktavališkais tikslais, </w:t>
            </w:r>
            <w:r>
              <w:rPr>
                <w:b/>
                <w:i/>
              </w:rPr>
              <w:t>siekiant daryti įtaką viešajai nuomonei ir skleisti dezinformaciją Europoje;</w:t>
            </w:r>
            <w:r>
              <w:t xml:space="preserve"> </w:t>
            </w:r>
            <w:r>
              <w:rPr>
                <w:b/>
                <w:i/>
              </w:rPr>
              <w:t>pažymi, kad jau ne vienus metus Komisija neatpažįsta kairiųjų liberaliųjų pakraipų dominavimo socialiniuose tinkluose, įskaitant tai, kad šią darbotvarkę primetė kai kurios sostinės, tarptautiniai fondai ir ES institucijos</w:t>
            </w:r>
            <w:r>
              <w:t>; pabrėžia, kad Komisija turi užtikrinti, jog teisinės valstybės principas būtų tinkamai įgyvendinamas ES institucijose, ir ragina ją į savo metinę teisinės valstybės principo taikymo ataskaitą įtraukti ES institucijų vertinimą;</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771</w:t>
      </w:r>
      <w:r>
        <w:rPr>
          <w:rStyle w:val="HideTWBExt"/>
        </w:rPr>
        <w:t>&lt;/NumAm&gt;</w:t>
      </w:r>
    </w:p>
    <w:p>
      <w:pPr>
        <w:pStyle w:val="NormalBold"/>
      </w:pPr>
      <w:r>
        <w:rPr>
          <w:rStyle w:val="HideTWBExt"/>
          <w:b w:val="0"/>
        </w:rPr>
        <w:t>&lt;RepeatBlock-By&gt;</w:t>
      </w:r>
      <w:r>
        <w:rPr>
          <w:rStyle w:val="HideTWBExt"/>
          <w:b w:val="0"/>
        </w:rPr>
        <w:t>&lt;Members&gt;</w:t>
      </w:r>
      <w:r>
        <w:t>Nikola Minchev, Moritz Körner, Veronika Cifrová Ostrihoňová, Abir Al-Sahlani, Chloé Ridel, Fabienne Keller, Lucia Yar, Irena Joveva, Isabel Wiseler-Lima</w:t>
      </w:r>
      <w:r>
        <w:rPr>
          <w:rStyle w:val="HideTWBExt"/>
          <w:b w:val="0"/>
        </w:rPr>
        <w:t>&lt;/Members&gt;</w:t>
      </w:r>
    </w:p>
    <w:p>
      <w:r>
        <w:rPr>
          <w:rStyle w:val="HideTWBExt"/>
          <w:b w:val="0"/>
        </w:rPr>
        <w:t>&lt;AuNomDe&gt;</w:t>
      </w:r>
      <w:r>
        <w:rPr>
          <w:rStyle w:val="HideTWBInt"/>
        </w:rPr>
        <w:t>{LIBE}</w:t>
      </w:r>
      <w:r>
        <w:t>Piliečių laisvių, teisingumo ir vidaus reikalų komiteto vardu</w:t>
      </w:r>
      <w:r>
        <w:rPr>
          <w:rStyle w:val="HideTWBExt"/>
          <w:b w:val="0"/>
        </w:rPr>
        <w:t>&lt;/AuNomDe&gt;</w:t>
      </w:r>
    </w:p>
    <w:p>
      <w:pPr>
        <w:pStyle w:val="NormalBold"/>
      </w:pPr>
      <w:r>
        <w:rPr>
          <w:rStyle w:val="HideTWBExt"/>
          <w:b w:val="0"/>
        </w:rPr>
        <w:t>&lt;Members&gt;</w:t>
      </w:r>
      <w:r>
        <w:t>Sophie Wilmès, Hilde Vautmans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37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 xml:space="preserve">rekomenduoja Komisijai ir valstybėms narėms stebėti užsienio šalių kišimosi veiklą, ypač socialinės žiniasklaidos naudojimą manipuliaciniais ir piktavališkais tikslais, įskaitant atvejus, kai tokie asmenys, kaip Elon Musk, naudojasi socialine žiniasklaida siekdami daryti įtaką viešajai nuomonei ir skleisti dezinformaciją Europoje; </w:t>
            </w:r>
            <w:r>
              <w:rPr>
                <w:b/>
                <w:i/>
              </w:rPr>
              <w:t>pabrėžia, kad Komisija turi užtikrinti, jog teisinės valstybės principas būtų tinkamai įgyvendinamas ES institucijose, ir ragina ją į savo metinę teisinės valstybės principo taikymo ataskaitą įtraukti ES institucijų vertinimą;</w:t>
            </w:r>
          </w:p>
        </w:tc>
        <w:tc>
          <w:tcPr>
            <w:tcW w:w="4876" w:type="dxa"/>
            <w:tcBorders>
              <w:top w:val="nil"/>
              <w:left w:val="nil"/>
              <w:bottom w:val="nil"/>
              <w:right w:val="nil"/>
            </w:tcBorders>
          </w:tcPr>
          <w:p>
            <w:pPr>
              <w:pStyle w:val="Normal6a"/>
            </w:pPr>
            <w:r>
              <w:t>37.</w:t>
            </w:r>
            <w:r>
              <w:tab/>
            </w:r>
            <w:r>
              <w:t>rekomenduoja Komisijai ir valstybėms narėms stebėti užsienio šalių kišimosi veiklą, ypač socialinės žiniasklaidos naudojimą manipuliaciniais ir piktavališkais tikslais, įskaitant atvejus, kai tokie asmenys, kaip Elon Musk, naudojasi socialine žiniasklaida siekdami daryti įtaką viešajai nuomonei ir skleisti dezinformaciją Europoje;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772</w:t>
      </w:r>
      <w:r>
        <w:rPr>
          <w:rStyle w:val="HideTWBExt"/>
        </w:rPr>
        <w:t>&lt;/NumAm&gt;</w:t>
      </w:r>
    </w:p>
    <w:p>
      <w:pPr>
        <w:pStyle w:val="NormalBold"/>
      </w:pPr>
      <w:r>
        <w:rPr>
          <w:rStyle w:val="HideTWBExt"/>
          <w:b w:val="0"/>
        </w:rPr>
        <w:t>&lt;RepeatBlock-By&gt;</w:t>
      </w:r>
      <w:r>
        <w:rPr>
          <w:rStyle w:val="HideTWBExt"/>
          <w:b w:val="0"/>
        </w:rPr>
        <w:t>&lt;Members&gt;</w:t>
      </w:r>
      <w:r>
        <w:t>Ewa Zajączkowska-Hernik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37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rekomenduoja Komisijai ir valstybėms narėms stebėti užsienio šalių kišimosi veiklą</w:t>
            </w:r>
            <w:r>
              <w:rPr>
                <w:b/>
                <w:i/>
              </w:rPr>
              <w:t>, ypač socialinės žiniasklaidos naudojimą manipuliaciniais ir piktavališkais tikslais, įskaitant atvejus, kai tokie asmenys, kaip Elon Musk, naudojasi socialine žiniasklaida siekdami daryti įtaką viešajai nuomonei ir skleisti dezinformaciją Europoje</w:t>
            </w:r>
            <w:r>
              <w:t>; pabrėžia, kad Komisija turi užtikrinti, jog teisinės valstybės principas būtų tinkamai įgyvendinamas ES institucijose, ir ragina ją į savo metinę teisinės valstybės principo taikymo ataskaitą įtraukti ES institucijų vertinimą;</w:t>
            </w:r>
          </w:p>
        </w:tc>
        <w:tc>
          <w:tcPr>
            <w:tcW w:w="4876" w:type="dxa"/>
            <w:tcBorders>
              <w:top w:val="nil"/>
              <w:left w:val="nil"/>
              <w:bottom w:val="nil"/>
              <w:right w:val="nil"/>
            </w:tcBorders>
          </w:tcPr>
          <w:p>
            <w:pPr>
              <w:pStyle w:val="Normal6a"/>
            </w:pPr>
            <w:r>
              <w:t>37.</w:t>
            </w:r>
            <w:r>
              <w:tab/>
            </w:r>
            <w:r>
              <w:t>rekomenduoja Komisijai ir valstybėms narėms stebėti užsienio šalių kišimosi veiklą; pabrėžia, kad Komisija turi užtikrinti, jog teisinės valstybės principas būtų tinkamai įgyvendinamas ES institucijose, ir ragina ją į savo metinę teisinės valstybės principo taikymo ataskaitą įtraukti ES institucijų vertinimą;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773</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37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 xml:space="preserve">rekomenduoja Komisijai ir valstybėms narėms stebėti užsienio šalių kišimosi veiklą, </w:t>
            </w:r>
            <w:r>
              <w:rPr>
                <w:b/>
                <w:i/>
              </w:rPr>
              <w:t>ypač</w:t>
            </w:r>
            <w:r>
              <w:t xml:space="preserve"> socialinės žiniasklaidos naudojimą manipuliaciniais ir piktavališkais tikslais</w:t>
            </w:r>
            <w:r>
              <w:rPr>
                <w:b/>
                <w:i/>
              </w:rPr>
              <w:t>, įskaitant atvejus, kai tokie asmenys, kaip Elon Musk, naudojasi socialine žiniasklaida siekdami daryti įtaką viešajai nuomonei ir skleisti dezinformaciją Europoje</w:t>
            </w:r>
            <w:r>
              <w:t>; pabrėžia, kad Komisija turi užtikrinti, jog teisinės valstybės principas būtų tinkamai įgyvendinamas ES institucijose, ir ragina ją į savo metinę teisinės valstybės principo taikymo ataskaitą įtraukti ES institucijų vertinimą;</w:t>
            </w:r>
          </w:p>
        </w:tc>
        <w:tc>
          <w:tcPr>
            <w:tcW w:w="4876" w:type="dxa"/>
            <w:tcBorders>
              <w:top w:val="nil"/>
              <w:left w:val="nil"/>
              <w:bottom w:val="nil"/>
              <w:right w:val="nil"/>
            </w:tcBorders>
          </w:tcPr>
          <w:p>
            <w:pPr>
              <w:pStyle w:val="Normal6a"/>
            </w:pPr>
            <w:r>
              <w:t>37.</w:t>
            </w:r>
            <w:r>
              <w:tab/>
            </w:r>
            <w:r>
              <w:t xml:space="preserve">rekomenduoja Komisijai ir valstybėms narėms stebėti užsienio šalių kišimosi veiklą, </w:t>
            </w:r>
            <w:r>
              <w:rPr>
                <w:b/>
                <w:i/>
              </w:rPr>
              <w:t>įskaitant</w:t>
            </w:r>
            <w:r>
              <w:t xml:space="preserve"> socialinės žiniasklaidos naudojimą manipuliaciniais ir piktavališkais tikslais; pabrėžia, kad Komisija turi užtikrinti, jog teisinės valstybės principas būtų tinkamai įgyvendinamas ES institucijose, ir ragina ją į savo metinę teisinės valstybės principo taikymo ataskaitą įtraukti ES institucijų vertinimą;</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774</w:t>
      </w:r>
      <w:r>
        <w:rPr>
          <w:rStyle w:val="HideTWBExt"/>
        </w:rPr>
        <w:t>&lt;/NumAm&gt;</w:t>
      </w:r>
    </w:p>
    <w:p>
      <w:pPr>
        <w:pStyle w:val="NormalBold"/>
      </w:pPr>
      <w:r>
        <w:rPr>
          <w:rStyle w:val="HideTWBExt"/>
          <w:b w:val="0"/>
        </w:rPr>
        <w:t>&lt;RepeatBlock-By&gt;</w:t>
      </w:r>
      <w:r>
        <w:rPr>
          <w:rStyle w:val="HideTWBExt"/>
          <w:b w:val="0"/>
        </w:rPr>
        <w:t>&lt;Members&gt;</w:t>
      </w:r>
      <w:r>
        <w:t>Jorge Buxadé Villalba, Marieke Ehlers, Malika Sorel,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37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rekomenduoja Komisijai ir valstybėms narėms stebėti užsienio šalių kišimosi veiklą</w:t>
            </w:r>
            <w:r>
              <w:rPr>
                <w:b/>
                <w:i/>
              </w:rPr>
              <w:t>, ypač socialinės žiniasklaidos naudojimą manipuliaciniais ir piktavališkais tikslais, įskaitant atvejus, kai tokie asmenys, kaip Elon Musk, naudojasi socialine žiniasklaida siekdami daryti įtaką viešajai nuomonei ir skleisti dezinformaciją Europoje</w:t>
            </w:r>
            <w:r>
              <w:t>; pabrėžia, kad Komisija turi užtikrinti, jog teisinės valstybės principas būtų tinkamai įgyvendinamas ES institucijose, ir ragina ją į savo metinę teisinės valstybės principo taikymo ataskaitą įtraukti ES institucijų vertinimą;</w:t>
            </w:r>
          </w:p>
        </w:tc>
        <w:tc>
          <w:tcPr>
            <w:tcW w:w="4876" w:type="dxa"/>
            <w:tcBorders>
              <w:top w:val="nil"/>
              <w:left w:val="nil"/>
              <w:bottom w:val="nil"/>
              <w:right w:val="nil"/>
            </w:tcBorders>
          </w:tcPr>
          <w:p>
            <w:pPr>
              <w:pStyle w:val="Normal6a"/>
            </w:pPr>
            <w:r>
              <w:t>37.</w:t>
            </w:r>
            <w:r>
              <w:tab/>
            </w:r>
            <w:r>
              <w:t xml:space="preserve">rekomenduoja Komisijai ir valstybėms narėms stebėti užsienio šalių kišimosi veiklą </w:t>
            </w:r>
            <w:r>
              <w:rPr>
                <w:b/>
                <w:i/>
              </w:rPr>
              <w:t>ir imtis veiksmingų priemonių mūsų bendriems interesams apsaugoti;</w:t>
            </w:r>
            <w:r>
              <w:t xml:space="preserve"> </w:t>
            </w:r>
            <w:r>
              <w:rPr>
                <w:b/>
                <w:i/>
              </w:rPr>
              <w:t>pabrėžia, kad su užsienio propagandos operacijomis galima kovoti nepažeidžiant saviraiškos laisvės, t. y. tinkamai pažymint užsienio finansuojamas organizacijas arba įgyvendinant neutralias iniciatyvas, pvz., bendruomenės pastabas</w:t>
            </w:r>
            <w:r>
              <w:t>; pabrėžia, kad Komisija turi užtikrinti, jog teisinės valstybės principas būtų tinkamai įgyvendinamas ES institucijose, ir ragina ją į savo metinę teisinės valstybės principo taikymo ataskaitą įtraukti ES institucijų vertinimą;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775</w:t>
      </w:r>
      <w:r>
        <w:rPr>
          <w:rStyle w:val="HideTWBExt"/>
        </w:rPr>
        <w:t>&lt;/NumAm&gt;</w:t>
      </w:r>
    </w:p>
    <w:p>
      <w:pPr>
        <w:pStyle w:val="NormalBold"/>
      </w:pPr>
      <w:r>
        <w:rPr>
          <w:rStyle w:val="HideTWBExt"/>
          <w:b w:val="0"/>
        </w:rPr>
        <w:t>&lt;RepeatBlock-By&gt;</w:t>
      </w:r>
      <w:r>
        <w:rPr>
          <w:rStyle w:val="HideTWBExt"/>
          <w:b w:val="0"/>
        </w:rPr>
        <w:t>&lt;Members&gt;</w:t>
      </w:r>
      <w:r>
        <w:t>Romana Tomc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37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rekomenduoja Komisijai ir valstybėms narėms stebėti užsienio šalių kišimosi veiklą, ypač socialinės žiniasklaidos naudojimą manipuliaciniais ir piktavališkais tikslais</w:t>
            </w:r>
            <w:r>
              <w:rPr>
                <w:b/>
                <w:i/>
              </w:rPr>
              <w:t>, įskaitant atvejus, kai tokie asmenys, kaip Elon Musk, naudojasi socialine žiniasklaida siekdami daryti įtaką viešajai nuomonei ir skleisti dezinformaciją Europoje</w:t>
            </w:r>
            <w:r>
              <w:t>; pabrėžia, kad Komisija turi užtikrinti, jog teisinės valstybės principas būtų tinkamai įgyvendinamas ES institucijose, ir ragina ją į savo metinę teisinės valstybės principo taikymo ataskaitą įtraukti ES institucijų vertinimą;</w:t>
            </w:r>
          </w:p>
        </w:tc>
        <w:tc>
          <w:tcPr>
            <w:tcW w:w="4876" w:type="dxa"/>
            <w:tcBorders>
              <w:top w:val="nil"/>
              <w:left w:val="nil"/>
              <w:bottom w:val="nil"/>
              <w:right w:val="nil"/>
            </w:tcBorders>
          </w:tcPr>
          <w:p>
            <w:pPr>
              <w:pStyle w:val="Normal6a"/>
            </w:pPr>
            <w:r>
              <w:t>37.</w:t>
            </w:r>
            <w:r>
              <w:tab/>
            </w:r>
            <w:r>
              <w:t>rekomenduoja Komisijai ir valstybėms narėms stebėti užsienio šalių kišimosi veiklą, ypač socialinės žiniasklaidos naudojimą manipuliaciniais ir piktavališkais tikslais; pabrėžia, kad Komisija turi užtikrinti, jog teisinės valstybės principas būtų tinkamai įgyvendinamas ES institucijose, ir ragina ją į savo metinę teisinės valstybės principo taikymo ataskaitą įtraukti ES institucijų vertinimą;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776</w:t>
      </w:r>
      <w:r>
        <w:rPr>
          <w:rStyle w:val="HideTWBExt"/>
        </w:rPr>
        <w:t>&lt;/NumAm&gt;</w:t>
      </w:r>
    </w:p>
    <w:p>
      <w:pPr>
        <w:pStyle w:val="NormalBold"/>
      </w:pPr>
      <w:r>
        <w:rPr>
          <w:rStyle w:val="HideTWBExt"/>
          <w:b w:val="0"/>
        </w:rPr>
        <w:t>&lt;RepeatBlock-By&gt;</w:t>
      </w:r>
      <w:r>
        <w:rPr>
          <w:rStyle w:val="HideTWBExt"/>
          <w:b w:val="0"/>
        </w:rPr>
        <w:t>&lt;Members&gt;</w:t>
      </w:r>
      <w:r>
        <w:t>Javier Zarzalejos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37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rekomenduoja Komisijai ir valstybėms narėms stebėti užsienio šalių kišimosi veiklą, ypač socialinės žiniasklaidos naudojimą manipuliaciniais ir piktavališkais tikslais</w:t>
            </w:r>
            <w:r>
              <w:rPr>
                <w:b/>
                <w:i/>
              </w:rPr>
              <w:t>, įskaitant atvejus, kai tokie asmenys, kaip Elon Musk, naudojasi socialine žiniasklaida siekdami daryti įtaką viešajai nuomonei ir skleisti dezinformaciją Europoje</w:t>
            </w:r>
            <w:r>
              <w:t>; pabrėžia, kad Komisija turi užtikrinti, jog teisinės valstybės principas būtų tinkamai įgyvendinamas ES institucijose, ir ragina ją į savo metinę teisinės valstybės principo taikymo ataskaitą įtraukti ES institucijų vertinimą;</w:t>
            </w:r>
          </w:p>
        </w:tc>
        <w:tc>
          <w:tcPr>
            <w:tcW w:w="4876" w:type="dxa"/>
            <w:tcBorders>
              <w:top w:val="nil"/>
              <w:left w:val="nil"/>
              <w:bottom w:val="nil"/>
              <w:right w:val="nil"/>
            </w:tcBorders>
          </w:tcPr>
          <w:p>
            <w:pPr>
              <w:pStyle w:val="Normal6a"/>
            </w:pPr>
            <w:r>
              <w:t>37.</w:t>
            </w:r>
            <w:r>
              <w:tab/>
            </w:r>
            <w:r>
              <w:t>rekomenduoja Komisijai ir valstybėms narėms stebėti užsienio šalių kišimosi veiklą, ypač socialinės žiniasklaidos naudojimą manipuliaciniais ir piktavališkais tikslais; pabrėžia, kad Komisija turi užtikrinti, jog teisinės valstybės principas būtų tinkamai įgyvendinamas ES institucijose, ir ragina ją į savo metinę teisinės valstybės principo taikymo ataskaitą įtraukti ES institucijų vertinimą;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777</w:t>
      </w:r>
      <w:r>
        <w:rPr>
          <w:rStyle w:val="HideTWBExt"/>
        </w:rPr>
        <w:t>&lt;/NumAm&gt;</w:t>
      </w:r>
    </w:p>
    <w:p>
      <w:pPr>
        <w:pStyle w:val="NormalBold"/>
      </w:pPr>
      <w:r>
        <w:rPr>
          <w:rStyle w:val="HideTWBExt"/>
          <w:b w:val="0"/>
        </w:rPr>
        <w:t>&lt;RepeatBlock-By&gt;</w:t>
      </w:r>
      <w:r>
        <w:rPr>
          <w:rStyle w:val="HideTWBExt"/>
          <w:b w:val="0"/>
        </w:rPr>
        <w:t>&lt;Members&gt;</w:t>
      </w:r>
      <w:r>
        <w:t>Moritz Körner, Malik Azmani, Dainius Žalimas, Fabienne Keller, Raquel García Hermida-Van Der Walle, Veronika Cifrová Ostrihoňová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37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 xml:space="preserve">rekomenduoja Komisijai ir valstybėms narėms stebėti užsienio šalių kišimosi veiklą, </w:t>
            </w:r>
            <w:r>
              <w:rPr>
                <w:b/>
                <w:i/>
              </w:rPr>
              <w:t>ypač</w:t>
            </w:r>
            <w:r>
              <w:t xml:space="preserve"> socialinės žiniasklaidos naudojimą manipuliaciniais ir piktavališkais tikslais</w:t>
            </w:r>
            <w:r>
              <w:rPr>
                <w:b/>
                <w:i/>
              </w:rPr>
              <w:t>, įskaitant atvejus, kai tokie asmenys, kaip Elon Musk, naudojasi socialine žiniasklaida siekdami daryti įtaką viešajai nuomonei ir skleisti dezinformaciją Europoje</w:t>
            </w:r>
            <w:r>
              <w:t>; pabrėžia, kad Komisija turi užtikrinti, jog teisinės valstybės principas būtų tinkamai įgyvendinamas ES institucijose, ir ragina ją į savo metinę teisinės valstybės principo taikymo ataskaitą įtraukti ES institucijų vertinimą;</w:t>
            </w:r>
          </w:p>
        </w:tc>
        <w:tc>
          <w:tcPr>
            <w:tcW w:w="4876" w:type="dxa"/>
            <w:tcBorders>
              <w:top w:val="nil"/>
              <w:left w:val="nil"/>
              <w:bottom w:val="nil"/>
              <w:right w:val="nil"/>
            </w:tcBorders>
          </w:tcPr>
          <w:p>
            <w:pPr>
              <w:pStyle w:val="Normal6a"/>
            </w:pPr>
            <w:r>
              <w:t>37.</w:t>
            </w:r>
            <w:r>
              <w:tab/>
            </w:r>
            <w:r>
              <w:t xml:space="preserve">rekomenduoja Komisijai ir valstybėms narėms stebėti užsienio šalių kišimosi veiklą, </w:t>
            </w:r>
            <w:r>
              <w:rPr>
                <w:b/>
                <w:i/>
              </w:rPr>
              <w:t>įskaitant</w:t>
            </w:r>
            <w:r>
              <w:t xml:space="preserve"> socialinės žiniasklaidos naudojimą manipuliaciniais ir piktavališkais tikslais </w:t>
            </w:r>
            <w:r>
              <w:rPr>
                <w:b/>
                <w:i/>
              </w:rPr>
              <w:t>bei dezinformacijos skleidimą Europoje, ir skubiai spręsti šią problemą</w:t>
            </w:r>
            <w:r>
              <w:t>; pabrėžia, kad Komisija turi užtikrinti, jog teisinės valstybės principas būtų tinkamai įgyvendinamas ES institucijose, ir ragina ją į savo metinę teisinės valstybės principo taikymo ataskaitą įtraukti ES institucijų vertinimą;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778</w:t>
      </w:r>
      <w:r>
        <w:rPr>
          <w:rStyle w:val="HideTWBExt"/>
        </w:rPr>
        <w:t>&lt;/NumAm&gt;</w:t>
      </w:r>
    </w:p>
    <w:p>
      <w:pPr>
        <w:pStyle w:val="NormalBold"/>
      </w:pPr>
      <w:r>
        <w:rPr>
          <w:rStyle w:val="HideTWBExt"/>
          <w:b w:val="0"/>
        </w:rPr>
        <w:t>&lt;RepeatBlock-By&gt;</w:t>
      </w:r>
      <w:r>
        <w:rPr>
          <w:rStyle w:val="HideTWBExt"/>
          <w:b w:val="0"/>
        </w:rPr>
        <w:t>&lt;Members&gt;</w:t>
      </w:r>
      <w:r>
        <w:t>Alessandro Zan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37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rekomenduoja Komisijai ir valstybėms narėms stebėti užsienio šalių kišimosi veiklą, ypač socialinės žiniasklaidos naudojimą manipuliaciniais ir piktavališkais tikslais, įskaitant atvejus, kai tokie asmenys, kaip Elon Musk, naudojasi socialine žiniasklaida siekdami daryti įtaką viešajai nuomonei ir skleisti dezinformaciją Europoje; pabrėžia, kad Komisija turi užtikrinti, jog teisinės valstybės principas būtų tinkamai įgyvendinamas ES institucijose, ir ragina ją į savo metinę teisinės valstybės principo taikymo ataskaitą įtraukti ES institucijų vertinimą;</w:t>
            </w:r>
          </w:p>
        </w:tc>
        <w:tc>
          <w:tcPr>
            <w:tcW w:w="4876" w:type="dxa"/>
            <w:tcBorders>
              <w:top w:val="nil"/>
              <w:left w:val="nil"/>
              <w:bottom w:val="nil"/>
              <w:right w:val="nil"/>
            </w:tcBorders>
          </w:tcPr>
          <w:p>
            <w:pPr>
              <w:pStyle w:val="Normal6a"/>
            </w:pPr>
            <w:r>
              <w:t>37.</w:t>
            </w:r>
            <w:r>
              <w:tab/>
            </w:r>
            <w:r>
              <w:t xml:space="preserve">rekomenduoja Komisijai ir valstybėms narėms stebėti užsienio šalių kišimosi veiklą, ypač socialinės žiniasklaidos naudojimą manipuliaciniais ir piktavališkais tikslais, įskaitant atvejus, kai tokie asmenys, kaip Elon Musk </w:t>
            </w:r>
            <w:r>
              <w:rPr>
                <w:b/>
                <w:i/>
              </w:rPr>
              <w:t>ir „Meta“</w:t>
            </w:r>
            <w:r>
              <w:t>, naudojasi socialine žiniasklaida siekdami daryti įtaką viešajai nuomonei ir skleisti dezinformaciją Europoje; pabrėžia, kad Komisija turi užtikrinti, jog teisinės valstybės principas būtų tinkamai įgyvendinamas ES institucijose, ir ragina ją į savo metinę teisinės valstybės principo taikymo ataskaitą įtraukti ES institucijų vertinimą;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779</w:t>
      </w:r>
      <w:r>
        <w:rPr>
          <w:rStyle w:val="HideTWBExt"/>
        </w:rPr>
        <w:t>&lt;/NumAm&gt;</w:t>
      </w:r>
    </w:p>
    <w:p>
      <w:pPr>
        <w:pStyle w:val="NormalBold"/>
      </w:pPr>
      <w:r>
        <w:rPr>
          <w:rStyle w:val="HideTWBExt"/>
          <w:b w:val="0"/>
        </w:rPr>
        <w:t>&lt;RepeatBlock-By&gt;</w:t>
      </w:r>
      <w:r>
        <w:rPr>
          <w:rStyle w:val="HideTWBExt"/>
          <w:b w:val="0"/>
        </w:rPr>
        <w:t>&lt;Members&gt;</w:t>
      </w:r>
      <w:r>
        <w:t>Erik Kaliňák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37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 xml:space="preserve">rekomenduoja Komisijai ir valstybėms narėms stebėti užsienio šalių </w:t>
            </w:r>
            <w:r>
              <w:rPr>
                <w:b/>
                <w:i/>
              </w:rPr>
              <w:t>kišimosi veiklą, ypač socialinės žiniasklaidos naudojimą</w:t>
            </w:r>
            <w:r>
              <w:t xml:space="preserve"> manipuliaciniais ir piktavališkais tikslais, įskaitant atvejus, kai </w:t>
            </w:r>
            <w:r>
              <w:rPr>
                <w:b/>
                <w:i/>
              </w:rPr>
              <w:t>tokie asmenys, kaip Elon Musk, naudojasi socialine žiniasklaida siekdami</w:t>
            </w:r>
            <w:r>
              <w:t xml:space="preserve"> daryti įtaką viešajai nuomonei ir skleisti dezinformaciją Europoje; pabrėžia, kad Komisija turi užtikrinti, jog teisinės valstybės principas būtų tinkamai įgyvendinamas ES institucijose, ir ragina ją į savo metinę teisinės valstybės principo taikymo ataskaitą įtraukti ES institucijų vertinimą;</w:t>
            </w:r>
          </w:p>
        </w:tc>
        <w:tc>
          <w:tcPr>
            <w:tcW w:w="4876" w:type="dxa"/>
            <w:tcBorders>
              <w:top w:val="nil"/>
              <w:left w:val="nil"/>
              <w:bottom w:val="nil"/>
              <w:right w:val="nil"/>
            </w:tcBorders>
          </w:tcPr>
          <w:p>
            <w:pPr>
              <w:pStyle w:val="Normal6a"/>
            </w:pPr>
            <w:r>
              <w:t>37.</w:t>
            </w:r>
            <w:r>
              <w:tab/>
            </w:r>
            <w:r>
              <w:t>rekomenduoja Komisijai ir valstybėms narėms stebėti užsienio šalių</w:t>
            </w:r>
            <w:r>
              <w:rPr>
                <w:b/>
                <w:i/>
              </w:rPr>
              <w:t>, ypač NVO, kišimosi veiklą</w:t>
            </w:r>
            <w:r>
              <w:t xml:space="preserve"> manipuliaciniais ir piktavališkais tikslais, įskaitant atvejus, kai </w:t>
            </w:r>
            <w:r>
              <w:rPr>
                <w:b/>
                <w:i/>
              </w:rPr>
              <w:t>siekiant</w:t>
            </w:r>
            <w:r>
              <w:t xml:space="preserve"> daryti įtaką viešajai nuomonei ir skleisti dezinformaciją Europoje </w:t>
            </w:r>
            <w:r>
              <w:rPr>
                <w:b/>
                <w:i/>
              </w:rPr>
              <w:t>pasitelkiamos NVO</w:t>
            </w:r>
            <w:r>
              <w:t>; pabrėžia, kad Komisija turi užtikrinti, jog teisinės valstybės principas būtų tinkamai įgyvendinamas ES institucijose, ir ragina ją į savo metinę teisinės valstybės principo taikymo ataskaitą įtraukti ES institucijų vertinimą;</w:t>
            </w:r>
          </w:p>
        </w:tc>
      </w:tr>
    </w:tbl>
    <w:p>
      <w:pPr>
        <w:pStyle w:val="AmOrLang"/>
      </w:pPr>
      <w:r>
        <w:t xml:space="preserve">Or. </w:t>
      </w:r>
      <w:r>
        <w:rPr>
          <w:rStyle w:val="HideTWBExt"/>
        </w:rPr>
        <w:t>&lt;Original&gt;</w:t>
      </w:r>
      <w:r>
        <w:rPr>
          <w:rStyle w:val="HideTWBInt"/>
        </w:rPr>
        <w:t>{SK}</w:t>
      </w:r>
      <w:r>
        <w:t>sk</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780</w:t>
      </w:r>
      <w:r>
        <w:rPr>
          <w:rStyle w:val="HideTWBExt"/>
        </w:rPr>
        <w:t>&lt;/NumAm&gt;</w:t>
      </w:r>
    </w:p>
    <w:p>
      <w:pPr>
        <w:pStyle w:val="NormalBold"/>
      </w:pPr>
      <w:r>
        <w:rPr>
          <w:rStyle w:val="HideTWBExt"/>
          <w:b w:val="0"/>
        </w:rPr>
        <w:t>&lt;RepeatBlock-By&gt;</w:t>
      </w:r>
      <w:r>
        <w:rPr>
          <w:rStyle w:val="HideTWBExt"/>
          <w:b w:val="0"/>
        </w:rPr>
        <w:t>&lt;Members&gt;</w:t>
      </w:r>
      <w:r>
        <w:t>Alessandro Zan, Cecilia Strada, Sandro Ruotolo, Pina Picierno, Marco Tarquinio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37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37a.</w:t>
            </w:r>
            <w:r>
              <w:tab/>
            </w:r>
            <w:r>
              <w:rPr>
                <w:b/>
                <w:i/>
              </w:rPr>
              <w:t>primygtinai ragina Komisiją visapusiškai stebėti, kad kompetentingų nacionalinių institucijų sudaryti saugių kilmės šalių sąrašai visada atitiktų demokratijos principus, taigi ir teisinės valstybės principo laikymąsi, ES teisės aktuose nustatytus kriterijus, ES Teisingumo Teismo sprendimus ir tarptautinei teisę;</w:t>
            </w:r>
            <w:r>
              <w:t xml:space="preserve"> </w:t>
            </w:r>
            <w:r>
              <w:rPr>
                <w:b/>
                <w:i/>
              </w:rPr>
              <w:t>pabrėžia, kad pagal ES ir tarptautinę teisę privaloma suteikti tarptautinę apsaugą asmenims, persekiojamiems ir (arba) patiriantiems didelę žalą dėl rasinės ir etninės kilmės, religijos ar tikėjimo, pilietybės, politinių pažiūrų, kalbos, negalios, amžiaus, lyties, įskaitant lytinę tapatybę ir lyties raišką, ir seksualinės orientacijos;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781</w:t>
      </w:r>
      <w:r>
        <w:rPr>
          <w:rStyle w:val="HideTWBExt"/>
        </w:rPr>
        <w:t>&lt;/NumAm&gt;</w:t>
      </w:r>
    </w:p>
    <w:p>
      <w:pPr>
        <w:pStyle w:val="NormalBold"/>
      </w:pPr>
      <w:r>
        <w:rPr>
          <w:rStyle w:val="HideTWBExt"/>
          <w:b w:val="0"/>
        </w:rPr>
        <w:t>&lt;RepeatBlock-By&gt;</w:t>
      </w:r>
      <w:r>
        <w:rPr>
          <w:rStyle w:val="HideTWBExt"/>
          <w:b w:val="0"/>
        </w:rPr>
        <w:t>&lt;Members&gt;</w:t>
      </w:r>
      <w:r>
        <w:t>Alessandro Ciriani, Paolo Inselvini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37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37a.</w:t>
            </w:r>
            <w:r>
              <w:tab/>
            </w:r>
            <w:r>
              <w:rPr>
                <w:b/>
                <w:i/>
              </w:rPr>
              <w:t>pabrėžia, kad svarbu apsaugoti teisę į saviraiškos laisvę, kuri yra viena pagrindinių teisių ir mūsų demokratinės visuomenės ramstis.</w:t>
            </w:r>
            <w:r>
              <w:t xml:space="preserve"> </w:t>
            </w:r>
            <w:r>
              <w:rPr>
                <w:b/>
                <w:i/>
              </w:rPr>
              <w:t>Užuot sudarydama prielaidas taikyti politinį spaudimą, kuris galėtų riboti atviras ir sąžiningas diskusijas, Komisija turi užtikrinti, kad šią teisę ginančioms socialinių medijų platformoms būtų tinkamai taikoma Europos Sąjungos reglamentavimo bazė.</w:t>
            </w:r>
            <w:r>
              <w:t xml:space="preserve"> </w:t>
            </w:r>
            <w:r>
              <w:rPr>
                <w:b/>
                <w:i/>
              </w:rPr>
              <w:t>Nors socialinės žiniasklaidos platformos turi veikti atsakingai ir laikytis galiojančių taisyklių, yra ypač svarbu, kad turinio moderavimo praktika netaptų kontrolės, cenzūros ar politinio manipuliavimo priemone;</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782</w:t>
      </w:r>
      <w:r>
        <w:rPr>
          <w:rStyle w:val="HideTWBExt"/>
        </w:rPr>
        <w:t>&lt;/NumAm&gt;</w:t>
      </w:r>
    </w:p>
    <w:p>
      <w:pPr>
        <w:pStyle w:val="NormalBold"/>
      </w:pPr>
      <w:r>
        <w:rPr>
          <w:rStyle w:val="HideTWBExt"/>
          <w:b w:val="0"/>
        </w:rPr>
        <w:t>&lt;RepeatBlock-By&gt;</w:t>
      </w:r>
      <w:r>
        <w:rPr>
          <w:rStyle w:val="HideTWBExt"/>
          <w:b w:val="0"/>
        </w:rPr>
        <w:t>&lt;Members&gt;</w:t>
      </w:r>
      <w:r>
        <w:t>Krzysztof Śmiszek, Matjaž Nemec, Robert Biedroń, Katarina Barley, Cecilia Strada, Klára Dobrev, Csaba Molnár, Emma Rafowicz, Birgit Sippel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37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37a.</w:t>
            </w:r>
            <w:r>
              <w:tab/>
            </w:r>
            <w:r>
              <w:rPr>
                <w:b/>
                <w:i/>
              </w:rPr>
              <w:t>ragina valstybes nares didinti lobistinės veiklos skaidrumą ir atskaitomybę, įskaitant privalomų lobistinės veiklos registrų ir įtakos teisėkūros procesui kontrolei skirtų poveikio teisės aktams stebėjimo mechanizmų sukūrimą arba tobulinimą;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783</w:t>
      </w:r>
      <w:r>
        <w:rPr>
          <w:rStyle w:val="HideTWBExt"/>
        </w:rPr>
        <w:t>&lt;/NumAm&gt;</w:t>
      </w:r>
    </w:p>
    <w:p>
      <w:pPr>
        <w:pStyle w:val="NormalBold"/>
      </w:pPr>
      <w:r>
        <w:rPr>
          <w:rStyle w:val="HideTWBExt"/>
          <w:b w:val="0"/>
        </w:rPr>
        <w:t>&lt;RepeatBlock-By&gt;</w:t>
      </w:r>
      <w:r>
        <w:rPr>
          <w:rStyle w:val="HideTWBExt"/>
          <w:b w:val="0"/>
        </w:rPr>
        <w:t>&lt;Members&gt;</w:t>
      </w:r>
      <w:r>
        <w:t>Nikola Minchev, Moritz Körner, Veronika Cifrová Ostrihoňová, Abir Al-Sahlani, Chloé Ridel, Alessandro Zan, Fabienne Keller, Lucia Yar, Irena Joveva, Isabel Wiseler-Lima</w:t>
      </w:r>
      <w:r>
        <w:rPr>
          <w:rStyle w:val="HideTWBExt"/>
          <w:b w:val="0"/>
        </w:rPr>
        <w:t>&lt;/Members&gt;</w:t>
      </w:r>
    </w:p>
    <w:p>
      <w:r>
        <w:rPr>
          <w:rStyle w:val="HideTWBExt"/>
          <w:b w:val="0"/>
        </w:rPr>
        <w:t>&lt;AuNomDe&gt;</w:t>
      </w:r>
      <w:r>
        <w:rPr>
          <w:rStyle w:val="HideTWBInt"/>
        </w:rPr>
        <w:t>{LIBE}</w:t>
      </w:r>
      <w:r>
        <w:t>Piliečių laisvių, teisingumo ir vidaus reikalų komiteto vardu</w:t>
      </w:r>
      <w:r>
        <w:rPr>
          <w:rStyle w:val="HideTWBExt"/>
          <w:b w:val="0"/>
        </w:rPr>
        <w:t>&lt;/AuNomDe&gt;</w:t>
      </w:r>
    </w:p>
    <w:p>
      <w:pPr>
        <w:pStyle w:val="NormalBold"/>
      </w:pPr>
      <w:r>
        <w:rPr>
          <w:rStyle w:val="HideTWBExt"/>
          <w:b w:val="0"/>
        </w:rPr>
        <w:t>&lt;Members&gt;</w:t>
      </w:r>
      <w:r>
        <w:t>Sophie Wilmès, Hilde Vautmans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37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37a.</w:t>
            </w:r>
            <w:r>
              <w:tab/>
            </w:r>
            <w:r>
              <w:rPr>
                <w:b/>
                <w:i/>
              </w:rPr>
              <w:t>pabrėžia, kad Komisija turi užtikrinti, jog teisinės valstybės principas būtų tinkamai įgyvendinamas ES institucijose, ir ragina ją į savo metinę teisinės valstybės principo taikymo ataskaitą įtraukti ES institucijų vertinimą;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784</w:t>
      </w:r>
      <w:r>
        <w:rPr>
          <w:rStyle w:val="HideTWBExt"/>
        </w:rPr>
        <w:t>&lt;/NumAm&gt;</w:t>
      </w:r>
    </w:p>
    <w:p>
      <w:pPr>
        <w:pStyle w:val="NormalBold"/>
      </w:pPr>
      <w:r>
        <w:rPr>
          <w:rStyle w:val="HideTWBExt"/>
          <w:b w:val="0"/>
        </w:rPr>
        <w:t>&lt;RepeatBlock-By&gt;</w:t>
      </w:r>
      <w:r>
        <w:rPr>
          <w:rStyle w:val="HideTWBExt"/>
          <w:b w:val="0"/>
        </w:rPr>
        <w:t>&lt;Members&gt;</w:t>
      </w:r>
      <w:r>
        <w:t>Alessandro Zan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37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37a.</w:t>
            </w:r>
            <w:r>
              <w:tab/>
            </w:r>
            <w:r>
              <w:rPr>
                <w:b/>
                <w:i/>
              </w:rPr>
              <w:t>ragina Tarybą priimti sprendimą į SESV 83 straipsnio 1 dalyje pateiktą nusikalstamų veikų sąrašą įtraukti neapykantą kurstančias kalbas ir neapykantos nusikaltimus;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785</w:t>
      </w:r>
      <w:r>
        <w:rPr>
          <w:rStyle w:val="HideTWBExt"/>
        </w:rPr>
        <w:t>&lt;/NumAm&gt;</w:t>
      </w:r>
    </w:p>
    <w:p>
      <w:pPr>
        <w:pStyle w:val="NormalBold"/>
      </w:pPr>
      <w:r>
        <w:rPr>
          <w:rStyle w:val="HideTWBExt"/>
          <w:b w:val="0"/>
        </w:rPr>
        <w:t>&lt;RepeatBlock-By&gt;</w:t>
      </w:r>
      <w:r>
        <w:rPr>
          <w:rStyle w:val="HideTWBExt"/>
          <w:b w:val="0"/>
        </w:rPr>
        <w:t>&lt;Members&gt;</w:t>
      </w:r>
      <w:r>
        <w:t>Alessandro Ciriani, Paolo Inselvini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37 b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37b.</w:t>
            </w:r>
            <w:r>
              <w:tab/>
            </w:r>
            <w:r>
              <w:rPr>
                <w:b/>
                <w:i/>
              </w:rPr>
              <w:t>yra susirūpinęs dėl augančios tendencijos pasitelkti reglamentus, pvz., Skaitmeninių paslaugų aktą (SPA), siekiant propaguoti politines pozicijas ir vizijas, dėl kurių gali būti pakenkta saviraiškos laisvei;</w:t>
            </w:r>
            <w:r>
              <w:t xml:space="preserve"> </w:t>
            </w:r>
            <w:r>
              <w:rPr>
                <w:b/>
                <w:i/>
              </w:rPr>
              <w:t>Socialinių medijų platformos turėtų išlikti forumais, kuriose galima laisvai keistis idėjomis, nebijant politiškai motyvuotos cenzūros.</w:t>
            </w:r>
            <w:r>
              <w:t xml:space="preserve"> </w:t>
            </w:r>
            <w:r>
              <w:rPr>
                <w:b/>
                <w:i/>
              </w:rPr>
              <w:t>ES turi išlikti budri ir priešintis bet kokiems bandymams turinio moderavimą naudoti politiniais tikslais, taip užtikrindama saviraiškos laisvės apsaugą;</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786</w:t>
      </w:r>
      <w:r>
        <w:rPr>
          <w:rStyle w:val="HideTWBExt"/>
        </w:rPr>
        <w:t>&lt;/NumAm&gt;</w:t>
      </w:r>
    </w:p>
    <w:p>
      <w:pPr>
        <w:pStyle w:val="NormalBold"/>
      </w:pPr>
      <w:r>
        <w:rPr>
          <w:rStyle w:val="HideTWBExt"/>
          <w:b w:val="0"/>
        </w:rPr>
        <w:t>&lt;RepeatBlock-By&gt;</w:t>
      </w:r>
      <w:r>
        <w:rPr>
          <w:rStyle w:val="HideTWBExt"/>
          <w:b w:val="0"/>
        </w:rPr>
        <w:t>&lt;Members&gt;</w:t>
      </w:r>
      <w:r>
        <w:t>Alessandro Zan, Krzysztof Śmiszek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37 c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37c.</w:t>
            </w:r>
            <w:r>
              <w:tab/>
            </w:r>
            <w:r>
              <w:rPr>
                <w:b/>
                <w:i/>
              </w:rPr>
              <w:t>primygtinai ragina Komisiją pateikti atnaujintą LGBTQIA+ lygybės strategiją po 2025 m., kurioje būtų visapusiškai aptartos dabartinės problemos visoje Europoje, o LGBTQIA+ teisės taptų kompleksiniu prioritetu visose politikos srityse;</w:t>
            </w:r>
            <w:r>
              <w:t xml:space="preserve"> </w:t>
            </w:r>
            <w:r>
              <w:rPr>
                <w:b/>
                <w:i/>
              </w:rPr>
              <w:t>pabrėžia LGBTQIA+ asmenų apsisprendimo ir jų tapatybės bei teisių pripažinimo netaikant amžiaus apribojimų svarbą;</w:t>
            </w:r>
            <w:r>
              <w:t xml:space="preserve"> </w:t>
            </w:r>
            <w:r>
              <w:rPr>
                <w:b/>
                <w:i/>
              </w:rPr>
              <w:t>ragina apsaugoti ir skatinti LGBTQIA+ asmenų fizinę ir psichinę sveikatą;</w:t>
            </w:r>
            <w:r>
              <w:t xml:space="preserve"> </w:t>
            </w:r>
            <w:r>
              <w:rPr>
                <w:b/>
                <w:i/>
              </w:rPr>
              <w:t>primygtinai ragina Komisiją pateikti pasiūlymus dėl teisėkūros procedūra priimamų aktų, kuriais siekdama kovoti su neapykantos nusikaltimais ir neapykantą kurstančiomis kalbomis dėl lytinės tapatybės ir seksualinės orientacijos, ir užtikrinti vienodas vienalyčių porų teises;</w:t>
            </w:r>
            <w:r>
              <w:t xml:space="preserve"> </w:t>
            </w:r>
            <w:r>
              <w:rPr>
                <w:b/>
                <w:i/>
              </w:rPr>
              <w:t>primygtinai ragina Komisiją pateikti pasiūlymą dėl privalomo ES draudimo taikyti atvertimo praktiką visose valstybėse narėse;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787</w:t>
      </w:r>
      <w:r>
        <w:rPr>
          <w:rStyle w:val="HideTWBExt"/>
        </w:rPr>
        <w:t>&lt;/NumAm&gt;</w:t>
      </w:r>
    </w:p>
    <w:p>
      <w:pPr>
        <w:pStyle w:val="NormalBold"/>
      </w:pPr>
      <w:r>
        <w:rPr>
          <w:rStyle w:val="HideTWBExt"/>
          <w:b w:val="0"/>
        </w:rPr>
        <w:t>&lt;RepeatBlock-By&gt;</w:t>
      </w:r>
      <w:r>
        <w:rPr>
          <w:rStyle w:val="HideTWBExt"/>
          <w:b w:val="0"/>
        </w:rPr>
        <w:t>&lt;Members&gt;</w:t>
      </w:r>
      <w:r>
        <w:t>Alessandro Zan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37 d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37d.</w:t>
            </w:r>
            <w:r>
              <w:tab/>
            </w:r>
            <w:r>
              <w:rPr>
                <w:b/>
                <w:i/>
              </w:rPr>
              <w:t>ragina Komisiją ir valstybes nares kovoti su diskriminacija dėl rasinės ir etninės kilmės, religijos ar tikėjimo, pilietybės, politinių pažiūrų, kalbos, negalios, amžiaus, lyties, įskaitant lytinę tapatybę ir lyties raišką, ir seksualinės orientacijos;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788</w:t>
      </w:r>
      <w:r>
        <w:rPr>
          <w:rStyle w:val="HideTWBExt"/>
        </w:rPr>
        <w:t>&lt;/NumAm&gt;</w:t>
      </w:r>
    </w:p>
    <w:p>
      <w:pPr>
        <w:pStyle w:val="NormalBold"/>
      </w:pPr>
      <w:r>
        <w:rPr>
          <w:rStyle w:val="HideTWBExt"/>
          <w:b w:val="0"/>
        </w:rPr>
        <w:t>&lt;RepeatBlock-By&gt;</w:t>
      </w:r>
      <w:r>
        <w:rPr>
          <w:rStyle w:val="HideTWBExt"/>
          <w:b w:val="0"/>
        </w:rPr>
        <w:t>&lt;Members&gt;</w:t>
      </w:r>
      <w:r>
        <w:t>Nicolas Bay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38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38.</w:t>
            </w:r>
            <w:r>
              <w:tab/>
            </w:r>
            <w:r>
              <w:rPr>
                <w:b/>
                <w:i/>
              </w:rPr>
              <w:t>palankiai vertina Komisijos iniciatyvą įtraukti Albaniją, Juodkalniją, Šiaurės Makedoniją ir Serbiją į savo metinę teisinės valstybės principo taikymo ataskaitą ir ragina atidžiai įvertinti teisinės valstybės principo taikymą šiose narystės siekiančiose šalyse;</w:t>
            </w:r>
          </w:p>
        </w:tc>
        <w:tc>
          <w:tcPr>
            <w:tcW w:w="4876" w:type="dxa"/>
            <w:tcBorders>
              <w:top w:val="nil"/>
              <w:left w:val="nil"/>
              <w:bottom w:val="nil"/>
              <w:right w:val="nil"/>
            </w:tcBorders>
          </w:tcPr>
          <w:p>
            <w:pPr>
              <w:pStyle w:val="Normal6a"/>
            </w:pPr>
            <w:r>
              <w:rPr>
                <w:b/>
                <w:i/>
              </w:rPr>
              <w:t>Išbraukta.</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789</w:t>
      </w:r>
      <w:r>
        <w:rPr>
          <w:rStyle w:val="HideTWBExt"/>
        </w:rPr>
        <w:t>&lt;/NumAm&gt;</w:t>
      </w:r>
    </w:p>
    <w:p>
      <w:pPr>
        <w:pStyle w:val="NormalBold"/>
      </w:pPr>
      <w:r>
        <w:rPr>
          <w:rStyle w:val="HideTWBExt"/>
          <w:b w:val="0"/>
        </w:rPr>
        <w:t>&lt;RepeatBlock-By&gt;</w:t>
      </w:r>
      <w:r>
        <w:rPr>
          <w:rStyle w:val="HideTWBExt"/>
          <w:b w:val="0"/>
        </w:rPr>
        <w:t>&lt;Members&gt;</w:t>
      </w:r>
      <w:r>
        <w:t>András László</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38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38.</w:t>
            </w:r>
            <w:r>
              <w:tab/>
            </w:r>
            <w:r>
              <w:rPr>
                <w:b/>
                <w:i/>
              </w:rPr>
              <w:t>palankiai vertina Komisijos iniciatyvą įtraukti Albaniją, Juodkalniją, Šiaurės Makedoniją ir Serbiją į savo metinę teisinės valstybės principo taikymo ataskaitą ir ragina atidžiai įvertinti teisinės valstybės principo taikymą šiose narystės siekiančiose šalyse;</w:t>
            </w:r>
          </w:p>
        </w:tc>
        <w:tc>
          <w:tcPr>
            <w:tcW w:w="4876" w:type="dxa"/>
            <w:tcBorders>
              <w:top w:val="nil"/>
              <w:left w:val="nil"/>
              <w:bottom w:val="nil"/>
              <w:right w:val="nil"/>
            </w:tcBorders>
          </w:tcPr>
          <w:p>
            <w:pPr>
              <w:pStyle w:val="Normal6a"/>
            </w:pPr>
            <w:r>
              <w:rPr>
                <w:b/>
                <w:i/>
              </w:rPr>
              <w:t>Išbraukta.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790</w:t>
      </w:r>
      <w:r>
        <w:rPr>
          <w:rStyle w:val="HideTWBExt"/>
        </w:rPr>
        <w:t>&lt;/NumAm&gt;</w:t>
      </w:r>
    </w:p>
    <w:p>
      <w:pPr>
        <w:pStyle w:val="NormalBold"/>
      </w:pPr>
      <w:r>
        <w:rPr>
          <w:rStyle w:val="HideTWBExt"/>
          <w:b w:val="0"/>
        </w:rPr>
        <w:t>&lt;RepeatBlock-By&gt;</w:t>
      </w:r>
      <w:r>
        <w:rPr>
          <w:rStyle w:val="HideTWBExt"/>
          <w:b w:val="0"/>
        </w:rPr>
        <w:t>&lt;Members&gt;</w:t>
      </w:r>
      <w:r>
        <w:t>Moritz Körner, Malik Azmani, Dainius Žalimas, Lucia Yar, Fabienne Keller, Sophie Wilmès, Raquel García Hermida-Van Der Walle, Abir Al-Sahlani, Veronika Cifrová Ostrihoňová, Ana Catarina Mendes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38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38.</w:t>
            </w:r>
            <w:r>
              <w:tab/>
            </w:r>
            <w:r>
              <w:t>palankiai vertina Komisijos iniciatyvą įtraukti Albaniją, Juodkalniją, Šiaurės Makedoniją ir Serbiją į savo metinę teisinės valstybės principo taikymo ataskaitą ir ragina atidžiai įvertinti teisinės valstybės principo taikymą šiose narystės siekiančiose šalyse;</w:t>
            </w:r>
          </w:p>
        </w:tc>
        <w:tc>
          <w:tcPr>
            <w:tcW w:w="4876" w:type="dxa"/>
            <w:tcBorders>
              <w:top w:val="nil"/>
              <w:left w:val="nil"/>
              <w:bottom w:val="nil"/>
              <w:right w:val="nil"/>
            </w:tcBorders>
          </w:tcPr>
          <w:p>
            <w:pPr>
              <w:pStyle w:val="Normal6a"/>
            </w:pPr>
            <w:r>
              <w:t>38.</w:t>
            </w:r>
            <w:r>
              <w:tab/>
            </w:r>
            <w:r>
              <w:t xml:space="preserve">palankiai vertina </w:t>
            </w:r>
            <w:r>
              <w:rPr>
                <w:b/>
                <w:i/>
              </w:rPr>
              <w:t>tai, kad Komisijos teisinės valstybės principo taikymo ataskaita buvo išplėsta įtraukiant šalis kandidates, ir pabrėžia, kad stojimo proceso metu gerbti pagrindines ES vertybes turi ne tik dabartinės valstybės narės, bet ir būsimos narės;</w:t>
            </w:r>
            <w:r>
              <w:t xml:space="preserve"> </w:t>
            </w:r>
            <w:r>
              <w:rPr>
                <w:b/>
                <w:i/>
              </w:rPr>
              <w:t>palankiai vertina</w:t>
            </w:r>
            <w:r>
              <w:t xml:space="preserve"> Komisijos iniciatyvą įtraukti Albaniją, Juodkalniją, Šiaurės Makedoniją ir Serbiją į savo metinę teisinės valstybės principo taikymo ataskaitą ir ragina atidžiai įvertinti teisinės valstybės principo taikymą šiose narystės siekiančiose šalyse; </w:t>
            </w:r>
            <w:r>
              <w:rPr>
                <w:b/>
                <w:i/>
              </w:rPr>
              <w:t>tikisi, kad Komisija į savo 2025 m. teisinės valstybės principo taikymo ataskaitą įtrauks visas šalis kandidates;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791</w:t>
      </w:r>
      <w:r>
        <w:rPr>
          <w:rStyle w:val="HideTWBExt"/>
        </w:rPr>
        <w:t>&lt;/NumAm&gt;</w:t>
      </w:r>
    </w:p>
    <w:p>
      <w:pPr>
        <w:pStyle w:val="NormalBold"/>
      </w:pPr>
      <w:r>
        <w:rPr>
          <w:rStyle w:val="HideTWBExt"/>
          <w:b w:val="0"/>
        </w:rPr>
        <w:t>&lt;RepeatBlock-By&gt;</w:t>
      </w:r>
      <w:r>
        <w:rPr>
          <w:rStyle w:val="HideTWBExt"/>
          <w:b w:val="0"/>
        </w:rPr>
        <w:t>&lt;Members&gt;</w:t>
      </w:r>
      <w:r>
        <w:t>Nikola Minchev, Moritz Körner, Veronika Cifrová Ostrihoňová, Abir Al-Sahlani, Chloé Ridel, Fabienne Keller, Lucia Yar, Irena Joveva, Isabel Wiseler-Lima</w:t>
      </w:r>
      <w:r>
        <w:rPr>
          <w:rStyle w:val="HideTWBExt"/>
          <w:b w:val="0"/>
        </w:rPr>
        <w:t>&lt;/Members&gt;</w:t>
      </w:r>
    </w:p>
    <w:p>
      <w:r>
        <w:rPr>
          <w:rStyle w:val="HideTWBExt"/>
          <w:b w:val="0"/>
        </w:rPr>
        <w:t>&lt;AuNomDe&gt;</w:t>
      </w:r>
      <w:r>
        <w:rPr>
          <w:rStyle w:val="HideTWBInt"/>
        </w:rPr>
        <w:t>{LIBE}</w:t>
      </w:r>
      <w:r>
        <w:t>Piliečių laisvių, teisingumo ir vidaus reikalų komiteto vardu</w:t>
      </w:r>
      <w:r>
        <w:rPr>
          <w:rStyle w:val="HideTWBExt"/>
          <w:b w:val="0"/>
        </w:rPr>
        <w:t>&lt;/AuNomDe&gt;</w:t>
      </w:r>
    </w:p>
    <w:p>
      <w:pPr>
        <w:pStyle w:val="NormalBold"/>
      </w:pPr>
      <w:r>
        <w:rPr>
          <w:rStyle w:val="HideTWBExt"/>
          <w:b w:val="0"/>
        </w:rPr>
        <w:t>&lt;Members&gt;</w:t>
      </w:r>
      <w:r>
        <w:t>Sophie Wilmès, Hilde Vautmans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38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38.</w:t>
            </w:r>
            <w:r>
              <w:tab/>
            </w:r>
            <w:r>
              <w:t xml:space="preserve">palankiai vertina Komisijos iniciatyvą įtraukti Albaniją, Juodkalniją, Šiaurės Makedoniją ir Serbiją į savo metinę teisinės valstybės principo taikymo ataskaitą ir ragina atidžiai įvertinti teisinės valstybės principo taikymą </w:t>
            </w:r>
            <w:r>
              <w:rPr>
                <w:b/>
                <w:i/>
              </w:rPr>
              <w:t>šiose narystės siekiančiose</w:t>
            </w:r>
            <w:r>
              <w:t xml:space="preserve"> šalyse;</w:t>
            </w:r>
          </w:p>
        </w:tc>
        <w:tc>
          <w:tcPr>
            <w:tcW w:w="4876" w:type="dxa"/>
            <w:tcBorders>
              <w:top w:val="nil"/>
              <w:left w:val="nil"/>
              <w:bottom w:val="nil"/>
              <w:right w:val="nil"/>
            </w:tcBorders>
          </w:tcPr>
          <w:p>
            <w:pPr>
              <w:pStyle w:val="Normal6a"/>
            </w:pPr>
            <w:r>
              <w:t>38.</w:t>
            </w:r>
            <w:r>
              <w:tab/>
            </w:r>
            <w:r>
              <w:t xml:space="preserve">palankiai vertina Komisijos iniciatyvą įtraukti Albaniją, Juodkalniją, Šiaurės Makedoniją ir Serbiją į savo metinę teisinės valstybės principo taikymo ataskaitą ir ragina atidžiai įvertinti teisinės valstybės principo taikymą </w:t>
            </w:r>
            <w:r>
              <w:rPr>
                <w:b/>
                <w:i/>
              </w:rPr>
              <w:t>visose stojimo į ES procese dalyvaujančiose</w:t>
            </w:r>
            <w:r>
              <w:t xml:space="preserve"> šalyse;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792</w:t>
      </w:r>
      <w:r>
        <w:rPr>
          <w:rStyle w:val="HideTWBExt"/>
        </w:rPr>
        <w:t>&lt;/NumAm&gt;</w:t>
      </w:r>
    </w:p>
    <w:p>
      <w:pPr>
        <w:pStyle w:val="NormalBold"/>
      </w:pPr>
      <w:r>
        <w:rPr>
          <w:rStyle w:val="HideTWBExt"/>
          <w:b w:val="0"/>
        </w:rPr>
        <w:t>&lt;RepeatBlock-By&gt;</w:t>
      </w:r>
      <w:r>
        <w:rPr>
          <w:rStyle w:val="HideTWBExt"/>
          <w:b w:val="0"/>
        </w:rPr>
        <w:t>&lt;Members&gt;</w:t>
      </w:r>
      <w:r>
        <w:t>Erik Kaliňák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38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38.</w:t>
            </w:r>
            <w:r>
              <w:tab/>
            </w:r>
            <w:r>
              <w:rPr>
                <w:b/>
                <w:i/>
              </w:rPr>
              <w:t>palankiai vertina</w:t>
            </w:r>
            <w:r>
              <w:t xml:space="preserve"> Komisijos iniciatyvą įtraukti Albaniją, Juodkalniją, Šiaurės Makedoniją ir Serbiją į savo metinę teisinės valstybės principo taikymo ataskaitą ir ragina atidžiai įvertinti teisinės valstybės principo taikymą šiose narystės siekiančiose šalyse;</w:t>
            </w:r>
          </w:p>
        </w:tc>
        <w:tc>
          <w:tcPr>
            <w:tcW w:w="4876" w:type="dxa"/>
            <w:tcBorders>
              <w:top w:val="nil"/>
              <w:left w:val="nil"/>
              <w:bottom w:val="nil"/>
              <w:right w:val="nil"/>
            </w:tcBorders>
          </w:tcPr>
          <w:p>
            <w:pPr>
              <w:pStyle w:val="Normal6a"/>
            </w:pPr>
            <w:r>
              <w:t>38.</w:t>
            </w:r>
            <w:r>
              <w:tab/>
            </w:r>
            <w:r>
              <w:rPr>
                <w:b/>
                <w:i/>
              </w:rPr>
              <w:t>atkreipia dėmesį į</w:t>
            </w:r>
            <w:r>
              <w:t xml:space="preserve"> Komisijos iniciatyvą įtraukti Albaniją, Juodkalniją, Šiaurės Makedoniją ir Serbiją į savo metinę teisinės valstybės principo taikymo ataskaitą ir ragina atidžiai įvertinti teisinės valstybės principo taikymą šiose narystės siekiančiose šalyse;</w:t>
            </w:r>
          </w:p>
        </w:tc>
      </w:tr>
    </w:tbl>
    <w:p>
      <w:pPr>
        <w:pStyle w:val="AmOrLang"/>
      </w:pPr>
      <w:r>
        <w:t xml:space="preserve">Or. </w:t>
      </w:r>
      <w:r>
        <w:rPr>
          <w:rStyle w:val="HideTWBExt"/>
        </w:rPr>
        <w:t>&lt;Original&gt;</w:t>
      </w:r>
      <w:r>
        <w:rPr>
          <w:rStyle w:val="HideTWBInt"/>
        </w:rPr>
        <w:t>{SK}</w:t>
      </w:r>
      <w:r>
        <w:t>sk</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793</w:t>
      </w:r>
      <w:r>
        <w:rPr>
          <w:rStyle w:val="HideTWBExt"/>
        </w:rPr>
        <w:t>&lt;/NumAm&gt;</w:t>
      </w:r>
    </w:p>
    <w:p>
      <w:pPr>
        <w:pStyle w:val="NormalBold"/>
      </w:pPr>
      <w:r>
        <w:rPr>
          <w:rStyle w:val="HideTWBExt"/>
          <w:b w:val="0"/>
        </w:rPr>
        <w:t>&lt;RepeatBlock-By&gt;</w:t>
      </w:r>
      <w:r>
        <w:rPr>
          <w:rStyle w:val="HideTWBExt"/>
          <w:b w:val="0"/>
        </w:rPr>
        <w:t>&lt;Members&gt;</w:t>
      </w:r>
      <w:r>
        <w:t>Lukas Mandl, Hannes Heide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38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38.</w:t>
            </w:r>
            <w:r>
              <w:tab/>
            </w:r>
            <w:r>
              <w:t xml:space="preserve">palankiai vertina Komisijos iniciatyvą įtraukti Albaniją, Juodkalniją, Šiaurės Makedoniją ir Serbiją į savo metinę teisinės valstybės principo taikymo ataskaitą ir ragina atidžiai įvertinti teisinės valstybės principo taikymą </w:t>
            </w:r>
            <w:r>
              <w:rPr>
                <w:b/>
                <w:i/>
              </w:rPr>
              <w:t>šiose narystės siekiančiose</w:t>
            </w:r>
            <w:r>
              <w:t xml:space="preserve"> šalyse;</w:t>
            </w:r>
          </w:p>
        </w:tc>
        <w:tc>
          <w:tcPr>
            <w:tcW w:w="4876" w:type="dxa"/>
            <w:tcBorders>
              <w:top w:val="nil"/>
              <w:left w:val="nil"/>
              <w:bottom w:val="nil"/>
              <w:right w:val="nil"/>
            </w:tcBorders>
          </w:tcPr>
          <w:p>
            <w:pPr>
              <w:pStyle w:val="Normal6a"/>
            </w:pPr>
            <w:r>
              <w:t>38.</w:t>
            </w:r>
            <w:r>
              <w:tab/>
            </w:r>
            <w:r>
              <w:t xml:space="preserve">palankiai vertina Komisijos iniciatyvą įtraukti Albaniją, Juodkalniją, Šiaurės Makedoniją ir Serbiją į savo metinę teisinės valstybės principo taikymo ataskaitą ir ragina atidžiai įvertinti teisinės valstybės principo taikymą </w:t>
            </w:r>
            <w:r>
              <w:rPr>
                <w:b/>
                <w:i/>
              </w:rPr>
              <w:t>visose Vakarų Balkanų</w:t>
            </w:r>
            <w:r>
              <w:t xml:space="preserve"> šalyse;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794</w:t>
      </w:r>
      <w:r>
        <w:rPr>
          <w:rStyle w:val="HideTWBExt"/>
        </w:rPr>
        <w:t>&lt;/NumAm&gt;</w:t>
      </w:r>
    </w:p>
    <w:p>
      <w:pPr>
        <w:pStyle w:val="NormalBold"/>
      </w:pPr>
      <w:r>
        <w:rPr>
          <w:rStyle w:val="HideTWBExt"/>
          <w:b w:val="0"/>
        </w:rPr>
        <w:t>&lt;RepeatBlock-By&gt;</w:t>
      </w:r>
      <w:r>
        <w:rPr>
          <w:rStyle w:val="HideTWBExt"/>
          <w:b w:val="0"/>
        </w:rPr>
        <w:t>&lt;Members&gt;</w:t>
      </w:r>
      <w:r>
        <w:t>Emmanouil Fragkos, Geadis Geadi, Galato Alexandraki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38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38.</w:t>
            </w:r>
            <w:r>
              <w:tab/>
            </w:r>
            <w:r>
              <w:t xml:space="preserve">palankiai vertina Komisijos iniciatyvą įtraukti Albaniją, Juodkalniją, </w:t>
            </w:r>
            <w:r>
              <w:rPr>
                <w:b/>
                <w:i/>
              </w:rPr>
              <w:t>Šiaurės Makedoniją</w:t>
            </w:r>
            <w:r>
              <w:t xml:space="preserve"> ir Serbiją į savo metinę teisinės valstybės principo taikymo ataskaitą ir ragina atidžiai įvertinti teisinės valstybės principo taikymą šiose narystės siekiančiose šalyse;</w:t>
            </w:r>
          </w:p>
        </w:tc>
        <w:tc>
          <w:tcPr>
            <w:tcW w:w="4876" w:type="dxa"/>
            <w:tcBorders>
              <w:top w:val="nil"/>
              <w:left w:val="nil"/>
              <w:bottom w:val="nil"/>
              <w:right w:val="nil"/>
            </w:tcBorders>
          </w:tcPr>
          <w:p>
            <w:pPr>
              <w:pStyle w:val="Normal6a"/>
            </w:pPr>
            <w:r>
              <w:t>38.</w:t>
            </w:r>
            <w:r>
              <w:tab/>
            </w:r>
            <w:r>
              <w:t xml:space="preserve">palankiai vertina Komisijos iniciatyvą įtraukti Albaniją, Juodkalniją, </w:t>
            </w:r>
            <w:r>
              <w:rPr>
                <w:b/>
                <w:i/>
              </w:rPr>
              <w:t>Skopję</w:t>
            </w:r>
            <w:r>
              <w:t xml:space="preserve"> ir Serbiją į savo metinę teisinės valstybės principo taikymo ataskaitą ir ragina atidžiai įvertinti teisinės valstybės principo taikymą šiose narystės siekiančiose šalyse;</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795</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39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39.</w:t>
            </w:r>
            <w:r>
              <w:tab/>
            </w:r>
            <w:r>
              <w:t xml:space="preserve">paveda Pirmininkei perduoti šią rezoliuciją Tarybai </w:t>
            </w:r>
            <w:r>
              <w:rPr>
                <w:b/>
                <w:i/>
              </w:rPr>
              <w:t>ir Komisijai</w:t>
            </w:r>
            <w:r>
              <w:t>.</w:t>
            </w:r>
          </w:p>
        </w:tc>
        <w:tc>
          <w:tcPr>
            <w:tcW w:w="4876" w:type="dxa"/>
            <w:tcBorders>
              <w:top w:val="nil"/>
              <w:left w:val="nil"/>
              <w:bottom w:val="nil"/>
              <w:right w:val="nil"/>
            </w:tcBorders>
          </w:tcPr>
          <w:p>
            <w:pPr>
              <w:pStyle w:val="Normal6a"/>
            </w:pPr>
            <w:r>
              <w:t>39.</w:t>
            </w:r>
            <w:r>
              <w:tab/>
            </w:r>
            <w:r>
              <w:t>paveda Pirmininkei perduoti šią rezoliuciją Tarybai</w:t>
            </w:r>
            <w:r>
              <w:rPr>
                <w:b/>
                <w:i/>
              </w:rPr>
              <w:t>, Komisijai, Europos Sąjungos pagrindinių teisių agentūrai, Europos Tarybai ir valstybių narių vyriausybėms bei parlamentams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796</w:t>
      </w:r>
      <w:r>
        <w:rPr>
          <w:rStyle w:val="HideTWBExt"/>
        </w:rPr>
        <w:t>&lt;/NumAm&gt;</w:t>
      </w:r>
    </w:p>
    <w:p>
      <w:pPr>
        <w:pStyle w:val="NormalBold"/>
      </w:pPr>
      <w:r>
        <w:rPr>
          <w:rStyle w:val="HideTWBExt"/>
          <w:b w:val="0"/>
        </w:rPr>
        <w:t>&lt;RepeatBlock-By&gt;</w:t>
      </w:r>
      <w:r>
        <w:rPr>
          <w:rStyle w:val="HideTWBExt"/>
          <w:b w:val="0"/>
        </w:rPr>
        <w:t>&lt;Members&gt;</w:t>
      </w:r>
      <w:r>
        <w:t>Mariusz Kamiński, Joachim Stanisław Brudziński, Jadwiga Wiśniewska, Maciej Wąsik, Jacek Ozdoba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39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39.</w:t>
            </w:r>
            <w:r>
              <w:tab/>
            </w:r>
            <w:r>
              <w:t xml:space="preserve">paveda Pirmininkei perduoti šią rezoliuciją Tarybai </w:t>
            </w:r>
            <w:r>
              <w:rPr>
                <w:b/>
                <w:i/>
              </w:rPr>
              <w:t>ir Komisijai</w:t>
            </w:r>
            <w:r>
              <w:t>.</w:t>
            </w:r>
          </w:p>
        </w:tc>
        <w:tc>
          <w:tcPr>
            <w:tcW w:w="4876" w:type="dxa"/>
            <w:tcBorders>
              <w:top w:val="nil"/>
              <w:left w:val="nil"/>
              <w:bottom w:val="nil"/>
              <w:right w:val="nil"/>
            </w:tcBorders>
          </w:tcPr>
          <w:p>
            <w:pPr>
              <w:pStyle w:val="Normal6a"/>
            </w:pPr>
            <w:r>
              <w:t>39.</w:t>
            </w:r>
            <w:r>
              <w:tab/>
            </w:r>
            <w:r>
              <w:t>paveda Pirmininkei perduoti šią rezoliuciją Tarybai</w:t>
            </w:r>
            <w:r>
              <w:rPr>
                <w:b/>
                <w:i/>
              </w:rPr>
              <w:t>, Komisijai ir valstybėms narėms</w:t>
            </w:r>
            <w:r>
              <w:t>.</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769.959</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50</w:t>
    </w:r>
    <w:r>
      <w:fldChar w:fldCharType="end"/>
    </w:r>
    <w:r>
      <w:t>/</w:t>
    </w:r>
    <w:r>
      <w:fldChar w:fldCharType="begin"/>
    </w:r>
    <w:r>
      <w:instrText xml:space="preserve"> NUMPAGES </w:instrText>
    </w:r>
    <w:r>
      <w:fldChar w:fldCharType="separate"/>
    </w:r>
    <w:r>
      <w:t>51</w:t>
    </w:r>
    <w:r>
      <w:fldChar w:fldCharType="end"/>
    </w:r>
    <w:r>
      <w:tab/>
    </w:r>
    <w:r>
      <w:rPr>
        <w:rStyle w:val="HideTWBExt"/>
      </w:rPr>
      <w:t>&lt;PathFdR&gt;</w:t>
    </w:r>
    <w:r>
      <w:t>AM\1315576LT.docx</w:t>
    </w:r>
    <w:r>
      <w:rPr>
        <w:rStyle w:val="HideTWBExt"/>
      </w:rPr>
      <w:t>&lt;/PathFdR&gt;</w:t>
    </w:r>
  </w:p>
  <w:p>
    <w:pPr>
      <w:pStyle w:val="EPFooter2"/>
    </w:pPr>
    <w:r>
      <w:t>LT</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AM\1315576LT.docx</w:t>
    </w:r>
    <w:r>
      <w:rPr>
        <w:rStyle w:val="HideTWBExt"/>
      </w:rPr>
      <w:t>&lt;/PathFdR&gt;</w:t>
    </w:r>
    <w:r>
      <w:tab/>
    </w:r>
    <w:r>
      <w:fldChar w:fldCharType="begin"/>
    </w:r>
    <w:r>
      <w:instrText xml:space="preserve"> PAGE </w:instrText>
    </w:r>
    <w:r>
      <w:fldChar w:fldCharType="separate"/>
    </w:r>
    <w:r>
      <w:t>51</w:t>
    </w:r>
    <w:r>
      <w:fldChar w:fldCharType="end"/>
    </w:r>
    <w:r>
      <w:t>/</w:t>
    </w:r>
    <w:r>
      <w:fldChar w:fldCharType="begin"/>
    </w:r>
    <w:r>
      <w:instrText xml:space="preserve"> NUMPAGES </w:instrText>
    </w:r>
    <w:r>
      <w:fldChar w:fldCharType="separate"/>
    </w:r>
    <w:r>
      <w:t>51</w:t>
    </w:r>
    <w:r>
      <w:fldChar w:fldCharType="end"/>
    </w:r>
    <w:r>
      <w:tab/>
    </w:r>
    <w:r>
      <w:t>PE</w:t>
    </w:r>
    <w:r>
      <w:rPr>
        <w:rStyle w:val="HideTWBExt"/>
      </w:rPr>
      <w:t>&lt;NoPE&gt;</w:t>
    </w:r>
    <w:r>
      <w:t>769.959</w:t>
    </w:r>
    <w:r>
      <w:rPr>
        <w:rStyle w:val="HideTWBExt"/>
      </w:rPr>
      <w:t>&lt;/NoPE&gt;</w:t>
    </w:r>
    <w:r>
      <w:rPr>
        <w:rStyle w:val="HideTWBExt"/>
      </w:rPr>
      <w:t>&lt;Version&gt;</w:t>
    </w:r>
    <w:r>
      <w:t>v01-00</w:t>
    </w:r>
    <w:r>
      <w:rPr>
        <w:rStyle w:val="HideTWBExt"/>
      </w:rPr>
      <w:t>&lt;/Version&gt;</w:t>
    </w:r>
  </w:p>
  <w:p>
    <w:pPr>
      <w:pStyle w:val="EPFooter2"/>
    </w:pPr>
    <w:r>
      <w:tab/>
    </w:r>
    <w:r>
      <w:tab/>
    </w:r>
    <w:r>
      <w:t>LT</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AM\1315576LT.docx</w:t>
    </w:r>
    <w:r>
      <w:rPr>
        <w:rStyle w:val="HideTWBExt"/>
      </w:rPr>
      <w:t>&lt;/PathFdR&gt;</w:t>
    </w:r>
    <w:r>
      <w:tab/>
    </w:r>
    <w:r>
      <w:tab/>
    </w:r>
    <w:r>
      <w:t>PE</w:t>
    </w:r>
    <w:r>
      <w:rPr>
        <w:rStyle w:val="HideTWBExt"/>
      </w:rPr>
      <w:t>&lt;NoPE&gt;</w:t>
    </w:r>
    <w:r>
      <w:t>769.959</w:t>
    </w:r>
    <w:r>
      <w:rPr>
        <w:rStyle w:val="HideTWBExt"/>
      </w:rPr>
      <w:t>&lt;/NoPE&gt;</w:t>
    </w:r>
    <w:r>
      <w:rPr>
        <w:rStyle w:val="HideTWBExt"/>
      </w:rPr>
      <w:t>&lt;Version&gt;</w:t>
    </w:r>
    <w:r>
      <w:t>v01-00</w:t>
    </w:r>
    <w:r>
      <w:rPr>
        <w:rStyle w:val="HideTWBExt"/>
      </w:rPr>
      <w:t>&lt;/Version&gt;</w:t>
    </w:r>
  </w:p>
  <w:p>
    <w:pPr>
      <w:pStyle w:val="EPFooter2"/>
    </w:pPr>
    <w:r>
      <w:t>LT</w:t>
    </w:r>
    <w:r>
      <w:tab/>
    </w:r>
    <w:r>
      <w:rPr>
        <w:rStyle w:val="EPFooter2Motto"/>
      </w:rPr>
      <w:t>Suvienijusi įvairovę</w:t>
    </w:r>
    <w:r>
      <w:tab/>
    </w:r>
    <w:r>
      <w:t>LT</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lt-LT"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EPName">
    <w:name w:val="EPName"/>
    <w:basedOn w:val="Normal"/>
    <w:pPr>
      <w:widowControl w:val="0"/>
      <w:spacing w:before="80" w:after="80"/>
    </w:pPr>
    <w:rPr>
      <w:rFonts w:ascii="Arial Narrow" w:eastAsia="Arial" w:hAnsi="Arial Narrow" w:cs="Arial"/>
      <w:b/>
      <w:sz w:val="32"/>
    </w:rPr>
  </w:style>
  <w:style w:type="paragraph" w:customStyle="1" w:styleId="CoverNormal24a">
    <w:name w:val="CoverNormal24a"/>
    <w:basedOn w:val="Normal"/>
    <w:pPr>
      <w:widowControl w:val="0"/>
      <w:spacing w:after="480"/>
      <w:ind w:left="1416"/>
    </w:pPr>
  </w:style>
  <w:style w:type="paragraph" w:customStyle="1" w:styleId="CoverNormal">
    <w:name w:val="CoverNormal"/>
    <w:basedOn w:val="Normal"/>
    <w:pPr>
      <w:widowControl w:val="0"/>
      <w:ind w:left="1418"/>
    </w:pPr>
  </w:style>
  <w:style w:type="paragraph" w:customStyle="1" w:styleId="CoverReference">
    <w:name w:val="CoverReference"/>
    <w:basedOn w:val="Normal"/>
    <w:pPr>
      <w:widowControl w:val="0"/>
      <w:spacing w:before="1080"/>
      <w:jc w:val="right"/>
    </w:pPr>
    <w:rPr>
      <w:rFonts w:ascii="Arial" w:eastAsia="Arial" w:hAnsi="Arial" w:cs="Arial"/>
      <w:b/>
    </w:rPr>
  </w:style>
  <w:style w:type="paragraph" w:customStyle="1" w:styleId="CoverDocType">
    <w:name w:val="CoverDocType"/>
    <w:basedOn w:val="Normal"/>
    <w:pPr>
      <w:widowControl w:val="0"/>
      <w:ind w:left="1418"/>
    </w:pPr>
    <w:rPr>
      <w:rFonts w:ascii="Arial" w:hAnsi="Arial"/>
      <w:b/>
      <w:sz w:val="48"/>
    </w:rPr>
  </w:style>
  <w:style w:type="paragraph" w:customStyle="1" w:styleId="CoverDate">
    <w:name w:val="CoverDate"/>
    <w:basedOn w:val="Normal"/>
    <w:pPr>
      <w:widowControl w:val="0"/>
      <w:spacing w:before="240" w:after="1200"/>
    </w:pPr>
  </w:style>
  <w:style w:type="paragraph" w:customStyle="1" w:styleId="CoverDocType24a">
    <w:name w:val="CoverDocType24a"/>
    <w:basedOn w:val="Normal"/>
    <w:pPr>
      <w:widowControl w:val="0"/>
      <w:spacing w:after="480"/>
      <w:ind w:left="1416"/>
    </w:pPr>
    <w:rPr>
      <w:rFonts w:ascii="Arial" w:eastAsia="Arial" w:hAnsi="Arial" w:cs="Arial"/>
      <w:b/>
      <w:sz w:val="48"/>
    </w:rPr>
  </w:style>
  <w:style w:type="paragraph" w:customStyle="1" w:styleId="CoverBold">
    <w:name w:val="CoverBold"/>
    <w:basedOn w:val="Normal"/>
    <w:pPr>
      <w:widowControl w:val="0"/>
      <w:ind w:left="1416"/>
    </w:pPr>
    <w:rPr>
      <w:b/>
    </w:rPr>
  </w:style>
  <w:style w:type="paragraph" w:customStyle="1" w:styleId="EPBody">
    <w:name w:val="EPBody"/>
    <w:basedOn w:val="Normal"/>
    <w:pPr>
      <w:widowControl w:val="0"/>
      <w:jc w:val="center"/>
    </w:pPr>
    <w:rPr>
      <w:rFonts w:ascii="Arial" w:eastAsia="Arial" w:hAnsi="Arial" w:cs="Arial"/>
      <w:i/>
      <w:sz w:val="22"/>
    </w:rPr>
  </w:style>
  <w:style w:type="paragraph" w:customStyle="1" w:styleId="LineTop">
    <w:name w:val="LineTop"/>
    <w:basedOn w:val="Normal"/>
    <w:next w:val="Normal"/>
    <w:pPr>
      <w:widowControl w:val="0"/>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val="0"/>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val="0"/>
      <w:spacing w:after="80"/>
    </w:pPr>
    <w:rPr>
      <w:rFonts w:ascii="Arial" w:eastAsia="Arial" w:hAnsi="Arial" w:cs="Arial"/>
      <w:sz w:val="20"/>
    </w:rPr>
  </w:style>
  <w:style w:type="paragraph" w:customStyle="1" w:styleId="EPLogo">
    <w:name w:val="EPLogo"/>
    <w:basedOn w:val="Normal"/>
    <w:pPr>
      <w:widowControl w:val="0"/>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val="0"/>
    </w:pPr>
    <w:rPr>
      <w:b/>
    </w:rPr>
  </w:style>
  <w:style w:type="paragraph" w:customStyle="1" w:styleId="AmOrLang">
    <w:name w:val="AmOrLang"/>
    <w:basedOn w:val="Normal"/>
    <w:pPr>
      <w:widowControl w:val="0"/>
      <w:spacing w:before="240" w:after="240"/>
      <w:jc w:val="right"/>
    </w:pPr>
  </w:style>
  <w:style w:type="paragraph" w:customStyle="1" w:styleId="Normal6a">
    <w:name w:val="Normal6a"/>
    <w:basedOn w:val="Normal"/>
    <w:pPr>
      <w:widowControl w:val="0"/>
      <w:spacing w:after="120"/>
    </w:pPr>
  </w:style>
  <w:style w:type="paragraph" w:customStyle="1" w:styleId="AmColumnHeading">
    <w:name w:val="AmColumnHeading"/>
    <w:basedOn w:val="Normal"/>
    <w:pPr>
      <w:widowControl w:val="0"/>
      <w:spacing w:after="240"/>
      <w:jc w:val="center"/>
    </w:pPr>
    <w:rPr>
      <w:i/>
    </w:rPr>
  </w:style>
  <w:style w:type="paragraph" w:customStyle="1" w:styleId="AmNumberTabs">
    <w:name w:val="AmNumberTabs"/>
    <w:basedOn w:val="Normal"/>
    <w:pPr>
      <w:widowControl w:val="0"/>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val="0"/>
      <w:tabs>
        <w:tab w:val="center" w:pos="4534"/>
        <w:tab w:val="right" w:pos="9070"/>
      </w:tabs>
      <w:spacing w:before="240" w:after="240"/>
    </w:pPr>
    <w:rPr>
      <w:sz w:val="22"/>
    </w:rPr>
  </w:style>
  <w:style w:type="paragraph" w:customStyle="1" w:styleId="AmCrossRef">
    <w:name w:val="AmCrossRef"/>
    <w:basedOn w:val="Normal"/>
    <w:pPr>
      <w:widowControl w:val="0"/>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pPr>
      <w:widowControl w:val="0"/>
    </w:pPr>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val="0"/>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val="0"/>
      <w:spacing w:after="240"/>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51</Pages>
  <Words>9511</Words>
  <Characters>66604</Characters>
  <Application>Microsoft Office Word</Application>
  <DocSecurity>0</DocSecurity>
  <Lines>1</Lines>
  <Paragraphs>821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75386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1315576</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149194</vt:lpwstr>
  </property>
  <property fmtid="{D5CDD505-2E9C-101B-9397-08002B2CF9AE}" pid="7" name="dmxml.render.traceId">
    <vt:lpwstr>67dd28c39f449496dea8177b5b94be05</vt:lpwstr>
  </property>
  <property fmtid="{D5CDD505-2E9C-101B-9397-08002B2CF9AE}" pid="8" name="FooterPath">
    <vt:lpwstr>AM\1315576LT.docx</vt:lpwstr>
  </property>
  <property fmtid="{D5CDD505-2E9C-101B-9397-08002B2CF9AE}" pid="9" name="PE Number">
    <vt:lpwstr>769.959</vt:lpwstr>
  </property>
  <property fmtid="{D5CDD505-2E9C-101B-9397-08002B2CF9AE}" pid="10" name="UID">
    <vt:lpwstr>eu.europa.europarl-DIN1-2025-0000027564_02.00-lt-01.00_text-xml</vt:lpwstr>
  </property>
</Properties>
</file>