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Commissie burgerlijke vrijheden, justitie en binnenlandse zaken</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Verslag 2024 van de Commissie over de rechtsstaat</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verzoekt de Commissie met klem aan het jaarlijkse verslag over de rechtsstaat een nieuwe pijler toe te voegen over de bestrijding van alle vormen van discriminatie;</w:t>
            </w:r>
          </w:p>
        </w:tc>
        <w:tc>
          <w:tcPr>
            <w:tcW w:w="4876" w:type="dxa"/>
            <w:tcBorders>
              <w:top w:val="nil"/>
              <w:left w:val="nil"/>
              <w:bottom w:val="nil"/>
              <w:right w:val="nil"/>
            </w:tcBorders>
          </w:tcPr>
          <w:p>
            <w:pPr>
              <w:pStyle w:val="Normal6a"/>
            </w:pPr>
            <w:r>
              <w:t>33.</w:t>
            </w:r>
            <w:r>
              <w:tab/>
            </w:r>
            <w:r>
              <w:t xml:space="preserve">verzoekt de Commissie met klem aan het jaarlijkse verslag over de rechtsstaat een nieuwe pijler toe te voegen over de bestrijding van alle vormen van discriminatie </w:t>
            </w:r>
            <w:r>
              <w:rPr>
                <w:b/>
                <w:i/>
              </w:rPr>
              <w:t>zoals bedoeld in artikel 21 van het Handvest van de grondrechten van de Europese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verzoekt de Commissie met klem aan het jaarlijkse verslag over de rechtsstaat </w:t>
            </w:r>
            <w:r>
              <w:rPr>
                <w:b/>
                <w:i/>
              </w:rPr>
              <w:t>een</w:t>
            </w:r>
            <w:r>
              <w:t xml:space="preserve"> nieuwe </w:t>
            </w:r>
            <w:r>
              <w:rPr>
                <w:b/>
                <w:i/>
              </w:rPr>
              <w:t>pijler</w:t>
            </w:r>
            <w:r>
              <w:t xml:space="preserve"> toe te voegen over de bestrijding van alle vormen van discriminatie;</w:t>
            </w:r>
          </w:p>
        </w:tc>
        <w:tc>
          <w:tcPr>
            <w:tcW w:w="4876" w:type="dxa"/>
            <w:tcBorders>
              <w:top w:val="nil"/>
              <w:left w:val="nil"/>
              <w:bottom w:val="nil"/>
              <w:right w:val="nil"/>
            </w:tcBorders>
          </w:tcPr>
          <w:p>
            <w:pPr>
              <w:pStyle w:val="Normal6a"/>
            </w:pPr>
            <w:r>
              <w:t>33.</w:t>
            </w:r>
            <w:r>
              <w:tab/>
            </w:r>
            <w:r>
              <w:t xml:space="preserve">verzoekt de Commissie met klem aan het jaarlijkse verslag over de rechtsstaat </w:t>
            </w:r>
            <w:r>
              <w:rPr>
                <w:b/>
                <w:i/>
              </w:rPr>
              <w:t>geen</w:t>
            </w:r>
            <w:r>
              <w:t xml:space="preserve"> nieuwe </w:t>
            </w:r>
            <w:r>
              <w:rPr>
                <w:b/>
                <w:i/>
              </w:rPr>
              <w:t>pijlers</w:t>
            </w:r>
            <w:r>
              <w:t xml:space="preserve"> toe te voegen</w:t>
            </w:r>
            <w:r>
              <w:rPr>
                <w:b/>
                <w:i/>
              </w:rPr>
              <w:t>, ook niet</w:t>
            </w:r>
            <w:r>
              <w:t xml:space="preserve"> over de bestrijding van alle vormen van discriminatie;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verzoekt de Commissie met klem aan het jaarlijkse verslag over de rechtsstaat een nieuwe pijler toe te voegen over de bestrijding van alle vormen van discriminatie;</w:t>
            </w:r>
          </w:p>
        </w:tc>
        <w:tc>
          <w:tcPr>
            <w:tcW w:w="4876" w:type="dxa"/>
            <w:tcBorders>
              <w:top w:val="nil"/>
              <w:left w:val="nil"/>
              <w:bottom w:val="nil"/>
              <w:right w:val="nil"/>
            </w:tcBorders>
          </w:tcPr>
          <w:p>
            <w:pPr>
              <w:pStyle w:val="Normal6a"/>
            </w:pPr>
            <w:r>
              <w:t>33.</w:t>
            </w:r>
            <w:r>
              <w:tab/>
            </w:r>
            <w:r>
              <w:t xml:space="preserve">verzoekt de Commissie met klem aan het jaarlijkse verslag over de rechtsstaat een nieuwe pijler toe te voegen over de bestrijding van alle vormen van discriminatie </w:t>
            </w:r>
            <w:r>
              <w:rPr>
                <w:b/>
                <w:i/>
              </w:rPr>
              <w:t>en haat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verzoekt de Commissie met klem aan het jaarlijkse verslag over de rechtsstaat een nieuwe pijler toe te voegen over de bestrijding van </w:t>
            </w:r>
            <w:r>
              <w:rPr>
                <w:b/>
                <w:i/>
              </w:rPr>
              <w:t>alle vormen van discriminatie</w:t>
            </w:r>
            <w:r>
              <w:t>;</w:t>
            </w:r>
          </w:p>
        </w:tc>
        <w:tc>
          <w:tcPr>
            <w:tcW w:w="4876" w:type="dxa"/>
            <w:tcBorders>
              <w:top w:val="nil"/>
              <w:left w:val="nil"/>
              <w:bottom w:val="nil"/>
              <w:right w:val="nil"/>
            </w:tcBorders>
          </w:tcPr>
          <w:p>
            <w:pPr>
              <w:pStyle w:val="Normal6a"/>
            </w:pPr>
            <w:r>
              <w:t>33.</w:t>
            </w:r>
            <w:r>
              <w:tab/>
            </w:r>
            <w:r>
              <w:t xml:space="preserve">verzoekt de Commissie met klem aan het jaarlijkse verslag over de rechtsstaat een nieuwe pijler toe te voegen over de bestrijding van </w:t>
            </w:r>
            <w:r>
              <w:rPr>
                <w:b/>
                <w:i/>
              </w:rPr>
              <w:t>censuur van de media en onlinecontent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bis.</w:t>
            </w:r>
            <w:r>
              <w:tab/>
            </w:r>
            <w:r>
              <w:rPr>
                <w:b/>
                <w:i/>
              </w:rPr>
              <w:t>verzoekt de lidstaten het migratie- en asielpact uit te voeren in overeenstemming met de beginselen zoals bedoeld in de Verdragen, het Handvest van de grondrechten van de EU, en het internationaal recht;</w:t>
            </w:r>
            <w:r>
              <w:t xml:space="preserve"> </w:t>
            </w:r>
            <w:r>
              <w:rPr>
                <w:b/>
                <w:i/>
              </w:rPr>
              <w:t>verzoekt de lidstaten te waarborgen dat onderdanen van derde landen gelijke rechten genieten, gelijk en humaan worden behandeld, en billijke toegang hebben tot procedures inzake internationale bescherming, met volledige inachtneming van het internationaal recht en het beginsel van "non-refoulement";</w:t>
            </w:r>
            <w:r>
              <w:t xml:space="preserve"> </w:t>
            </w:r>
            <w:r>
              <w:rPr>
                <w:b/>
                <w:i/>
              </w:rPr>
              <w:t>verzoekt de Commissie met klem erop toe te zien dat deze beginselen en de in de wetgeving van de EU vastgelegde criteria op geen enkele wijze worden ondermijnd door externalisering en extraterritoriaal beheer van migratie, zoals de bilaterale overeenkomsten die de lidstaten met derde landen sluiten;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bis.</w:t>
            </w:r>
            <w:r>
              <w:tab/>
            </w:r>
            <w:r>
              <w:rPr>
                <w:b/>
                <w:i/>
              </w:rPr>
              <w:t>verzoekt de Commissie haar standpunt over het Minority SafePack-initiatief nog eens tegen het licht te houden en wetgevingsvoorstellen te presenteren ter waarborging van de bevordering van de rechten van minderheden en van taalrechten;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verzoekt de Commissie nogmaals in het verslag over de rechtsstaat reactieve instrumenten op te nemen, zoals de procedures van artikel 7 VEU, het algemene conditionaliteitsmechanisme, en inbreukprocedures</w:t>
            </w:r>
            <w:r>
              <w:rPr>
                <w:b/>
                <w:i/>
                <w:vertAlign w:val="superscript"/>
              </w:rPr>
              <w:t>48</w:t>
            </w:r>
            <w:r>
              <w:rPr>
                <w:b/>
                <w:i/>
              </w:rPr>
              <w: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Hongaars Helsinki-comité,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verzoekt de Commissie nogmaals in het verslag over de rechtsstaat reactieve instrumenten op te nemen, zoals de procedures van artikel 7 VEU, het algemene conditionaliteitsmechanisme, en inbreukprocedures</w:t>
            </w:r>
            <w:r>
              <w:rPr>
                <w:b/>
                <w:i/>
                <w:vertAlign w:val="superscript"/>
              </w:rPr>
              <w:t>48</w:t>
            </w:r>
            <w:r>
              <w:rPr>
                <w:b/>
                <w:i/>
              </w:rPr>
              <w: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Hongaars Helsinki-comité,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verzoekt de Commissie nogmaals in het verslag over de rechtsstaat reactieve instrumenten op te nemen, zoals de procedures van artikel 7 VEU, het algemene conditionaliteitsmechanisme, en inbreukprocedures</w:t>
            </w:r>
            <w:r>
              <w:rPr>
                <w:b/>
                <w:i/>
                <w:vertAlign w:val="superscript"/>
              </w:rPr>
              <w:t>48</w:t>
            </w:r>
            <w:r>
              <w:rPr>
                <w:b/>
                <w:i/>
              </w:rPr>
              <w: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Hongaars Helsinki-comité,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verzoekt de Commissie nogmaals in het verslag over de rechtsstaat reactieve instrumenten op te nemen, zoals de procedures van artikel 7 VEU, </w:t>
            </w:r>
            <w:r>
              <w:rPr>
                <w:b/>
                <w:i/>
              </w:rPr>
              <w:t>het algemene conditionaliteitsmechanisme, en</w:t>
            </w:r>
            <w:r>
              <w:t xml:space="preserve"> inbreukprocedures</w:t>
            </w:r>
            <w:r>
              <w:rPr>
                <w:b/>
                <w:i/>
                <w:vertAlign w:val="superscript"/>
              </w:rPr>
              <w:t>48</w:t>
            </w:r>
            <w:r>
              <w:t>;</w:t>
            </w:r>
          </w:p>
        </w:tc>
        <w:tc>
          <w:tcPr>
            <w:tcW w:w="4876" w:type="dxa"/>
            <w:tcBorders>
              <w:top w:val="nil"/>
              <w:left w:val="nil"/>
              <w:bottom w:val="nil"/>
              <w:right w:val="nil"/>
            </w:tcBorders>
          </w:tcPr>
          <w:p>
            <w:pPr>
              <w:pStyle w:val="Normal6a"/>
            </w:pPr>
            <w:r>
              <w:t>34.</w:t>
            </w:r>
            <w:r>
              <w:tab/>
            </w:r>
            <w:r>
              <w:t xml:space="preserve">verzoekt de Commissie nogmaals in het verslag over de rechtsstaat reactieve instrumenten op te nemen, zoals de procedures van artikel 7 VEU, </w:t>
            </w:r>
            <w:r>
              <w:rPr>
                <w:b/>
                <w:i/>
              </w:rPr>
              <w:t>de conditionaliteitsverordening voor de rechtsstaat, en andere begrotingsprocedures en</w:t>
            </w:r>
            <w:r>
              <w:t xml:space="preserve"> inbreukprocedures</w:t>
            </w:r>
            <w:r>
              <w:rPr>
                <w:b/>
                <w:i/>
              </w:rPr>
              <w:t>;</w:t>
            </w:r>
            <w:r>
              <w:t xml:space="preserve"> </w:t>
            </w:r>
            <w:r>
              <w:rPr>
                <w:b/>
                <w:i/>
              </w:rPr>
              <w:t>verzoekt de Commissie om in het kader van inbreukprocedures bij het HvJ-EU stelselmatig gebruik te maken van versnelde procedures en verzoeken om voorlopige maatregelen;</w:t>
            </w:r>
            <w:r>
              <w:t xml:space="preserve"> </w:t>
            </w:r>
            <w:r>
              <w:rPr>
                <w:b/>
                <w:i/>
              </w:rPr>
              <w:t>verzoekt de Commissie geen gebruik te maken van "dialoog" met de lidstaten of van de "proefprocedure" als een vrijblijvend middel om het inleiden van daadwerkelijke inbreukprocedures te vermijden; verzoekt de Commissie om haar beleid, uiteengezet in haar mededeling van 2022 over de handhaving van het EU-recht, te herzien om inbreukprocedures niet te gebruiken voor “individuele” gevallen, aangezien dit beleid heeft geresulteerd in ernstige schendingen van de rechten van burgers in de hele EU, met name wanneer hun eigen overheid weigert te voldoen aan de EU-wetgeving of de arresten van het HvJ-EU, ook aangezien de meeste van deze gevallen niet alleen individueel van aard zijn, maar betrekking hebben op strategische en fundamentele kwesties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Hongaars Helsinki-comité,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verzoekt de Commissie </w:t>
            </w:r>
            <w:r>
              <w:rPr>
                <w:b/>
                <w:i/>
              </w:rPr>
              <w:t>nogmaals in het verslag over</w:t>
            </w:r>
            <w:r>
              <w:t xml:space="preserve"> de rechtsstaat </w:t>
            </w:r>
            <w:r>
              <w:rPr>
                <w:b/>
                <w:i/>
              </w:rPr>
              <w:t>reactieve instrumenten op te nemen, zoals de procedures van artikel 7 VEU, het algemene conditionaliteitsmechanisme, en inbreukprocedures</w:t>
            </w:r>
            <w:r>
              <w:rPr>
                <w:b/>
                <w:i/>
                <w:vertAlign w:val="superscript"/>
              </w:rPr>
              <w:t>48</w:t>
            </w:r>
            <w:r>
              <w:t>;</w:t>
            </w:r>
          </w:p>
        </w:tc>
        <w:tc>
          <w:tcPr>
            <w:tcW w:w="4876" w:type="dxa"/>
            <w:tcBorders>
              <w:top w:val="nil"/>
              <w:left w:val="nil"/>
              <w:bottom w:val="nil"/>
              <w:right w:val="nil"/>
            </w:tcBorders>
          </w:tcPr>
          <w:p>
            <w:pPr>
              <w:pStyle w:val="Normal6a"/>
            </w:pPr>
            <w:r>
              <w:t>34.</w:t>
            </w:r>
            <w:r>
              <w:tab/>
            </w:r>
            <w:r>
              <w:rPr>
                <w:b/>
                <w:i/>
              </w:rPr>
              <w:t>is ernstig bezorgd over de situatie van de rechtsstaat binnen de Europese instellingen;</w:t>
            </w:r>
            <w:r>
              <w:t xml:space="preserve"> verzoekt de Commissie </w:t>
            </w:r>
            <w:r>
              <w:rPr>
                <w:b/>
                <w:i/>
              </w:rPr>
              <w:t>de toenemende schendingen van</w:t>
            </w:r>
            <w:r>
              <w:t xml:space="preserve"> de rechtsstaat </w:t>
            </w:r>
            <w:r>
              <w:rPr>
                <w:b/>
                <w:i/>
              </w:rPr>
              <w:t>binnen deze instellingen te onderzoeken;</w:t>
            </w:r>
            <w:r>
              <w:t xml:space="preserve"> </w:t>
            </w:r>
            <w:r>
              <w:rPr>
                <w:b/>
                <w:i/>
              </w:rPr>
              <w:t>neemt met grote bezorgdheid kennis van de vermeende betrokkenheid van voormalig commissaris voor Justitie Didier Reynders bij een witwasregeling;</w:t>
            </w:r>
            <w:r>
              <w:t xml:space="preserve"> </w:t>
            </w:r>
            <w:r>
              <w:rPr>
                <w:b/>
                <w:i/>
              </w:rPr>
              <w:t>maakt zich grote zorgen over het feit dat een commissaris voor Justitie die naar verluidt betrokken was bij het witwassen van meer dan 1 miljoen EUR door loterijkaartjes te kopen, belast was met het waarborgen van de rechtsstaat in de Europese Unie;</w:t>
            </w:r>
            <w:r>
              <w:t xml:space="preserve"> </w:t>
            </w:r>
            <w:r>
              <w:rPr>
                <w:b/>
                <w:i/>
              </w:rPr>
              <w:t>benadrukt dat Didier Reynders in 2019 als kandidaat-commissaris reeds door de Belgische autoriteiten werd beschuldigd van witwassen en corruptie;</w:t>
            </w:r>
            <w:r>
              <w:t xml:space="preserve"> </w:t>
            </w:r>
            <w:r>
              <w:rPr>
                <w:b/>
                <w:i/>
              </w:rPr>
              <w:t>verzoekt de Commissie uit te leggen hoe het kan dat Didier Reynders, ondanks de ernstige beschuldigingen aan zijn adres, in de negende zittingsperiode verantwoordelijk was voor de portefeuille justitie;</w:t>
            </w:r>
            <w:r>
              <w:t xml:space="preserve"> </w:t>
            </w:r>
            <w:r>
              <w:rPr>
                <w:b/>
                <w:i/>
              </w:rPr>
              <w:t>herhaalt dat dit verslag niet als basis kan dienen voor verdere EU-mechanismen en -procedures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Hongaars Helsinki-comité,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verzoekt</w:t>
            </w:r>
            <w:r>
              <w:t xml:space="preserve"> de Commissie </w:t>
            </w:r>
            <w:r>
              <w:rPr>
                <w:b/>
                <w:i/>
              </w:rPr>
              <w:t>nogmaals</w:t>
            </w:r>
            <w:r>
              <w:t xml:space="preserve"> in het verslag over de rechtsstaat reactieve instrumenten </w:t>
            </w:r>
            <w:r>
              <w:rPr>
                <w:b/>
                <w:i/>
              </w:rPr>
              <w:t>op te nemen</w:t>
            </w:r>
            <w:r>
              <w:t>, zoals de procedures van artikel 7 VEU, het algemene conditionaliteitsmechanisme, en inbreukprocedures</w:t>
            </w:r>
            <w:r>
              <w:rPr>
                <w:vertAlign w:val="superscript"/>
              </w:rPr>
              <w:t>48</w:t>
            </w:r>
            <w:r>
              <w:t>;</w:t>
            </w:r>
          </w:p>
        </w:tc>
        <w:tc>
          <w:tcPr>
            <w:tcW w:w="4876" w:type="dxa"/>
            <w:tcBorders>
              <w:top w:val="nil"/>
              <w:left w:val="nil"/>
              <w:bottom w:val="nil"/>
              <w:right w:val="nil"/>
            </w:tcBorders>
          </w:tcPr>
          <w:p>
            <w:pPr>
              <w:pStyle w:val="Normal6a"/>
            </w:pPr>
            <w:r>
              <w:t>34.</w:t>
            </w:r>
            <w:r>
              <w:tab/>
            </w:r>
            <w:r>
              <w:rPr>
                <w:b/>
                <w:i/>
              </w:rPr>
              <w:t>roept</w:t>
            </w:r>
            <w:r>
              <w:t xml:space="preserve"> de Commissie </w:t>
            </w:r>
            <w:r>
              <w:rPr>
                <w:b/>
                <w:i/>
              </w:rPr>
              <w:t>op te beoordelen of het verder opnemen</w:t>
            </w:r>
            <w:r>
              <w:t xml:space="preserve"> in het verslag over de rechtsstaat </w:t>
            </w:r>
            <w:r>
              <w:rPr>
                <w:b/>
                <w:i/>
              </w:rPr>
              <w:t>van</w:t>
            </w:r>
            <w:r>
              <w:t xml:space="preserve"> reactieve instrumenten, zoals de procedures van artikel 7 VEU, het algemene conditionaliteitsmechanisme, en inbreukprocedures</w:t>
            </w:r>
            <w:r>
              <w:rPr>
                <w:vertAlign w:val="superscript"/>
              </w:rPr>
              <w:t>48</w:t>
            </w:r>
            <w:r>
              <w:rPr>
                <w:b/>
                <w:i/>
              </w:rPr>
              <w:t>, passend is, aangezien het verslag op schandalig gepolitiseerde wijze is gebruikt, met als beste voorbeeld Polen, waar na de regeringswissel naar een regering die Brussel en Berlijn gunstig gezind is alle kritiek is verstomd en de procedure van artikel 7 VEU is stopgezet, zonder enige wetswijziging en ondanks de openlijke schending van de grondwettelijke beginselen van het land</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Hongaars Helsinki-comité, Disregard for EU values: a snapshot of RoL issues in Hungary in light of the Article 7 procedure, 12 november 2024.</w:t>
            </w:r>
          </w:p>
        </w:tc>
        <w:tc>
          <w:tcPr>
            <w:tcW w:w="4876" w:type="dxa"/>
            <w:tcBorders>
              <w:top w:val="nil"/>
              <w:left w:val="nil"/>
              <w:bottom w:val="nil"/>
              <w:right w:val="nil"/>
            </w:tcBorders>
          </w:tcPr>
          <w:p>
            <w:pPr>
              <w:pStyle w:val="Normal6a"/>
            </w:pPr>
            <w:r>
              <w:rPr>
                <w:vertAlign w:val="superscript"/>
              </w:rPr>
              <w:t>48</w:t>
            </w:r>
            <w:r>
              <w:t xml:space="preserve"> </w:t>
            </w:r>
            <w:r>
              <w:t>Hongaars Helsinki-comité, Disregard for EU values: a snapshot of RoL issues in Hungary in light of the Article 7 procedure, 12 november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namens de Commissie burgerlijke vrijheden, justitie en binnenlandse zaken</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verzoekt de Commissie nogmaals in het verslag over de rechtsstaat reactieve instrumenten op te nemen, zoals de procedures van artikel 7 VEU, het algemene conditionaliteitsmechanisme, en inbreukprocedures</w:t>
            </w:r>
            <w:r>
              <w:rPr>
                <w:vertAlign w:val="superscript"/>
              </w:rPr>
              <w:t>48</w:t>
            </w:r>
            <w:r>
              <w:t>;</w:t>
            </w:r>
          </w:p>
        </w:tc>
        <w:tc>
          <w:tcPr>
            <w:tcW w:w="4876" w:type="dxa"/>
            <w:tcBorders>
              <w:top w:val="nil"/>
              <w:left w:val="nil"/>
              <w:bottom w:val="nil"/>
              <w:right w:val="nil"/>
            </w:tcBorders>
          </w:tcPr>
          <w:p>
            <w:pPr>
              <w:pStyle w:val="Normal6a"/>
            </w:pPr>
            <w:r>
              <w:t>34.</w:t>
            </w:r>
            <w:r>
              <w:tab/>
            </w:r>
            <w:r>
              <w:t>verzoekt de Commissie nogmaals in het verslag over de rechtsstaat reactieve instrumenten op te nemen, zoals de procedures van artikel 7 VEU, het algemene conditionaliteitsmechanisme, en inbreukprocedures</w:t>
            </w:r>
            <w:r>
              <w:rPr>
                <w:vertAlign w:val="superscript"/>
              </w:rPr>
              <w:t>48</w:t>
            </w:r>
            <w:r>
              <w:t xml:space="preserve">; </w:t>
            </w:r>
            <w:r>
              <w:rPr>
                <w:b/>
                <w:i/>
              </w:rPr>
              <w:t>verzoekt de Commissie jaarlijks verslag uit te brengen over de toepassing en de doeltreffendheid van de instrumenten die gebruikt worden tegen inbreuken op de beginselen van de rechtsstaat in de lidstaten;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Hongaars Helsinki-comité, Disregard for EU values: a snapshot of RoL issues in Hungary in light of the Article 7 procedure, 12 november 2024.</w:t>
            </w:r>
          </w:p>
        </w:tc>
        <w:tc>
          <w:tcPr>
            <w:tcW w:w="4876" w:type="dxa"/>
            <w:tcBorders>
              <w:top w:val="nil"/>
              <w:left w:val="nil"/>
              <w:bottom w:val="nil"/>
              <w:right w:val="nil"/>
            </w:tcBorders>
          </w:tcPr>
          <w:p>
            <w:pPr>
              <w:pStyle w:val="Normal6a"/>
            </w:pPr>
            <w:r>
              <w:rPr>
                <w:vertAlign w:val="superscript"/>
              </w:rPr>
              <w:t>48</w:t>
            </w:r>
            <w:r>
              <w:t xml:space="preserve"> </w:t>
            </w:r>
            <w:r>
              <w:t>Hongaars Helsinki-comité, Disregard for EU values: a snapshot of RoL issues in Hungary in light of the Article 7 procedure,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verzoekt de Commissie nogmaals in het verslag over de rechtsstaat </w:t>
            </w:r>
            <w:r>
              <w:rPr>
                <w:b/>
                <w:i/>
              </w:rPr>
              <w:t>reactieve</w:t>
            </w:r>
            <w:r>
              <w:t xml:space="preserve"> instrumenten </w:t>
            </w:r>
            <w:r>
              <w:rPr>
                <w:b/>
                <w:i/>
              </w:rPr>
              <w:t>op te nemen, zoals de</w:t>
            </w:r>
            <w:r>
              <w:t xml:space="preserve"> procedures van artikel 7 VEU, het </w:t>
            </w:r>
            <w:r>
              <w:rPr>
                <w:b/>
                <w:i/>
              </w:rPr>
              <w:t>algemene</w:t>
            </w:r>
            <w:r>
              <w:t xml:space="preserve"> conditionaliteitsmechanisme, </w:t>
            </w:r>
            <w:r>
              <w:rPr>
                <w:b/>
                <w:i/>
              </w:rPr>
              <w:t>en</w:t>
            </w:r>
            <w:r>
              <w:t xml:space="preserve"> inbreukprocedures</w:t>
            </w:r>
            <w:r>
              <w:rPr>
                <w:vertAlign w:val="superscript"/>
              </w:rPr>
              <w:t>48</w:t>
            </w:r>
            <w:r>
              <w:t>;</w:t>
            </w:r>
          </w:p>
        </w:tc>
        <w:tc>
          <w:tcPr>
            <w:tcW w:w="4876" w:type="dxa"/>
            <w:tcBorders>
              <w:top w:val="nil"/>
              <w:left w:val="nil"/>
              <w:bottom w:val="nil"/>
              <w:right w:val="nil"/>
            </w:tcBorders>
          </w:tcPr>
          <w:p>
            <w:pPr>
              <w:pStyle w:val="Normal6a"/>
            </w:pPr>
            <w:r>
              <w:t>34.</w:t>
            </w:r>
            <w:r>
              <w:tab/>
            </w:r>
            <w:r>
              <w:t xml:space="preserve">verzoekt de Commissie nogmaals in het verslag over de rechtsstaat </w:t>
            </w:r>
            <w:r>
              <w:rPr>
                <w:b/>
                <w:i/>
              </w:rPr>
              <w:t>gedetailleerder aandacht te besteden aan de verschillende</w:t>
            </w:r>
            <w:r>
              <w:t xml:space="preserve"> instrumenten </w:t>
            </w:r>
            <w:r>
              <w:rPr>
                <w:b/>
                <w:i/>
              </w:rPr>
              <w:t>van het instrumentarium voor de rechtsstaat, in het bijzonder lopende</w:t>
            </w:r>
            <w:r>
              <w:t xml:space="preserve"> procedures van artikel 7 VEU, het conditionaliteitsmechanisme, </w:t>
            </w:r>
            <w:r>
              <w:rPr>
                <w:b/>
                <w:i/>
              </w:rPr>
              <w:t>alsook</w:t>
            </w:r>
            <w:r>
              <w:t xml:space="preserve"> inbreukprocedures</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Hongaars Helsinki-comité, Disregard for EU values: a snapshot of RoL issues in Hungary in light of the Article 7 procedure, 12 november 2024.</w:t>
            </w:r>
          </w:p>
        </w:tc>
        <w:tc>
          <w:tcPr>
            <w:tcW w:w="4876" w:type="dxa"/>
            <w:tcBorders>
              <w:top w:val="nil"/>
              <w:left w:val="nil"/>
              <w:bottom w:val="nil"/>
              <w:right w:val="nil"/>
            </w:tcBorders>
          </w:tcPr>
          <w:p>
            <w:pPr>
              <w:pStyle w:val="Normal6a"/>
            </w:pPr>
            <w:r>
              <w:rPr>
                <w:vertAlign w:val="superscript"/>
              </w:rPr>
              <w:t>48</w:t>
            </w:r>
            <w:r>
              <w:t xml:space="preserve"> </w:t>
            </w:r>
            <w:r>
              <w:t>Hongaars Helsinki-comité, Disregard for EU values: a snapshot of RoL issues in Hungary in light of the Article 7 procedure,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verzoekt de Commissie nogmaals </w:t>
            </w:r>
            <w:r>
              <w:rPr>
                <w:b/>
                <w:i/>
              </w:rPr>
              <w:t>in het verslag over de rechtsstaat reactieve instrumenten op te nemen, zoals de procedures van artikel 7 VEU, het algemene conditionaliteitsmechanisme, en inbreukprocedures</w:t>
            </w:r>
            <w:r>
              <w:rPr>
                <w:b/>
                <w:i/>
                <w:vertAlign w:val="superscript"/>
              </w:rPr>
              <w:t>48</w:t>
            </w:r>
            <w:r>
              <w:t>;</w:t>
            </w:r>
          </w:p>
        </w:tc>
        <w:tc>
          <w:tcPr>
            <w:tcW w:w="4876" w:type="dxa"/>
            <w:tcBorders>
              <w:top w:val="nil"/>
              <w:left w:val="nil"/>
              <w:bottom w:val="nil"/>
              <w:right w:val="nil"/>
            </w:tcBorders>
          </w:tcPr>
          <w:p>
            <w:pPr>
              <w:pStyle w:val="Normal6a"/>
            </w:pPr>
            <w:r>
              <w:t>34.</w:t>
            </w:r>
            <w:r>
              <w:tab/>
            </w:r>
            <w:r>
              <w:t xml:space="preserve">verzoekt de Commissie nogmaals </w:t>
            </w:r>
            <w:r>
              <w:rPr>
                <w:b/>
                <w:i/>
              </w:rPr>
              <w:t>om af te zien van het creëren van nieuwe mechanismen en instrumenten ter bescherming van de rechtsstaat, aangezien de bestaande mechanismen en instrumenten toereikend zijn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Hongaars Helsinki-comité, Disregard for EU values:</w:t>
            </w:r>
            <w:r>
              <w:t xml:space="preserve"> </w:t>
            </w:r>
            <w:r>
              <w:rPr>
                <w:b/>
                <w:i/>
              </w:rPr>
              <w:t>a snapshot of RoL issues in Hungary in light of the Article 7 procedure,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verzoekt de Commissie nogmaals in het verslag over de rechtsstaat </w:t>
            </w:r>
            <w:r>
              <w:rPr>
                <w:b/>
                <w:i/>
              </w:rPr>
              <w:t>reactieve instrumenten</w:t>
            </w:r>
            <w:r>
              <w:t xml:space="preserve"> op te nemen, zoals de procedures van artikel 7 VEU, het algemene conditionaliteitsmechanisme, en inbreukprocedures</w:t>
            </w:r>
            <w:r>
              <w:rPr>
                <w:vertAlign w:val="superscript"/>
              </w:rPr>
              <w:t>48</w:t>
            </w:r>
            <w:r>
              <w:t>;</w:t>
            </w:r>
          </w:p>
        </w:tc>
        <w:tc>
          <w:tcPr>
            <w:tcW w:w="4876" w:type="dxa"/>
            <w:tcBorders>
              <w:top w:val="nil"/>
              <w:left w:val="nil"/>
              <w:bottom w:val="nil"/>
              <w:right w:val="nil"/>
            </w:tcBorders>
          </w:tcPr>
          <w:p>
            <w:pPr>
              <w:pStyle w:val="Normal6a"/>
            </w:pPr>
            <w:r>
              <w:t>34.</w:t>
            </w:r>
            <w:r>
              <w:tab/>
            </w:r>
            <w:r>
              <w:t xml:space="preserve">verzoekt de Commissie nogmaals in het verslag over de rechtsstaat </w:t>
            </w:r>
            <w:r>
              <w:rPr>
                <w:b/>
                <w:i/>
              </w:rPr>
              <w:t>handhavingsmaatregelen</w:t>
            </w:r>
            <w:r>
              <w:t xml:space="preserve"> op te nemen, zoals de procedures van artikel 7 VEU, het algemene conditionaliteitsmechanisme, en inbreukprocedures</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Hongaars Helsinki-comité, Disregard for EU values: a snapshot of RoL issues in Hungary in light of the Article 7 procedure, 12 november 2024.</w:t>
            </w:r>
          </w:p>
        </w:tc>
        <w:tc>
          <w:tcPr>
            <w:tcW w:w="4876" w:type="dxa"/>
            <w:tcBorders>
              <w:top w:val="nil"/>
              <w:left w:val="nil"/>
              <w:bottom w:val="nil"/>
              <w:right w:val="nil"/>
            </w:tcBorders>
          </w:tcPr>
          <w:p>
            <w:pPr>
              <w:pStyle w:val="Normal6a"/>
            </w:pPr>
            <w:r>
              <w:rPr>
                <w:vertAlign w:val="superscript"/>
              </w:rPr>
              <w:t>48</w:t>
            </w:r>
            <w:r>
              <w:t xml:space="preserve"> </w:t>
            </w:r>
            <w:r>
              <w:t>Hongaars Helsinki-comité, Disregard for EU values: a snapshot of RoL issues in Hungary in light of the Article 7 procedure,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betreurt het dat de Hongaarse regering geen enkele betekenisvolle stap heeft gezet voor het implementeren van de aanbevelingen in het verslag over de rechtsstaat 2024;</w:t>
            </w:r>
            <w:r>
              <w:t xml:space="preserve"> </w:t>
            </w:r>
            <w:r>
              <w:rPr>
                <w:b/>
                <w:i/>
              </w:rPr>
              <w:t>benadrukt dat de situatie met betrekking tot mediavrijheid, "checks and balances", corruptie op hoog niveau en de ruimte voor organisaties van het maatschappelijk middenveld sinds de publicatie van dat verslag nog verder is verslechterd;</w:t>
            </w:r>
            <w:r>
              <w:t xml:space="preserve"> </w:t>
            </w:r>
            <w:r>
              <w:rPr>
                <w:b/>
                <w:i/>
              </w:rPr>
              <w:t>onderstreept dat de hervorming van het gerechtelijk apparaat van 2023 niet tot een substantiële verbetering met betrekking tot de onafhankelijkheid van de rechtbanken heeft geleid en veroordeelt het feit dat de regering onlangs de aanpassing van de salarissen van rechters, die al veel te lang op zich had laten wachten, gekoppeld heeft aan de aanvaarding door diezelfde rechters van verdere politieke inmenging ten koste van rechterlijke onafhankelijkheid;</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 xml:space="preserve">verzoekt de Commissie en de lidstaten te strijden tegen discriminatie op grond van ras en etnische oorsprong, godsdienst of geloofsovertuiging, nationaliteit, politieke opinie, taal, handicap, leeftijd, geslacht, waaronder genderidentiteit en genderexpressie, en seksuele geaardheid; </w:t>
            </w:r>
            <w:r>
              <w:t xml:space="preserve"> </w:t>
            </w:r>
            <w:r>
              <w:rPr>
                <w:b/>
                <w:i/>
              </w:rPr>
              <w:t>verzoekt de Raad met klem overeenstemming te bereiken over Richtlijn 2008/140/EG;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betreurt het dat de Hongaarse regering geen enkele betekenisvolle stap heeft gezet voor het implementeren van de aanbevelingen in het verslag over de rechtsstaat 2024, alsook het feit dat Hongarije de enige lidstaat is tegen wie nog een procedure loopt zoals bedoeld in artikel 7, lid 1, VEU;</w:t>
            </w:r>
            <w:r>
              <w:t xml:space="preserve"> </w:t>
            </w:r>
            <w:r>
              <w:rPr>
                <w:b/>
                <w:i/>
              </w:rPr>
              <w:t>benadrukt dat de beginselen van de rechtsstaat steeds minder worden gerespecteerd;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bis.</w:t>
            </w:r>
            <w:r>
              <w:tab/>
            </w:r>
            <w:r>
              <w:rPr>
                <w:b/>
                <w:i/>
              </w:rPr>
              <w:t>verzoekt de Europese Commissie in toekomstige verslagen over de rechtsstaat expliciet overwegingen in verband met raciale rechtvaardigheid op te nemen en van de lidstaten te verlangen dat zij vergelijkbare en robuuste uitgesplitste gegevens over gelijkheid verzamelen, met het oog op het volledig in kaart brengen van de gevolgen van structurele discriminatie voor de rechtsstaat;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ter.</w:t>
            </w:r>
            <w:r>
              <w:tab/>
            </w:r>
            <w:r>
              <w:rPr>
                <w:b/>
                <w:i/>
              </w:rPr>
              <w:t xml:space="preserve">verzoekt de Commissie en de lidstaten ervoor te zorgen dat de rechten van de lhbtiqa+-gemeenschap overal in de EU volledig worden gerespecteerd en dat personen van de lhbtiqa+-gemeenschap in veiligheid kunnen leven, hun rechten kunnen uitoefenen, en hun volledige potentieel kunnen ontplooien; </w:t>
            </w:r>
            <w:r>
              <w:t xml:space="preserve"> </w:t>
            </w:r>
            <w:r>
              <w:rPr>
                <w:b/>
                <w:i/>
              </w:rPr>
              <w:t>verzoekt de Commissie en de Raad van de lhbtiqa+-rechten een horizontale prioriteit te maken op alle beleidsterreinen;</w:t>
            </w:r>
            <w:r>
              <w:t xml:space="preserve"> </w:t>
            </w:r>
            <w:r>
              <w:rPr>
                <w:b/>
                <w:i/>
              </w:rPr>
              <w:t>verzoekt de Commissie geëigende wetgevingsvoorstellen te presenteren om de eerbiediging van deze beginselen te waarborgen, alsook gebruik te maken van inbreukprocedures tegen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34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quater.</w:t>
            </w:r>
            <w:r>
              <w:tab/>
            </w:r>
            <w:r>
              <w:rPr>
                <w:b/>
                <w:i/>
              </w:rPr>
              <w:t>verzoekt de Commissie nogmaals de strijd aan te binden met alle discriminerende praktijken en pal te staan voor de beginselen als bedoeld in het Handvest van de grondrechten van de Europese Unie;</w:t>
            </w:r>
            <w:r>
              <w:t xml:space="preserve"> </w:t>
            </w:r>
            <w:r>
              <w:rPr>
                <w:b/>
                <w:i/>
              </w:rPr>
              <w:t>verzoekt de Commissie ervoor te zorgen dat het recht van vrij verkeer van personen, het recht van verblijf op het grondgebied van een andere lidstaat, en het recht op gezinshereniging overal in de EU volledig worden gerespecteerd, en dat elke burger gelijke rechten heeft en zijn rechten volledig kan uitoefenen;</w:t>
            </w:r>
            <w:r>
              <w:t xml:space="preserve"> </w:t>
            </w:r>
            <w:r>
              <w:rPr>
                <w:b/>
                <w:i/>
              </w:rPr>
              <w:t>verzoekt de Commissie een voorstel te presenteren voor de herschikking van Richtlijn 2004/38/EG, teneinde daarin de grensoverschrijdende erkenning van gezinsrechten, inclusief ouderschap voor ouders van hetzelfde geslacht, in op te nemen, tegen de achtergrond van de meest recente uitspraak van het Hof van Justitie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beklemtoont dat het belangrijk is in financieringsinstrumenten, zoals de herstel- en veerkrachtfaciliteit, mijlpalen betreffende de rechtsstaat op te nemen;</w:t>
            </w:r>
            <w:r>
              <w:t xml:space="preserve"> </w:t>
            </w:r>
            <w:r>
              <w:rPr>
                <w:b/>
                <w:i/>
              </w:rPr>
              <w:t>betreurt de overmaking van EU-gelden aan Hongarije ondanks het feit dat de onafhankelijkheid van de rechterlijke macht in dat land niet goed gewaarborgd is en de anticorruptiekaders tekortkomingen vertonen;</w:t>
            </w:r>
            <w:r>
              <w:t xml:space="preserve"> </w:t>
            </w:r>
            <w:r>
              <w:rPr>
                <w:b/>
                <w:i/>
              </w:rPr>
              <w:t>beveelt aan te stoppen met de betalingen totdat aan alle benchmarks in verband met de rechtsstaat wordt voldaan;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beklemtoont dat het belangrijk is in financieringsinstrumenten, zoals de herstel- en veerkrachtfaciliteit, mijlpalen betreffende de rechtsstaat op te nemen;</w:t>
            </w:r>
            <w:r>
              <w:t xml:space="preserve"> </w:t>
            </w:r>
            <w:r>
              <w:rPr>
                <w:b/>
                <w:i/>
              </w:rPr>
              <w:t>betreurt de overmaking van EU-gelden aan Hongarije ondanks het feit dat de onafhankelijkheid van de rechterlijke macht in dat land niet goed gewaarborgd is en de anticorruptiekaders tekortkomingen vertonen;</w:t>
            </w:r>
            <w:r>
              <w:t xml:space="preserve"> </w:t>
            </w:r>
            <w:r>
              <w:rPr>
                <w:b/>
                <w:i/>
              </w:rPr>
              <w:t>beveelt aan te stoppen met de betalingen totdat aan alle benchmarks in verband met de rechtsstaat wordt voldaan;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beklemtoont dat het belangrijk is in financieringsinstrumenten, zoals de herstel- en veerkrachtfaciliteit, mijlpalen betreffende de rechtsstaat op te nemen;</w:t>
            </w:r>
            <w:r>
              <w:t xml:space="preserve"> </w:t>
            </w:r>
            <w:r>
              <w:rPr>
                <w:b/>
                <w:i/>
              </w:rPr>
              <w:t>betreurt de overmaking van EU-gelden aan Hongarije ondanks het feit dat de onafhankelijkheid van de rechterlijke macht in dat land niet goed gewaarborgd is en de anticorruptiekaders tekortkomingen vertonen;</w:t>
            </w:r>
            <w:r>
              <w:t xml:space="preserve"> </w:t>
            </w:r>
            <w:r>
              <w:rPr>
                <w:b/>
                <w:i/>
              </w:rPr>
              <w:t>beveelt aan te stoppen met de betalingen totdat aan alle benchmarks in verband met de rechtsstaat wordt voldaan;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beklemtoont dat het belangrijk is in financieringsinstrumenten, zoals de herstel- en veerkrachtfaciliteit, mijlpalen betreffende de rechtsstaat op te nemen; betreurt de overmaking van EU-gelden aan </w:t>
            </w:r>
            <w:r>
              <w:rPr>
                <w:b/>
                <w:i/>
              </w:rPr>
              <w:t>Hongarije</w:t>
            </w:r>
            <w:r>
              <w:t xml:space="preserve"> ondanks het feit dat de onafhankelijkheid van de rechterlijke macht in dat land niet goed gewaarborgd is en de anticorruptiekaders tekortkomingen vertonen; beveelt aan te stoppen met de betalingen totdat aan alle benchmarks in verband met de rechtsstaat wordt voldaan;</w:t>
            </w:r>
          </w:p>
        </w:tc>
        <w:tc>
          <w:tcPr>
            <w:tcW w:w="4876" w:type="dxa"/>
            <w:tcBorders>
              <w:top w:val="nil"/>
              <w:left w:val="nil"/>
              <w:bottom w:val="nil"/>
              <w:right w:val="nil"/>
            </w:tcBorders>
          </w:tcPr>
          <w:p>
            <w:pPr>
              <w:pStyle w:val="Normal6a"/>
            </w:pPr>
            <w:r>
              <w:t>35.</w:t>
            </w:r>
            <w:r>
              <w:tab/>
            </w:r>
            <w:r>
              <w:t xml:space="preserve">beklemtoont dat het belangrijk is in financieringsinstrumenten, zoals de herstel- en veerkrachtfaciliteit, mijlpalen betreffende de rechtsstaat op te nemen; betreurt de overmaking van EU-gelden aan </w:t>
            </w:r>
            <w:r>
              <w:rPr>
                <w:b/>
                <w:i/>
              </w:rPr>
              <w:t>de Hongaarse regering</w:t>
            </w:r>
            <w:r>
              <w:t xml:space="preserve"> ondanks het feit dat de onafhankelijkheid van de rechterlijke macht in dat land </w:t>
            </w:r>
            <w:r>
              <w:rPr>
                <w:b/>
                <w:i/>
              </w:rPr>
              <w:t>nog altijd bij lange na</w:t>
            </w:r>
            <w:r>
              <w:t xml:space="preserve"> niet goed gewaarborgd is en de anticorruptiekaders tekortkomingen vertonen; beveelt aan te stoppen met de betalingen totdat aan alle benchmarks in verband met de rechtsstaat wordt voldaan; </w:t>
            </w:r>
            <w:r>
              <w:rPr>
                <w:b/>
                <w:i/>
              </w:rPr>
              <w:t>verzoekt de Raad de volgende stappen in de procedure van artikel 7 tegen Hongarije in gang te zetten, gezien de aanhoudende inbreuken op de waarden waarop de EU is gegrondvest, waaronder de aanvallen op de onafhankelijkheid van de rechterlijke macht, de mediavrijheid en het maatschappelijk middenveld, die onmiddellijke en robuuste maatregelen vereisen om de rechtsstaat in de EU te beschermen;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beklemtoont dat het belangrijk is in financieringsinstrumenten, zoals de herstel- en veerkrachtfaciliteit, mijlpalen betreffende</w:t>
            </w:r>
            <w:r>
              <w:t xml:space="preserve"> de rechtsstaat </w:t>
            </w:r>
            <w:r>
              <w:rPr>
                <w:b/>
                <w:i/>
              </w:rPr>
              <w:t>op te nemen;</w:t>
            </w:r>
            <w:r>
              <w:t xml:space="preserve"> </w:t>
            </w:r>
            <w:r>
              <w:rPr>
                <w:b/>
                <w:i/>
              </w:rPr>
              <w:t>betreurt de overmaking van EU-gelden aan Hongarije ondanks het feit dat de onafhankelijkheid</w:t>
            </w:r>
            <w:r>
              <w:t xml:space="preserve"> van de </w:t>
            </w:r>
            <w:r>
              <w:rPr>
                <w:b/>
                <w:i/>
              </w:rPr>
              <w:t>rechterlijke macht in dat land niet goed gewaarborgd is en de anticorruptiekaders tekortkomingen vertonen;</w:t>
            </w:r>
            <w:r>
              <w:t xml:space="preserve"> </w:t>
            </w:r>
            <w:r>
              <w:rPr>
                <w:b/>
                <w:i/>
              </w:rPr>
              <w:t>beveelt aan te stoppen met de betalingen totdat aan alle benchmarks in verband met de rechtsstaat wordt voldaan</w:t>
            </w:r>
            <w:r>
              <w:t>;</w:t>
            </w:r>
          </w:p>
        </w:tc>
        <w:tc>
          <w:tcPr>
            <w:tcW w:w="4876" w:type="dxa"/>
            <w:tcBorders>
              <w:top w:val="nil"/>
              <w:left w:val="nil"/>
              <w:bottom w:val="nil"/>
              <w:right w:val="nil"/>
            </w:tcBorders>
          </w:tcPr>
          <w:p>
            <w:pPr>
              <w:pStyle w:val="Normal6a"/>
            </w:pPr>
            <w:r>
              <w:t>35.</w:t>
            </w:r>
            <w:r>
              <w:tab/>
            </w:r>
            <w:r>
              <w:rPr>
                <w:b/>
                <w:i/>
              </w:rPr>
              <w:t>neemt met bezorgdheid kennis van de politiek vooringenomen monitoring door de Commissie van de benchmarks in verband met</w:t>
            </w:r>
            <w:r>
              <w:t xml:space="preserve"> de rechtsstaat </w:t>
            </w:r>
            <w:r>
              <w:rPr>
                <w:b/>
                <w:i/>
              </w:rPr>
              <w:t>middels het instrumentarium voor de rechtsstaat;</w:t>
            </w:r>
            <w:r>
              <w:t xml:space="preserve"> </w:t>
            </w:r>
            <w:r>
              <w:rPr>
                <w:b/>
                <w:i/>
              </w:rPr>
              <w:t>verzoekt de Commissie te stoppen met politieke aanvallen op rechtse, conservatieve regeringen;</w:t>
            </w:r>
            <w:r>
              <w:t xml:space="preserve"> </w:t>
            </w:r>
            <w:r>
              <w:rPr>
                <w:b/>
                <w:i/>
              </w:rPr>
              <w:t>benadrukt dat Hongarije door de Commissie financieel en politiek wordt gechanteerd vanwege zijn kinderbeschermingswet, zijn wet op bescherming</w:t>
            </w:r>
            <w:r>
              <w:t xml:space="preserve"> van de </w:t>
            </w:r>
            <w:r>
              <w:rPr>
                <w:b/>
                <w:i/>
              </w:rPr>
              <w:t>nationale soevereiniteit, en zijn strikte migratiebeleid;</w:t>
            </w:r>
            <w:r>
              <w:t xml:space="preserve"> </w:t>
            </w:r>
            <w:r>
              <w:rPr>
                <w:b/>
                <w:i/>
              </w:rPr>
              <w:t>herinnert eraan dat Hongarije recht heeft op alle EU-middelen die door de Commissie onwetmatig zijn ingehouden;</w:t>
            </w:r>
            <w:r>
              <w:t xml:space="preserve"> </w:t>
            </w:r>
            <w:r>
              <w:rPr>
                <w:b/>
                <w:i/>
              </w:rPr>
              <w:t>verzoekt de Europese Commissie de resterende 20 miljard EUR aan EU-middelen vrij te geven die Hongarije rechtmatig toekomt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beklemtoont dat het belangrijk is</w:t>
            </w:r>
            <w:r>
              <w:t xml:space="preserve"> in financieringsinstrumenten, zoals de herstel- en veerkrachtfaciliteit, mijlpalen betreffende de rechtsstaat </w:t>
            </w:r>
            <w:r>
              <w:rPr>
                <w:b/>
                <w:i/>
              </w:rPr>
              <w:t>op te nemen;</w:t>
            </w:r>
            <w:r>
              <w:t xml:space="preserve"> </w:t>
            </w:r>
            <w:r>
              <w:rPr>
                <w:b/>
                <w:i/>
              </w:rPr>
              <w:t>betreurt de overmaking van EU-gelden aan Hongarije ondanks het feit dat de onafhankelijkheid van de rechterlijke macht in dat land niet goed gewaarborgd is en de anticorruptiekaders tekortkomingen vertonen;</w:t>
            </w:r>
            <w:r>
              <w:t xml:space="preserve"> </w:t>
            </w:r>
            <w:r>
              <w:rPr>
                <w:b/>
                <w:i/>
              </w:rPr>
              <w:t>beveelt aan te stoppen met de betalingen totdat aan alle benchmarks in verband met de rechtsstaat wordt voldaan</w:t>
            </w:r>
            <w:r>
              <w:t>;</w:t>
            </w:r>
          </w:p>
        </w:tc>
        <w:tc>
          <w:tcPr>
            <w:tcW w:w="4876" w:type="dxa"/>
            <w:tcBorders>
              <w:top w:val="nil"/>
              <w:left w:val="nil"/>
              <w:bottom w:val="nil"/>
              <w:right w:val="nil"/>
            </w:tcBorders>
          </w:tcPr>
          <w:p>
            <w:pPr>
              <w:pStyle w:val="Normal6a"/>
            </w:pPr>
            <w:r>
              <w:t>35.</w:t>
            </w:r>
            <w:r>
              <w:tab/>
            </w:r>
            <w:r>
              <w:rPr>
                <w:b/>
                <w:i/>
              </w:rPr>
              <w:t>neemt kennis van het feit dat</w:t>
            </w:r>
            <w:r>
              <w:t xml:space="preserve"> in financieringsinstrumenten, zoals de herstel- en veerkrachtfaciliteit, mijlpalen betreffende de rechtsstaat </w:t>
            </w:r>
            <w:r>
              <w:rPr>
                <w:b/>
                <w:i/>
              </w:rPr>
              <w:t>worden opgenomen</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beklemtoont dat het belangrijk is in financieringsinstrumenten, zoals de herstel- en veerkrachtfaciliteit, mijlpalen betreffende de rechtsstaat op te nemen; betreurt de overmaking van EU-gelden aan </w:t>
            </w:r>
            <w:r>
              <w:rPr>
                <w:b/>
                <w:i/>
              </w:rPr>
              <w:t>Hongarije</w:t>
            </w:r>
            <w:r>
              <w:t xml:space="preserve"> ondanks het feit dat de onafhankelijkheid van de rechterlijke macht in dat land niet goed gewaarborgd is en de anticorruptiekaders tekortkomingen vertonen; beveelt aan te stoppen met de betalingen totdat aan alle benchmarks in verband met de rechtsstaat </w:t>
            </w:r>
            <w:r>
              <w:rPr>
                <w:b/>
                <w:i/>
              </w:rPr>
              <w:t>wordt voldaan</w:t>
            </w:r>
            <w:r>
              <w:t>;</w:t>
            </w:r>
          </w:p>
        </w:tc>
        <w:tc>
          <w:tcPr>
            <w:tcW w:w="4876" w:type="dxa"/>
            <w:tcBorders>
              <w:top w:val="nil"/>
              <w:left w:val="nil"/>
              <w:bottom w:val="nil"/>
              <w:right w:val="nil"/>
            </w:tcBorders>
          </w:tcPr>
          <w:p>
            <w:pPr>
              <w:pStyle w:val="Normal6a"/>
            </w:pPr>
            <w:r>
              <w:t>35.</w:t>
            </w:r>
            <w:r>
              <w:tab/>
            </w:r>
            <w:r>
              <w:t xml:space="preserve">beklemtoont dat het belangrijk is in financieringsinstrumenten, zoals de herstel- en veerkrachtfaciliteit, mijlpalen betreffende de rechtsstaat op te nemen; betreurt de overmaking van EU-gelden aan </w:t>
            </w:r>
            <w:r>
              <w:rPr>
                <w:b/>
                <w:i/>
              </w:rPr>
              <w:t>de Hongaarse regering</w:t>
            </w:r>
            <w:r>
              <w:t xml:space="preserve"> ondanks het feit dat de onafhankelijkheid van de rechterlijke macht in dat land niet goed gewaarborgd is en de anticorruptiekaders tekortkomingen vertonen; beveelt aan te stoppen met de betalingen </w:t>
            </w:r>
            <w:r>
              <w:rPr>
                <w:b/>
                <w:i/>
              </w:rPr>
              <w:t>aan de Hongaarse regering</w:t>
            </w:r>
            <w:r>
              <w:t xml:space="preserve"> totdat </w:t>
            </w:r>
            <w:r>
              <w:rPr>
                <w:b/>
                <w:i/>
              </w:rPr>
              <w:t>zij</w:t>
            </w:r>
            <w:r>
              <w:t xml:space="preserve"> aan alle benchmarks in verband met de rechtsstaat </w:t>
            </w:r>
            <w:r>
              <w:rPr>
                <w:b/>
                <w:i/>
              </w:rPr>
              <w:t>voldoet;</w:t>
            </w:r>
            <w:r>
              <w:t xml:space="preserve"> </w:t>
            </w:r>
            <w:r>
              <w:rPr>
                <w:b/>
                <w:i/>
              </w:rPr>
              <w:t>dringt er bij de Commissie op aan ervoor te zorgen dat de EU-middelen de Hongaarse bevolking bereiken, waaronder via directe of indirecte financiering voor eindontvangers of begunstigden die onafhankelijk zijn van de Hongaarse regering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beklemtoont dat </w:t>
            </w:r>
            <w:r>
              <w:rPr>
                <w:b/>
                <w:i/>
              </w:rPr>
              <w:t>het belangrijk is</w:t>
            </w:r>
            <w:r>
              <w:t xml:space="preserve"> in financieringsinstrumenten, zoals de herstel- en veerkrachtfaciliteit, mijlpalen betreffende de rechtsstaat </w:t>
            </w:r>
            <w:r>
              <w:rPr>
                <w:b/>
                <w:i/>
              </w:rPr>
              <w:t>op te nemen;</w:t>
            </w:r>
            <w:r>
              <w:t xml:space="preserve"> </w:t>
            </w:r>
            <w:r>
              <w:rPr>
                <w:b/>
                <w:i/>
              </w:rPr>
              <w:t>betreurt</w:t>
            </w:r>
            <w:r>
              <w:t xml:space="preserve"> de overmaking van EU-gelden aan Hongarije </w:t>
            </w:r>
            <w:r>
              <w:rPr>
                <w:b/>
                <w:i/>
              </w:rPr>
              <w:t>ondanks het feit</w:t>
            </w:r>
            <w:r>
              <w:t xml:space="preserve"> dat de onafhankelijkheid van de rechterlijke macht </w:t>
            </w:r>
            <w:r>
              <w:rPr>
                <w:b/>
                <w:i/>
              </w:rPr>
              <w:t>in dat land niet goed gewaarborgd is en de anticorruptiekaders tekortkomingen vertonen;</w:t>
            </w:r>
            <w:r>
              <w:t xml:space="preserve"> </w:t>
            </w:r>
            <w:r>
              <w:rPr>
                <w:b/>
                <w:i/>
              </w:rPr>
              <w:t>beveelt aan te stoppen</w:t>
            </w:r>
            <w:r>
              <w:t xml:space="preserve"> met de betalingen </w:t>
            </w:r>
            <w:r>
              <w:rPr>
                <w:b/>
                <w:i/>
              </w:rPr>
              <w:t>totdat aan alle benchmarks</w:t>
            </w:r>
            <w:r>
              <w:t xml:space="preserve"> in verband met de rechtsstaat </w:t>
            </w:r>
            <w:r>
              <w:rPr>
                <w:b/>
                <w:i/>
              </w:rPr>
              <w:t>wordt voldaan</w:t>
            </w:r>
            <w:r>
              <w:t>;</w:t>
            </w:r>
          </w:p>
        </w:tc>
        <w:tc>
          <w:tcPr>
            <w:tcW w:w="4876" w:type="dxa"/>
            <w:tcBorders>
              <w:top w:val="nil"/>
              <w:left w:val="nil"/>
              <w:bottom w:val="nil"/>
              <w:right w:val="nil"/>
            </w:tcBorders>
          </w:tcPr>
          <w:p>
            <w:pPr>
              <w:pStyle w:val="Normal6a"/>
            </w:pPr>
            <w:r>
              <w:t>35.</w:t>
            </w:r>
            <w:r>
              <w:tab/>
            </w:r>
            <w:r>
              <w:t xml:space="preserve">beklemtoont dat </w:t>
            </w:r>
            <w:r>
              <w:rPr>
                <w:b/>
                <w:i/>
              </w:rPr>
              <w:t>de procedure</w:t>
            </w:r>
            <w:r>
              <w:t xml:space="preserve"> in financieringsinstrumenten, zoals de herstel- en veerkrachtfaciliteit, </w:t>
            </w:r>
            <w:r>
              <w:rPr>
                <w:b/>
                <w:i/>
              </w:rPr>
              <w:t>voor de toepassing van</w:t>
            </w:r>
            <w:r>
              <w:t xml:space="preserve"> mijlpalen betreffende de rechtsstaat </w:t>
            </w:r>
            <w:r>
              <w:rPr>
                <w:b/>
                <w:i/>
              </w:rPr>
              <w:t>in tegenspraak is met de noodzaak om de Verdragen te eerbiedigen en een aanpak op basis van objectieve criteria te hanteren;</w:t>
            </w:r>
            <w:r>
              <w:t xml:space="preserve"> </w:t>
            </w:r>
            <w:r>
              <w:rPr>
                <w:b/>
                <w:i/>
              </w:rPr>
              <w:t>wijst op</w:t>
            </w:r>
            <w:r>
              <w:t xml:space="preserve"> de overmaking van EU-gelden aan Hongarije</w:t>
            </w:r>
            <w:r>
              <w:rPr>
                <w:b/>
                <w:i/>
              </w:rPr>
              <w:t>, hetgeen niet in strijd is met de Verdragen, en merkt op</w:t>
            </w:r>
            <w:r>
              <w:t xml:space="preserve"> dat de </w:t>
            </w:r>
            <w:r>
              <w:rPr>
                <w:b/>
                <w:i/>
              </w:rPr>
              <w:t>vermeende tekortkomingen op het gebied van de</w:t>
            </w:r>
            <w:r>
              <w:t xml:space="preserve"> onafhankelijkheid van de rechterlijke macht </w:t>
            </w:r>
            <w:r>
              <w:rPr>
                <w:b/>
                <w:i/>
              </w:rPr>
              <w:t>en de anticorruptiekaders moeten worden aangepakt in het kader van procedures die in overeenstemming zijn</w:t>
            </w:r>
            <w:r>
              <w:t xml:space="preserve"> met de </w:t>
            </w:r>
            <w:r>
              <w:rPr>
                <w:b/>
                <w:i/>
              </w:rPr>
              <w:t>Verdragen;</w:t>
            </w:r>
            <w:r>
              <w:t xml:space="preserve"> </w:t>
            </w:r>
            <w:r>
              <w:rPr>
                <w:b/>
                <w:i/>
              </w:rPr>
              <w:t>benadrukt dat</w:t>
            </w:r>
            <w:r>
              <w:t xml:space="preserve"> betalingen </w:t>
            </w:r>
            <w:r>
              <w:rPr>
                <w:b/>
                <w:i/>
              </w:rPr>
              <w:t>uit EU-fondsen niet gekoppeld zijn aan willekeurige criteria</w:t>
            </w:r>
            <w:r>
              <w:t xml:space="preserve"> in verband met de rechtsstaat;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beklemtoont dat het belangrijk is in financieringsinstrumenten, zoals de herstel- en veerkrachtfaciliteit, mijlpalen betreffende de rechtsstaat op te nemen; betreurt de overmaking van EU-gelden aan </w:t>
            </w:r>
            <w:r>
              <w:rPr>
                <w:b/>
                <w:i/>
              </w:rPr>
              <w:t>Hongarije</w:t>
            </w:r>
            <w:r>
              <w:t xml:space="preserve"> ondanks het feit dat de onafhankelijkheid van de rechterlijke macht in dat land niet goed gewaarborgd is en de anticorruptiekaders tekortkomingen vertonen; beveelt aan te stoppen met de betalingen totdat aan alle benchmarks in verband met de rechtsstaat </w:t>
            </w:r>
            <w:r>
              <w:rPr>
                <w:b/>
                <w:i/>
              </w:rPr>
              <w:t>wordt voldaan</w:t>
            </w:r>
            <w:r>
              <w:t>;</w:t>
            </w:r>
          </w:p>
        </w:tc>
        <w:tc>
          <w:tcPr>
            <w:tcW w:w="4876" w:type="dxa"/>
            <w:tcBorders>
              <w:top w:val="nil"/>
              <w:left w:val="nil"/>
              <w:bottom w:val="nil"/>
              <w:right w:val="nil"/>
            </w:tcBorders>
          </w:tcPr>
          <w:p>
            <w:pPr>
              <w:pStyle w:val="Normal6a"/>
            </w:pPr>
            <w:r>
              <w:t>35.</w:t>
            </w:r>
            <w:r>
              <w:tab/>
            </w:r>
            <w:r>
              <w:t xml:space="preserve">beklemtoont dat het belangrijk is in financieringsinstrumenten, zoals de herstel- en veerkrachtfaciliteit, mijlpalen betreffende de rechtsstaat op te nemen; betreurt de overmaking van EU-gelden aan </w:t>
            </w:r>
            <w:r>
              <w:rPr>
                <w:b/>
                <w:i/>
              </w:rPr>
              <w:t>de Hongaarse regering</w:t>
            </w:r>
            <w:r>
              <w:t xml:space="preserve"> ondanks het feit dat de onafhankelijkheid van de rechterlijke macht in dat land niet goed gewaarborgd is en de anticorruptiekaders tekortkomingen vertonen; beveelt aan te stoppen met de betalingen </w:t>
            </w:r>
            <w:r>
              <w:rPr>
                <w:b/>
                <w:i/>
              </w:rPr>
              <w:t>aan de Hongaarse regering</w:t>
            </w:r>
            <w:r>
              <w:t xml:space="preserve"> totdat </w:t>
            </w:r>
            <w:r>
              <w:rPr>
                <w:b/>
                <w:i/>
              </w:rPr>
              <w:t>zij</w:t>
            </w:r>
            <w:r>
              <w:t xml:space="preserve"> aan alle benchmarks in verband met de rechtsstaat </w:t>
            </w:r>
            <w:r>
              <w:rPr>
                <w:b/>
                <w:i/>
              </w:rPr>
              <w:t>voldoet;</w:t>
            </w:r>
            <w:r>
              <w:t xml:space="preserve"> </w:t>
            </w:r>
            <w:r>
              <w:rPr>
                <w:b/>
                <w:i/>
              </w:rPr>
              <w:t>verzoekt de Commissie ervoor te zorgen dat de EU-gelden bij de Hongaarse bevolking terechtkomen, met behoud van de volledige impact van de genomen maatregelen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namens de Commissie burgerlijke vrijheden, justitie en binnenlandse zaken</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beklemtoont dat het belangrijk is in financieringsinstrumenten, zoals de herstel- en veerkrachtfaciliteit, mijlpalen betreffende de rechtsstaat op te nemen; betreurt de overmaking van EU-gelden aan Hongarije ondanks het feit dat de onafhankelijkheid van de rechterlijke macht in dat land niet goed gewaarborgd is en de anticorruptiekaders tekortkomingen vertonen; beveelt aan te stoppen met de betalingen totdat aan alle benchmarks in verband met de rechtsstaat wordt voldaan;</w:t>
            </w:r>
          </w:p>
        </w:tc>
        <w:tc>
          <w:tcPr>
            <w:tcW w:w="4876" w:type="dxa"/>
            <w:tcBorders>
              <w:top w:val="nil"/>
              <w:left w:val="nil"/>
              <w:bottom w:val="nil"/>
              <w:right w:val="nil"/>
            </w:tcBorders>
          </w:tcPr>
          <w:p>
            <w:pPr>
              <w:pStyle w:val="Normal6a"/>
            </w:pPr>
            <w:r>
              <w:t>35.</w:t>
            </w:r>
            <w:r>
              <w:tab/>
            </w:r>
            <w:r>
              <w:t xml:space="preserve">beklemtoont dat het belangrijk is in financieringsinstrumenten, zoals de herstel- en veerkrachtfaciliteit, mijlpalen betreffende de rechtsstaat op te nemen; </w:t>
            </w:r>
            <w:r>
              <w:rPr>
                <w:b/>
                <w:i/>
              </w:rPr>
              <w:t>verzoekt in het toekomstige MFK robuuste vrijwaringsclausules in verband met de rechtsstaat op te nemen die van toepassing zijn op alle EU-gelden;</w:t>
            </w:r>
            <w:r>
              <w:t xml:space="preserve"> betreurt de overmaking van EU-gelden aan Hongarije ondanks het feit dat de onafhankelijkheid van de rechterlijke macht in dat land niet goed gewaarborgd is en de anticorruptiekaders tekortkomingen vertonen; beveelt aan te stoppen met de betalingen totdat aan alle benchmarks in verband met de rechtsstaat wordt voldaan;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maakt zich grote zorgen over de opkomst van extreem rechts en de ondermijnende impact daarvan op democratische normen en de rechtsstaat in meerdere lidstaten;</w:t>
            </w:r>
            <w:r>
              <w:t xml:space="preserve"> </w:t>
            </w:r>
            <w:r>
              <w:rPr>
                <w:b/>
                <w:i/>
              </w:rPr>
              <w:t>dringt aan op gecoördineerde EU-actie om tegenwicht aan deze dreiging te bieden, waaronder in de vorm van onderwijs, programma's voor sociale integratie, en - in voorkomend geval - wettelijke maatregelen;</w:t>
            </w:r>
            <w:r>
              <w:t xml:space="preserve"> </w:t>
            </w:r>
            <w:r>
              <w:rPr>
                <w:b/>
                <w:i/>
              </w:rPr>
              <w:t>stelt bezorgd vast dat deze groepen actief personen van de lhbtiq+-gemeenschap in het vizier nemen en bijdragen aan een klimaat van angst en discriminatie;</w:t>
            </w:r>
            <w:r>
              <w:t xml:space="preserve"> </w:t>
            </w:r>
            <w:r>
              <w:rPr>
                <w:b/>
                <w:i/>
              </w:rPr>
              <w:t>verzoekt de Commissie de groepen in kwestie in haar verslag over de rechtsstaat expliciet aan te merken als een bedreiging voor de democratie, de mensenrechten, en de fundamentele vrijheden, waaronder voor de academische en de mediavrijheid;</w:t>
            </w:r>
            <w:r>
              <w:t xml:space="preserve"> </w:t>
            </w:r>
            <w:r>
              <w:rPr>
                <w:b/>
                <w:i/>
              </w:rPr>
              <w:t>verzoekt de lidstaten krachtdadig op te treden om hun invloed tegen te gaan, in concreto middels robuuste wettelijke kaders, onderwijs in democratische waarden, en steun voor organisaties die zich bezighouden met de bestrijding van extremisme;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dringt erop aan in de MFK-verordening een op prestaties stoelend instrument op te nemen met betrekking tot eerbiediging van de menselijke waardigheid, vrijheid, de democratie, gelijkheid, de rechtsstaat en de mensenrechten, teneinde voor een sterkere koppeling te zorgen tussen eerbiediging van deze beginselen en de toekenning van EU-gelden;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dringt erop aan een sterkere koppeling tot stand te brengen tussen de bevindingen in het verslag over de rechtsstaat en de toekenning van financiële steun met middelen van de Uniebegroting, in combinatie met mijlpalen, teneinde ervoor te zorgen dat de uitbetaling van EU-gelden afhankelijk is van de implementatie van de noodzakelijke hervormingen;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ter.</w:t>
            </w:r>
            <w:r>
              <w:tab/>
            </w:r>
            <w:r>
              <w:rPr>
                <w:b/>
                <w:i/>
              </w:rPr>
              <w:t>vindt het zorgwekkend dat het moment van publicatie van het verslag over de rechtsstaat niet bijdraagt aan het creëren van voldoende zichtbaarheid en haaks staat op het doel dat met het verslag wordt nagestreefd, namelijk het genereren van een breed debat over de bevindingen in het verslag;</w:t>
            </w:r>
            <w:r>
              <w:t xml:space="preserve"> </w:t>
            </w:r>
            <w:r>
              <w:rPr>
                <w:b/>
                <w:i/>
              </w:rPr>
              <w:t>verzoekt de Commissie na te denken over een ander moment van publicatie en meer te doen om de bevindingen in het verslag in alle lidstaten grotere bekendheid te geven;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ter.</w:t>
            </w:r>
            <w:r>
              <w:tab/>
            </w:r>
            <w:r>
              <w:rPr>
                <w:b/>
                <w:i/>
              </w:rPr>
              <w:t>dringt erop aan in het verslag over de rechtsstaat 2025 van de Commissie deadlines voor de implementatie van landenspecifieke aanbevelingen op te nemen;</w:t>
            </w:r>
            <w:r>
              <w:t xml:space="preserve"> </w:t>
            </w:r>
            <w:r>
              <w:rPr>
                <w:b/>
                <w:i/>
              </w:rPr>
              <w:t>is van mening dat bevroren EU-gelden alleen moeten worden vrijgegeven nadat volledig uitvoering is gegeven aan betekenisvolle hervormingen en is vastgesteld dat de rechtsstaat in de praktijk wordt gerespecteerd;</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ter.</w:t>
            </w:r>
            <w:r>
              <w:tab/>
            </w:r>
            <w:r>
              <w:rPr>
                <w:b/>
                <w:i/>
              </w:rPr>
              <w:t>spoort de lidstaten aan de milieudemocratie te versterken door erop toe te zien dat het Verdrag van Aarhus volledig wordt uitgevoerd, met name wat betreft de toegang tot de rechter in milieuzaken en de bescherming van milieu-activisten en -organisaties;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is van oordeel dat de interinstitutionele dialoog en de samenwerking met betrekking tot de rechtsstaat op EU-niveau moeten worden versterkt;</w:t>
            </w:r>
            <w:r>
              <w:t xml:space="preserve"> </w:t>
            </w:r>
            <w:r>
              <w:rPr>
                <w:b/>
                <w:i/>
              </w:rPr>
              <w:t>dringt erop aan een permanente interinstitutionele dialoog over de rechtsstaat in het leven te roepen, met deelname van - onder andere - het Parlement, de Raad, en de Commissie;</w:t>
            </w:r>
            <w:r>
              <w:t xml:space="preserve"> </w:t>
            </w:r>
            <w:r>
              <w:rPr>
                <w:b/>
                <w:i/>
              </w:rPr>
              <w:t>verzoekt de Raad zijn dialoog over de rechtsstaat inclusiever te maken door daarvoor ook andere partijen, zoals de Commissie van Venetië, de commissaris voor mensenrechten, en vertegenwoordigers van het Parlement, uit te nodigen;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is van oordeel dat de interinstitutionele dialoog en de samenwerking met betrekking tot de rechtsstaat op EU-niveau moeten worden versterkt;</w:t>
            </w:r>
            <w:r>
              <w:t xml:space="preserve"> </w:t>
            </w:r>
            <w:r>
              <w:rPr>
                <w:b/>
                <w:i/>
              </w:rPr>
              <w:t>dringt erop aan een permanente interinstitutionele dialoog over de rechtsstaat in het leven te roepen, met deelname van - onder andere - het Parlement, de Raad, en de Commissie;</w:t>
            </w:r>
            <w:r>
              <w:t xml:space="preserve"> </w:t>
            </w:r>
            <w:r>
              <w:rPr>
                <w:b/>
                <w:i/>
              </w:rPr>
              <w:t>verzoekt de Raad zijn dialoog over de rechtsstaat inclusiever te maken door daarvoor ook andere partijen, zoals de Commissie van Venetië, de commissaris voor mensenrechten, en vertegenwoordigers van het Parlement, uit te nodigen;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is van oordeel dat de interinstitutionele dialoog en de samenwerking met betrekking tot de rechtsstaat op EU-niveau moeten worden versterkt;</w:t>
            </w:r>
            <w:r>
              <w:t xml:space="preserve"> </w:t>
            </w:r>
            <w:r>
              <w:rPr>
                <w:b/>
                <w:i/>
              </w:rPr>
              <w:t>dringt erop aan een permanente interinstitutionele dialoog over de rechtsstaat in het leven te roepen, met deelname van - onder andere - het Parlement, de Raad, en de Commissie;</w:t>
            </w:r>
            <w:r>
              <w:t xml:space="preserve"> </w:t>
            </w:r>
            <w:r>
              <w:rPr>
                <w:b/>
                <w:i/>
              </w:rPr>
              <w:t>verzoekt de Raad zijn dialoog over de rechtsstaat inclusiever te maken door daarvoor ook andere partijen, zoals de Commissie van Venetië, de commissaris voor mensenrechten, en vertegenwoordigers van het Parlement, uit te nodigen;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is van oordeel dat de interinstitutionele dialoog en de samenwerking met betrekking tot de rechtsstaat op EU-niveau moeten worden versterkt; </w:t>
            </w:r>
            <w:r>
              <w:rPr>
                <w:b/>
                <w:i/>
              </w:rPr>
              <w:t>dringt erop aan een permanente interinstitutionele dialoog over</w:t>
            </w:r>
            <w:r>
              <w:t xml:space="preserve"> de rechtsstaat </w:t>
            </w:r>
            <w:r>
              <w:rPr>
                <w:b/>
                <w:i/>
              </w:rPr>
              <w:t>in het leven te roepen, met deelname van - onder</w:t>
            </w:r>
            <w:r>
              <w:t xml:space="preserve"> andere </w:t>
            </w:r>
            <w:r>
              <w:rPr>
                <w:b/>
                <w:i/>
              </w:rPr>
              <w:t>- het Parlement, de Raad, en de Commissie</w:t>
            </w:r>
            <w:r>
              <w:t>; verzoekt de Raad zijn dialoog over de rechtsstaat inclusiever te maken door daarvoor ook andere partijen, zoals de Commissie van Venetië, de commissaris voor mensenrechten, en vertegenwoordigers van het Parlement, uit te nodigen;</w:t>
            </w:r>
          </w:p>
        </w:tc>
        <w:tc>
          <w:tcPr>
            <w:tcW w:w="4876" w:type="dxa"/>
            <w:tcBorders>
              <w:top w:val="nil"/>
              <w:left w:val="nil"/>
              <w:bottom w:val="nil"/>
              <w:right w:val="nil"/>
            </w:tcBorders>
          </w:tcPr>
          <w:p>
            <w:pPr>
              <w:pStyle w:val="Normal6a"/>
            </w:pPr>
            <w:r>
              <w:t>36.</w:t>
            </w:r>
            <w:r>
              <w:tab/>
            </w:r>
            <w:r>
              <w:t xml:space="preserve">is van oordeel dat de interinstitutionele dialoog en de samenwerking met betrekking tot de rechtsstaat op EU-niveau moeten worden versterkt; </w:t>
            </w:r>
            <w:r>
              <w:rPr>
                <w:b/>
                <w:i/>
              </w:rPr>
              <w:t>betreurt het dat de Commissie en de Raad tot dusver het aanbod van het Parlement om een interinstitutioneel akkoord over de democratie,</w:t>
            </w:r>
            <w:r>
              <w:t xml:space="preserve"> de rechtsstaat </w:t>
            </w:r>
            <w:r>
              <w:rPr>
                <w:b/>
                <w:i/>
              </w:rPr>
              <w:t>en de grondrechten te sluiten, hebben afgewezen;</w:t>
            </w:r>
            <w:r>
              <w:t xml:space="preserve"> </w:t>
            </w:r>
            <w:r>
              <w:rPr>
                <w:b/>
                <w:i/>
              </w:rPr>
              <w:t>bevestigt opnieuw zijn bereidheid om de besprekingen over dit akkoord te hervatten;</w:t>
            </w:r>
            <w:r>
              <w:t xml:space="preserve"> </w:t>
            </w:r>
            <w:r>
              <w:rPr>
                <w:b/>
                <w:i/>
              </w:rPr>
              <w:t>verzoekt de</w:t>
            </w:r>
            <w:r>
              <w:t xml:space="preserve"> andere </w:t>
            </w:r>
            <w:r>
              <w:rPr>
                <w:b/>
                <w:i/>
              </w:rPr>
              <w:t>instellingen in de tussentijd ten minste onderzoek te doen naar mogelijke verdere samenwerking in het kader van het voorgestelde interinstitutionele proefproject inzake de democratie, de rechtsstaat en de grondrechten, dat zou kunnen helpen om op praktische wijze vertrouwen tussen de instellingen op te bouwen, met name door het delen van praktijken met betrekking tot monitoring, dialogen en vergaderingen</w:t>
            </w:r>
            <w:r>
              <w:t xml:space="preserve">; verzoekt de Raad zijn dialoog over de rechtsstaat inclusiever te maken door daarvoor ook andere partijen, zoals de Commissie van Venetië, de commissaris voor mensenrechten </w:t>
            </w:r>
            <w:r>
              <w:rPr>
                <w:b/>
                <w:i/>
              </w:rPr>
              <w:t>van de Raad van Europa</w:t>
            </w:r>
            <w:r>
              <w:t xml:space="preserve">, en vertegenwoordigers van het Parlement, uit te nodigen; </w:t>
            </w:r>
            <w:r>
              <w:rPr>
                <w:b/>
                <w:i/>
              </w:rPr>
              <w:t>is van oordeel dat de dialoog over de rechtsstaat interactiever en inhoudelijker moet worden, en verzoekt de lidstaten derhalve te investeren in het goed voorbereiden van deze dialoog;</w:t>
            </w:r>
            <w:r>
              <w:t xml:space="preserve"> </w:t>
            </w:r>
            <w:r>
              <w:rPr>
                <w:b/>
                <w:i/>
              </w:rPr>
              <w:t>beklemtoont dat meer transparantie de dialoog over de rechtsstaat binnen de Unie zou verbeteren en verzoekt de Raad derhalve om deze landspecifieke besprekingen openbaar te maken, met inbegrip van gedetailleerde openbare conclusies;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is van oordeel dat de interinstitutionele dialoog en de samenwerking met betrekking tot de rechtsstaat op EU-niveau </w:t>
            </w:r>
            <w:r>
              <w:rPr>
                <w:b/>
                <w:i/>
              </w:rPr>
              <w:t>moeten worden versterkt;</w:t>
            </w:r>
            <w:r>
              <w:t xml:space="preserve"> </w:t>
            </w:r>
            <w:r>
              <w:rPr>
                <w:b/>
                <w:i/>
              </w:rPr>
              <w:t>dringt erop aan een permanente interinstitutionele dialoog over de rechtsstaat in het leven te roepen, met deelname van - onder andere - het Parlement, de Raad, en de Commissie;</w:t>
            </w:r>
            <w:r>
              <w:t xml:space="preserve"> </w:t>
            </w:r>
            <w:r>
              <w:rPr>
                <w:b/>
                <w:i/>
              </w:rPr>
              <w:t>verzoekt de Raad zijn dialoog over de rechtsstaat inclusiever te maken door daarvoor ook andere partijen, zoals de Commissie van Venetië, de commissaris voor mensenrechten, en vertegenwoordigers van het Parlement, uit te nodigen</w:t>
            </w:r>
            <w:r>
              <w:t>;</w:t>
            </w:r>
          </w:p>
        </w:tc>
        <w:tc>
          <w:tcPr>
            <w:tcW w:w="4876" w:type="dxa"/>
            <w:tcBorders>
              <w:top w:val="nil"/>
              <w:left w:val="nil"/>
              <w:bottom w:val="nil"/>
              <w:right w:val="nil"/>
            </w:tcBorders>
          </w:tcPr>
          <w:p>
            <w:pPr>
              <w:pStyle w:val="Normal6a"/>
            </w:pPr>
            <w:r>
              <w:t>36.</w:t>
            </w:r>
            <w:r>
              <w:tab/>
            </w:r>
            <w:r>
              <w:t xml:space="preserve">is van oordeel dat de interinstitutionele dialoog en de samenwerking met betrekking tot de rechtsstaat op EU-niveau </w:t>
            </w:r>
            <w:r>
              <w:rPr>
                <w:b/>
                <w:i/>
              </w:rPr>
              <w:t>en de bestrijding van corruptie moeten worden versterkt door de EU-instellingen onder het toezicht te laten vallen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namens de Commissie burgerlijke vrijheden, justitie en binnenlandse zaken</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is van oordeel dat de interinstitutionele dialoog en de samenwerking met betrekking tot de rechtsstaat op EU-niveau moeten worden versterkt; dringt erop aan een permanente interinstitutionele dialoog over de rechtsstaat in het leven te roepen, met deelname van </w:t>
            </w:r>
            <w:r>
              <w:rPr>
                <w:b/>
                <w:i/>
              </w:rPr>
              <w:t>- onder andere -</w:t>
            </w:r>
            <w:r>
              <w:t xml:space="preserve"> het Parlement, de Raad, en de Commissie; verzoekt de Raad zijn dialoog over de rechtsstaat inclusiever te maken door daarvoor ook andere partijen, zoals de Commissie van Venetië, de commissaris voor mensenrechten, en vertegenwoordigers van het Parlement, uit te nodigen;</w:t>
            </w:r>
          </w:p>
        </w:tc>
        <w:tc>
          <w:tcPr>
            <w:tcW w:w="4876" w:type="dxa"/>
            <w:tcBorders>
              <w:top w:val="nil"/>
              <w:left w:val="nil"/>
              <w:bottom w:val="nil"/>
              <w:right w:val="nil"/>
            </w:tcBorders>
          </w:tcPr>
          <w:p>
            <w:pPr>
              <w:pStyle w:val="Normal6a"/>
            </w:pPr>
            <w:r>
              <w:t>36.</w:t>
            </w:r>
            <w:r>
              <w:tab/>
            </w:r>
            <w:r>
              <w:t xml:space="preserve">is van oordeel dat de interinstitutionele dialoog en de samenwerking met betrekking tot de rechtsstaat op EU-niveau moeten worden versterkt; dringt erop aan </w:t>
            </w:r>
            <w:r>
              <w:rPr>
                <w:b/>
                <w:i/>
              </w:rPr>
              <w:t>middels een interinstitutioneel akkoord</w:t>
            </w:r>
            <w:r>
              <w:t xml:space="preserve"> een permanente interinstitutionele dialoog over de rechtsstaat in het leven te roepen, met deelname van het Parlement, de Raad, en de Commissie; verzoekt de Raad zijn dialoog over de rechtsstaat inclusiever te maken door daarvoor ook andere partijen, zoals de Commissie van Venetië, de commissaris voor mensenrechten, en vertegenwoordigers van het Parlement, uit te nodigen</w:t>
            </w:r>
            <w:r>
              <w:rPr>
                <w:b/>
                <w:i/>
              </w:rPr>
              <w:t>, of door, als absoluut minimum, het Europees Parlement stelselmatig feedback te geven over de vergaderingen in het kader van de dialoog over de rechtsstaat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is van oordeel dat de interinstitutionele dialoog en de samenwerking met betrekking tot de rechtsstaat op EU-niveau moeten worden versterkt; dringt erop aan een permanente interinstitutionele dialoog over de rechtsstaat in het leven te roepen, met deelname van - onder andere - het Parlement, de Raad, en de Commissie; verzoekt de Raad zijn dialoog over de rechtsstaat inclusiever te maken door daarvoor ook andere partijen, zoals de Commissie van Venetië, de commissaris voor mensenrechten, en vertegenwoordigers van het Parlement, uit te nodigen;</w:t>
            </w:r>
          </w:p>
        </w:tc>
        <w:tc>
          <w:tcPr>
            <w:tcW w:w="4876" w:type="dxa"/>
            <w:tcBorders>
              <w:top w:val="nil"/>
              <w:left w:val="nil"/>
              <w:bottom w:val="nil"/>
              <w:right w:val="nil"/>
            </w:tcBorders>
          </w:tcPr>
          <w:p>
            <w:pPr>
              <w:pStyle w:val="Normal6a"/>
            </w:pPr>
            <w:r>
              <w:t>36.</w:t>
            </w:r>
            <w:r>
              <w:tab/>
            </w:r>
            <w:r>
              <w:t xml:space="preserve">is van oordeel dat de interinstitutionele dialoog en de samenwerking met betrekking tot de rechtsstaat op EU-niveau moeten worden versterkt; dringt erop aan een permanente interinstitutionele dialoog over de rechtsstaat in het leven te roepen, met deelname van - onder andere - het Parlement, de Raad, en de Commissie; verzoekt de Raad zijn dialoog over de rechtsstaat inclusiever te maken door daarvoor ook andere partijen, zoals de Commissie van Venetië, de commissaris voor mensenrechten, en vertegenwoordigers van het Parlement, uit te nodigen; </w:t>
            </w:r>
            <w:r>
              <w:rPr>
                <w:b/>
                <w:i/>
              </w:rPr>
              <w:t>verzoekt de Raad om samen met de nationale parlementen voor meer democratisch toezicht op de naleving - door de lidstaten - van de rechtsstaatnormen van de EU te zorgen;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is van oordeel dat</w:t>
            </w:r>
            <w:r>
              <w:t xml:space="preserve"> de interinstitutionele dialoog en de samenwerking met betrekking tot de rechtsstaat op EU-niveau </w:t>
            </w:r>
            <w:r>
              <w:rPr>
                <w:b/>
                <w:i/>
              </w:rPr>
              <w:t>moeten worden versterkt;</w:t>
            </w:r>
            <w:r>
              <w:t xml:space="preserve"> </w:t>
            </w:r>
            <w:r>
              <w:rPr>
                <w:b/>
                <w:i/>
              </w:rPr>
              <w:t>dringt erop aan een permanente interinstitutionele dialoog over de rechtsstaat in het leven te roepen, met deelname van - onder andere -</w:t>
            </w:r>
            <w:r>
              <w:t xml:space="preserve"> het Parlement</w:t>
            </w:r>
            <w:r>
              <w:rPr>
                <w:b/>
                <w:i/>
              </w:rPr>
              <w:t>, de Raad, en de Commissie;</w:t>
            </w:r>
            <w:r>
              <w:t xml:space="preserve"> </w:t>
            </w:r>
            <w:r>
              <w:rPr>
                <w:b/>
                <w:i/>
              </w:rPr>
              <w:t>verzoekt de Raad zijn dialoog over de rechtsstaat inclusiever te maken door daarvoor ook andere partijen, zoals de Commissie van Venetië, de commissaris voor mensenrechten, en vertegenwoordigers van het Parlement, uit te nodigen</w:t>
            </w:r>
            <w:r>
              <w:t>;</w:t>
            </w:r>
          </w:p>
        </w:tc>
        <w:tc>
          <w:tcPr>
            <w:tcW w:w="4876" w:type="dxa"/>
            <w:tcBorders>
              <w:top w:val="nil"/>
              <w:left w:val="nil"/>
              <w:bottom w:val="nil"/>
              <w:right w:val="nil"/>
            </w:tcBorders>
          </w:tcPr>
          <w:p>
            <w:pPr>
              <w:pStyle w:val="Normal6a"/>
            </w:pPr>
            <w:r>
              <w:t>36.</w:t>
            </w:r>
            <w:r>
              <w:tab/>
            </w:r>
            <w:r>
              <w:rPr>
                <w:b/>
                <w:i/>
              </w:rPr>
              <w:t>merkt op dat er stemmen opgaan om</w:t>
            </w:r>
            <w:r>
              <w:t xml:space="preserve"> de interinstitutionele dialoog en de samenwerking met betrekking tot de rechtsstaat op EU-niveau </w:t>
            </w:r>
            <w:r>
              <w:rPr>
                <w:b/>
                <w:i/>
              </w:rPr>
              <w:t>te versterken, hetgeen echter niet naar de letter van de Verdragen is;</w:t>
            </w:r>
            <w:r>
              <w:t xml:space="preserve"> </w:t>
            </w:r>
            <w:r>
              <w:rPr>
                <w:b/>
                <w:i/>
              </w:rPr>
              <w:t>merkt tegelijk op dat met name de standpunten van</w:t>
            </w:r>
            <w:r>
              <w:t xml:space="preserve"> het Parlement </w:t>
            </w:r>
            <w:r>
              <w:rPr>
                <w:b/>
                <w:i/>
              </w:rPr>
              <w:t>vaak gekenmerkt zijn door de partijbelangen van afzonderlijke groepen, hetgeen de partijdigheid en de politieke dimensie van de zogenaamde “dialoog” over de rechtsstaat alleen maar versterkt</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is van oordeel dat de interinstitutionele dialoog en de samenwerking met betrekking tot de rechtsstaat op EU-niveau moeten worden versterkt; dringt erop aan een </w:t>
            </w:r>
            <w:r>
              <w:rPr>
                <w:b/>
                <w:i/>
              </w:rPr>
              <w:t>permanente interinstitutionele dialoog over</w:t>
            </w:r>
            <w:r>
              <w:t xml:space="preserve"> de rechtsstaat in het leven te roepen, met </w:t>
            </w:r>
            <w:r>
              <w:rPr>
                <w:b/>
                <w:i/>
              </w:rPr>
              <w:t>deelname van - onder andere - het</w:t>
            </w:r>
            <w:r>
              <w:t xml:space="preserve"> Parlement, </w:t>
            </w:r>
            <w:r>
              <w:rPr>
                <w:b/>
                <w:i/>
              </w:rPr>
              <w:t>de Raad, en de Commissie;</w:t>
            </w:r>
            <w:r>
              <w:t xml:space="preserve"> </w:t>
            </w:r>
            <w:r>
              <w:rPr>
                <w:b/>
                <w:i/>
              </w:rPr>
              <w:t>verzoekt de Raad zijn dialoog over de rechtsstaat inclusiever te maken door daarvoor ook andere partijen, zoals de Commissie van Venetië, de commissaris voor mensenrechten, en vertegenwoordigers van het Parlement, uit te nodigen</w:t>
            </w:r>
            <w:r>
              <w:t>;</w:t>
            </w:r>
          </w:p>
        </w:tc>
        <w:tc>
          <w:tcPr>
            <w:tcW w:w="4876" w:type="dxa"/>
            <w:tcBorders>
              <w:top w:val="nil"/>
              <w:left w:val="nil"/>
              <w:bottom w:val="nil"/>
              <w:right w:val="nil"/>
            </w:tcBorders>
          </w:tcPr>
          <w:p>
            <w:pPr>
              <w:pStyle w:val="Normal6a"/>
            </w:pPr>
            <w:r>
              <w:t>36.</w:t>
            </w:r>
            <w:r>
              <w:tab/>
            </w:r>
            <w:r>
              <w:t xml:space="preserve">is van oordeel dat de interinstitutionele dialoog en de samenwerking met betrekking tot de rechtsstaat op EU-niveau moeten worden versterkt; dringt erop aan een </w:t>
            </w:r>
            <w:r>
              <w:rPr>
                <w:b/>
                <w:i/>
              </w:rPr>
              <w:t>Europees semester voor</w:t>
            </w:r>
            <w:r>
              <w:t xml:space="preserve"> de rechtsstaat in het leven te roepen, met </w:t>
            </w:r>
            <w:r>
              <w:rPr>
                <w:b/>
                <w:i/>
              </w:rPr>
              <w:t>een sleutelrol voor de Raad en het Europees</w:t>
            </w:r>
            <w:r>
              <w:t xml:space="preserve"> Parlement, </w:t>
            </w:r>
            <w:r>
              <w:rPr>
                <w:b/>
                <w:i/>
              </w:rPr>
              <w:t>en geschraagd door de bevoegdheden van de Commissie met betrekking tot het afdwingen van naleving;</w:t>
            </w:r>
            <w:r>
              <w:t xml:space="preserve"> </w:t>
            </w:r>
            <w:r>
              <w:rPr>
                <w:b/>
                <w:i/>
              </w:rPr>
              <w:t>stelt vast dat dit kader het democratisch deficiet zou aanpakken en voor eerbiediging van de rechtsstaat in de lidstaten zou zorgen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betreurt het ten zeerste dat de Raad er niet in slaagt om in het kader van lopende procedures krachtens artikel 7, lid 1, VEU, daadwerkelijk vooruitgang te boeken;</w:t>
            </w:r>
            <w:r>
              <w:t xml:space="preserve"> </w:t>
            </w:r>
            <w:r>
              <w:rPr>
                <w:b/>
                <w:i/>
              </w:rPr>
              <w:t>verzoekt de Raad met klem erop toe te zien dat tijdens lopende procedures op grond van artikel 7 VEU ten minste eenmaal per voorzitterschap hoorzittingen plaatsvinden en dat er ook aandacht wordt besteed aan nieuwe ontwikkelingen die van invloed zijn op de rechtsstaat, de democratie en de grondrechten;</w:t>
            </w:r>
            <w:r>
              <w:t xml:space="preserve"> </w:t>
            </w:r>
            <w:r>
              <w:rPr>
                <w:b/>
                <w:i/>
              </w:rPr>
              <w:t>beklemtoont dat er geen eenparigheid van stemmen nodig is in de Raad om hetzij een duidelijk risico van een ernstige inbreuk op de waarden van de Unie overeenkomstig artikel 7, lid 1, vast te stellen, hetzij concrete aanbevelingen te doen aan de betrokken lidstaten en termijnen vast te stellen voor de uitvoering van die aanbevelingen;</w:t>
            </w:r>
            <w:r>
              <w:t xml:space="preserve"> </w:t>
            </w:r>
            <w:r>
              <w:rPr>
                <w:b/>
                <w:i/>
              </w:rPr>
              <w:t>herhaalt zijn oproep aan de Raad om dat te doen, daarbij benadrukkend dat verder uitstel neerkomt op een schending van de rechtsstatelijke beginselen door de Raad zelf;</w:t>
            </w:r>
            <w:r>
              <w:t xml:space="preserve"> </w:t>
            </w:r>
            <w:r>
              <w:rPr>
                <w:b/>
                <w:i/>
              </w:rPr>
              <w:t>benadrukt dat de rol en de bevoegdheden van het Parlement moeten worden geëerbiedigd;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herhaalt zijn oproep betreffende de oprichting van een EU-mechanisme voor de democratie, de rechtsstaat en de grondrechten (EU-pact DRF) in de vorm van een interinstitutioneel akkoord, en verzoekt de Commissie en de Raad overeenstemming te bereiken over een dergelijk interinstitutioneel akkoord;</w:t>
            </w:r>
            <w:r>
              <w:t xml:space="preserve"> </w:t>
            </w:r>
            <w:r>
              <w:rPr>
                <w:b/>
                <w:i/>
              </w:rPr>
              <w:t>geeft aan dat het nieuwe mechanisme bestaande mechanismen, waaronder het verslag over de rechtsstaat, moet integreren en aanvullen, op bewijzen moet stoelen, objectief moet zijn, betrekking moet hebben op de lidstaten en de EU-instellingen, zowel preventieve als corrigerende maatregelen moet omvatten, en ondersteund moet worden door een panel van onafhankelijke deskundigen;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verzoekt de lidstaten ervoor te zorgen dat alle wetgevingshervormingen die invloed hebben op de scheiding der machten volledig in overeenstemming zijn met de Europese wettelijke beginselen;</w:t>
            </w:r>
            <w:r>
              <w:t xml:space="preserve"> </w:t>
            </w:r>
            <w:r>
              <w:rPr>
                <w:b/>
                <w:i/>
              </w:rPr>
              <w:t>verzoekt de Commissie te beoordelen of wetgevingsmaatregelen met gevolgen voor de rechterlijke macht, wettelijke voordelen, of controle door de uitvoerende macht op gerechtelijke instituties in overeenstemming zijn met artikel 2 VEU en of zij het starten van procedures zoals bedoeld in artikel 7 VEU zouden kunnen rechtvaardigen;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is van oordeel dat de samenwerking tussen de EU en internationale organisaties zoals de Raad van Europa, de OVSE en de Verenigde Naties op het gebied van het bevorderen en verdedigen van de democratie, de rechtsstaat, de fundamentele vrijheden en de mensenrechten, inclusief de rechten van minderheden, moet worden versterkt;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is van mening dat samenwerking tussen de lidstaten van bijzonder belang is voor de bevordering van de democratie, de rechtsstaat en de grondrechten in de EU;</w:t>
            </w:r>
            <w:r>
              <w:t xml:space="preserve"> </w:t>
            </w:r>
            <w:r>
              <w:rPr>
                <w:b/>
                <w:i/>
              </w:rPr>
              <w:t>dringt erop aan dat de Commissie haar eigen regelgeving op het gebied van transparantie, corruptiebestrijding en justitie naleeft;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verzoekt de lidstaten ervoor te zorgen dat noodmaatregelen die in reactie op crisissen (zoals pandemieën en veiligheidsdreigingen) worden genomen, onderworpen zijn aan regulier parlementair toezicht en rechterlijke toetsing, en in tijd beperkt en evenredig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bis.</w:t>
            </w:r>
            <w:r>
              <w:tab/>
            </w:r>
            <w:r>
              <w:rPr>
                <w:b/>
                <w:i/>
              </w:rPr>
              <w:t>betreurt het dat de Commissie geen gehoor heeft gegeven aan een groot aantal van de herhaalde verzoeken van het Parlement in verband met haar verslagen over de rechtsstaat;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ter.</w:t>
            </w:r>
            <w:r>
              <w:tab/>
            </w:r>
            <w:r>
              <w:rPr>
                <w:b/>
                <w:i/>
              </w:rPr>
              <w:t>verzoekt de Commissie uiterlijk 31 december 2025 mee te delen welke verzoeken van het Parlement in verband met haar verslagen over de rechtsstaat sinds 2021 zij zal implementeren en welke niet, met een onderbouwing van elke weigering;</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ter.</w:t>
            </w:r>
            <w:r>
              <w:tab/>
            </w:r>
            <w:r>
              <w:rPr>
                <w:b/>
                <w:i/>
              </w:rPr>
              <w:t>benadrukt dat de lidstaten iets moeten doen aan de genderkloof in het gerechtelijke apparaat en andere belangrijke democratische instellingen;</w:t>
            </w:r>
            <w:r>
              <w:t xml:space="preserve"> </w:t>
            </w:r>
            <w:r>
              <w:rPr>
                <w:b/>
                <w:i/>
              </w:rPr>
              <w:t>beveelt aan gerichte maatregelen te nemen om het percentage vrouwen op hoge posten in het gerechtelijk apparaat en het openbaar bestuur te vergroten;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ter.</w:t>
            </w:r>
            <w:r>
              <w:tab/>
            </w:r>
            <w:r>
              <w:rPr>
                <w:b/>
                <w:i/>
              </w:rPr>
              <w:t>verzoekt de Commissie de bescherming van de rechtsstaat en de grondrechten niet als voorwendsel te gebruiken om politieke druk op bepaalde lidstaten uit te oefenen om beleid dat onder de bevoegdheid van de lidstaten valt, te wijzigen;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36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quater.</w:t>
            </w:r>
            <w:r>
              <w:tab/>
            </w:r>
            <w:r>
              <w:rPr>
                <w:b/>
                <w:i/>
              </w:rPr>
              <w:t>spreekt zijn ernstige bezorgdheid uit over het feit dat maatregelen in het kader van de verordening inzake conditionaliteit met betrekking tot de rechtsstaat zullen worden toegepast, zoals het geval is met de procedures op grond van artikel 7, om politieke idealen te bevorderen en bepaalde lidstaten te delegitimeren;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beveelt de Commissie en de lidstaten aan toezicht uit te oefenen op buitenlandse inmenging, en in het bijzonder op het gebruik van sociale media voor manipulatie en kwaadwillige doeleinden, waaronder op het gebruik daarvan door personen zoals Elon Musk voor het beïnvloeden van de publieke opinie en het verspreiden van desinformatie in Europa;</w:t>
            </w:r>
            <w:r>
              <w:t xml:space="preserve"> </w:t>
            </w:r>
            <w:r>
              <w:rPr>
                <w:b/>
                <w:i/>
              </w:rPr>
              <w:t>onderstreept dat de Commissie erop toe moet zien dat de rechtsstaatbeginselen ook binnen de EU-instellingen naar behoren worden gerespecteerd, en verzoekt haar in haar jaarlijkse verslag over de rechtsstaat ook aan dit aspect aandacht te besteden;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beveelt de Commissie</w:t>
            </w:r>
            <w:r>
              <w:t xml:space="preserve"> en de lidstaten </w:t>
            </w:r>
            <w:r>
              <w:rPr>
                <w:b/>
                <w:i/>
              </w:rPr>
              <w:t>aan toezicht uit te oefenen op buitenlandse inmenging, en in het bijzonder op het gebruik van sociale media voor manipulatie en kwaadwillige doeleinden, waaronder op het gebruik daarvan door personen zoals Elon Musk voor het beïnvloeden van de publieke opinie en het verspreiden van desinformatie in Europa</w:t>
            </w:r>
            <w:r>
              <w:t>; onderstreept dat de Commissie erop toe moet zien dat de rechtsstaatbeginselen ook binnen de EU-instellingen naar behoren worden gerespecteerd, en verzoekt haar in haar jaarlijkse verslag over de rechtsstaat ook aan dit aspect aandacht te besteden;</w:t>
            </w:r>
          </w:p>
        </w:tc>
        <w:tc>
          <w:tcPr>
            <w:tcW w:w="4876" w:type="dxa"/>
            <w:tcBorders>
              <w:top w:val="nil"/>
              <w:left w:val="nil"/>
              <w:bottom w:val="nil"/>
              <w:right w:val="nil"/>
            </w:tcBorders>
          </w:tcPr>
          <w:p>
            <w:pPr>
              <w:pStyle w:val="Normal6a"/>
            </w:pPr>
            <w:r>
              <w:t>37.</w:t>
            </w:r>
            <w:r>
              <w:tab/>
            </w:r>
            <w:r>
              <w:rPr>
                <w:b/>
                <w:i/>
              </w:rPr>
              <w:t>maakt zich zorgen over de inmenging van het Europees Parlement</w:t>
            </w:r>
            <w:r>
              <w:t xml:space="preserve"> en de </w:t>
            </w:r>
            <w:r>
              <w:rPr>
                <w:b/>
                <w:i/>
              </w:rPr>
              <w:t>Europese Commissie in de binnenlandse aangelegenheden van de</w:t>
            </w:r>
            <w:r>
              <w:t xml:space="preserve"> lidstaten</w:t>
            </w:r>
            <w:r>
              <w:rPr>
                <w:b/>
                <w:i/>
              </w:rPr>
              <w:t>;</w:t>
            </w:r>
            <w:r>
              <w:t xml:space="preserve"> </w:t>
            </w:r>
            <w:r>
              <w:rPr>
                <w:b/>
                <w:i/>
              </w:rPr>
              <w:t>herinnert eraan dat Mark Zuckerberg, CEO van Meta, op 7 januari 2025 heeft toegegeven dat Facebook inhoud heeft gecensureerd op politieke basis;</w:t>
            </w:r>
            <w:r>
              <w:t xml:space="preserve"> </w:t>
            </w:r>
            <w:r>
              <w:rPr>
                <w:b/>
                <w:i/>
              </w:rPr>
              <w:t>is ingenomen met de inspanningen van Meta om de vrije meningsuiting op zijn socialemediaplatforms te bevorderen;</w:t>
            </w:r>
            <w:r>
              <w:t xml:space="preserve"> </w:t>
            </w:r>
            <w:r>
              <w:rPr>
                <w:b/>
                <w:i/>
              </w:rPr>
              <w:t>betreurt het feit dat in Europa nog altijd sprake is van politiek vooringenomen factchecking op socialemediaplatforms;</w:t>
            </w:r>
            <w:r>
              <w:t xml:space="preserve"> </w:t>
            </w:r>
            <w:r>
              <w:rPr>
                <w:b/>
                <w:i/>
              </w:rPr>
              <w:t>verzoekt de Commissie te stoppen met het censureren van rechtse, conservatieve geluiden op socialemediaplatforms;</w:t>
            </w:r>
            <w:r>
              <w:t xml:space="preserve"> </w:t>
            </w:r>
            <w:r>
              <w:rPr>
                <w:b/>
                <w:i/>
              </w:rPr>
              <w:t>verzoekt het Europees Parlement een enquêtecommissie inzake censuur bij Facebook in te stellen;</w:t>
            </w:r>
            <w:r>
              <w:t xml:space="preserve"> </w:t>
            </w:r>
            <w:r>
              <w:rPr>
                <w:b/>
                <w:i/>
              </w:rPr>
              <w:t>is ingenomen met de inspanningen van Elon Musk in de strijd voor de vrijheid van meningsuiting</w:t>
            </w:r>
            <w:r>
              <w:t>; onderstreept dat de Commissie erop toe moet zien dat de rechtsstaatbeginselen ook binnen de EU-instellingen naar behoren worden gerespecteerd, en verzoekt haar in haar jaarlijkse verslag over de rechtsstaat ook aan dit aspect aandacht te besteden;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beveelt de Commissie en de lidstaten aan toezicht uit te oefenen op buitenlandse inmenging</w:t>
            </w:r>
            <w:r>
              <w:rPr>
                <w:b/>
                <w:i/>
              </w:rPr>
              <w:t>, en in het bijzonder op het gebruik van sociale media voor manipulatie en kwaadwillige doeleinden, waaronder op het gebruik daarvan door personen zoals Elon Musk voor het beïnvloeden van de publieke opinie en het verspreiden van desinformatie in Europa;</w:t>
            </w:r>
            <w:r>
              <w:t xml:space="preserve"> </w:t>
            </w:r>
            <w:r>
              <w:rPr>
                <w:b/>
                <w:i/>
              </w:rPr>
              <w:t>onderstreept dat de Commissie erop toe moet zien dat de rechtsstaatbeginselen ook binnen de EU-instellingen naar behoren worden gerespecteerd, en verzoekt haar in haar jaarlijkse verslag over de rechtsstaat ook aan dit aspect aandacht te besteden</w:t>
            </w:r>
            <w:r>
              <w:t>;</w:t>
            </w:r>
          </w:p>
        </w:tc>
        <w:tc>
          <w:tcPr>
            <w:tcW w:w="4876" w:type="dxa"/>
            <w:tcBorders>
              <w:top w:val="nil"/>
              <w:left w:val="nil"/>
              <w:bottom w:val="nil"/>
              <w:right w:val="nil"/>
            </w:tcBorders>
          </w:tcPr>
          <w:p>
            <w:pPr>
              <w:pStyle w:val="Normal6a"/>
            </w:pPr>
            <w:r>
              <w:t>37.</w:t>
            </w:r>
            <w:r>
              <w:tab/>
            </w:r>
            <w:r>
              <w:t>beveelt de Commissie en de lidstaten aan toezicht uit te oefenen op buitenlandse inmenging;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beveelt </w:t>
            </w:r>
            <w:r>
              <w:rPr>
                <w:b/>
                <w:i/>
              </w:rPr>
              <w:t>de Commissie en de lidstaten aan toezicht uit te oefenen op buitenlandse inmenging, en in het bijzonder op het gebruik van sociale media voor manipulatie en kwaadwillige doeleinden, waaronder op het gebruik daarvan door personen zoals Elon Musk voor het beïnvloeden van de publieke opinie en het verspreiden van desinformatie in Europa;</w:t>
            </w:r>
            <w:r>
              <w:t xml:space="preserve"> </w:t>
            </w:r>
            <w:r>
              <w:rPr>
                <w:b/>
                <w:i/>
              </w:rPr>
              <w:t>onderstreept</w:t>
            </w:r>
            <w:r>
              <w:t xml:space="preserve"> dat de Commissie erop </w:t>
            </w:r>
            <w:r>
              <w:rPr>
                <w:b/>
                <w:i/>
              </w:rPr>
              <w:t>toe moet zien</w:t>
            </w:r>
            <w:r>
              <w:t xml:space="preserve"> dat de rechtsstaatbeginselen ook binnen de EU-instellingen naar behoren worden gerespecteerd, en verzoekt haar in haar jaarlijkse verslag over de rechtsstaat ook aan dit aspect aandacht te besteden;</w:t>
            </w:r>
          </w:p>
        </w:tc>
        <w:tc>
          <w:tcPr>
            <w:tcW w:w="4876" w:type="dxa"/>
            <w:tcBorders>
              <w:top w:val="nil"/>
              <w:left w:val="nil"/>
              <w:bottom w:val="nil"/>
              <w:right w:val="nil"/>
            </w:tcBorders>
          </w:tcPr>
          <w:p>
            <w:pPr>
              <w:pStyle w:val="Normal6a"/>
            </w:pPr>
            <w:r>
              <w:t>37.</w:t>
            </w:r>
            <w:r>
              <w:tab/>
            </w:r>
            <w:r>
              <w:t xml:space="preserve">beveelt </w:t>
            </w:r>
            <w:r>
              <w:rPr>
                <w:b/>
                <w:i/>
              </w:rPr>
              <w:t>aan</w:t>
            </w:r>
            <w:r>
              <w:t xml:space="preserve"> dat de Commissie erop </w:t>
            </w:r>
            <w:r>
              <w:rPr>
                <w:b/>
                <w:i/>
              </w:rPr>
              <w:t>toeziet</w:t>
            </w:r>
            <w:r>
              <w:t xml:space="preserve"> dat de rechtsstaatbeginselen ook binnen de EU-instellingen naar behoren worden gerespecteerd, en verzoekt haar in haar jaarlijkse verslag over de rechtsstaat ook aan dit aspect aandacht te besteden;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beveelt de Commissie en de lidstaten aan toezicht uit te oefenen op buitenlandse inmenging, en in het bijzonder op het gebruik van sociale media voor manipulatie en kwaadwillige doeleinden, </w:t>
            </w:r>
            <w:r>
              <w:rPr>
                <w:b/>
                <w:i/>
              </w:rPr>
              <w:t>waaronder</w:t>
            </w:r>
            <w:r>
              <w:t xml:space="preserve"> op het </w:t>
            </w:r>
            <w:r>
              <w:rPr>
                <w:b/>
                <w:i/>
              </w:rPr>
              <w:t>gebruik daarvan door personen zoals Elon Musk voor het beïnvloeden van de publieke opinie en het verspreiden van desinformatie in Europa</w:t>
            </w:r>
            <w:r>
              <w:t>; onderstreept dat de Commissie erop toe moet zien dat de rechtsstaatbeginselen ook binnen de EU-instellingen naar behoren worden gerespecteerd, en verzoekt haar in haar jaarlijkse verslag over de rechtsstaat ook aan dit aspect aandacht te besteden;</w:t>
            </w:r>
          </w:p>
        </w:tc>
        <w:tc>
          <w:tcPr>
            <w:tcW w:w="4876" w:type="dxa"/>
            <w:tcBorders>
              <w:top w:val="nil"/>
              <w:left w:val="nil"/>
              <w:bottom w:val="nil"/>
              <w:right w:val="nil"/>
            </w:tcBorders>
          </w:tcPr>
          <w:p>
            <w:pPr>
              <w:pStyle w:val="Normal6a"/>
            </w:pPr>
            <w:r>
              <w:t>37.</w:t>
            </w:r>
            <w:r>
              <w:tab/>
            </w:r>
            <w:r>
              <w:t xml:space="preserve">beveelt de Commissie en de lidstaten aan toezicht uit te oefenen op buitenlandse inmenging, en in het bijzonder op het gebruik van sociale media voor manipulatie en kwaadwillige doeleinden, </w:t>
            </w:r>
            <w:r>
              <w:rPr>
                <w:b/>
                <w:i/>
              </w:rPr>
              <w:t>gericht</w:t>
            </w:r>
            <w:r>
              <w:t xml:space="preserve"> op het </w:t>
            </w:r>
            <w:r>
              <w:rPr>
                <w:b/>
                <w:i/>
              </w:rPr>
              <w:t>beïnvloeden van de publieke opinie en het verspreiden van desinformatie in Europa;</w:t>
            </w:r>
            <w:r>
              <w:t xml:space="preserve"> </w:t>
            </w:r>
            <w:r>
              <w:rPr>
                <w:b/>
                <w:i/>
              </w:rPr>
              <w:t>wijst erop dat de Commissie jarenlang geen oog heeft gehad voor de linksliberale dominantie op sociale media, inclusief het opleggen van die agenda door bepaalde hoofdsteden, internationale stichtingen en instellingen van de Unie</w:t>
            </w:r>
            <w:r>
              <w:t>; onderstreept dat de Commissie erop toe moet zien dat de rechtsstaatbeginselen ook binnen de EU-instellingen naar behoren worden gerespecteerd, en verzoekt haar in haar jaarlijkse verslag over de rechtsstaat ook aan dit aspect aandacht te besteden;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namens de Commissie burgerlijke vrijheden, justitie en binnenlandse zaken</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beveelt de Commissie en de lidstaten aan toezicht uit te oefenen op buitenlandse inmenging, en in het bijzonder op het gebruik van sociale media voor manipulatie en kwaadwillige doeleinden, waaronder op het gebruik daarvan door personen zoals Elon Musk voor het beïnvloeden van de publieke opinie en het verspreiden van desinformatie in Europa; </w:t>
            </w:r>
            <w:r>
              <w:rPr>
                <w:b/>
                <w:i/>
              </w:rPr>
              <w:t>onderstreept dat de Commissie erop toe moet zien dat de rechtsstaatbeginselen ook binnen de EU-instellingen naar behoren worden gerespecteerd, en verzoekt haar in haar jaarlijkse verslag over de rechtsstaat ook aan dit aspect aandacht te besteden;</w:t>
            </w:r>
          </w:p>
        </w:tc>
        <w:tc>
          <w:tcPr>
            <w:tcW w:w="4876" w:type="dxa"/>
            <w:tcBorders>
              <w:top w:val="nil"/>
              <w:left w:val="nil"/>
              <w:bottom w:val="nil"/>
              <w:right w:val="nil"/>
            </w:tcBorders>
          </w:tcPr>
          <w:p>
            <w:pPr>
              <w:pStyle w:val="Normal6a"/>
            </w:pPr>
            <w:r>
              <w:t>37.</w:t>
            </w:r>
            <w:r>
              <w:tab/>
            </w:r>
            <w:r>
              <w:t>beveelt de Commissie en de lidstaten aan toezicht uit te oefenen op buitenlandse inmenging, en in het bijzonder op het gebruik van sociale media voor manipulatie en kwaadwillige doeleinden, waaronder op het gebruik daarvan door personen zoals Elon Musk voor het beïnvloeden van de publieke opinie en het verspreiden van desinformatie in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beveelt de Commissie en de lidstaten aan toezicht uit te oefenen op buitenlandse inmenging</w:t>
            </w:r>
            <w:r>
              <w:rPr>
                <w:b/>
                <w:i/>
              </w:rPr>
              <w:t>, en in het bijzonder op het gebruik van sociale media voor manipulatie en kwaadwillige doeleinden, waaronder op het gebruik daarvan door personen zoals Elon Musk voor het beïnvloeden van de publieke opinie en het verspreiden van desinformatie in Europa</w:t>
            </w:r>
            <w:r>
              <w:t>; onderstreept dat de Commissie erop toe moet zien dat de rechtsstaatbeginselen ook binnen de EU-instellingen naar behoren worden gerespecteerd, en verzoekt haar in haar jaarlijkse verslag over de rechtsstaat ook aan dit aspect aandacht te besteden;</w:t>
            </w:r>
          </w:p>
        </w:tc>
        <w:tc>
          <w:tcPr>
            <w:tcW w:w="4876" w:type="dxa"/>
            <w:tcBorders>
              <w:top w:val="nil"/>
              <w:left w:val="nil"/>
              <w:bottom w:val="nil"/>
              <w:right w:val="nil"/>
            </w:tcBorders>
          </w:tcPr>
          <w:p>
            <w:pPr>
              <w:pStyle w:val="Normal6a"/>
            </w:pPr>
            <w:r>
              <w:t>37.</w:t>
            </w:r>
            <w:r>
              <w:tab/>
            </w:r>
            <w:r>
              <w:t>beveelt de Commissie en de lidstaten aan toezicht uit te oefenen op buitenlandse inmenging; onderstreept dat de Commissie erop toe moet zien dat de rechtsstaatbeginselen ook binnen de EU-instellingen naar behoren worden gerespecteerd, en verzoekt haar in haar jaarlijkse verslag over de rechtsstaat ook aan dit aspect aandacht te besteden;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beveelt de Commissie en de lidstaten aan toezicht uit te oefenen op buitenlandse inmenging, </w:t>
            </w:r>
            <w:r>
              <w:rPr>
                <w:b/>
                <w:i/>
              </w:rPr>
              <w:t>en in het bijzonder</w:t>
            </w:r>
            <w:r>
              <w:t xml:space="preserve"> op het gebruik van sociale media voor manipulatie en kwaadwillige doeleinden</w:t>
            </w:r>
            <w:r>
              <w:rPr>
                <w:b/>
                <w:i/>
              </w:rPr>
              <w:t>, waaronder op het gebruik daarvan door personen zoals Elon Musk voor het beïnvloeden van de publieke opinie en het verspreiden van desinformatie in Europa</w:t>
            </w:r>
            <w:r>
              <w:t>; onderstreept dat de Commissie erop toe moet zien dat de rechtsstaatbeginselen ook binnen de EU-instellingen naar behoren worden gerespecteerd, en verzoekt haar in haar jaarlijkse verslag over de rechtsstaat ook aan dit aspect aandacht te besteden;</w:t>
            </w:r>
          </w:p>
        </w:tc>
        <w:tc>
          <w:tcPr>
            <w:tcW w:w="4876" w:type="dxa"/>
            <w:tcBorders>
              <w:top w:val="nil"/>
              <w:left w:val="nil"/>
              <w:bottom w:val="nil"/>
              <w:right w:val="nil"/>
            </w:tcBorders>
          </w:tcPr>
          <w:p>
            <w:pPr>
              <w:pStyle w:val="Normal6a"/>
            </w:pPr>
            <w:r>
              <w:t>37.</w:t>
            </w:r>
            <w:r>
              <w:tab/>
            </w:r>
            <w:r>
              <w:t xml:space="preserve">beveelt de Commissie en de lidstaten aan toezicht uit te oefenen op buitenlandse inmenging, </w:t>
            </w:r>
            <w:r>
              <w:rPr>
                <w:b/>
                <w:i/>
              </w:rPr>
              <w:t>onder meer</w:t>
            </w:r>
            <w:r>
              <w:t xml:space="preserve"> op het gebruik van sociale media voor manipulatie en kwaadwillige doeleinden; onderstreept dat de Commissie erop toe moet zien dat de rechtsstaatbeginselen ook binnen de EU-instellingen naar behoren worden gerespecteerd, en verzoekt haar in haar jaarlijkse verslag over de rechtsstaat ook aan dit aspect aandacht te besteden;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beveelt de Commissie en de lidstaten aan toezicht uit te oefenen op buitenlandse inmenging, en </w:t>
            </w:r>
            <w:r>
              <w:rPr>
                <w:b/>
                <w:i/>
              </w:rPr>
              <w:t>in het bijzonder op het gebruik van sociale media voor manipulatie en kwaadwillige doeleinden, waaronder op het gebruik daarvan door personen zoals Elon Musk voor het beïnvloeden van de publieke opinie en het verspreiden van desinformatie in Europa</w:t>
            </w:r>
            <w:r>
              <w:t>; onderstreept dat de Commissie erop toe moet zien dat de rechtsstaatbeginselen ook binnen de EU-instellingen naar behoren worden gerespecteerd, en verzoekt haar in haar jaarlijkse verslag over de rechtsstaat ook aan dit aspect aandacht te besteden;</w:t>
            </w:r>
          </w:p>
        </w:tc>
        <w:tc>
          <w:tcPr>
            <w:tcW w:w="4876" w:type="dxa"/>
            <w:tcBorders>
              <w:top w:val="nil"/>
              <w:left w:val="nil"/>
              <w:bottom w:val="nil"/>
              <w:right w:val="nil"/>
            </w:tcBorders>
          </w:tcPr>
          <w:p>
            <w:pPr>
              <w:pStyle w:val="Normal6a"/>
            </w:pPr>
            <w:r>
              <w:t>37.</w:t>
            </w:r>
            <w:r>
              <w:tab/>
            </w:r>
            <w:r>
              <w:t xml:space="preserve">beveelt de Commissie en de lidstaten aan toezicht uit te oefenen op buitenlandse inmenging, en </w:t>
            </w:r>
            <w:r>
              <w:rPr>
                <w:b/>
                <w:i/>
              </w:rPr>
              <w:t>doeltreffende maatregelen te treffen om onze gemeenschappelijke belangen te beschermen;</w:t>
            </w:r>
            <w:r>
              <w:t xml:space="preserve"> </w:t>
            </w:r>
            <w:r>
              <w:rPr>
                <w:b/>
                <w:i/>
              </w:rPr>
              <w:t>benadrukt dat buitenlandse propaganda-acties kunnen worden bestreden zonder de vrijheid van meningsuiting in te perken, bijvoorbeeld door breed kenbaar te maken welke organisaties vanuit het buitenland worden gefinancierd of middels neutrale initiatieven zoals gemeenschapsmededelingen</w:t>
            </w:r>
            <w:r>
              <w:t>; onderstreept dat de Commissie erop toe moet zien dat de rechtsstaatbeginselen ook binnen de EU-instellingen naar behoren worden gerespecteerd, en verzoekt haar in haar jaarlijkse verslag over de rechtsstaat ook aan dit aspect aandacht te besteden;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beveelt de Commissie en de lidstaten aan toezicht uit te oefenen op buitenlandse inmenging, en </w:t>
            </w:r>
            <w:r>
              <w:rPr>
                <w:b/>
                <w:i/>
              </w:rPr>
              <w:t>in het bijzonder</w:t>
            </w:r>
            <w:r>
              <w:t xml:space="preserve"> op het gebruik van sociale media voor manipulatie en </w:t>
            </w:r>
            <w:r>
              <w:rPr>
                <w:b/>
                <w:i/>
              </w:rPr>
              <w:t>kwaadwillige</w:t>
            </w:r>
            <w:r>
              <w:t xml:space="preserve"> doeleinden</w:t>
            </w:r>
            <w:r>
              <w:rPr>
                <w:b/>
                <w:i/>
              </w:rPr>
              <w:t>, waaronder op het gebruik daarvan door personen zoals Elon Musk voor het beïnvloeden van de publieke opinie en het verspreiden van desinformatie in Europa</w:t>
            </w:r>
            <w:r>
              <w:t>; onderstreept dat de Commissie erop toe moet zien dat de rechtsstaatbeginselen ook binnen de EU-instellingen naar behoren worden gerespecteerd, en verzoekt haar in haar jaarlijkse verslag over de rechtsstaat ook aan dit aspect aandacht te besteden;</w:t>
            </w:r>
          </w:p>
        </w:tc>
        <w:tc>
          <w:tcPr>
            <w:tcW w:w="4876" w:type="dxa"/>
            <w:tcBorders>
              <w:top w:val="nil"/>
              <w:left w:val="nil"/>
              <w:bottom w:val="nil"/>
              <w:right w:val="nil"/>
            </w:tcBorders>
          </w:tcPr>
          <w:p>
            <w:pPr>
              <w:pStyle w:val="Normal6a"/>
            </w:pPr>
            <w:r>
              <w:t>37.</w:t>
            </w:r>
            <w:r>
              <w:tab/>
            </w:r>
            <w:r>
              <w:t xml:space="preserve">beveelt de Commissie en de lidstaten aan toezicht uit te oefenen op buitenlandse inmenging, en </w:t>
            </w:r>
            <w:r>
              <w:rPr>
                <w:b/>
                <w:i/>
              </w:rPr>
              <w:t>met name</w:t>
            </w:r>
            <w:r>
              <w:t xml:space="preserve"> op het gebruik van sociale media voor manipulatie en </w:t>
            </w:r>
            <w:r>
              <w:rPr>
                <w:b/>
                <w:i/>
              </w:rPr>
              <w:t>kwaadwillende</w:t>
            </w:r>
            <w:r>
              <w:t xml:space="preserve"> doeleinden; onderstreept dat de Commissie erop toe moet zien dat de rechtsstaatbeginselen ook binnen de EU-instellingen naar behoren worden gerespecteerd, en verzoekt haar in haar jaarlijkse verslag over de rechtsstaat ook aan dit aspect aandacht te besteden;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beveelt de Commissie en de lidstaten aan toezicht uit te oefenen op buitenlandse inmenging, en </w:t>
            </w:r>
            <w:r>
              <w:rPr>
                <w:b/>
                <w:i/>
              </w:rPr>
              <w:t>in het bijzonder</w:t>
            </w:r>
            <w:r>
              <w:t xml:space="preserve"> op het gebruik van sociale media voor manipulatie en </w:t>
            </w:r>
            <w:r>
              <w:rPr>
                <w:b/>
                <w:i/>
              </w:rPr>
              <w:t>kwaadwillige</w:t>
            </w:r>
            <w:r>
              <w:t xml:space="preserve"> doeleinden</w:t>
            </w:r>
            <w:r>
              <w:rPr>
                <w:b/>
                <w:i/>
              </w:rPr>
              <w:t>, waaronder op het gebruik daarvan door personen zoals Elon Musk voor het beïnvloeden van de publieke opinie en het verspreiden van desinformatie in Europa</w:t>
            </w:r>
            <w:r>
              <w:t>; onderstreept dat de Commissie erop toe moet zien dat de rechtsstaatbeginselen ook binnen de EU-instellingen naar behoren worden gerespecteerd, en verzoekt haar in haar jaarlijkse verslag over de rechtsstaat ook aan dit aspect aandacht te besteden;</w:t>
            </w:r>
          </w:p>
        </w:tc>
        <w:tc>
          <w:tcPr>
            <w:tcW w:w="4876" w:type="dxa"/>
            <w:tcBorders>
              <w:top w:val="nil"/>
              <w:left w:val="nil"/>
              <w:bottom w:val="nil"/>
              <w:right w:val="nil"/>
            </w:tcBorders>
          </w:tcPr>
          <w:p>
            <w:pPr>
              <w:pStyle w:val="Normal6a"/>
            </w:pPr>
            <w:r>
              <w:t>37.</w:t>
            </w:r>
            <w:r>
              <w:tab/>
            </w:r>
            <w:r>
              <w:t xml:space="preserve">beveelt de Commissie en de lidstaten aan toezicht uit te oefenen op buitenlandse inmenging, en </w:t>
            </w:r>
            <w:r>
              <w:rPr>
                <w:b/>
                <w:i/>
              </w:rPr>
              <w:t>met name</w:t>
            </w:r>
            <w:r>
              <w:t xml:space="preserve"> op het gebruik van sociale media voor manipulatie en </w:t>
            </w:r>
            <w:r>
              <w:rPr>
                <w:b/>
                <w:i/>
              </w:rPr>
              <w:t>kwaadwillende</w:t>
            </w:r>
            <w:r>
              <w:t xml:space="preserve"> doeleinden; onderstreept dat de Commissie erop toe moet zien dat de rechtsstaatbeginselen ook binnen de EU-instellingen naar behoren worden gerespecteerd, en verzoekt haar in haar jaarlijkse verslag over de rechtsstaat ook aan dit aspect aandacht te besteden;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beveelt de Commissie en de lidstaten aan toezicht uit te oefenen op </w:t>
            </w:r>
            <w:r>
              <w:rPr>
                <w:b/>
                <w:i/>
              </w:rPr>
              <w:t>buitenlandse inmenging, en in het bijzonder op</w:t>
            </w:r>
            <w:r>
              <w:t xml:space="preserve"> het gebruik van sociale media voor manipulatie </w:t>
            </w:r>
            <w:r>
              <w:rPr>
                <w:b/>
                <w:i/>
              </w:rPr>
              <w:t>en</w:t>
            </w:r>
            <w:r>
              <w:t xml:space="preserve"> kwaadwillige doeleinden, </w:t>
            </w:r>
            <w:r>
              <w:rPr>
                <w:b/>
                <w:i/>
              </w:rPr>
              <w:t>waaronder op het gebruik daarvan door personen zoals Elon Musk voor het beïnvloeden van de publieke opinie en het verspreiden</w:t>
            </w:r>
            <w:r>
              <w:t xml:space="preserve"> van desinformatie in Europa; onderstreept dat de Commissie erop toe moet zien dat de rechtsstaatbeginselen ook binnen de EU-instellingen naar behoren worden gerespecteerd, en verzoekt haar in haar jaarlijkse verslag over de rechtsstaat ook aan dit aspect aandacht te besteden;</w:t>
            </w:r>
          </w:p>
        </w:tc>
        <w:tc>
          <w:tcPr>
            <w:tcW w:w="4876" w:type="dxa"/>
            <w:tcBorders>
              <w:top w:val="nil"/>
              <w:left w:val="nil"/>
              <w:bottom w:val="nil"/>
              <w:right w:val="nil"/>
            </w:tcBorders>
          </w:tcPr>
          <w:p>
            <w:pPr>
              <w:pStyle w:val="Normal6a"/>
            </w:pPr>
            <w:r>
              <w:t>37.</w:t>
            </w:r>
            <w:r>
              <w:tab/>
            </w:r>
            <w:r>
              <w:t xml:space="preserve">beveelt de Commissie en de lidstaten aan toezicht uit te oefenen op </w:t>
            </w:r>
            <w:r>
              <w:rPr>
                <w:b/>
                <w:i/>
              </w:rPr>
              <w:t>en snel iets te doen aan buitenlandse inmenging, waaronder</w:t>
            </w:r>
            <w:r>
              <w:t xml:space="preserve"> het gebruik van sociale media voor manipulatie</w:t>
            </w:r>
            <w:r>
              <w:rPr>
                <w:b/>
                <w:i/>
              </w:rPr>
              <w:t>,</w:t>
            </w:r>
            <w:r>
              <w:t xml:space="preserve"> kwaadwillige doeleinden, </w:t>
            </w:r>
            <w:r>
              <w:rPr>
                <w:b/>
                <w:i/>
              </w:rPr>
              <w:t>en de verspreiding</w:t>
            </w:r>
            <w:r>
              <w:t xml:space="preserve"> van desinformatie in Europa; onderstreept dat de Commissie erop toe moet zien dat de rechtsstaatbeginselen ook binnen de EU-instellingen naar behoren worden gerespecteerd, en verzoekt haar in haar jaarlijkse verslag over de rechtsstaat ook aan dit aspect aandacht te besteden;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beveelt de Commissie en de lidstaten aan toezicht uit te oefenen op buitenlandse inmenging, en in het bijzonder op het gebruik van sociale media voor manipulatie en kwaadwillige doeleinden, waaronder op het gebruik daarvan door personen zoals Elon Musk voor het beïnvloeden van de publieke opinie en het verspreiden van desinformatie in Europa; onderstreept dat de Commissie erop toe moet zien dat de rechtsstaatbeginselen ook binnen de EU-instellingen naar behoren worden gerespecteerd, en verzoekt haar in haar jaarlijkse verslag over de rechtsstaat ook aan dit aspect aandacht te besteden;</w:t>
            </w:r>
          </w:p>
        </w:tc>
        <w:tc>
          <w:tcPr>
            <w:tcW w:w="4876" w:type="dxa"/>
            <w:tcBorders>
              <w:top w:val="nil"/>
              <w:left w:val="nil"/>
              <w:bottom w:val="nil"/>
              <w:right w:val="nil"/>
            </w:tcBorders>
          </w:tcPr>
          <w:p>
            <w:pPr>
              <w:pStyle w:val="Normal6a"/>
            </w:pPr>
            <w:r>
              <w:t>37.</w:t>
            </w:r>
            <w:r>
              <w:tab/>
            </w:r>
            <w:r>
              <w:t xml:space="preserve">beveelt de Commissie en de lidstaten aan toezicht uit te oefenen op buitenlandse inmenging, en in het bijzonder op het gebruik van sociale media voor manipulatie en kwaadwillige doeleinden, waaronder op het gebruik daarvan door personen zoals Elon Musk </w:t>
            </w:r>
            <w:r>
              <w:rPr>
                <w:b/>
                <w:i/>
              </w:rPr>
              <w:t>en Meta</w:t>
            </w:r>
            <w:r>
              <w:t xml:space="preserve"> voor het beïnvloeden van de publieke opinie en het verspreiden van desinformatie in Europa; onderstreept dat de Commissie erop toe moet zien dat de rechtsstaatbeginselen ook binnen de EU-instellingen naar behoren worden gerespecteerd, en verzoekt haar in haar jaarlijkse verslag over de rechtsstaat ook aan dit aspect aandacht te besteden;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beveelt de Commissie en de lidstaten aan toezicht uit te oefenen op buitenlandse inmenging, </w:t>
            </w:r>
            <w:r>
              <w:rPr>
                <w:b/>
                <w:i/>
              </w:rPr>
              <w:t>en</w:t>
            </w:r>
            <w:r>
              <w:t xml:space="preserve"> in het bijzonder </w:t>
            </w:r>
            <w:r>
              <w:rPr>
                <w:b/>
                <w:i/>
              </w:rPr>
              <w:t>op het gebruik van sociale media voor manipulatie</w:t>
            </w:r>
            <w:r>
              <w:t xml:space="preserve"> en kwaadwillige doeleinden</w:t>
            </w:r>
            <w:r>
              <w:rPr>
                <w:b/>
                <w:i/>
              </w:rPr>
              <w:t>, waaronder op het gebruik daarvan door personen zoals Elon Musk</w:t>
            </w:r>
            <w:r>
              <w:t xml:space="preserve"> voor het beïnvloeden van de publieke opinie en het verspreiden van desinformatie in Europa; onderstreept dat de Commissie erop toe moet zien dat de rechtsstaatbeginselen ook binnen de EU-instellingen naar behoren worden gerespecteerd, en verzoekt haar in haar jaarlijkse verslag over de rechtsstaat ook aan dit aspect aandacht te besteden;</w:t>
            </w:r>
          </w:p>
        </w:tc>
        <w:tc>
          <w:tcPr>
            <w:tcW w:w="4876" w:type="dxa"/>
            <w:tcBorders>
              <w:top w:val="nil"/>
              <w:left w:val="nil"/>
              <w:bottom w:val="nil"/>
              <w:right w:val="nil"/>
            </w:tcBorders>
          </w:tcPr>
          <w:p>
            <w:pPr>
              <w:pStyle w:val="Normal6a"/>
            </w:pPr>
            <w:r>
              <w:t>37.</w:t>
            </w:r>
            <w:r>
              <w:tab/>
            </w:r>
            <w:r>
              <w:t xml:space="preserve">beveelt de Commissie en de lidstaten aan toezicht uit te oefenen op buitenlandse inmenging, in het bijzonder </w:t>
            </w:r>
            <w:r>
              <w:rPr>
                <w:b/>
                <w:i/>
              </w:rPr>
              <w:t>door niet-gouvernementele organisaties, met als doel te manipuleren</w:t>
            </w:r>
            <w:r>
              <w:t xml:space="preserve"> en kwaadwillige doeleinden </w:t>
            </w:r>
            <w:r>
              <w:rPr>
                <w:b/>
                <w:i/>
              </w:rPr>
              <w:t>te realiseren, onder andere in situaties waar niet-gouvernementele organisaties worden gebruikt</w:t>
            </w:r>
            <w:r>
              <w:t xml:space="preserve"> voor het beïnvloeden van de publieke opinie en het verspreiden van desinformatie in Europa; onderstreept dat de Commissie erop toe moet zien dat de rechtsstaatbeginselen ook binnen de EU-instellingen naar behoren worden gerespecteerd, en verzoekt haar in haar jaarlijkse verslag over de rechtsstaat ook aan dit aspect aandacht te besteden;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verzoekt de Commissie met klem ervoor te zorgen dat de lijsten van veilige landen van herkomst die door de bevoegde nationale autoriteiten worden opgesteld, altijd in overeenstemming zijn met de democratische beginselen, de rechtsstaatregels, de criteria zoals bedoeld in de EU-wetgeving, de arresten van het HvJ-EU, en het internationaal recht;</w:t>
            </w:r>
            <w:r>
              <w:t xml:space="preserve"> </w:t>
            </w:r>
            <w:r>
              <w:rPr>
                <w:b/>
                <w:i/>
              </w:rPr>
              <w:t>benadrukt de verplichting uit hoofde van het EU- en het internationaal recht om internationale bescherming te bieden aan personen die worden vervolgd en/of het risico lopen van discriminatie op grond van ras en etnische oorsprong, godsdienst of geloofsovertuiging, nationaliteit, politieke opinie, taal, handicap, leeftijd, gender, waaronder genderidentiteit en genderexpressie, en seksuele geaardheid;</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benadrukt het feit dat het belangrijk is het grondrecht op vrije meningsuiting, een pijler van onze democratische samenlevingen, te beschermen;</w:t>
            </w:r>
            <w:r>
              <w:t xml:space="preserve"> </w:t>
            </w:r>
            <w:r>
              <w:rPr>
                <w:b/>
                <w:i/>
              </w:rPr>
              <w:t>is van mening dat de Commissie er ter bescherming van dit recht voor moet zorgen dat op socialemediaplatforms op correcte wijze het regelgevingskader van de Europese Unie wordt toegepast, in plaats van politieke druk uit te oefenen die een open en eerlijk debat kan beperken;</w:t>
            </w:r>
            <w:r>
              <w:t xml:space="preserve"> </w:t>
            </w:r>
            <w:r>
              <w:rPr>
                <w:b/>
                <w:i/>
              </w:rPr>
              <w:t>is van mening dat socialemediaplatforms weliswaar verantwoordelijk moeten handelen, met inachtneming van de bestaande regelgeving, maar dat het van cruciaal belang is dat inhoudsmoderatiepraktijken geen instrument worden voor controle, censuur of politieke manipulatie;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verzoekt de lidstaten de transparantie en verantwoordingsplicht van lobbyingactiviteiten te vergroten, waaronder middels de invoering of verbetering van een verplicht lobbyingregister en mechanismen voor een "wetgevingsvoetafdruk" voor het traceren van invloed op wetgevingsprocessen;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namens de Commissie burgerlijke vrijheden, justitie en binnenlandse zaken</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onderstreept dat de Commissie erop toe moet zien dat de rechtsstaatbeginselen ook binnen de EU-instellingen naar behoren worden gerespecteerd, en verzoekt haar in haar jaarlijkse verslag over de rechtsstaat ook aan dit aspect aandacht te besteden;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bis.</w:t>
            </w:r>
            <w:r>
              <w:tab/>
            </w:r>
            <w:r>
              <w:rPr>
                <w:b/>
                <w:i/>
              </w:rPr>
              <w:t>verzoekt de Raad een besluit vast te stellen om haatzaaiende uitlatingen en haatmisdrijven als strafbaar feit op te nemen in de lijst van artikel 83, lid 1, VWEU;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ter.</w:t>
            </w:r>
            <w:r>
              <w:tab/>
            </w:r>
            <w:r>
              <w:rPr>
                <w:b/>
                <w:i/>
              </w:rPr>
              <w:t>spreekt zijn bezorgdheid uit over de toenemende trend om regelgeving, zoals de wet inzake digitale diensten (DSA), te gebruiken om politieke standpunten en visies te bevorderen die de vrijheid van meningsuiting dreigen te ondermijnen;</w:t>
            </w:r>
            <w:r>
              <w:t xml:space="preserve"> </w:t>
            </w:r>
            <w:r>
              <w:rPr>
                <w:b/>
                <w:i/>
              </w:rPr>
              <w:t>is van mening dat socialemediaplatforms ruimten moeten blijven waar ideeën vrij kunnen worden uitgewisseld, zonder angst voor politiek gemotiveerde censuur;</w:t>
            </w:r>
            <w:r>
              <w:t xml:space="preserve"> </w:t>
            </w:r>
            <w:r>
              <w:rPr>
                <w:b/>
                <w:i/>
              </w:rPr>
              <w:t>dringt erop aan dat de EU waakzaam blijft en zich verzet tegen elke poging om inhoudsmoderatie te instrumentaliseren voor politieke doeleinden, om bescherming van de vrijheid van meningsuiting te waarborgen;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quater.</w:t>
            </w:r>
            <w:r>
              <w:tab/>
            </w:r>
            <w:r>
              <w:rPr>
                <w:b/>
                <w:i/>
              </w:rPr>
              <w:t>verzoekt de Commissie een geactualiseerde strategie voor gelijkheid van de lhbtiqa+-gemeenschap voor de periode na 2025 te presenteren, waarin aandacht wordt besteed aan alle uitdagingen waar Europa op dit moment wordt geconfronteerd en lhbtiqa+-rechten als horizontale prioriteit op alle beleidsterreinen wordt aangemerkt;</w:t>
            </w:r>
            <w:r>
              <w:t xml:space="preserve"> </w:t>
            </w:r>
            <w:r>
              <w:rPr>
                <w:b/>
                <w:i/>
              </w:rPr>
              <w:t>benadrukt het belang van zelfbeschikking van lhbtiqa+-personen en van de erkenning van hun identiteiten en rechten, ongeacht leeftijd;</w:t>
            </w:r>
            <w:r>
              <w:t xml:space="preserve"> </w:t>
            </w:r>
            <w:r>
              <w:rPr>
                <w:b/>
                <w:i/>
              </w:rPr>
              <w:t>dringt erop aan de lichamelijke en geestelijke gezondheid van lhbtiqa+-personen te beschermen en te bevorderen;</w:t>
            </w:r>
            <w:r>
              <w:t xml:space="preserve"> </w:t>
            </w:r>
            <w:r>
              <w:rPr>
                <w:b/>
                <w:i/>
              </w:rPr>
              <w:t>verzoekt de Commissie met klem wetgevingsvoorstellen te presenteren voor het bestrijden van haatmisdrijven en haatzaaiende uitlatingen op grond van genderidentiteit en seksuele geaardheid, en voor gelijke rechten te zorgen voor stellen van hetzelfde geslacht;</w:t>
            </w:r>
            <w:r>
              <w:t xml:space="preserve"> </w:t>
            </w:r>
            <w:r>
              <w:rPr>
                <w:b/>
                <w:i/>
              </w:rPr>
              <w:t>verzoekt de Commissie een voorstel te presenteren voor een bindend EU-verbod op conversiepraktijken in alle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37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quinquies.</w:t>
            </w:r>
            <w:r>
              <w:tab/>
            </w:r>
            <w:r>
              <w:rPr>
                <w:b/>
                <w:i/>
              </w:rPr>
              <w:t>verzoekt de Commissie en de lidstaten te strijden tegen discriminatie op grond van ras en etnische oorsprong, godsdienst of geloofsovertuiging, nationaliteit, politieke opinie, taal, handicap, leeftijd, geslacht, waaronder genderidentiteit en genderexpressie, en seksuele geaardheid;</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verwelkomt het dat de Commissie besloten heeft om in haar jaarlijkse verslag over de rechtsstaat ook aandacht te besteden aan Albanië, Montenegro, Noord‑Macedonië en Servië, en dringt erop aan de situatie op het gebied van de rechtsstaat in die landen van nabij te volgen;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verwelkomt het dat de Commissie besloten heeft om in haar jaarlijkse verslag over de rechtsstaat ook aandacht te besteden aan Albanië, Montenegro, Noord‑Macedonië en Servië, en dringt erop aan de situatie op het gebied van de rechtsstaat in die landen van nabij te volgen;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verwelkomt het dat de Commissie besloten heeft om in haar jaarlijkse verslag over de rechtsstaat ook aandacht te besteden aan Albanië, Montenegro, Noord‑Macedonië en Servië, en dringt erop aan de situatie op het gebied van de rechtsstaat in die landen van nabij te volgen;</w:t>
            </w:r>
          </w:p>
        </w:tc>
        <w:tc>
          <w:tcPr>
            <w:tcW w:w="4876" w:type="dxa"/>
            <w:tcBorders>
              <w:top w:val="nil"/>
              <w:left w:val="nil"/>
              <w:bottom w:val="nil"/>
              <w:right w:val="nil"/>
            </w:tcBorders>
          </w:tcPr>
          <w:p>
            <w:pPr>
              <w:pStyle w:val="Normal6a"/>
            </w:pPr>
            <w:r>
              <w:t>38.</w:t>
            </w:r>
            <w:r>
              <w:tab/>
            </w:r>
            <w:r>
              <w:rPr>
                <w:b/>
                <w:i/>
              </w:rPr>
              <w:t>juicht het toe dat in het verslag over de rechtsstaat van de Commissie nu ook aandacht wordt besteed aan de kandidaat-lidstaten, hetgeen het signaal afgeeft dat de fundamentele waarden van de EU niet alleen in de huidige lidstaten moeten worden gerespecteerd, maar ook door toekomstige lidstaten gedurende toetredingsprocessen;</w:t>
            </w:r>
            <w:r>
              <w:t xml:space="preserve"> verwelkomt het dat de Commissie besloten heeft om in haar jaarlijkse verslag over de rechtsstaat ook aandacht te besteden aan Albanië, Montenegro, Noord‑Macedonië en Servië, en dringt erop aan de situatie op het gebied van de rechtsstaat in die landen van nabij te volgen; </w:t>
            </w:r>
            <w:r>
              <w:rPr>
                <w:b/>
                <w:i/>
              </w:rPr>
              <w:t>verwacht van de Commissie dat zij in haar verslag over de rechtsstaat 2025 aandacht besteed aan alle kandidaat-lidstaten;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namens de Commissie burgerlijke vrijheden, justitie en binnenlandse zaken</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verwelkomt het dat de Commissie besloten heeft om in haar jaarlijkse verslag over de rechtsstaat ook aandacht te besteden aan Albanië, Montenegro, Noord‑Macedonië en Servië, en dringt erop aan de situatie op het gebied van de rechtsstaat in </w:t>
            </w:r>
            <w:r>
              <w:rPr>
                <w:b/>
                <w:i/>
              </w:rPr>
              <w:t>die landen</w:t>
            </w:r>
            <w:r>
              <w:t xml:space="preserve"> van nabij te volgen;</w:t>
            </w:r>
          </w:p>
        </w:tc>
        <w:tc>
          <w:tcPr>
            <w:tcW w:w="4876" w:type="dxa"/>
            <w:tcBorders>
              <w:top w:val="nil"/>
              <w:left w:val="nil"/>
              <w:bottom w:val="nil"/>
              <w:right w:val="nil"/>
            </w:tcBorders>
          </w:tcPr>
          <w:p>
            <w:pPr>
              <w:pStyle w:val="Normal6a"/>
            </w:pPr>
            <w:r>
              <w:t>38.</w:t>
            </w:r>
            <w:r>
              <w:tab/>
            </w:r>
            <w:r>
              <w:t xml:space="preserve">verwelkomt het dat de Commissie besloten heeft om in haar jaarlijkse verslag over de rechtsstaat ook aandacht te besteden aan Albanië, Montenegro, Noord‑Macedonië en Servië, en dringt erop aan de situatie op het gebied van de rechtsstaat in </w:t>
            </w:r>
            <w:r>
              <w:rPr>
                <w:b/>
                <w:i/>
              </w:rPr>
              <w:t>alle kandidaat-lidstaten</w:t>
            </w:r>
            <w:r>
              <w:t xml:space="preserve"> van nabij te volgen;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verwelkomt het</w:t>
            </w:r>
            <w:r>
              <w:t xml:space="preserve"> dat de Commissie besloten heeft om in haar jaarlijkse verslag over de rechtsstaat ook aandacht te besteden aan Albanië, Montenegro, Noord‑Macedonië en Servië, en dringt erop aan de situatie op het gebied van de rechtsstaat in die landen van nabij te volgen;</w:t>
            </w:r>
          </w:p>
        </w:tc>
        <w:tc>
          <w:tcPr>
            <w:tcW w:w="4876" w:type="dxa"/>
            <w:tcBorders>
              <w:top w:val="nil"/>
              <w:left w:val="nil"/>
              <w:bottom w:val="nil"/>
              <w:right w:val="nil"/>
            </w:tcBorders>
          </w:tcPr>
          <w:p>
            <w:pPr>
              <w:pStyle w:val="Normal6a"/>
            </w:pPr>
            <w:r>
              <w:t>38.</w:t>
            </w:r>
            <w:r>
              <w:tab/>
            </w:r>
            <w:r>
              <w:rPr>
                <w:b/>
                <w:i/>
              </w:rPr>
              <w:t>neemt kennis van het feit</w:t>
            </w:r>
            <w:r>
              <w:t xml:space="preserve"> dat de Commissie besloten heeft om in haar jaarlijkse verslag over de rechtsstaat ook aandacht te besteden aan Albanië, Montenegro, Noord‑Macedonië en Servië, en dringt erop aan de situatie op het gebied van de rechtsstaat in die landen van nabij te volgen;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verwelkomt het dat de Commissie besloten heeft om in haar jaarlijkse verslag over de rechtsstaat ook aandacht te besteden aan Albanië, Montenegro, Noord‑Macedonië en Servië, en dringt erop aan de situatie op het gebied van de rechtsstaat in </w:t>
            </w:r>
            <w:r>
              <w:rPr>
                <w:b/>
                <w:i/>
              </w:rPr>
              <w:t>die</w:t>
            </w:r>
            <w:r>
              <w:t xml:space="preserve"> landen van nabij te volgen;</w:t>
            </w:r>
          </w:p>
        </w:tc>
        <w:tc>
          <w:tcPr>
            <w:tcW w:w="4876" w:type="dxa"/>
            <w:tcBorders>
              <w:top w:val="nil"/>
              <w:left w:val="nil"/>
              <w:bottom w:val="nil"/>
              <w:right w:val="nil"/>
            </w:tcBorders>
          </w:tcPr>
          <w:p>
            <w:pPr>
              <w:pStyle w:val="Normal6a"/>
            </w:pPr>
            <w:r>
              <w:t>38.</w:t>
            </w:r>
            <w:r>
              <w:tab/>
            </w:r>
            <w:r>
              <w:t xml:space="preserve">verwelkomt het dat de Commissie besloten heeft om in haar jaarlijkse verslag over de rechtsstaat ook aandacht te besteden aan Albanië, Montenegro, Noord‑Macedonië en Servië, en dringt erop aan de situatie op het gebied van de rechtsstaat in </w:t>
            </w:r>
            <w:r>
              <w:rPr>
                <w:b/>
                <w:i/>
              </w:rPr>
              <w:t>alle</w:t>
            </w:r>
            <w:r>
              <w:t xml:space="preserve"> landen </w:t>
            </w:r>
            <w:r>
              <w:rPr>
                <w:b/>
                <w:i/>
              </w:rPr>
              <w:t>van de westelijke Balkan</w:t>
            </w:r>
            <w:r>
              <w:t xml:space="preserve"> van nabij te volgen;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verwelkomt het dat de Commissie besloten heeft om in haar jaarlijkse verslag over de rechtsstaat ook aandacht te besteden aan Albanië, Montenegro, </w:t>
            </w:r>
            <w:r>
              <w:rPr>
                <w:b/>
                <w:i/>
              </w:rPr>
              <w:t>Noord‑Macedonië</w:t>
            </w:r>
            <w:r>
              <w:t xml:space="preserve"> en Servië, en dringt erop aan de situatie op het gebied van de rechtsstaat in </w:t>
            </w:r>
            <w:r>
              <w:rPr>
                <w:b/>
                <w:i/>
              </w:rPr>
              <w:t>die</w:t>
            </w:r>
            <w:r>
              <w:t xml:space="preserve"> landen van nabij te volgen;</w:t>
            </w:r>
          </w:p>
        </w:tc>
        <w:tc>
          <w:tcPr>
            <w:tcW w:w="4876" w:type="dxa"/>
            <w:tcBorders>
              <w:top w:val="nil"/>
              <w:left w:val="nil"/>
              <w:bottom w:val="nil"/>
              <w:right w:val="nil"/>
            </w:tcBorders>
          </w:tcPr>
          <w:p>
            <w:pPr>
              <w:pStyle w:val="Normal6a"/>
            </w:pPr>
            <w:r>
              <w:t>38.</w:t>
            </w:r>
            <w:r>
              <w:tab/>
            </w:r>
            <w:r>
              <w:t xml:space="preserve">verwelkomt het dat de Commissie besloten heeft om in haar jaarlijkse verslag over de rechtsstaat ook aandacht te besteden aan Albanië, Montenegro, </w:t>
            </w:r>
            <w:r>
              <w:rPr>
                <w:b/>
                <w:i/>
              </w:rPr>
              <w:t>Skopje</w:t>
            </w:r>
            <w:r>
              <w:t xml:space="preserve"> en Servië, en dringt erop aan de situatie op het gebied van de rechtsstaat in </w:t>
            </w:r>
            <w:r>
              <w:rPr>
                <w:b/>
                <w:i/>
              </w:rPr>
              <w:t>deze</w:t>
            </w:r>
            <w:r>
              <w:t xml:space="preserve"> landen van nabij te volgen;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verzoekt zijn Voorzitter deze resolutie te doen toekomen aan de Raad en de </w:t>
            </w:r>
            <w:r>
              <w:rPr>
                <w:b/>
                <w:i/>
              </w:rPr>
              <w:t>Commissie</w:t>
            </w:r>
            <w:r>
              <w:t>.</w:t>
            </w:r>
          </w:p>
        </w:tc>
        <w:tc>
          <w:tcPr>
            <w:tcW w:w="4876" w:type="dxa"/>
            <w:tcBorders>
              <w:top w:val="nil"/>
              <w:left w:val="nil"/>
              <w:bottom w:val="nil"/>
              <w:right w:val="nil"/>
            </w:tcBorders>
          </w:tcPr>
          <w:p>
            <w:pPr>
              <w:pStyle w:val="Normal6a"/>
            </w:pPr>
            <w:r>
              <w:t>39.</w:t>
            </w:r>
            <w:r>
              <w:tab/>
            </w:r>
            <w:r>
              <w:t>verzoekt zijn Voorzitter deze resolutie te doen toekomen aan de Raad</w:t>
            </w:r>
            <w:r>
              <w:rPr>
                <w:b/>
                <w:i/>
              </w:rPr>
              <w:t>, de Commissie, het Bureau van de Europese Unie voor de grondrechten, de Raad van Europa,</w:t>
            </w:r>
            <w:r>
              <w:t xml:space="preserve"> en de </w:t>
            </w:r>
            <w:r>
              <w:rPr>
                <w:b/>
                <w:i/>
              </w:rPr>
              <w:t>regeringen en parlementen van de lidstaten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verzoekt zijn Voorzitter deze resolutie te doen toekomen aan de Raad en de </w:t>
            </w:r>
            <w:r>
              <w:rPr>
                <w:b/>
                <w:i/>
              </w:rPr>
              <w:t>Commissie</w:t>
            </w:r>
            <w:r>
              <w:t>.</w:t>
            </w:r>
          </w:p>
        </w:tc>
        <w:tc>
          <w:tcPr>
            <w:tcW w:w="4876" w:type="dxa"/>
            <w:tcBorders>
              <w:top w:val="nil"/>
              <w:left w:val="nil"/>
              <w:bottom w:val="nil"/>
              <w:right w:val="nil"/>
            </w:tcBorders>
          </w:tcPr>
          <w:p>
            <w:pPr>
              <w:pStyle w:val="Normal6a"/>
            </w:pPr>
            <w:r>
              <w:t>39.</w:t>
            </w:r>
            <w:r>
              <w:tab/>
            </w:r>
            <w:r>
              <w:t>verzoekt zijn Voorzitter deze resolutie te doen toekomen aan de Raad</w:t>
            </w:r>
            <w:r>
              <w:rPr>
                <w:b/>
                <w:i/>
              </w:rPr>
              <w:t>, de Commissie</w:t>
            </w:r>
            <w:r>
              <w:t xml:space="preserve"> en de </w:t>
            </w:r>
            <w:r>
              <w:rPr>
                <w:b/>
                <w:i/>
              </w:rPr>
              <w:t>lidstaten</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53</w:t>
    </w:r>
    <w:r>
      <w:fldChar w:fldCharType="end"/>
    </w:r>
    <w:r>
      <w:tab/>
    </w:r>
    <w:r>
      <w:rPr>
        <w:rStyle w:val="HideTWBExt"/>
      </w:rPr>
      <w:t>&lt;PathFdR&gt;</w:t>
    </w:r>
    <w:r>
      <w:t>AM\1315576NL.docx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AM\1315576NL.docx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53</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AM\1315576NL.docx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53</Pages>
  <Words>11148</Words>
  <Characters>67116</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149839</vt:lpwstr>
  </property>
  <property fmtid="{D5CDD505-2E9C-101B-9397-08002B2CF9AE}" pid="7" name="dmxml.render.traceId">
    <vt:lpwstr>67e11558045f0fbb0830baa98900e14f</vt:lpwstr>
  </property>
  <property fmtid="{D5CDD505-2E9C-101B-9397-08002B2CF9AE}" pid="8" name="FooterPath">
    <vt:lpwstr>AM\1315576NL.docx</vt:lpwstr>
  </property>
  <property fmtid="{D5CDD505-2E9C-101B-9397-08002B2CF9AE}" pid="9" name="PE Number">
    <vt:lpwstr>769.959</vt:lpwstr>
  </property>
  <property fmtid="{D5CDD505-2E9C-101B-9397-08002B2CF9AE}" pid="10" name="UID">
    <vt:lpwstr>eu.europa.europarl-DIN1-2025-0000027564_02.00-nl-01.00_text-xml</vt:lpwstr>
  </property>
</Properties>
</file>