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Komisja Wolności Obywatelskich, Sprawiedliwości i Spraw Wewnętrznych</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Sprawozdanie Komisji na temat praworządności z 2024 r.</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wzywa Komisję do uwzględnienia nowego filaru dotyczącego zwalczania wszelkich form dyskryminacji w rocznym sprawozdaniu na temat praworządności;</w:t>
            </w:r>
          </w:p>
        </w:tc>
        <w:tc>
          <w:tcPr>
            <w:tcW w:w="4876" w:type="dxa"/>
            <w:tcBorders>
              <w:top w:val="nil"/>
              <w:left w:val="nil"/>
              <w:bottom w:val="nil"/>
              <w:right w:val="nil"/>
            </w:tcBorders>
          </w:tcPr>
          <w:p>
            <w:pPr>
              <w:pStyle w:val="Normal6a"/>
            </w:pPr>
            <w:r>
              <w:t>33.</w:t>
            </w:r>
            <w:r>
              <w:tab/>
            </w:r>
            <w:r>
              <w:t>wzywa Komisję do uwzględnienia nowego filaru dotyczącego zwalczania wszelkich form dyskryminacji w rocznym sprawozdaniu na temat praworządności</w:t>
            </w:r>
            <w:r>
              <w:rPr>
                <w:b/>
                <w:i/>
              </w:rPr>
              <w:t>, zgodnie z art. 21 Karty praw podstawowych Unii Europejskiej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wzywa Komisję do uwzględnienia nowego filaru dotyczącego zwalczania wszelkich form dyskryminacji w rocznym sprawozdaniu na temat praworządności;</w:t>
            </w:r>
          </w:p>
        </w:tc>
        <w:tc>
          <w:tcPr>
            <w:tcW w:w="4876" w:type="dxa"/>
            <w:tcBorders>
              <w:top w:val="nil"/>
              <w:left w:val="nil"/>
              <w:bottom w:val="nil"/>
              <w:right w:val="nil"/>
            </w:tcBorders>
          </w:tcPr>
          <w:p>
            <w:pPr>
              <w:pStyle w:val="Normal6a"/>
            </w:pPr>
            <w:r>
              <w:t>33.</w:t>
            </w:r>
            <w:r>
              <w:tab/>
            </w:r>
            <w:r>
              <w:t xml:space="preserve">wzywa Komisję do </w:t>
            </w:r>
            <w:r>
              <w:rPr>
                <w:b/>
                <w:i/>
              </w:rPr>
              <w:t>nie</w:t>
            </w:r>
            <w:r>
              <w:t xml:space="preserve"> uwzględnienia </w:t>
            </w:r>
            <w:r>
              <w:rPr>
                <w:b/>
                <w:i/>
              </w:rPr>
              <w:t>żadnego</w:t>
            </w:r>
            <w:r>
              <w:t xml:space="preserve"> nowego filaru</w:t>
            </w:r>
            <w:r>
              <w:rPr>
                <w:b/>
                <w:i/>
              </w:rPr>
              <w:t>, w tym</w:t>
            </w:r>
            <w:r>
              <w:t xml:space="preserve"> dotyczącego zwalczania wszelkich form dyskryminacji w rocznym sprawozdaniu na temat praworządności;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wzywa Komisję do uwzględnienia nowego filaru dotyczącego zwalczania wszelkich form dyskryminacji w rocznym sprawozdaniu na temat praworządności;</w:t>
            </w:r>
          </w:p>
        </w:tc>
        <w:tc>
          <w:tcPr>
            <w:tcW w:w="4876" w:type="dxa"/>
            <w:tcBorders>
              <w:top w:val="nil"/>
              <w:left w:val="nil"/>
              <w:bottom w:val="nil"/>
              <w:right w:val="nil"/>
            </w:tcBorders>
          </w:tcPr>
          <w:p>
            <w:pPr>
              <w:pStyle w:val="Normal6a"/>
            </w:pPr>
            <w:r>
              <w:t>33.</w:t>
            </w:r>
            <w:r>
              <w:tab/>
            </w:r>
            <w:r>
              <w:t xml:space="preserve">wzywa Komisję do uwzględnienia nowego filaru dotyczącego zwalczania wszelkich form dyskryminacji </w:t>
            </w:r>
            <w:r>
              <w:rPr>
                <w:b/>
                <w:i/>
              </w:rPr>
              <w:t>i nienawiści</w:t>
            </w:r>
            <w:r>
              <w:t xml:space="preserve"> w 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wzywa Komisję do uwzględnienia nowego filaru dotyczącego zwalczania </w:t>
            </w:r>
            <w:r>
              <w:rPr>
                <w:b/>
                <w:i/>
              </w:rPr>
              <w:t>wszelkich form dyskryminacji w rocznym sprawozdaniu na temat praworządności</w:t>
            </w:r>
            <w:r>
              <w:t>;</w:t>
            </w:r>
          </w:p>
        </w:tc>
        <w:tc>
          <w:tcPr>
            <w:tcW w:w="4876" w:type="dxa"/>
            <w:tcBorders>
              <w:top w:val="nil"/>
              <w:left w:val="nil"/>
              <w:bottom w:val="nil"/>
              <w:right w:val="nil"/>
            </w:tcBorders>
          </w:tcPr>
          <w:p>
            <w:pPr>
              <w:pStyle w:val="Normal6a"/>
            </w:pPr>
            <w:r>
              <w:t>33.</w:t>
            </w:r>
            <w:r>
              <w:tab/>
            </w:r>
            <w:r>
              <w:t xml:space="preserve">wzywa Komisję do uwzględnienia </w:t>
            </w:r>
            <w:r>
              <w:rPr>
                <w:b/>
                <w:i/>
              </w:rPr>
              <w:t>w rocznym sprawozdaniu na temat praworządności</w:t>
            </w:r>
            <w:r>
              <w:t xml:space="preserve"> nowego filaru</w:t>
            </w:r>
            <w:r>
              <w:rPr>
                <w:b/>
                <w:i/>
              </w:rPr>
              <w:t>,</w:t>
            </w:r>
            <w:r>
              <w:t xml:space="preserve"> dotyczącego zwalczania </w:t>
            </w:r>
            <w:r>
              <w:rPr>
                <w:b/>
                <w:i/>
              </w:rPr>
              <w:t>cenzury mediów i treści online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wzywa państwa członkowskie do wdrożenia paktu o migracji i azylu zgodnie z zasadami zapisanymi w traktatach, Karcie praw podstawowych Unii Europejskiej i prawie międzynarodowym;</w:t>
            </w:r>
            <w:r>
              <w:t xml:space="preserve"> </w:t>
            </w:r>
            <w:r>
              <w:rPr>
                <w:b/>
                <w:i/>
              </w:rPr>
              <w:t>wzywa państwa członkowskie do zapewnienia obywatelom państw trzecich równych praw, równego i humanitarnego traktowania, a także sprawiedliwego dostępu do procedur ochrony międzynarodowej w pełnej zgodności z prawem międzynarodowym i zasadą non-refoulement;</w:t>
            </w:r>
            <w:r>
              <w:t xml:space="preserve"> </w:t>
            </w:r>
            <w:r>
              <w:rPr>
                <w:b/>
                <w:i/>
              </w:rPr>
              <w:t>wzywa Komisję do dopilnowania, aby eksternalizacja i eksterytorialne zarządzanie migracją, takie jak umowy dwustronne między państwami członkowskimi a państwami trzecimi, w żadnym wypadku nie podważały tych zasad i kryteriów określonych w prawodawstwie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wzywa Komisję do ponownego rozważenia swojego stanowiska w sprawie inicjatywy „Minority SafePack” oraz do przedstawienia inicjatyw ustawodawczych mających na celu ochronę promowania praw mniejszości i praw językowych;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ponawia swój apel do Komisji o dalsze uwzględnianie w sprawozdaniu dotyczącym praworządności narzędzi reagowania, takich jak procedury przewidziane w art. 7 TUE, ogólny mechanizm warunkowości i postępowania w sprawie uchybienia zobowiązaniom państwa członkowskiego</w:t>
            </w:r>
            <w:r>
              <w:rPr>
                <w:b/>
                <w:i/>
                <w:vertAlign w:val="superscript"/>
              </w:rPr>
              <w:t>48</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Węgierski Komitet Helsiński, „Disregard for EU values: a snapshot of RoL issues in Hungary in light of the Article 7 procedure” [Brak poszanowania wartości UE:</w:t>
            </w:r>
            <w:r>
              <w:t xml:space="preserve"> </w:t>
            </w:r>
            <w:r>
              <w:rPr>
                <w:b/>
                <w:i/>
              </w:rPr>
              <w:t>przegląd problemów związanych z praworządnością na Węgrzech w świetle procedury określonej w art. 7], 12 listopada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ponawia swój apel do Komisji o dalsze uwzględnianie w sprawozdaniu dotyczącym praworządności narzędzi reagowania, takich jak procedury przewidziane w art. 7 TUE, ogólny mechanizm warunkowości i postępowania w sprawie uchybienia zobowiązaniom państwa członkowskiego</w:t>
            </w:r>
            <w:r>
              <w:rPr>
                <w:b/>
                <w:i/>
                <w:vertAlign w:val="superscript"/>
              </w:rPr>
              <w:t>48</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Węgierski Komitet Helsiński, „Disregard for EU values: a snapshot of RoL issues in Hungary in light of the Article 7 procedure” [Brak poszanowania wartości UE:</w:t>
            </w:r>
            <w:r>
              <w:t xml:space="preserve"> </w:t>
            </w:r>
            <w:r>
              <w:rPr>
                <w:b/>
                <w:i/>
              </w:rPr>
              <w:t>przegląd problemów związanych z praworządnością na Węgrzech w świetle procedury określonej w art. 7], 12 listopada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ponawia swój apel do Komisji o dalsze uwzględnianie w sprawozdaniu dotyczącym praworządności narzędzi reagowania, takich jak procedury przewidziane w art. 7 TUE, ogólny mechanizm warunkowości i postępowania w sprawie uchybienia zobowiązaniom państwa członkowskiego</w:t>
            </w:r>
            <w:r>
              <w:rPr>
                <w:b/>
                <w:i/>
                <w:vertAlign w:val="superscript"/>
              </w:rPr>
              <w:t>48</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Węgierski Komitet Helsiński, „Disregard for EU values: a snapshot of RoL issues in Hungary in light of the Article 7 procedure” [Brak poszanowania wartości UE:</w:t>
            </w:r>
            <w:r>
              <w:t xml:space="preserve"> </w:t>
            </w:r>
            <w:r>
              <w:rPr>
                <w:b/>
                <w:i/>
              </w:rPr>
              <w:t>przegląd problemów związanych z praworządnością na Węgrzech w świetle procedury określonej w art. 7], 12 listopada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ponawia swój apel do Komisji o dalsze uwzględnianie w sprawozdaniu dotyczącym praworządności narzędzi reagowania, takich jak procedury przewidziane w art. 7 TUE, </w:t>
            </w:r>
            <w:r>
              <w:rPr>
                <w:b/>
                <w:i/>
              </w:rPr>
              <w:t>ogólny mechanizm</w:t>
            </w:r>
            <w:r>
              <w:t xml:space="preserve"> warunkowości </w:t>
            </w:r>
            <w:r>
              <w:rPr>
                <w:b/>
                <w:i/>
              </w:rPr>
              <w:t>i</w:t>
            </w:r>
            <w:r>
              <w:t xml:space="preserve"> postępowania w sprawie uchybienia zobowiązaniom państwa członkowskiego</w:t>
            </w:r>
            <w:r>
              <w:rPr>
                <w:b/>
                <w:i/>
                <w:vertAlign w:val="superscript"/>
              </w:rPr>
              <w:t>48</w:t>
            </w:r>
            <w:r>
              <w:t>;</w:t>
            </w:r>
          </w:p>
        </w:tc>
        <w:tc>
          <w:tcPr>
            <w:tcW w:w="4876" w:type="dxa"/>
            <w:tcBorders>
              <w:top w:val="nil"/>
              <w:left w:val="nil"/>
              <w:bottom w:val="nil"/>
              <w:right w:val="nil"/>
            </w:tcBorders>
          </w:tcPr>
          <w:p>
            <w:pPr>
              <w:pStyle w:val="Normal6a"/>
            </w:pPr>
            <w:r>
              <w:t>34.</w:t>
            </w:r>
            <w:r>
              <w:tab/>
            </w:r>
            <w:r>
              <w:t xml:space="preserve">ponawia swój apel do Komisji o dalsze uwzględnianie w sprawozdaniu dotyczącym praworządności narzędzi reagowania, takich jak procedury przewidziane w art. 7 TUE, </w:t>
            </w:r>
            <w:r>
              <w:rPr>
                <w:b/>
                <w:i/>
              </w:rPr>
              <w:t>rozporządzenie dotyczące</w:t>
            </w:r>
            <w:r>
              <w:t xml:space="preserve"> warunkowości </w:t>
            </w:r>
            <w:r>
              <w:rPr>
                <w:b/>
                <w:i/>
              </w:rPr>
              <w:t>w zakresie praworządności i inne procedury budżetowe, a także</w:t>
            </w:r>
            <w:r>
              <w:t xml:space="preserve"> postępowania w sprawie uchybienia zobowiązaniom państwa członkowskiego</w:t>
            </w:r>
            <w:r>
              <w:rPr>
                <w:b/>
                <w:i/>
              </w:rPr>
              <w:t>;</w:t>
            </w:r>
            <w:r>
              <w:t xml:space="preserve"> </w:t>
            </w:r>
            <w:r>
              <w:rPr>
                <w:b/>
                <w:i/>
              </w:rPr>
              <w:t>wzywa Komisję, by w przypadkach naruszeń systematycznie korzystała z procedur przyspieszonych i wniosków o środki tymczasowe przed TSUE;</w:t>
            </w:r>
            <w:r>
              <w:t xml:space="preserve"> </w:t>
            </w:r>
            <w:r>
              <w:rPr>
                <w:b/>
                <w:i/>
              </w:rPr>
              <w:t>wzywa Komisję, aby nie wykorzystywała „dialogu” z państwami członkowskimi ani procedury „pilotażowej” jako otwartego środka pozwalającego uniknąć wszczynania faktycznych postępowań w sprawie uchybienia zobowiązaniom państwa członkowskiego; wzywa Komisję, aby zrewidowała swoją politykę – określoną w komunikacie z 2022 r. w sprawie egzekwowania prawa UE – niewszczynania postępowań w sprawie uchybienia zobowiązaniom państwa członkowskiego w przypadkach roszczeń „indywidualnych”, ponieważ powoduje ona, że obywatele w całej UE są w poważnym stopniu pozbawieni praw, zwłaszcza gdy ich rządy odmawiają przestrzegania prawa UE lub wyroków TSUE, również dlatego, że większość tych spraw nie ma charakteru wyłącznie indywidualnego, lecz dotyczy kwestii strategicznych i podstawowych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Węgierski Komitet Helsiński, „Disregard for EU values: a snapshot of RoL issues in Hungary in light of the Article 7 procedure” [Brak poszanowania wartości UE:</w:t>
            </w:r>
            <w:r>
              <w:t xml:space="preserve"> </w:t>
            </w:r>
            <w:r>
              <w:rPr>
                <w:b/>
                <w:i/>
              </w:rPr>
              <w:t>przegląd problemów związanych z praworządnością na Węgrzech w świetle procedury określonej w art. 7], 12 listopada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ponawia swój apel do Komisji o dalsze uwzględnianie w sprawozdaniu dotyczącym</w:t>
            </w:r>
            <w:r>
              <w:t xml:space="preserve"> praworządności </w:t>
            </w:r>
            <w:r>
              <w:rPr>
                <w:b/>
                <w:i/>
              </w:rPr>
              <w:t>narzędzi reagowania, takich jak procedury przewidziane w art. 7 TUE, ogólny mechanizm warunkowości i postępowania w sprawie uchybienia zobowiązaniom państwa członkowskiego</w:t>
            </w:r>
            <w:r>
              <w:rPr>
                <w:b/>
                <w:i/>
                <w:vertAlign w:val="superscript"/>
              </w:rPr>
              <w:t>48</w:t>
            </w:r>
            <w:r>
              <w:t>;</w:t>
            </w:r>
          </w:p>
        </w:tc>
        <w:tc>
          <w:tcPr>
            <w:tcW w:w="4876" w:type="dxa"/>
            <w:tcBorders>
              <w:top w:val="nil"/>
              <w:left w:val="nil"/>
              <w:bottom w:val="nil"/>
              <w:right w:val="nil"/>
            </w:tcBorders>
          </w:tcPr>
          <w:p>
            <w:pPr>
              <w:pStyle w:val="Normal6a"/>
            </w:pPr>
            <w:r>
              <w:t>34.</w:t>
            </w:r>
            <w:r>
              <w:tab/>
            </w:r>
            <w:r>
              <w:rPr>
                <w:b/>
                <w:i/>
              </w:rPr>
              <w:t>jest głęboko zaniepokojony sytuacją w zakresie praworządności w instytucjach europejskich;</w:t>
            </w:r>
            <w:r>
              <w:t xml:space="preserve"> </w:t>
            </w:r>
            <w:r>
              <w:rPr>
                <w:b/>
                <w:i/>
              </w:rPr>
              <w:t>wzywa Komisję do zbadania coraz częstszych naruszeń praworządności w tych instytucjach;</w:t>
            </w:r>
            <w:r>
              <w:t xml:space="preserve"> </w:t>
            </w:r>
            <w:r>
              <w:rPr>
                <w:b/>
                <w:i/>
              </w:rPr>
              <w:t>z głębokim zaniepokojeniem odnotowuje zarzut zaangażowania byłego komisarza ds. sprawiedliwości Didiera Reyndersa w proceder prania pieniędzy;</w:t>
            </w:r>
            <w:r>
              <w:t xml:space="preserve"> </w:t>
            </w:r>
            <w:r>
              <w:rPr>
                <w:b/>
                <w:i/>
              </w:rPr>
              <w:t>wyraża głębokie zaniepokojenie faktem, że komisarz ds. sprawiedliwości, który według zarzutów dopuścił się prania pieniędzy na kwotę ponad 1 mln EUR poprzez zakup biletów loteryjnych, był odpowiedzialny za utrzymanie</w:t>
            </w:r>
            <w:r>
              <w:t xml:space="preserve"> praworządności </w:t>
            </w:r>
            <w:r>
              <w:rPr>
                <w:b/>
                <w:i/>
              </w:rPr>
              <w:t>w Unii Europejskiej;</w:t>
            </w:r>
            <w:r>
              <w:t xml:space="preserve"> </w:t>
            </w:r>
            <w:r>
              <w:rPr>
                <w:b/>
                <w:i/>
              </w:rPr>
              <w:t>podkreśla, że już w 2019 r., jako kandydat na komisarza, Didier Reynders był oskarżony przez belgijskie władze o pranie pieniędzy i korupcję;</w:t>
            </w:r>
            <w:r>
              <w:t xml:space="preserve"> </w:t>
            </w:r>
            <w:r>
              <w:rPr>
                <w:b/>
                <w:i/>
              </w:rPr>
              <w:t>wzywa Komisję do wyjaśnienia, jak to możliwe, by Didier Reynders był odpowiedzialny za dziedzinę wymiaru sprawiedliwości podczas 9. kadencji pomimo poważnych zarzutów;</w:t>
            </w:r>
            <w:r>
              <w:t xml:space="preserve"> </w:t>
            </w:r>
            <w:r>
              <w:rPr>
                <w:b/>
                <w:i/>
              </w:rPr>
              <w:t>przypomina, że sprawozdanie to nie może być podstawą do jakichkolwiek dalszych mechanizmów ani procedur unijnych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Węgierski Komitet Helsiński, „Disregard for EU values: a snapshot of RoL issues in Hungary in light of the Article 7 procedure” [Brak poszanowania wartości UE:</w:t>
            </w:r>
            <w:r>
              <w:t xml:space="preserve"> </w:t>
            </w:r>
            <w:r>
              <w:rPr>
                <w:b/>
                <w:i/>
              </w:rPr>
              <w:t>przegląd problemów związanych z praworządnością na Węgrzech w świetle procedury określonej w art. 7], 12 listopada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ponawia swój apel</w:t>
            </w:r>
            <w:r>
              <w:t xml:space="preserve"> do Komisji o dalsze uwzględnianie w sprawozdaniu dotyczącym praworządności narzędzi reagowania, takich jak procedury przewidziane w art. 7 TUE, ogólny mechanizm warunkowości i postępowania w sprawie uchybienia zobowiązaniom państwa członkowskiego</w:t>
            </w:r>
            <w:r>
              <w:rPr>
                <w:vertAlign w:val="superscript"/>
              </w:rPr>
              <w:t>48</w:t>
            </w:r>
            <w:r>
              <w:t xml:space="preserve"> ;</w:t>
            </w:r>
          </w:p>
        </w:tc>
        <w:tc>
          <w:tcPr>
            <w:tcW w:w="4876" w:type="dxa"/>
            <w:tcBorders>
              <w:top w:val="nil"/>
              <w:left w:val="nil"/>
              <w:bottom w:val="nil"/>
              <w:right w:val="nil"/>
            </w:tcBorders>
          </w:tcPr>
          <w:p>
            <w:pPr>
              <w:pStyle w:val="Normal6a"/>
            </w:pPr>
            <w:r>
              <w:t>34.</w:t>
            </w:r>
            <w:r>
              <w:tab/>
            </w:r>
            <w:r>
              <w:rPr>
                <w:b/>
                <w:i/>
              </w:rPr>
              <w:t>apeluje</w:t>
            </w:r>
            <w:r>
              <w:t xml:space="preserve"> do Komisji o </w:t>
            </w:r>
            <w:r>
              <w:rPr>
                <w:b/>
                <w:i/>
              </w:rPr>
              <w:t>ocenę czy</w:t>
            </w:r>
            <w:r>
              <w:t xml:space="preserve"> dalsze uwzględnianie w sprawozdaniu dotyczącym praworządności narzędzi reagowania, takich jak procedury przewidziane w art. 7 TUE, ogólny mechanizm warunkowości i postępowania w sprawie uchybienia zobowiązaniom państwa członkowskiego</w:t>
            </w:r>
            <w:r>
              <w:rPr>
                <w:vertAlign w:val="superscript"/>
              </w:rPr>
              <w:t>48</w:t>
            </w:r>
            <w:r>
              <w:t xml:space="preserve"> </w:t>
            </w:r>
            <w:r>
              <w:rPr>
                <w:b/>
                <w:i/>
              </w:rPr>
              <w:t>, jest właściwe, biorąc pod uwagę, iż był on wykorzystywany w sposób skandalicznie polityczny, czego najlepszym przykładem jest Polska, gdzie po zmianie rządu na przychylny Brukseli i Berlinowi, bez jakichkolwiek zmian ustawowych, pomimo otwartego łamania podstaw ustrojowych państwa, zrezygnowana z jakiejkolwiek krytyki i odstąpiono od procedury art. 7 TUE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Węgierski Komitet Helsiński, „Disregard for EU values: a snapshot of RoL issues in Hungary in light of the Article 7 procedure” [Brak poszanowania wartości UE: przegląd problemów związanych z praworządnością na Węgrzech w świetle procedury określonej w art. 7], 12 listopada 2024 r.</w:t>
            </w:r>
          </w:p>
        </w:tc>
        <w:tc>
          <w:tcPr>
            <w:tcW w:w="4876" w:type="dxa"/>
            <w:tcBorders>
              <w:top w:val="nil"/>
              <w:left w:val="nil"/>
              <w:bottom w:val="nil"/>
              <w:right w:val="nil"/>
            </w:tcBorders>
          </w:tcPr>
          <w:p>
            <w:pPr>
              <w:pStyle w:val="Normal6a"/>
            </w:pPr>
            <w:r>
              <w:rPr>
                <w:vertAlign w:val="superscript"/>
              </w:rPr>
              <w:t>48</w:t>
            </w:r>
            <w:r>
              <w:t xml:space="preserve"> </w:t>
            </w:r>
            <w:r>
              <w:t>Węgierski Komitet Helsiński, „Disregard for EU values: a snapshot of RoL issues in Hungary in light of the Article 7 procedure” [Brak poszanowania wartości UE: przegląd problemów związanych z praworządnością na Węgrzech w świetle procedury określonej w art. 7], 12 listopada 2024 r.</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w imieniu Komisji Wolności Obywatelskich, Sprawiedliwości i Spraw Wewnętrznych</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ponawia swój apel do Komisji o dalsze uwzględnianie w sprawozdaniu dotyczącym praworządności narzędzi reagowania, takich jak procedury przewidziane w art. 7 TUE, ogólny mechanizm warunkowości i postępowania w sprawie uchybienia zobowiązaniom państwa członkowskiego</w:t>
            </w:r>
            <w:r>
              <w:rPr>
                <w:vertAlign w:val="superscript"/>
              </w:rPr>
              <w:t>48</w:t>
            </w:r>
            <w:r>
              <w:t>;</w:t>
            </w:r>
          </w:p>
        </w:tc>
        <w:tc>
          <w:tcPr>
            <w:tcW w:w="4876" w:type="dxa"/>
            <w:tcBorders>
              <w:top w:val="nil"/>
              <w:left w:val="nil"/>
              <w:bottom w:val="nil"/>
              <w:right w:val="nil"/>
            </w:tcBorders>
          </w:tcPr>
          <w:p>
            <w:pPr>
              <w:pStyle w:val="Normal6a"/>
            </w:pPr>
            <w:r>
              <w:t>34.</w:t>
            </w:r>
            <w:r>
              <w:tab/>
            </w:r>
            <w:r>
              <w:t>ponawia swój apel do Komisji o dalsze uwzględnianie w sprawozdaniu dotyczącym praworządności narzędzi reagowania, takich jak procedury przewidziane w art. 7 TUE, ogólny mechanizm warunkowości i postępowania w sprawie uchybienia zobowiązaniom państwa członkowskiego</w:t>
            </w:r>
            <w:r>
              <w:rPr>
                <w:vertAlign w:val="superscript"/>
              </w:rPr>
              <w:t>48</w:t>
            </w:r>
            <w:r>
              <w:t xml:space="preserve">; </w:t>
            </w:r>
            <w:r>
              <w:rPr>
                <w:b/>
                <w:i/>
              </w:rPr>
              <w:t>zwraca się do Komisji o składanie corocznych sprawozdań na temat wykorzystania i skuteczności narzędzi stosowanych do przeciwdziałania naruszaniu zasad praworządności w państwach członkowskich;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Węgierski Komitet Helsiński, „Disregard for EU values: a snapshot of RoL issues in Hungary in light of the Article 7 procedure” [Brak poszanowania wartości UE: przegląd problemów związanych z praworządnością na Węgrzech w świetle procedury określonej w art. 7], 12 listopada 2024 r.</w:t>
            </w:r>
          </w:p>
        </w:tc>
        <w:tc>
          <w:tcPr>
            <w:tcW w:w="4876" w:type="dxa"/>
            <w:tcBorders>
              <w:top w:val="nil"/>
              <w:left w:val="nil"/>
              <w:bottom w:val="nil"/>
              <w:right w:val="nil"/>
            </w:tcBorders>
          </w:tcPr>
          <w:p>
            <w:pPr>
              <w:pStyle w:val="Normal6a"/>
            </w:pPr>
            <w:r>
              <w:rPr>
                <w:vertAlign w:val="superscript"/>
              </w:rPr>
              <w:t>48</w:t>
            </w:r>
            <w:r>
              <w:t xml:space="preserve"> </w:t>
            </w:r>
            <w:r>
              <w:t>Węgierski Komitet Helsiński, „Disregard for EU values: a snapshot of RoL issues in Hungary in light of the Article 7 procedure” [Brak poszanowania wartości UE: przegląd problemów związanych z praworządnością na Węgrzech w świetle procedury określonej w art. 7], 12 listopada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ponawia swój apel do Komisji o </w:t>
            </w:r>
            <w:r>
              <w:rPr>
                <w:b/>
                <w:i/>
              </w:rPr>
              <w:t>dalsze uwzględnianie</w:t>
            </w:r>
            <w:r>
              <w:t xml:space="preserve"> w sprawozdaniu </w:t>
            </w:r>
            <w:r>
              <w:rPr>
                <w:b/>
                <w:i/>
              </w:rPr>
              <w:t>dotyczącym</w:t>
            </w:r>
            <w:r>
              <w:t xml:space="preserve"> praworządności narzędzi </w:t>
            </w:r>
            <w:r>
              <w:rPr>
                <w:b/>
                <w:i/>
              </w:rPr>
              <w:t>reagowania, takich jak procedury przewidziane w</w:t>
            </w:r>
            <w:r>
              <w:t xml:space="preserve"> art. 7 TUE, </w:t>
            </w:r>
            <w:r>
              <w:rPr>
                <w:b/>
                <w:i/>
              </w:rPr>
              <w:t>ogólny mechanizm warunkowości i postępowania</w:t>
            </w:r>
            <w:r>
              <w:t xml:space="preserve"> w sprawie uchybienia zobowiązaniom państwa członkowskiego</w:t>
            </w:r>
            <w:r>
              <w:rPr>
                <w:vertAlign w:val="superscript"/>
              </w:rPr>
              <w:t>48</w:t>
            </w:r>
            <w:r>
              <w:t>;</w:t>
            </w:r>
          </w:p>
        </w:tc>
        <w:tc>
          <w:tcPr>
            <w:tcW w:w="4876" w:type="dxa"/>
            <w:tcBorders>
              <w:top w:val="nil"/>
              <w:left w:val="nil"/>
              <w:bottom w:val="nil"/>
              <w:right w:val="nil"/>
            </w:tcBorders>
          </w:tcPr>
          <w:p>
            <w:pPr>
              <w:pStyle w:val="Normal6a"/>
            </w:pPr>
            <w:r>
              <w:t>34.</w:t>
            </w:r>
            <w:r>
              <w:tab/>
            </w:r>
            <w:r>
              <w:t xml:space="preserve">ponawia swój apel do Komisji o </w:t>
            </w:r>
            <w:r>
              <w:rPr>
                <w:b/>
                <w:i/>
              </w:rPr>
              <w:t>lepsze odzwierciedlenie</w:t>
            </w:r>
            <w:r>
              <w:t xml:space="preserve"> w sprawozdaniu </w:t>
            </w:r>
            <w:r>
              <w:rPr>
                <w:b/>
                <w:i/>
              </w:rPr>
              <w:t>w sprawie</w:t>
            </w:r>
            <w:r>
              <w:t xml:space="preserve"> praworządności </w:t>
            </w:r>
            <w:r>
              <w:rPr>
                <w:b/>
                <w:i/>
              </w:rPr>
              <w:t>różnych instrumentów z zestawu</w:t>
            </w:r>
            <w:r>
              <w:t xml:space="preserve"> narzędzi </w:t>
            </w:r>
            <w:r>
              <w:rPr>
                <w:b/>
                <w:i/>
              </w:rPr>
              <w:t>na rzecz praworządności, w szczególności trwających procedur na podstawie</w:t>
            </w:r>
            <w:r>
              <w:t xml:space="preserve"> art. 7 TUE, </w:t>
            </w:r>
            <w:r>
              <w:rPr>
                <w:b/>
                <w:i/>
              </w:rPr>
              <w:t>mechanizmu warunkowości w zakresie praworządności, a także postępowań</w:t>
            </w:r>
            <w:r>
              <w:t xml:space="preserve"> w sprawie uchybienia zobowiązaniom państwa członkowskiego</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Węgierski Komitet Helsiński, „Disregard for EU values: a snapshot of RoL issues in Hungary in light of the Article 7 procedure” [Brak poszanowania wartości UE: przegląd problemów związanych z praworządnością na Węgrzech w świetle procedury określonej w art. 7], 12 listopada 2024 r.</w:t>
            </w:r>
          </w:p>
        </w:tc>
        <w:tc>
          <w:tcPr>
            <w:tcW w:w="4876" w:type="dxa"/>
            <w:tcBorders>
              <w:top w:val="nil"/>
              <w:left w:val="nil"/>
              <w:bottom w:val="nil"/>
              <w:right w:val="nil"/>
            </w:tcBorders>
          </w:tcPr>
          <w:p>
            <w:pPr>
              <w:pStyle w:val="Normal6a"/>
            </w:pPr>
            <w:r>
              <w:rPr>
                <w:vertAlign w:val="superscript"/>
              </w:rPr>
              <w:t>48</w:t>
            </w:r>
            <w:r>
              <w:t xml:space="preserve"> </w:t>
            </w:r>
            <w:r>
              <w:t>Węgierski Komitet Helsiński, „Disregard for EU values: a snapshot of RoL issues in Hungary in light of the Article 7 procedure” [Brak poszanowania wartości UE: przegląd problemów związanych z praworządnością na Węgrzech w świetle procedury określonej w art. 7], 12 listopada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ponawia </w:t>
            </w:r>
            <w:r>
              <w:rPr>
                <w:b/>
                <w:i/>
              </w:rPr>
              <w:t>swój</w:t>
            </w:r>
            <w:r>
              <w:t xml:space="preserve"> apel do Komisji </w:t>
            </w:r>
            <w:r>
              <w:rPr>
                <w:b/>
                <w:i/>
              </w:rPr>
              <w:t>o dalsze uwzględnianie w sprawozdaniu dotyczącym praworządności narzędzi reagowania, takich jak procedury przewidziane w art. 7 TUE, ogólny mechanizm warunkowości i postępowania w sprawie uchybienia zobowiązaniom państwa członkowskiego</w:t>
            </w:r>
            <w:r>
              <w:rPr>
                <w:b/>
                <w:i/>
                <w:vertAlign w:val="superscript"/>
              </w:rPr>
              <w:t>48</w:t>
            </w:r>
            <w:r>
              <w:t>;</w:t>
            </w:r>
          </w:p>
        </w:tc>
        <w:tc>
          <w:tcPr>
            <w:tcW w:w="4876" w:type="dxa"/>
            <w:tcBorders>
              <w:top w:val="nil"/>
              <w:left w:val="nil"/>
              <w:bottom w:val="nil"/>
              <w:right w:val="nil"/>
            </w:tcBorders>
          </w:tcPr>
          <w:p>
            <w:pPr>
              <w:pStyle w:val="Normal6a"/>
            </w:pPr>
            <w:r>
              <w:t>34.</w:t>
            </w:r>
            <w:r>
              <w:tab/>
            </w:r>
            <w:r>
              <w:t>ponawia apel do Komisji</w:t>
            </w:r>
            <w:r>
              <w:rPr>
                <w:b/>
                <w:i/>
              </w:rPr>
              <w:t>, by powstrzymała się od tworzenia nowych mechanizmów i narzędzi ochrony praworządności, ponieważ istniejące mechanizmy i instrumenty są wystarczające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Węgierski Komitet Helsiński, „Disregard for EU values: a snapshot of RoL issues in Hungary in light of the Article 7 procedure” [Brak poszanowania wartości UE:</w:t>
            </w:r>
            <w:r>
              <w:t xml:space="preserve"> </w:t>
            </w:r>
            <w:r>
              <w:rPr>
                <w:b/>
                <w:i/>
              </w:rPr>
              <w:t>przegląd problemów związanych z praworządnością na Węgrzech w świetle procedury określonej w art. 7], 12 listopada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ponawia swój apel do Komisji o dalsze uwzględnianie w sprawozdaniu dotyczącym praworządności </w:t>
            </w:r>
            <w:r>
              <w:rPr>
                <w:b/>
                <w:i/>
              </w:rPr>
              <w:t>narzędzi reagowania</w:t>
            </w:r>
            <w:r>
              <w:t>, takich jak procedury przewidziane w art. 7 TUE, ogólny mechanizm warunkowości i postępowania w sprawie uchybienia zobowiązaniom państwa członkowskiego</w:t>
            </w:r>
            <w:r>
              <w:rPr>
                <w:vertAlign w:val="superscript"/>
              </w:rPr>
              <w:t>48</w:t>
            </w:r>
            <w:r>
              <w:t>;</w:t>
            </w:r>
          </w:p>
        </w:tc>
        <w:tc>
          <w:tcPr>
            <w:tcW w:w="4876" w:type="dxa"/>
            <w:tcBorders>
              <w:top w:val="nil"/>
              <w:left w:val="nil"/>
              <w:bottom w:val="nil"/>
              <w:right w:val="nil"/>
            </w:tcBorders>
          </w:tcPr>
          <w:p>
            <w:pPr>
              <w:pStyle w:val="Normal6a"/>
            </w:pPr>
            <w:r>
              <w:t>34.</w:t>
            </w:r>
            <w:r>
              <w:tab/>
            </w:r>
            <w:r>
              <w:t xml:space="preserve">ponawia swój apel do Komisji o dalsze uwzględnianie w sprawozdaniu dotyczącym praworządności </w:t>
            </w:r>
            <w:r>
              <w:rPr>
                <w:b/>
                <w:i/>
              </w:rPr>
              <w:t>środków egzekwowania</w:t>
            </w:r>
            <w:r>
              <w:t>, takich jak procedury przewidziane w art. 7 TUE, ogólny mechanizm warunkowości i postępowania w sprawie uchybienia zobowiązaniom państwa członkowskiego</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Węgierski Komitet Helsiński, „Disregard for EU values: a snapshot of RoL issues in Hungary in light of the Article 7 procedure” [Brak poszanowania wartości UE: przegląd problemów związanych z praworządnością na Węgrzech w świetle procedury określonej w art. 7], 12 listopada 2024 r.</w:t>
            </w:r>
          </w:p>
        </w:tc>
        <w:tc>
          <w:tcPr>
            <w:tcW w:w="4876" w:type="dxa"/>
            <w:tcBorders>
              <w:top w:val="nil"/>
              <w:left w:val="nil"/>
              <w:bottom w:val="nil"/>
              <w:right w:val="nil"/>
            </w:tcBorders>
          </w:tcPr>
          <w:p>
            <w:pPr>
              <w:pStyle w:val="Normal6a"/>
            </w:pPr>
            <w:r>
              <w:rPr>
                <w:vertAlign w:val="superscript"/>
              </w:rPr>
              <w:t>48</w:t>
            </w:r>
            <w:r>
              <w:t xml:space="preserve"> </w:t>
            </w:r>
            <w:r>
              <w:t>Węgierski Komitet Helsiński, „Disregard for EU values: a snapshot of RoL issues in Hungary in light of the Article 7 procedure” [Brak poszanowania wartości UE: przegląd problemów związanych z praworządnością na Węgrzech w świetle procedury określonej w art. 7], 12 listopada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ubolewa, że rząd Węgier nie podjął znaczących kroków w celu wdrożenia zaleceń zawartych w sprawozdaniu na temat praworządności z 2024 r.;</w:t>
            </w:r>
            <w:r>
              <w:t xml:space="preserve"> </w:t>
            </w:r>
            <w:r>
              <w:rPr>
                <w:b/>
                <w:i/>
              </w:rPr>
              <w:t>podkreśla, że od czasu jego opublikowania sytuacja w zakresie wolności mediów, mechanizmów kontroli i równowagi, korupcji na wysokim szczeblu i przestrzeni dla organizacji społeczeństwa obywatelskiego jeszcze bardziej się pogorszyła;</w:t>
            </w:r>
            <w:r>
              <w:t xml:space="preserve"> </w:t>
            </w:r>
            <w:r>
              <w:rPr>
                <w:b/>
                <w:i/>
              </w:rPr>
              <w:t>podkreśla, że reforma sądownictwa z 2023 r. nie przyniosła żadnej istotnej poprawy w zakresie niezależności sądownictwa; potępia niedawne dążenie rządu do powiązania długo oczekiwanej korekty wynagrodzeń sędziów z akceptacją przez nich dalszej politycznej ingerencji ze szkodą dla niezależności sądów;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wzywa Komisję i państwa członkowskie do zwalczania dyskryminacji ze względu na pochodzenie rasowe i etniczne, religię lub przekonania, narodowość, poglądy polityczne, język, niepełnosprawność, wiek, płeć, w tym tożsamość płciową i ekspresję płciową, oraz orientację seksualną;</w:t>
            </w:r>
            <w:r>
              <w:t xml:space="preserve"> </w:t>
            </w:r>
            <w:r>
              <w:rPr>
                <w:b/>
                <w:i/>
              </w:rPr>
              <w:t>wzywa Radę do osiągnięcia porozumienia w sprawie dyrektywy 2008/140/WE;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ubolewa, że rząd Węgier nie podjął znaczących kroków w celu wdrożenia zaleceń zawartych w sprawozdaniu na temat praworządności z 2024 r. oraz że Węgry są jedynym państwem członkowskim nadal objętym procedurą przewidzianą w art. 7 ust. 1 TUE;</w:t>
            </w:r>
            <w:r>
              <w:t xml:space="preserve"> </w:t>
            </w:r>
            <w:r>
              <w:rPr>
                <w:b/>
                <w:i/>
              </w:rPr>
              <w:t>podkreśla, że poszanowanie praworządności stale się pogarsza;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wzywa Komisję Europejską, by wyraźnie uwzględniła rozważania dotyczące sprawiedliwości rasowej w przyszłych sprawozdaniach na temat praworządności oraz by zobowiązała państwa członkowskie do gromadzenia porównywalnych i rzetelnych zdezagregowanych danych dotyczących równouprawnienia, aby w pełni ocenić wpływ dyskryminacji strukturalnej na praworządność;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wzywa Komisję i państwa członkowskie do zapewnienia pełnego poszanowania praw osób LGBTQIA+ na całym terytorium UE oraz umożliwienia osobom LGBTQIA+ bezpiecznego życia, korzystania z przysługujących im praw i pełnego wykorzystania ich potencjału;</w:t>
            </w:r>
            <w:r>
              <w:t xml:space="preserve"> </w:t>
            </w:r>
            <w:r>
              <w:rPr>
                <w:b/>
                <w:i/>
              </w:rPr>
              <w:t>wzywa Komisję i Radę do uznania praw LGBTQIA+ za przekrojowy priorytet we wszystkich obszarach polityki;</w:t>
            </w:r>
            <w:r>
              <w:t xml:space="preserve"> </w:t>
            </w:r>
            <w:r>
              <w:rPr>
                <w:b/>
                <w:i/>
              </w:rPr>
              <w:t>wzywa Komisję do przedstawienia odpowiednich środków ustawodawczych w celu zapewnienia przestrzegania tych zasad, a także do opierania się na postępowaniach w sprawie uchybienia zobowiązaniom państwa członkowskiego;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34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ponawia apel do Komisji o zwalczanie wszelkich praktyk dyskryminacyjnych i ochronę zasad zapisanych w Karcie praw podstawowych Unii Europejskiej;</w:t>
            </w:r>
            <w:r>
              <w:t xml:space="preserve"> </w:t>
            </w:r>
            <w:r>
              <w:rPr>
                <w:b/>
                <w:i/>
              </w:rPr>
              <w:t>wzywa Komisję do dopilnowania, aby swobodny przepływ osób w UE, prawo do swobodnego pobytu i łączenie rodzin były w pełni przestrzegane na terytorium UE oraz aby każdy obywatel mógł na równi z innymi i w pełni korzystać ze swoich praw;</w:t>
            </w:r>
            <w:r>
              <w:t xml:space="preserve"> </w:t>
            </w:r>
            <w:r>
              <w:rPr>
                <w:b/>
                <w:i/>
              </w:rPr>
              <w:t>apeluje do Komisji o przekształcenie dyrektywy 2004/38/WE w celu uwzględnienia transgranicznego uznawania praw rodzinnych, w tym rodzicielstwa rodziców tej samej płci, w świetle najnowszych orzeczeń Trybunału Sprawiedliwości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podkreśla znaczenie uwzględnienia kamieni milowych dotyczących praworządności w instrumentach finansowania takich jak RRF;</w:t>
            </w:r>
            <w:r>
              <w:t xml:space="preserve"> </w:t>
            </w:r>
            <w:r>
              <w:rPr>
                <w:b/>
                <w:i/>
              </w:rPr>
              <w:t>ubolewa, że Węgry otrzymały fundusze unijne, chociaż w kraju tym występują niedociągnięcia w zakresie niezależności sądów i ram antykorupcyjnych;</w:t>
            </w:r>
            <w:r>
              <w:t xml:space="preserve"> </w:t>
            </w:r>
            <w:r>
              <w:rPr>
                <w:b/>
                <w:i/>
              </w:rPr>
              <w:t>zaleca zawieszenie wypłat do czasu spełnienia wszystkich kryteriów praworządności;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podkreśla znaczenie uwzględnienia kamieni milowych dotyczących praworządności w instrumentach finansowania takich jak RRF;</w:t>
            </w:r>
            <w:r>
              <w:t xml:space="preserve"> </w:t>
            </w:r>
            <w:r>
              <w:rPr>
                <w:b/>
                <w:i/>
              </w:rPr>
              <w:t>ubolewa, że Węgry otrzymały fundusze unijne, chociaż w kraju tym występują niedociągnięcia w zakresie niezależności sądów i ram antykorupcyjnych;</w:t>
            </w:r>
            <w:r>
              <w:t xml:space="preserve"> </w:t>
            </w:r>
            <w:r>
              <w:rPr>
                <w:b/>
                <w:i/>
              </w:rPr>
              <w:t>zaleca zawieszenie wypłat do czasu spełnienia wszystkich kryteriów praworządności;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podkreśla znaczenie uwzględnienia kamieni milowych dotyczących praworządności w instrumentach finansowania takich jak RRF;</w:t>
            </w:r>
            <w:r>
              <w:t xml:space="preserve"> </w:t>
            </w:r>
            <w:r>
              <w:rPr>
                <w:b/>
                <w:i/>
              </w:rPr>
              <w:t>ubolewa, że Węgry otrzymały fundusze unijne, chociaż w kraju tym występują niedociągnięcia w zakresie niezależności sądów i ram antykorupcyjnych;</w:t>
            </w:r>
            <w:r>
              <w:t xml:space="preserve"> </w:t>
            </w:r>
            <w:r>
              <w:rPr>
                <w:b/>
                <w:i/>
              </w:rPr>
              <w:t>zaleca zawieszenie wypłat do czasu spełnienia wszystkich kryteriów praworządności;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podkreśla znaczenie uwzględnienia kamieni milowych dotyczących praworządności w instrumentach finansowania takich jak RRF; ubolewa, że </w:t>
            </w:r>
            <w:r>
              <w:rPr>
                <w:b/>
                <w:i/>
              </w:rPr>
              <w:t>Węgry otrzymały</w:t>
            </w:r>
            <w:r>
              <w:t xml:space="preserve"> fundusze unijne, chociaż w kraju tym występują niedociągnięcia w zakresie niezależności sądów i ram antykorupcyjnych; zaleca zawieszenie wypłat do czasu spełnienia wszystkich kryteriów praworządności;</w:t>
            </w:r>
          </w:p>
        </w:tc>
        <w:tc>
          <w:tcPr>
            <w:tcW w:w="4876" w:type="dxa"/>
            <w:tcBorders>
              <w:top w:val="nil"/>
              <w:left w:val="nil"/>
              <w:bottom w:val="nil"/>
              <w:right w:val="nil"/>
            </w:tcBorders>
          </w:tcPr>
          <w:p>
            <w:pPr>
              <w:pStyle w:val="Normal6a"/>
            </w:pPr>
            <w:r>
              <w:t>35.</w:t>
            </w:r>
            <w:r>
              <w:tab/>
            </w:r>
            <w:r>
              <w:t xml:space="preserve">podkreśla znaczenie uwzględnienia kamieni milowych dotyczących praworządności w instrumentach finansowania takich jak RRF; ubolewa, że </w:t>
            </w:r>
            <w:r>
              <w:rPr>
                <w:b/>
                <w:i/>
              </w:rPr>
              <w:t>rząd Węgier otrzymał</w:t>
            </w:r>
            <w:r>
              <w:t xml:space="preserve"> fundusze unijne, chociaż w kraju tym </w:t>
            </w:r>
            <w:r>
              <w:rPr>
                <w:b/>
                <w:i/>
              </w:rPr>
              <w:t>nadal</w:t>
            </w:r>
            <w:r>
              <w:t xml:space="preserve"> występują </w:t>
            </w:r>
            <w:r>
              <w:rPr>
                <w:b/>
                <w:i/>
              </w:rPr>
              <w:t>poważne</w:t>
            </w:r>
            <w:r>
              <w:t xml:space="preserve"> niedociągnięcia w zakresie niezależności sądów i ram antykorupcyjnych; zaleca zawieszenie wypłat do czasu spełnienia wszystkich kryteriów praworządności; </w:t>
            </w:r>
            <w:r>
              <w:rPr>
                <w:b/>
                <w:i/>
              </w:rPr>
              <w:t>wzywa Radę do odblokowania kolejnych kroków w ramach procedury przewidzianej w art. 7 przeciwko Węgrom, z uwagi na utrzymujące się naruszenia wartości UE, w tym ataki na niezależność sądów, wolność mediów i społeczeństwo obywatelskie, które wymagają natychmiastowych i zdecydowanych działań w celu ochrony praworządności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podkreśla znaczenie uwzględnienia kamieni milowych dotyczących</w:t>
            </w:r>
            <w:r>
              <w:t xml:space="preserve"> praworządności </w:t>
            </w:r>
            <w:r>
              <w:rPr>
                <w:b/>
                <w:i/>
              </w:rPr>
              <w:t>w instrumentach finansowania takich jak RRF;</w:t>
            </w:r>
            <w:r>
              <w:t xml:space="preserve"> </w:t>
            </w:r>
            <w:r>
              <w:rPr>
                <w:b/>
                <w:i/>
              </w:rPr>
              <w:t>ubolewa, że</w:t>
            </w:r>
            <w:r>
              <w:t xml:space="preserve"> Węgry </w:t>
            </w:r>
            <w:r>
              <w:rPr>
                <w:b/>
                <w:i/>
              </w:rPr>
              <w:t>otrzymały fundusze unijne, chociaż w kraju tym występują niedociągnięcia w zakresie niezależności sądów i ram antykorupcyjnych;</w:t>
            </w:r>
            <w:r>
              <w:t xml:space="preserve"> </w:t>
            </w:r>
            <w:r>
              <w:rPr>
                <w:b/>
                <w:i/>
              </w:rPr>
              <w:t>zaleca zawieszenie wypłat do czasu spełnienia wszystkich kryteriów praworządności</w:t>
            </w:r>
            <w:r>
              <w:t>;</w:t>
            </w:r>
          </w:p>
        </w:tc>
        <w:tc>
          <w:tcPr>
            <w:tcW w:w="4876" w:type="dxa"/>
            <w:tcBorders>
              <w:top w:val="nil"/>
              <w:left w:val="nil"/>
              <w:bottom w:val="nil"/>
              <w:right w:val="nil"/>
            </w:tcBorders>
          </w:tcPr>
          <w:p>
            <w:pPr>
              <w:pStyle w:val="Normal6a"/>
            </w:pPr>
            <w:r>
              <w:t>35.</w:t>
            </w:r>
            <w:r>
              <w:tab/>
            </w:r>
            <w:r>
              <w:rPr>
                <w:b/>
                <w:i/>
              </w:rPr>
              <w:t>odnotowuje z zaniepokojeniem polityczną stronniczość Komisji podczas monitorowania kryteriów</w:t>
            </w:r>
            <w:r>
              <w:t xml:space="preserve"> praworządności </w:t>
            </w:r>
            <w:r>
              <w:rPr>
                <w:b/>
                <w:i/>
              </w:rPr>
              <w:t>za pomocą zestawu narzędzi na rzecz praworządności;</w:t>
            </w:r>
            <w:r>
              <w:t xml:space="preserve"> </w:t>
            </w:r>
            <w:r>
              <w:rPr>
                <w:b/>
                <w:i/>
              </w:rPr>
              <w:t>wzywa Komisję do zaprzestania ataków politycznych na prawicowe, konserwatywne rządy;</w:t>
            </w:r>
            <w:r>
              <w:t xml:space="preserve"> </w:t>
            </w:r>
            <w:r>
              <w:rPr>
                <w:b/>
                <w:i/>
              </w:rPr>
              <w:t>podkreśla, że Komisja szantażuje</w:t>
            </w:r>
            <w:r>
              <w:t xml:space="preserve"> Węgry </w:t>
            </w:r>
            <w:r>
              <w:rPr>
                <w:b/>
                <w:i/>
              </w:rPr>
              <w:t>pod względem finansowym i politycznym ze względu na ustawę o ochronie dzieci, ustawę o ochronie suwerenności narodowej oraz zdecydowane stanowisko w sprawie polityki migracyjnej;</w:t>
            </w:r>
            <w:r>
              <w:t xml:space="preserve"> </w:t>
            </w:r>
            <w:r>
              <w:rPr>
                <w:b/>
                <w:i/>
              </w:rPr>
              <w:t>przypomina, że Węgry są uprawnione do wszystkich środków UE, które zostały bezprawnie wstrzymane przez Komisję;</w:t>
            </w:r>
            <w:r>
              <w:t xml:space="preserve"> </w:t>
            </w:r>
            <w:r>
              <w:rPr>
                <w:b/>
                <w:i/>
              </w:rPr>
              <w:t>wzywa Komisję Europejską do uwolnienia pozostałych 20 mld EUR ze środków UE, do których otrzymania Węgry są zasadnie uprawnione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podkreśla znaczenie uwzględnienia kamieni milowych dotyczących</w:t>
            </w:r>
            <w:r>
              <w:t xml:space="preserve"> praworządności w instrumentach finansowania takich jak RRF; </w:t>
            </w:r>
            <w:r>
              <w:rPr>
                <w:b/>
                <w:i/>
              </w:rPr>
              <w:t>ubolewa, że Węgry otrzymały fundusze unijne, chociaż w kraju tym występują niedociągnięcia w zakresie niezależności sądów i ram antykorupcyjnych;</w:t>
            </w:r>
            <w:r>
              <w:t xml:space="preserve"> </w:t>
            </w:r>
            <w:r>
              <w:rPr>
                <w:b/>
                <w:i/>
              </w:rPr>
              <w:t>zaleca zawieszenie wypłat do czasu spełnienia wszystkich kryteriów praworządności;</w:t>
            </w:r>
          </w:p>
        </w:tc>
        <w:tc>
          <w:tcPr>
            <w:tcW w:w="4876" w:type="dxa"/>
            <w:tcBorders>
              <w:top w:val="nil"/>
              <w:left w:val="nil"/>
              <w:bottom w:val="nil"/>
              <w:right w:val="nil"/>
            </w:tcBorders>
          </w:tcPr>
          <w:p>
            <w:pPr>
              <w:pStyle w:val="Normal6a"/>
            </w:pPr>
            <w:r>
              <w:t>35.</w:t>
            </w:r>
            <w:r>
              <w:tab/>
            </w:r>
            <w:r>
              <w:rPr>
                <w:b/>
                <w:i/>
              </w:rPr>
              <w:t>odnotowuje, że kamienie milowe dotyczące</w:t>
            </w:r>
            <w:r>
              <w:t xml:space="preserve"> praworządności </w:t>
            </w:r>
            <w:r>
              <w:rPr>
                <w:b/>
                <w:i/>
              </w:rPr>
              <w:t>zostały uwzględnione</w:t>
            </w:r>
            <w:r>
              <w:t xml:space="preserve"> w instrumentach finansowania takich jak RRF;</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podkreśla znaczenie uwzględnienia kamieni milowych dotyczących praworządności w instrumentach finansowania takich jak RRF; ubolewa, że </w:t>
            </w:r>
            <w:r>
              <w:rPr>
                <w:b/>
                <w:i/>
              </w:rPr>
              <w:t>Węgry otrzymały</w:t>
            </w:r>
            <w:r>
              <w:t xml:space="preserve"> fundusze unijne, chociaż w kraju tym występują niedociągnięcia w zakresie niezależności sądów i ram antykorupcyjnych; zaleca zawieszenie wypłat do czasu spełnienia wszystkich kryteriów praworządności;</w:t>
            </w:r>
          </w:p>
        </w:tc>
        <w:tc>
          <w:tcPr>
            <w:tcW w:w="4876" w:type="dxa"/>
            <w:tcBorders>
              <w:top w:val="nil"/>
              <w:left w:val="nil"/>
              <w:bottom w:val="nil"/>
              <w:right w:val="nil"/>
            </w:tcBorders>
          </w:tcPr>
          <w:p>
            <w:pPr>
              <w:pStyle w:val="Normal6a"/>
            </w:pPr>
            <w:r>
              <w:t>35.</w:t>
            </w:r>
            <w:r>
              <w:tab/>
            </w:r>
            <w:r>
              <w:t xml:space="preserve">podkreśla znaczenie uwzględnienia kamieni milowych dotyczących praworządności w instrumentach finansowania takich jak RRF; ubolewa, że </w:t>
            </w:r>
            <w:r>
              <w:rPr>
                <w:b/>
                <w:i/>
              </w:rPr>
              <w:t>rząd Węgier otrzymał</w:t>
            </w:r>
            <w:r>
              <w:t xml:space="preserve"> fundusze unijne, chociaż w kraju tym występują niedociągnięcia w zakresie niezależności sądów i ram antykorupcyjnych; zaleca zawieszenie wypłat </w:t>
            </w:r>
            <w:r>
              <w:rPr>
                <w:b/>
                <w:i/>
              </w:rPr>
              <w:t>na rzecz rządu węgierskiego</w:t>
            </w:r>
            <w:r>
              <w:t xml:space="preserve"> do czasu spełnienia </w:t>
            </w:r>
            <w:r>
              <w:rPr>
                <w:b/>
                <w:i/>
              </w:rPr>
              <w:t>przez ten rząd</w:t>
            </w:r>
            <w:r>
              <w:t xml:space="preserve"> wszystkich kryteriów praworządności; </w:t>
            </w:r>
            <w:r>
              <w:rPr>
                <w:b/>
                <w:i/>
              </w:rPr>
              <w:t>wzywa Komisję do dopilnowania, by fundusze UE docierały do węgierskiego społeczeństwa, w tym poprzez bezpośrednie lub pośrednie finansowanie odbiorców i beneficjentów końcowych niezależnych od rządu węgierskiego;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podkreśla </w:t>
            </w:r>
            <w:r>
              <w:rPr>
                <w:b/>
                <w:i/>
              </w:rPr>
              <w:t>znaczenie uwzględnienia</w:t>
            </w:r>
            <w:r>
              <w:t xml:space="preserve"> kamieni milowych dotyczących praworządności w instrumentach finansowania takich jak RRF</w:t>
            </w:r>
            <w:r>
              <w:rPr>
                <w:b/>
                <w:i/>
              </w:rPr>
              <w:t>;</w:t>
            </w:r>
            <w:r>
              <w:t xml:space="preserve"> </w:t>
            </w:r>
            <w:r>
              <w:rPr>
                <w:b/>
                <w:i/>
              </w:rPr>
              <w:t>ubolewa</w:t>
            </w:r>
            <w:r>
              <w:t xml:space="preserve">, że Węgry otrzymały fundusze unijne, </w:t>
            </w:r>
            <w:r>
              <w:rPr>
                <w:b/>
                <w:i/>
              </w:rPr>
              <w:t>chociaż w kraju tym występują</w:t>
            </w:r>
            <w:r>
              <w:t xml:space="preserve"> niedociągnięcia w zakresie niezależności sądów i ram antykorupcyjnych</w:t>
            </w:r>
            <w:r>
              <w:rPr>
                <w:b/>
                <w:i/>
              </w:rPr>
              <w:t>;</w:t>
            </w:r>
            <w:r>
              <w:t xml:space="preserve"> </w:t>
            </w:r>
            <w:r>
              <w:rPr>
                <w:b/>
                <w:i/>
              </w:rPr>
              <w:t>zaleca zawieszenie wypłat do czasu spełnienia wszystkich kryteriów</w:t>
            </w:r>
            <w:r>
              <w:t xml:space="preserve"> praworządności;</w:t>
            </w:r>
          </w:p>
        </w:tc>
        <w:tc>
          <w:tcPr>
            <w:tcW w:w="4876" w:type="dxa"/>
            <w:tcBorders>
              <w:top w:val="nil"/>
              <w:left w:val="nil"/>
              <w:bottom w:val="nil"/>
              <w:right w:val="nil"/>
            </w:tcBorders>
          </w:tcPr>
          <w:p>
            <w:pPr>
              <w:pStyle w:val="Normal6a"/>
            </w:pPr>
            <w:r>
              <w:t>35.</w:t>
            </w:r>
            <w:r>
              <w:tab/>
            </w:r>
            <w:r>
              <w:t xml:space="preserve">podkreśla </w:t>
            </w:r>
            <w:r>
              <w:rPr>
                <w:b/>
                <w:i/>
              </w:rPr>
              <w:t>sprzeczność procedury</w:t>
            </w:r>
            <w:r>
              <w:t xml:space="preserve"> kamieni milowych dotyczących praworządności w instrumentach finansowania</w:t>
            </w:r>
            <w:r>
              <w:rPr>
                <w:b/>
                <w:i/>
              </w:rPr>
              <w:t>,</w:t>
            </w:r>
            <w:r>
              <w:t xml:space="preserve"> takich jak RRF</w:t>
            </w:r>
            <w:r>
              <w:rPr>
                <w:b/>
                <w:i/>
              </w:rPr>
              <w:t>, z koniecznością przestrzegania traktatów i podejścia opartego na obiektywnych kryteriach;</w:t>
            </w:r>
            <w:r>
              <w:t xml:space="preserve"> </w:t>
            </w:r>
            <w:r>
              <w:rPr>
                <w:b/>
                <w:i/>
              </w:rPr>
              <w:t>odnotowuje</w:t>
            </w:r>
            <w:r>
              <w:t xml:space="preserve">, że Węgry otrzymały fundusze unijne, </w:t>
            </w:r>
            <w:r>
              <w:rPr>
                <w:b/>
                <w:i/>
              </w:rPr>
              <w:t>co nie jest sprzeczne z traktatami, a rzekome</w:t>
            </w:r>
            <w:r>
              <w:t xml:space="preserve"> niedociągnięcia w zakresie niezależności sądów i ram antykorupcyjnych </w:t>
            </w:r>
            <w:r>
              <w:rPr>
                <w:b/>
                <w:i/>
              </w:rPr>
              <w:t>powinny być adresowane w procedurach zgodnych z traktatami;</w:t>
            </w:r>
            <w:r>
              <w:t xml:space="preserve"> </w:t>
            </w:r>
            <w:r>
              <w:rPr>
                <w:b/>
                <w:i/>
              </w:rPr>
              <w:t>podkreśla, że wypłaty z funduszy UE nie są powiązane z arbitralnymi kryteriami</w:t>
            </w:r>
            <w:r>
              <w:t xml:space="preserve"> praworządności;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podkreśla znaczenie uwzględnienia kamieni milowych dotyczących praworządności w instrumentach finansowania takich jak RRF; ubolewa, że </w:t>
            </w:r>
            <w:r>
              <w:rPr>
                <w:b/>
                <w:i/>
              </w:rPr>
              <w:t>Węgry otrzymały</w:t>
            </w:r>
            <w:r>
              <w:t xml:space="preserve"> fundusze unijne, chociaż w kraju tym występują niedociągnięcia w zakresie niezależności sądów i ram antykorupcyjnych; zaleca zawieszenie wypłat do czasu spełnienia wszystkich kryteriów praworządności;</w:t>
            </w:r>
          </w:p>
        </w:tc>
        <w:tc>
          <w:tcPr>
            <w:tcW w:w="4876" w:type="dxa"/>
            <w:tcBorders>
              <w:top w:val="nil"/>
              <w:left w:val="nil"/>
              <w:bottom w:val="nil"/>
              <w:right w:val="nil"/>
            </w:tcBorders>
          </w:tcPr>
          <w:p>
            <w:pPr>
              <w:pStyle w:val="Normal6a"/>
            </w:pPr>
            <w:r>
              <w:t>35.</w:t>
            </w:r>
            <w:r>
              <w:tab/>
            </w:r>
            <w:r>
              <w:t xml:space="preserve">podkreśla znaczenie uwzględnienia kamieni milowych dotyczących praworządności w instrumentach finansowania takich jak RRF; ubolewa, że </w:t>
            </w:r>
            <w:r>
              <w:rPr>
                <w:b/>
                <w:i/>
              </w:rPr>
              <w:t>rząd Węgier otrzymał</w:t>
            </w:r>
            <w:r>
              <w:t xml:space="preserve"> fundusze unijne, chociaż w kraju tym występują niedociągnięcia w zakresie niezależności sądów i ram antykorupcyjnych; zaleca zawieszenie wypłat </w:t>
            </w:r>
            <w:r>
              <w:rPr>
                <w:b/>
                <w:i/>
              </w:rPr>
              <w:t>na rzecz rządu węgierskiego</w:t>
            </w:r>
            <w:r>
              <w:t xml:space="preserve"> do czasu spełnienia </w:t>
            </w:r>
            <w:r>
              <w:rPr>
                <w:b/>
                <w:i/>
              </w:rPr>
              <w:t>przez ten rząd</w:t>
            </w:r>
            <w:r>
              <w:t xml:space="preserve"> wszystkich kryteriów praworządności; </w:t>
            </w:r>
            <w:r>
              <w:rPr>
                <w:b/>
                <w:i/>
              </w:rPr>
              <w:t>wzywa Komisję do dopilnowania, aby fundusze UE docierały do ludności Węgier, przy jednoczesnym utrzymaniu pełnego wpływu podjętych środków;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w imieniu Komisji Wolności Obywatelskich, Sprawiedliwości i Spraw Wewnętrznych</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podkreśla znaczenie uwzględnienia kamieni milowych dotyczących praworządności w instrumentach finansowania takich jak RRF; ubolewa, że Węgry otrzymały fundusze unijne, chociaż w kraju tym występują niedociągnięcia w zakresie niezależności sądów i ram antykorupcyjnych; zaleca zawieszenie wypłat do czasu spełnienia wszystkich kryteriów praworządności;</w:t>
            </w:r>
          </w:p>
        </w:tc>
        <w:tc>
          <w:tcPr>
            <w:tcW w:w="4876" w:type="dxa"/>
            <w:tcBorders>
              <w:top w:val="nil"/>
              <w:left w:val="nil"/>
              <w:bottom w:val="nil"/>
              <w:right w:val="nil"/>
            </w:tcBorders>
          </w:tcPr>
          <w:p>
            <w:pPr>
              <w:pStyle w:val="Normal6a"/>
            </w:pPr>
            <w:r>
              <w:t>35.</w:t>
            </w:r>
            <w:r>
              <w:tab/>
            </w:r>
            <w:r>
              <w:t xml:space="preserve">podkreśla znaczenie uwzględnienia kamieni milowych dotyczących praworządności w instrumentach finansowania takich jak RRF; </w:t>
            </w:r>
            <w:r>
              <w:rPr>
                <w:b/>
                <w:i/>
              </w:rPr>
              <w:t>domaga się, aby przyszłe WRF obejmowały solidne zabezpieczenia dotyczące praworządności mające zastosowanie do wszystkich funduszy UE;</w:t>
            </w:r>
            <w:r>
              <w:t xml:space="preserve"> ubolewa, że Węgry otrzymały fundusze unijne, chociaż w kraju tym występują niedociągnięcia w zakresie niezależności sądów i ram antykorupcyjnych; zaleca zawieszenie wypłat do czasu spełnienia wszystkich kryteriów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wyraża głębokie zaniepokojenie wzrostem skrajnie prawicowego ekstremizmu i jego destrukcyjnym wpływem na normy demokratyczne i praworządność w kilku państwach członkowskich;</w:t>
            </w:r>
            <w:r>
              <w:t xml:space="preserve"> </w:t>
            </w:r>
            <w:r>
              <w:rPr>
                <w:b/>
                <w:i/>
              </w:rPr>
              <w:t>wzywa do podjęcia skoordynowanych działań UE w celu przeciwdziałania temu zagrożeniu, w tym poprzez edukację, programy włączenia społecznego oraz, w razie potrzeby, środki prawne;</w:t>
            </w:r>
            <w:r>
              <w:t xml:space="preserve"> </w:t>
            </w:r>
            <w:r>
              <w:rPr>
                <w:b/>
                <w:i/>
              </w:rPr>
              <w:t>zauważa z zaniepokojeniem, że grupy te aktywnie atakują mniejszości, w tym osoby LGBTQI+, i przyczyniają się do powstawania atmosfery strachu i dyskryminacji;</w:t>
            </w:r>
            <w:r>
              <w:t xml:space="preserve"> </w:t>
            </w:r>
            <w:r>
              <w:rPr>
                <w:b/>
                <w:i/>
              </w:rPr>
              <w:t>wzywa Komisję, by w rocznym sprawozdaniu na temat praworządności wyraźnie określiła takie grupy jako zagrożenie dla demokracji, praw człowieka i podstawowych wolności, w tym niezależności akademickiej i medialnej;</w:t>
            </w:r>
            <w:r>
              <w:t xml:space="preserve"> </w:t>
            </w:r>
            <w:r>
              <w:rPr>
                <w:b/>
                <w:i/>
              </w:rPr>
              <w:t>wzywa państwa członkowskie do podjęcia zdecydowanych kroków w celu przeciwdziałania wpływom tych grup poprzez solidne ramy prawne, edukację promującą wartości demokratyczne oraz wsparcie dla organizacji społeczeństwa obywatelskiego zwalczających ekstremizm;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apeluje o wprowadzenie w rozporządzeniu w sprawie wieloletnich ram finansowych instrumentu opartego na wynikach w zakresie poszanowania godności ludzkiej, wolności, demokracji, równości, praworządności i praw człowieka w celu ściślejszego powiązania przestrzegania tych zasad z przyznawaniem środków z funduszu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nalega, aby wprowadzono ściślejszy związek między ustaleniami zawartymi w sprawozdaniu na temat praworządności a przydziałem wsparcia finansowego z budżetu Unii, zgodnie z logiką „kamieni milowych”, co zapewni powiązanie funduszy UE z przeprowadzeniem niezbędnych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wyraża zaniepokojenie, że data publikacji rocznego sprawozdania na temat praworządności nie sprzyja zapewnieniu wystarczającej widoczności i jest sprzeczna z zamierzonym celem sprawozdania, jakim jest zainicjowanie prawdziwej debaty publicznej na temat jego ustaleń;</w:t>
            </w:r>
            <w:r>
              <w:t xml:space="preserve"> </w:t>
            </w:r>
            <w:r>
              <w:rPr>
                <w:b/>
                <w:i/>
              </w:rPr>
              <w:t>wzywa Komisję do ponownego rozważenia daty publikacji i podjęcia dodatkowych wysiłków w celu rozpowszechnienia wiedzy na temat ustaleń zawartych w sprawozdaniu we wszystkich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oczekuje, że w sprawozdaniu Komisji na temat praworządności z 2025 r. określone zostaną terminy wdrożenia zaleceń dla poszczególnych krajów;</w:t>
            </w:r>
            <w:r>
              <w:t xml:space="preserve"> </w:t>
            </w:r>
            <w:r>
              <w:rPr>
                <w:b/>
                <w:i/>
              </w:rPr>
              <w:t>utrzymuje, że zamrożone fundusze UE powinny zostać uwolnione dopiero po pełnym wdrożeniu znaczących reform i po sprawdzeniu w praktyce poszanowania zasady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zachęca państwa członkowskie do wzmocnienia demokracji środowiskowej poprzez zapewnienie pełnego wdrożenia konwencji z Aarhus, w szczególności w odniesieniu do dostępu do wymiaru sprawiedliwości w sprawach dotyczących środowiska oraz ochrony działaczy i organizacji działających na rzecz środowiska;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uważa, że należy wzmocnić dialog międzyinstytucjonalny i współpracę w zakresie praworządności na szczeblu UE;</w:t>
            </w:r>
            <w:r>
              <w:t xml:space="preserve"> </w:t>
            </w:r>
            <w:r>
              <w:rPr>
                <w:b/>
                <w:i/>
              </w:rPr>
              <w:t>apeluje o ustanowienie stałego dialogu międzyinstytucjonalnego na temat praworządności z udziałem m.in. Parlamentu, Rady i Komisji;</w:t>
            </w:r>
            <w:r>
              <w:t xml:space="preserve"> </w:t>
            </w:r>
            <w:r>
              <w:rPr>
                <w:b/>
                <w:i/>
              </w:rPr>
              <w:t>wzywa Radę do zwiększenia inkluzywności dialogu na temat praworządności przez zapraszanie na swoje sesje innych instytucji, takich jak Komisja Wenecka, Komisarz Praw Człowieka i przedstawiciele Parlamentu;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uważa, że należy wzmocnić dialog międzyinstytucjonalny i współpracę w zakresie praworządności na szczeblu UE;</w:t>
            </w:r>
            <w:r>
              <w:t xml:space="preserve"> </w:t>
            </w:r>
            <w:r>
              <w:rPr>
                <w:b/>
                <w:i/>
              </w:rPr>
              <w:t>apeluje o ustanowienie stałego dialogu międzyinstytucjonalnego na temat praworządności z udziałem m.in. Parlamentu, Rady i Komisji;</w:t>
            </w:r>
            <w:r>
              <w:t xml:space="preserve"> </w:t>
            </w:r>
            <w:r>
              <w:rPr>
                <w:b/>
                <w:i/>
              </w:rPr>
              <w:t>wzywa Radę do zwiększenia inkluzywności dialogu na temat praworządności przez zapraszanie na swoje sesje innych instytucji, takich jak Komisja Wenecka, Komisarz Praw Człowieka i przedstawiciele Parlamentu;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uważa, że należy wzmocnić dialog międzyinstytucjonalny i współpracę w zakresie praworządności na szczeblu UE;</w:t>
            </w:r>
            <w:r>
              <w:t xml:space="preserve"> </w:t>
            </w:r>
            <w:r>
              <w:rPr>
                <w:b/>
                <w:i/>
              </w:rPr>
              <w:t>apeluje o ustanowienie stałego dialogu międzyinstytucjonalnego na temat praworządności z udziałem m.in. Parlamentu, Rady i Komisji;</w:t>
            </w:r>
            <w:r>
              <w:t xml:space="preserve"> </w:t>
            </w:r>
            <w:r>
              <w:rPr>
                <w:b/>
                <w:i/>
              </w:rPr>
              <w:t>wzywa Radę do zwiększenia inkluzywności dialogu na temat praworządności przez zapraszanie na swoje sesje innych instytucji, takich jak Komisja Wenecka, Komisarz Praw Człowieka i przedstawiciele Parlamentu;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uważa, że należy wzmocnić dialog międzyinstytucjonalny i współpracę w zakresie praworządności na szczeblu UE; </w:t>
            </w:r>
            <w:r>
              <w:rPr>
                <w:b/>
                <w:i/>
              </w:rPr>
              <w:t>apeluje o ustanowienie stałego dialogu</w:t>
            </w:r>
            <w:r>
              <w:t xml:space="preserve"> międzyinstytucjonalnego na temat praworządności </w:t>
            </w:r>
            <w:r>
              <w:rPr>
                <w:b/>
                <w:i/>
              </w:rPr>
              <w:t>z udziałem m.in. Parlamentu, Rady i Komisji</w:t>
            </w:r>
            <w:r>
              <w:t>; wzywa Radę do zwiększenia inkluzywności dialogu na temat praworządności przez zapraszanie na swoje sesje innych instytucji, takich jak Komisja Wenecka, Komisarz Praw Człowieka i przedstawiciele Parlamentu;</w:t>
            </w:r>
          </w:p>
        </w:tc>
        <w:tc>
          <w:tcPr>
            <w:tcW w:w="4876" w:type="dxa"/>
            <w:tcBorders>
              <w:top w:val="nil"/>
              <w:left w:val="nil"/>
              <w:bottom w:val="nil"/>
              <w:right w:val="nil"/>
            </w:tcBorders>
          </w:tcPr>
          <w:p>
            <w:pPr>
              <w:pStyle w:val="Normal6a"/>
            </w:pPr>
            <w:r>
              <w:t>36.</w:t>
            </w:r>
            <w:r>
              <w:tab/>
            </w:r>
            <w:r>
              <w:t xml:space="preserve">uważa, że należy wzmocnić dialog międzyinstytucjonalny i współpracę w zakresie praworządności na szczeblu UE; </w:t>
            </w:r>
            <w:r>
              <w:rPr>
                <w:b/>
                <w:i/>
              </w:rPr>
              <w:t>ubolewa, że Komisja i Rada dotychczas odrzucały propozycję Parlamentu dotyczącą zawarcia porozumienia</w:t>
            </w:r>
            <w:r>
              <w:t xml:space="preserve"> międzyinstytucjonalnego </w:t>
            </w:r>
            <w:r>
              <w:rPr>
                <w:b/>
                <w:i/>
              </w:rPr>
              <w:t>w sprawie demokracji, praworządności i praw podstawowych;</w:t>
            </w:r>
            <w:r>
              <w:t xml:space="preserve"> </w:t>
            </w:r>
            <w:r>
              <w:rPr>
                <w:b/>
                <w:i/>
              </w:rPr>
              <w:t>potwierdza swoją gotowość do wznowienia rozmów</w:t>
            </w:r>
            <w:r>
              <w:t xml:space="preserve"> na temat </w:t>
            </w:r>
            <w:r>
              <w:rPr>
                <w:b/>
                <w:i/>
              </w:rPr>
              <w:t>tego porozumienia;</w:t>
            </w:r>
            <w:r>
              <w:t xml:space="preserve"> </w:t>
            </w:r>
            <w:r>
              <w:rPr>
                <w:b/>
                <w:i/>
              </w:rPr>
              <w:t>w międzyczasie wzywa pozostałe instytucje, aby przynajmniej rozważyły dalszą współpracę w kontekście proponowanego międzyinstytucjonalnego projektu pilotażowego dotyczącego demokracji,</w:t>
            </w:r>
            <w:r>
              <w:t xml:space="preserve"> praworządności </w:t>
            </w:r>
            <w:r>
              <w:rPr>
                <w:b/>
                <w:i/>
              </w:rPr>
              <w:t>i praw podstawowych, co pomogłoby w budowaniu zaufania między instytucjami w praktyce, w szczególności przez wymianę praktyk w zakresie monitorowania, dialogu i spotkań</w:t>
            </w:r>
            <w:r>
              <w:t xml:space="preserve">; wzywa Radę do zwiększenia inkluzywności dialogu na temat praworządności przez zapraszanie na swoje sesje innych instytucji, takich jak Komisja Wenecka, Komisarz Praw Człowieka </w:t>
            </w:r>
            <w:r>
              <w:rPr>
                <w:b/>
                <w:i/>
              </w:rPr>
              <w:t>Rady Europy</w:t>
            </w:r>
            <w:r>
              <w:t xml:space="preserve"> i przedstawiciele Parlamentu; </w:t>
            </w:r>
            <w:r>
              <w:rPr>
                <w:b/>
                <w:i/>
              </w:rPr>
              <w:t>uważa, że dialog Rady w sprawie praworządności powinien stać się bardziej interaktywny i znaczący, w związku z czym wzywa państwa członkowskie do inwestowania w odpowiednie przygotowania do tego dialogu;</w:t>
            </w:r>
            <w:r>
              <w:t xml:space="preserve"> </w:t>
            </w:r>
            <w:r>
              <w:rPr>
                <w:b/>
                <w:i/>
              </w:rPr>
              <w:t>podkreśla, że większa przejrzystość wzmocniłaby dialog na temat praworządności w Unii; w związku z tym zachęca Radę do upublicznienia dyskusji dotyczących poszczególnych krajów, w tym szczegółowych wniosków;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uważa, że należy wzmocnić dialog międzyinstytucjonalny i współpracę w zakresie praworządności na szczeblu UE</w:t>
            </w:r>
            <w:r>
              <w:rPr>
                <w:b/>
                <w:i/>
              </w:rPr>
              <w:t>;</w:t>
            </w:r>
            <w:r>
              <w:t xml:space="preserve"> </w:t>
            </w:r>
            <w:r>
              <w:rPr>
                <w:b/>
                <w:i/>
              </w:rPr>
              <w:t>apeluje o ustanowienie stałego dialogu międzyinstytucjonalnego na temat praworządności z udziałem m.in. Parlamentu, Rady i Komisji;</w:t>
            </w:r>
            <w:r>
              <w:t xml:space="preserve"> </w:t>
            </w:r>
            <w:r>
              <w:rPr>
                <w:b/>
                <w:i/>
              </w:rPr>
              <w:t>wzywa Radę do zwiększenia inkluzywności dialogu na temat praworządności przez zapraszanie na swoje sesje innych</w:t>
            </w:r>
            <w:r>
              <w:t xml:space="preserve"> instytucji</w:t>
            </w:r>
            <w:r>
              <w:rPr>
                <w:b/>
                <w:i/>
              </w:rPr>
              <w:t>, takich jak Komisja Wenecka, Komisarz Praw Człowieka i przedstawiciele Parlamentu</w:t>
            </w:r>
            <w:r>
              <w:t>;</w:t>
            </w:r>
          </w:p>
        </w:tc>
        <w:tc>
          <w:tcPr>
            <w:tcW w:w="4876" w:type="dxa"/>
            <w:tcBorders>
              <w:top w:val="nil"/>
              <w:left w:val="nil"/>
              <w:bottom w:val="nil"/>
              <w:right w:val="nil"/>
            </w:tcBorders>
          </w:tcPr>
          <w:p>
            <w:pPr>
              <w:pStyle w:val="Normal6a"/>
            </w:pPr>
            <w:r>
              <w:t>36.</w:t>
            </w:r>
            <w:r>
              <w:tab/>
            </w:r>
            <w:r>
              <w:t xml:space="preserve">uważa, że należy wzmocnić dialog międzyinstytucjonalny i współpracę w zakresie praworządności na szczeblu UE </w:t>
            </w:r>
            <w:r>
              <w:rPr>
                <w:b/>
                <w:i/>
              </w:rPr>
              <w:t>oraz walkę z korupcją poprzez włączenie</w:t>
            </w:r>
            <w:r>
              <w:t xml:space="preserve"> instytucji </w:t>
            </w:r>
            <w:r>
              <w:rPr>
                <w:b/>
                <w:i/>
              </w:rPr>
              <w:t>UE w zakres kontroli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w imieniu Komisji Wolności Obywatelskich, Sprawiedliwości i Spraw Wewnętrznych</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uważa, że należy wzmocnić dialog międzyinstytucjonalny i współpracę w zakresie praworządności na szczeblu UE; apeluje o ustanowienie stałego dialogu międzyinstytucjonalnego na temat praworządności z udziałem </w:t>
            </w:r>
            <w:r>
              <w:rPr>
                <w:b/>
                <w:i/>
              </w:rPr>
              <w:t>m.in.</w:t>
            </w:r>
            <w:r>
              <w:t xml:space="preserve"> Parlamentu, Rady i Komisji; wzywa Radę do zwiększenia inkluzywności dialogu na temat praworządności przez zapraszanie na swoje sesje innych instytucji, takich jak Komisja Wenecka, Komisarz Praw Człowieka i przedstawiciele Parlamentu;</w:t>
            </w:r>
          </w:p>
        </w:tc>
        <w:tc>
          <w:tcPr>
            <w:tcW w:w="4876" w:type="dxa"/>
            <w:tcBorders>
              <w:top w:val="nil"/>
              <w:left w:val="nil"/>
              <w:bottom w:val="nil"/>
              <w:right w:val="nil"/>
            </w:tcBorders>
          </w:tcPr>
          <w:p>
            <w:pPr>
              <w:pStyle w:val="Normal6a"/>
            </w:pPr>
            <w:r>
              <w:t>36.</w:t>
            </w:r>
            <w:r>
              <w:tab/>
            </w:r>
            <w:r>
              <w:t xml:space="preserve">uważa, że należy wzmocnić dialog międzyinstytucjonalny i współpracę w zakresie praworządności na szczeblu UE; apeluje o ustanowienie stałego dialogu międzyinstytucjonalnego </w:t>
            </w:r>
            <w:r>
              <w:rPr>
                <w:b/>
                <w:i/>
              </w:rPr>
              <w:t>poprzez zawarcie porozumienia międzyinstytucjonalnego</w:t>
            </w:r>
            <w:r>
              <w:t xml:space="preserve"> na temat praworządności z udziałem Parlamentu, Rady i Komisji; wzywa Radę do zwiększenia inkluzywności dialogu na temat praworządności przez zapraszanie na swoje sesje innych instytucji, takich jak Komisja Wenecka, Komisarz Praw Człowieka i przedstawiciele Parlamentu</w:t>
            </w:r>
            <w:r>
              <w:rPr>
                <w:b/>
                <w:i/>
              </w:rPr>
              <w:t>, lub przynajmniej systematyczne przekazywanie Parlamentowi Europejskiemu informacji z posiedzeń poświęconych dialogowi na temat praworządności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uważa, że należy wzmocnić dialog międzyinstytucjonalny i współpracę w zakresie praworządności na szczeblu UE; apeluje o ustanowienie stałego dialogu międzyinstytucjonalnego na temat praworządności z udziałem m.in. Parlamentu, Rady i Komisji; wzywa Radę do zwiększenia inkluzywności dialogu na temat praworządności przez zapraszanie na swoje sesje innych instytucji, takich jak Komisja Wenecka, Komisarz Praw Człowieka i przedstawiciele Parlamentu;</w:t>
            </w:r>
          </w:p>
        </w:tc>
        <w:tc>
          <w:tcPr>
            <w:tcW w:w="4876" w:type="dxa"/>
            <w:tcBorders>
              <w:top w:val="nil"/>
              <w:left w:val="nil"/>
              <w:bottom w:val="nil"/>
              <w:right w:val="nil"/>
            </w:tcBorders>
          </w:tcPr>
          <w:p>
            <w:pPr>
              <w:pStyle w:val="Normal6a"/>
            </w:pPr>
            <w:r>
              <w:t>36.</w:t>
            </w:r>
            <w:r>
              <w:tab/>
            </w:r>
            <w:r>
              <w:t xml:space="preserve">uważa, że należy wzmocnić dialog międzyinstytucjonalny i współpracę w zakresie praworządności na szczeblu UE; apeluje o ustanowienie stałego dialogu międzyinstytucjonalnego na temat praworządności z udziałem m.in. Parlamentu, Rady i Komisji; wzywa Radę do zwiększenia inkluzywności dialogu na temat praworządności przez zapraszanie na swoje sesje innych instytucji, takich jak Komisja Wenecka, Komisarz Praw Człowieka i przedstawiciele Parlamentu; </w:t>
            </w:r>
            <w:r>
              <w:rPr>
                <w:b/>
                <w:i/>
              </w:rPr>
              <w:t>wzywa Radę do współpracy z parlamentami narodowymi w celu wzmocnienia demokratycznego nadzoru nad przestrzeganiem przez państwa członkowskie unijnych standardów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uważa, że należy</w:t>
            </w:r>
            <w:r>
              <w:t xml:space="preserve"> wzmocnić dialog międzyinstytucjonalny i współpracę w zakresie praworządności na szczeblu UE</w:t>
            </w:r>
            <w:r>
              <w:rPr>
                <w:b/>
                <w:i/>
              </w:rPr>
              <w:t>;</w:t>
            </w:r>
            <w:r>
              <w:t xml:space="preserve"> </w:t>
            </w:r>
            <w:r>
              <w:rPr>
                <w:b/>
                <w:i/>
              </w:rPr>
              <w:t>apeluje o ustanowienie stałego dialogu międzyinstytucjonalnego na temat praworządności z udziałem m.in.</w:t>
            </w:r>
            <w:r>
              <w:t xml:space="preserve"> Parlamentu</w:t>
            </w:r>
            <w:r>
              <w:rPr>
                <w:b/>
                <w:i/>
              </w:rPr>
              <w:t>, Rady i Komisji;</w:t>
            </w:r>
            <w:r>
              <w:t xml:space="preserve"> </w:t>
            </w:r>
            <w:r>
              <w:rPr>
                <w:b/>
                <w:i/>
              </w:rPr>
              <w:t>wzywa Radę do zwiększenia inkluzywności</w:t>
            </w:r>
            <w:r>
              <w:t xml:space="preserve"> dialogu </w:t>
            </w:r>
            <w:r>
              <w:rPr>
                <w:b/>
                <w:i/>
              </w:rPr>
              <w:t>na temat</w:t>
            </w:r>
            <w:r>
              <w:t xml:space="preserve"> praworządności </w:t>
            </w:r>
            <w:r>
              <w:rPr>
                <w:b/>
                <w:i/>
              </w:rPr>
              <w:t>przez zapraszanie na swoje sesje innych instytucji, takich jak Komisja Wenecka, Komisarz Praw Człowieka i przedstawiciele Parlamentu</w:t>
            </w:r>
            <w:r>
              <w:t>;</w:t>
            </w:r>
          </w:p>
        </w:tc>
        <w:tc>
          <w:tcPr>
            <w:tcW w:w="4876" w:type="dxa"/>
            <w:tcBorders>
              <w:top w:val="nil"/>
              <w:left w:val="nil"/>
              <w:bottom w:val="nil"/>
              <w:right w:val="nil"/>
            </w:tcBorders>
          </w:tcPr>
          <w:p>
            <w:pPr>
              <w:pStyle w:val="Normal6a"/>
            </w:pPr>
            <w:r>
              <w:t>36.</w:t>
            </w:r>
            <w:r>
              <w:tab/>
            </w:r>
            <w:r>
              <w:rPr>
                <w:b/>
                <w:i/>
              </w:rPr>
              <w:t>zauważa, że istnieją głosy, by</w:t>
            </w:r>
            <w:r>
              <w:t xml:space="preserve"> wzmocnić dialog międzyinstytucjonalny i współpracę w zakresie praworządności na szczeblu UE</w:t>
            </w:r>
            <w:r>
              <w:rPr>
                <w:b/>
                <w:i/>
              </w:rPr>
              <w:t>, co jednak nie jest zgodne z literą traktatów;</w:t>
            </w:r>
            <w:r>
              <w:t xml:space="preserve"> </w:t>
            </w:r>
            <w:r>
              <w:rPr>
                <w:b/>
                <w:i/>
              </w:rPr>
              <w:t>zauważa przy tym, iż szczególnie pozycje</w:t>
            </w:r>
            <w:r>
              <w:t xml:space="preserve"> Parlamentu </w:t>
            </w:r>
            <w:r>
              <w:rPr>
                <w:b/>
                <w:i/>
              </w:rPr>
              <w:t>są często naznaczone interesem partyjnym poszczególnych ugrupowań, co tylko wzmacnia stronniczość i polityczny wymiar tzw. "</w:t>
            </w:r>
            <w:r>
              <w:t>dialogu</w:t>
            </w:r>
            <w:r>
              <w:rPr>
                <w:b/>
                <w:i/>
              </w:rPr>
              <w:t>" w sprawie</w:t>
            </w:r>
            <w:r>
              <w:t xml:space="preserve"> praworządności;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uważa, że należy wzmocnić dialog międzyinstytucjonalny i współpracę w zakresie praworządności na szczeblu UE; apeluje o ustanowienie </w:t>
            </w:r>
            <w:r>
              <w:rPr>
                <w:b/>
                <w:i/>
              </w:rPr>
              <w:t>stałego dialogu międzyinstytucjonalnego na temat</w:t>
            </w:r>
            <w:r>
              <w:t xml:space="preserve"> praworządności </w:t>
            </w:r>
            <w:r>
              <w:rPr>
                <w:b/>
                <w:i/>
              </w:rPr>
              <w:t>z udziałem m.in. Parlamentu, Rady i Komisji;</w:t>
            </w:r>
            <w:r>
              <w:t xml:space="preserve"> </w:t>
            </w:r>
            <w:r>
              <w:rPr>
                <w:b/>
                <w:i/>
              </w:rPr>
              <w:t>wzywa Radę do zwiększenia inkluzywności dialogu na temat praworządności przez zapraszanie na swoje sesje innych instytucji, takich jak Komisja Wenecka, Komisarz Praw Człowieka i przedstawiciele Parlamentu</w:t>
            </w:r>
            <w:r>
              <w:t>;</w:t>
            </w:r>
          </w:p>
        </w:tc>
        <w:tc>
          <w:tcPr>
            <w:tcW w:w="4876" w:type="dxa"/>
            <w:tcBorders>
              <w:top w:val="nil"/>
              <w:left w:val="nil"/>
              <w:bottom w:val="nil"/>
              <w:right w:val="nil"/>
            </w:tcBorders>
          </w:tcPr>
          <w:p>
            <w:pPr>
              <w:pStyle w:val="Normal6a"/>
            </w:pPr>
            <w:r>
              <w:t>36.</w:t>
            </w:r>
            <w:r>
              <w:tab/>
            </w:r>
            <w:r>
              <w:t xml:space="preserve">uważa, że należy wzmocnić dialog międzyinstytucjonalny i współpracę w zakresie praworządności na szczeblu UE; apeluje o ustanowienie </w:t>
            </w:r>
            <w:r>
              <w:rPr>
                <w:b/>
                <w:i/>
              </w:rPr>
              <w:t>europejskiego semestru na rzecz</w:t>
            </w:r>
            <w:r>
              <w:t xml:space="preserve"> praworządności</w:t>
            </w:r>
            <w:r>
              <w:rPr>
                <w:b/>
                <w:i/>
              </w:rPr>
              <w:t>, a tym samym stworzenie ram, w których kluczową rolę odegrają Rada i Parlament Europejski, przy wsparciu Komisji uprawnionej do egzekwowania przestrzegania przepisów;</w:t>
            </w:r>
            <w:r>
              <w:t xml:space="preserve"> </w:t>
            </w:r>
            <w:r>
              <w:rPr>
                <w:b/>
                <w:i/>
              </w:rPr>
              <w:t>zwraca uwagę, że ramy te rozwiązałyby problem deficytu demokratycznego i zapewniłyby przestrzeganie praworządności we wszystkich państwach członkowskich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wyraża głębokie ubolewanie z powodu niezdolności Rady do poczynienia znaczących postępów w toku trwającej procedury określonej w art. 7 ust. 1 TUE;</w:t>
            </w:r>
            <w:r>
              <w:t xml:space="preserve"> </w:t>
            </w:r>
            <w:r>
              <w:rPr>
                <w:b/>
                <w:i/>
              </w:rPr>
              <w:t>wzywa Radę do dopilnowania, aby przesłuchania dotyczące toczących się procedur na mocy art. 7 odbywały się co najmniej raz na prezydencję i dotyczyły także nowych wydarzeń wpływających na praworządność, demokrację i prawa podstawowe;</w:t>
            </w:r>
            <w:r>
              <w:t xml:space="preserve"> </w:t>
            </w:r>
            <w:r>
              <w:rPr>
                <w:b/>
                <w:i/>
              </w:rPr>
              <w:t>podkreśla, że nie ma potrzeby uzyskania jednomyślności w Radzie, aby wskazać wyraźne ryzyko wystąpienia poważnego naruszenia unijnych wartości określonych w art. 7 ust. 1 TUE, skierować do zainteresowanych państw członkowskich konkretne zalecenia lub określić terminy wykonania tych zaleceń;</w:t>
            </w:r>
            <w:r>
              <w:t xml:space="preserve"> </w:t>
            </w:r>
            <w:r>
              <w:rPr>
                <w:b/>
                <w:i/>
              </w:rPr>
              <w:t>przypomina apel do Rady w tej sprawie i podkreśla, że jakiekolwiek dalsze opóźnianie takich działań stanowiłoby naruszenie zasady praworządności przez samą Radę;</w:t>
            </w:r>
            <w:r>
              <w:t xml:space="preserve"> </w:t>
            </w:r>
            <w:r>
              <w:rPr>
                <w:b/>
                <w:i/>
              </w:rPr>
              <w:t>domaga się poszanowania roli i kompetencji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przypomina o swoim długoletnim postulacie ustanowienia unijnego mechanizmu na rzecz demokracji, praworządności i praw podstawowych w formie porozumienia międzyinstytucjonalnego oraz wzywa Komisję i Radę do zawarcia takiego porozumienia międzyinstytucjonalnego;</w:t>
            </w:r>
            <w:r>
              <w:t xml:space="preserve"> </w:t>
            </w:r>
            <w:r>
              <w:rPr>
                <w:b/>
                <w:i/>
              </w:rPr>
              <w:t>przypomina, że nowy mechanizm powinien integrować i uzupełniać istniejące mechanizmy, w tym sprawozdanie w sprawie praworządności, powinien być oparty na dowodach, obiektywny, skierowany do państw członkowskich i instytucji UE, obejmować środki zapobiegawcze i naprawcze, oraz powinien być wspierany przez zespół niezależnych ekspertów;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wzywa państwa członkowskie do dopilnowania, aby wszelkie reformy legislacyjne mające wpływ na podział władzy były w pełni zgodne z europejskimi zasadami prawnymi;</w:t>
            </w:r>
            <w:r>
              <w:t xml:space="preserve"> </w:t>
            </w:r>
            <w:r>
              <w:rPr>
                <w:b/>
                <w:i/>
              </w:rPr>
              <w:t>wzywa Komisję do oceny, czy środki ustawodawcze mające wpływ na sądownictwo, korzyści prawne lub kontrolę wykonawczą nad instytucjami sądowymi są zgodne z art. 2 TUE i czy mogą uzasadniać wszczęcie postępowania na mocy art. 7 TUE;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uważa, że należy dalej zacieśniać współpracę między UE a organizacjami międzynarodowymi, takimi jak Rada Europy, OBWE i Organizacja Narodów Zjednoczonych, w promowaniu i obronie demokracji, praworządności, podstawowych wolności i praw człowieka, w tym praw mniejszości;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uważa, że współpraca między państwami członkowskimi ma szczególne znaczenie dla rozwoju demokracji, praworządności i praw podstawowych w UE;</w:t>
            </w:r>
            <w:r>
              <w:t xml:space="preserve"> </w:t>
            </w:r>
            <w:r>
              <w:rPr>
                <w:b/>
                <w:i/>
              </w:rPr>
              <w:t>wzywa Komisję do przestrzegania własnych zasad w dziedzinie przejrzystości, walki z korupcją i sprawiedliwości;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wzywa państwa członkowskie do dopilnowania, aby środki nadzwyczajne przyjmowane w odpowiedzi na kryzysy (takie jak pandemie lub zagrożenia bezpieczeństwa) podlegały regularnej kontroli parlamentarnej i kontroli sądowej oraz były ściśle ograniczone w czasie i proporcjonalne;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ubolewa, że Komisja nie uwzględniła wielu ponawianych wniosków Parlamentu dotyczących sprawozdań Komisji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domaga się, aby Komisja wydała do 31 grudnia 2025 r. komunikat zawierający szczegółowe informacje na temat wniosków przyjętych przez Parlament w związku ze sprawozdaniami Komisji na temat praworządności przedstawianymi od 2021 r., które Komisja wdroży, których nie zamierza wdrożyć, a także konkretne powody ewentualnej odmowy;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podkreśla, że państwa członkowskie muszą rozwiązać problem różnic w traktowaniu kobiet i mężczyzn w sądownictwie i innych kluczowych instytucjach demokratycznych;</w:t>
            </w:r>
            <w:r>
              <w:t xml:space="preserve"> </w:t>
            </w:r>
            <w:r>
              <w:rPr>
                <w:b/>
                <w:i/>
              </w:rPr>
              <w:t>zaleca wdrożenie ukierunkowanych środków mających na celu zwiększenie reprezentacji kobiet na wyższych stanowiskach w sądownictwie i administracji publicznej;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wzywa Komisję, aby nie wykorzystywała ochrony praworządności i praw podstawowych jako pretekstu do wywierania presji politycznej na niektóre państwa członkowskie w celu zmiany polityki w kwestiach wchodzących w zakres kompetencji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wyraża głębokie zaniepokojenie faktem, że – podobnie jak w przypadku postępowań prowadzonych na podstawie art. 7 – środki przewidziane w rozporządzeniu w sprawie warunkowości w zakresie praworządności zostaną wdrożone, by dalej rozwijać ideały polityczne i delegitymizować niektóre państwa członkowskie;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zaleca, aby Komisja i państwa członkowskie monitorowały ingerencje zagraniczne, w szczególności wykorzystywanie mediów społecznościowych w celu manipulacji i w złych zamiarach, w tym przez osoby takie jak Elon Musk, które wykorzystują te media do wywierania wpływu na opinię publiczną i rozpowszechniania dezinformacji w Europie;</w:t>
            </w:r>
            <w:r>
              <w:t xml:space="preserve"> </w:t>
            </w:r>
            <w:r>
              <w:rPr>
                <w:b/>
                <w:i/>
              </w:rPr>
              <w:t>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zaleca, aby Komisja i państwa członkowskie monitorowały ingerencje zagraniczne, w szczególności wykorzystywanie</w:t>
            </w:r>
            <w:r>
              <w:t xml:space="preserve"> mediów społecznościowych </w:t>
            </w:r>
            <w:r>
              <w:rPr>
                <w:b/>
                <w:i/>
              </w:rPr>
              <w:t>w celu manipulacji i w złych zamiarach, w tym przez osoby takie jak Elon Musk, które wykorzystują te media do wywierania wpływu na opinię publiczną i rozpowszechniania dezinformacji w Europie</w:t>
            </w:r>
            <w:r>
              <w:t>;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rPr>
                <w:b/>
                <w:i/>
              </w:rPr>
              <w:t>wyraża zaniepokojenie ingerencjami Parlamentu Europejskiego i Komisji Europejskiej w sprawy wewnętrzne państw członkowskich;</w:t>
            </w:r>
            <w:r>
              <w:t xml:space="preserve"> </w:t>
            </w:r>
            <w:r>
              <w:rPr>
                <w:b/>
                <w:i/>
              </w:rPr>
              <w:t>przypomina, że 7 stycznia 2025 r. dyrektor generalny Meta Mark Zuckerberg przyznał, iż Facebook cenzurował treści ze względów politycznych;</w:t>
            </w:r>
            <w:r>
              <w:t xml:space="preserve"> </w:t>
            </w:r>
            <w:r>
              <w:rPr>
                <w:b/>
                <w:i/>
              </w:rPr>
              <w:t>z zadowoleniem przyjmuje wysiłki Meta na rzecz promowania wolności wypowiedzi na jej platformach</w:t>
            </w:r>
            <w:r>
              <w:t xml:space="preserve"> mediów społecznościowych</w:t>
            </w:r>
            <w:r>
              <w:rPr>
                <w:b/>
                <w:i/>
              </w:rPr>
              <w:t>;</w:t>
            </w:r>
            <w:r>
              <w:t xml:space="preserve"> </w:t>
            </w:r>
            <w:r>
              <w:rPr>
                <w:b/>
                <w:i/>
              </w:rPr>
              <w:t>ubolewa, że politycznie stronnicze weryfikowanie faktów na platformach mediów społecznościowych jest nadal stosowane w Europie;</w:t>
            </w:r>
            <w:r>
              <w:t xml:space="preserve"> </w:t>
            </w:r>
            <w:r>
              <w:rPr>
                <w:b/>
                <w:i/>
              </w:rPr>
              <w:t>wzywa Komisję, aby zrezygnowała z dążenia do cenzurowania wypowiedzi prawicowych i konserwatywnych na platformach mediów społecznościowych;</w:t>
            </w:r>
            <w:r>
              <w:t xml:space="preserve"> </w:t>
            </w:r>
            <w:r>
              <w:rPr>
                <w:b/>
                <w:i/>
              </w:rPr>
              <w:t>wzywa Parlament Europejski do powołania komisji śledczej ds. cenzury na Facebooku;</w:t>
            </w:r>
            <w:r>
              <w:t xml:space="preserve"> </w:t>
            </w:r>
            <w:r>
              <w:rPr>
                <w:b/>
                <w:i/>
              </w:rPr>
              <w:t>z zadowoleniem przyjmuje wysiłki Elona Muska w walce o wolność wypowiedzi</w:t>
            </w:r>
            <w:r>
              <w:t>;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zaleca, aby Komisja i państwa członkowskie monitorowały ingerencje zagraniczne</w:t>
            </w:r>
            <w:r>
              <w:rPr>
                <w:b/>
                <w:i/>
              </w:rPr>
              <w:t>, w szczególności wykorzystywanie mediów społecznościowych w celu manipulacji i w złych zamiarach, w tym przez osoby takie jak Elon Musk, które wykorzystują te media do wywierania wpływu na opinię publiczną i rozpowszechniania dezinformacji w Europie;</w:t>
            </w:r>
            <w:r>
              <w:t xml:space="preserve"> </w:t>
            </w:r>
            <w:r>
              <w:rPr>
                <w:b/>
                <w:i/>
              </w:rPr>
              <w:t>podkreśla, że Komisja musi dopilnować, aby zasady praworządności właściwie stosowano w instytucjach UE, i wzywa do uwzględnienia instytucji UE w corocznym sprawozdaniu na temat praworządności</w:t>
            </w:r>
            <w:r>
              <w:t>;</w:t>
            </w:r>
          </w:p>
        </w:tc>
        <w:tc>
          <w:tcPr>
            <w:tcW w:w="4876" w:type="dxa"/>
            <w:tcBorders>
              <w:top w:val="nil"/>
              <w:left w:val="nil"/>
              <w:bottom w:val="nil"/>
              <w:right w:val="nil"/>
            </w:tcBorders>
          </w:tcPr>
          <w:p>
            <w:pPr>
              <w:pStyle w:val="Normal6a"/>
            </w:pPr>
            <w:r>
              <w:t>37.</w:t>
            </w:r>
            <w:r>
              <w:tab/>
            </w:r>
            <w:r>
              <w:t>zaleca, aby Komisja i państwa członkowskie monitorowały ingerencje zagraniczne;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zaleca, aby Komisja i państwa członkowskie monitorowały ingerencje zagraniczne, w szczególności wykorzystywanie mediów społecznościowych w celu manipulacji i w złych zamiarach, w tym przez osoby takie jak Elon Musk, które wykorzystują te media do wywierania wpływu na opinię publiczną i rozpowszechniania dezinformacji w Europie;</w:t>
            </w:r>
            <w:r>
              <w:t xml:space="preserve"> podkreśla, że Komisja musi dopilnować, aby zasady praworządności </w:t>
            </w:r>
            <w:r>
              <w:rPr>
                <w:b/>
                <w:i/>
              </w:rPr>
              <w:t>właściwie stosowano</w:t>
            </w:r>
            <w:r>
              <w:t xml:space="preserve">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 xml:space="preserve">podkreśla, że Komisja musi dopilnować, aby zasady praworządności </w:t>
            </w:r>
            <w:r>
              <w:rPr>
                <w:b/>
                <w:i/>
              </w:rPr>
              <w:t>stosowano właściwie</w:t>
            </w:r>
            <w:r>
              <w:t xml:space="preserve">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zaleca, aby Komisja i państwa członkowskie monitorowały ingerencje zagraniczne, w szczególności wykorzystywanie mediów społecznościowych w celu manipulacji i w złych zamiarach, </w:t>
            </w:r>
            <w:r>
              <w:rPr>
                <w:b/>
                <w:i/>
              </w:rPr>
              <w:t>w tym przez osoby takie jak Elon Musk,</w:t>
            </w:r>
            <w:r>
              <w:t xml:space="preserve"> które wykorzystują te media do wywierania wpływu na opinię publiczną i rozpowszechniania dezinformacji w Europie;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zaleca, aby Komisja i państwa członkowskie monitorowały ingerencje zagraniczne, w szczególności wykorzystywanie mediów społecznościowych w celu manipulacji i w złych zamiarach, które wykorzystują te media do wywierania wpływu na opinię publiczną i rozpowszechniania dezinformacji w Europie</w:t>
            </w:r>
            <w:r>
              <w:rPr>
                <w:b/>
                <w:i/>
              </w:rPr>
              <w:t>;</w:t>
            </w:r>
            <w:r>
              <w:t xml:space="preserve"> </w:t>
            </w:r>
            <w:r>
              <w:rPr>
                <w:b/>
                <w:i/>
              </w:rPr>
              <w:t>zauważa, iż przez lata Komisja nie dostrzegała lewicowo-liberalnej dominacji w mediach społecznościowych, w tym narzucania tej agendy przez poszczegolne stolice, miedzynarodowe fundacje i instytucje unijne</w:t>
            </w:r>
            <w:r>
              <w:t>;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w imieniu Komisji Wolności Obywatelskich, Sprawiedliwości i Spraw Wewnętrznych</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zaleca, aby Komisja i państwa członkowskie monitorowały ingerencje zagraniczne, w szczególności wykorzystywanie mediów społecznościowych w celu manipulacji i w złych zamiarach, w tym przez osoby takie jak Elon Musk, które wykorzystują te media do wywierania wpływu na opinię publiczną i rozpowszechniania dezinformacji w Europie; </w:t>
            </w:r>
            <w:r>
              <w:rPr>
                <w:b/>
                <w:i/>
              </w:rPr>
              <w:t>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zaleca, aby Komisja i państwa członkowskie monitorowały ingerencje zagraniczne, w szczególności wykorzystywanie mediów społecznościowych w celu manipulacji i w złych zamiarach, w tym przez osoby takie jak Elon Musk, które wykorzystują te media do wywierania wpływu na opinię publiczną i rozpowszechniania dezinformacji w Europie;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zaleca, aby Komisja i państwa członkowskie monitorowały ingerencje zagraniczne</w:t>
            </w:r>
            <w:r>
              <w:rPr>
                <w:b/>
                <w:i/>
              </w:rPr>
              <w:t>, w szczególności wykorzystywanie mediów społecznościowych w celu manipulacji i w złych zamiarach, w tym przez osoby takie jak Elon Musk, które wykorzystują te media do wywierania wpływu na opinię publiczną i rozpowszechniania dezinformacji w Europie</w:t>
            </w:r>
            <w:r>
              <w:t>;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zaleca, aby Komisja i państwa członkowskie monitorowały ingerencje zagraniczne;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zaleca, aby Komisja i państwa członkowskie monitorowały ingerencje zagraniczne, w </w:t>
            </w:r>
            <w:r>
              <w:rPr>
                <w:b/>
                <w:i/>
              </w:rPr>
              <w:t>szczególności</w:t>
            </w:r>
            <w:r>
              <w:t xml:space="preserve"> wykorzystywanie mediów społecznościowych w celu manipulacji i w złych zamiarach</w:t>
            </w:r>
            <w:r>
              <w:rPr>
                <w:b/>
                <w:i/>
              </w:rPr>
              <w:t>, w tym przez osoby takie jak Elon Musk, które wykorzystują te media do wywierania wpływu na opinię publiczną i rozpowszechniania dezinformacji w Europie</w:t>
            </w:r>
            <w:r>
              <w:t>;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 xml:space="preserve">zaleca, aby Komisja i państwa członkowskie monitorowały ingerencje zagraniczne, w </w:t>
            </w:r>
            <w:r>
              <w:rPr>
                <w:b/>
                <w:i/>
              </w:rPr>
              <w:t>tym</w:t>
            </w:r>
            <w:r>
              <w:t xml:space="preserve"> wykorzystywanie mediów społecznościowych w celu manipulacji i w złych zamiarach;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zaleca, aby Komisja i państwa członkowskie monitorowały ingerencje zagraniczne</w:t>
            </w:r>
            <w:r>
              <w:rPr>
                <w:b/>
                <w:i/>
              </w:rPr>
              <w:t>, w szczególności wykorzystywanie mediów społecznościowych</w:t>
            </w:r>
            <w:r>
              <w:t xml:space="preserve"> w celu </w:t>
            </w:r>
            <w:r>
              <w:rPr>
                <w:b/>
                <w:i/>
              </w:rPr>
              <w:t>manipulacji i w złych zamiarach, w tym przez osoby takie jak Elon Musk, które wykorzystują te media do wywierania wpływu na opinię publiczną i rozpowszechniania dezinformacji w Europie</w:t>
            </w:r>
            <w:r>
              <w:t>;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 xml:space="preserve">zaleca, aby Komisja i państwa członkowskie monitorowały ingerencje zagraniczne </w:t>
            </w:r>
            <w:r>
              <w:rPr>
                <w:b/>
                <w:i/>
              </w:rPr>
              <w:t>i podejmowały skuteczne środki</w:t>
            </w:r>
            <w:r>
              <w:t xml:space="preserve"> w celu </w:t>
            </w:r>
            <w:r>
              <w:rPr>
                <w:b/>
                <w:i/>
              </w:rPr>
              <w:t>ochrony naszych wspólnych interesów;</w:t>
            </w:r>
            <w:r>
              <w:t xml:space="preserve"> </w:t>
            </w:r>
            <w:r>
              <w:rPr>
                <w:b/>
                <w:i/>
              </w:rPr>
              <w:t>podkreśla, że zagranicznym akcjom propagandowym można przeciwdziałać bez ataku na wolność wypowiedzi, tj. poprzez odpowiednie oznaczanie organizacji finansowanych z zagranicy lub za pomocą neutralnych inicjatyw, takich jak „zgłoszenia społeczności”</w:t>
            </w:r>
            <w:r>
              <w:t>;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zaleca, aby Komisja i państwa członkowskie monitorowały ingerencje zagraniczne, w szczególności wykorzystywanie mediów społecznościowych w celu manipulacji i w złych zamiarach</w:t>
            </w:r>
            <w:r>
              <w:rPr>
                <w:b/>
                <w:i/>
              </w:rPr>
              <w:t>, w tym przez osoby takie jak Elon Musk, które wykorzystują te media do wywierania wpływu na opinię publiczną i rozpowszechniania dezinformacji w Europie</w:t>
            </w:r>
            <w:r>
              <w:t>;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zaleca, aby Komisja i państwa członkowskie monitorowały ingerencje zagraniczne, w szczególności wykorzystywanie mediów społecznościowych w celu manipulacji i w złych zamiarach;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zaleca, aby Komisja i państwa członkowskie monitorowały ingerencje zagraniczne, w szczególności wykorzystywanie mediów społecznościowych w celu manipulacji i w złych zamiarach</w:t>
            </w:r>
            <w:r>
              <w:rPr>
                <w:b/>
                <w:i/>
              </w:rPr>
              <w:t>, w tym przez osoby takie jak Elon Musk, które wykorzystują te media do wywierania wpływu na opinię publiczną i rozpowszechniania dezinformacji w Europie</w:t>
            </w:r>
            <w:r>
              <w:t>;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zaleca, aby Komisja i państwa członkowskie monitorowały ingerencje zagraniczne, w szczególności wykorzystywanie mediów społecznościowych w celu manipulacji i w złych zamiarach;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zaleca, aby Komisja i państwa członkowskie monitorowały ingerencje zagraniczne</w:t>
            </w:r>
            <w:r>
              <w:rPr>
                <w:b/>
                <w:i/>
              </w:rPr>
              <w:t>, w szczególności</w:t>
            </w:r>
            <w:r>
              <w:t xml:space="preserve"> wykorzystywanie mediów społecznościowych w celu manipulacji </w:t>
            </w:r>
            <w:r>
              <w:rPr>
                <w:b/>
                <w:i/>
              </w:rPr>
              <w:t>i</w:t>
            </w:r>
            <w:r>
              <w:t xml:space="preserve"> w złych zamiarach</w:t>
            </w:r>
            <w:r>
              <w:rPr>
                <w:b/>
                <w:i/>
              </w:rPr>
              <w:t>, w tym przez osoby takie jak Elon Musk, które wykorzystują te media do wywierania wpływu na opinię publiczną i</w:t>
            </w:r>
            <w:r>
              <w:t xml:space="preserve"> rozpowszechniania dezinformacji w Europie;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 xml:space="preserve">zaleca, aby Komisja i państwa członkowskie monitorowały ingerencje zagraniczne </w:t>
            </w:r>
            <w:r>
              <w:rPr>
                <w:b/>
                <w:i/>
              </w:rPr>
              <w:t>i szybko im przeciwdziałały, w tym</w:t>
            </w:r>
            <w:r>
              <w:t xml:space="preserve"> wykorzystywanie mediów społecznościowych w celu manipulacji</w:t>
            </w:r>
            <w:r>
              <w:rPr>
                <w:b/>
                <w:i/>
              </w:rPr>
              <w:t>,</w:t>
            </w:r>
            <w:r>
              <w:t xml:space="preserve"> w złych zamiarach </w:t>
            </w:r>
            <w:r>
              <w:rPr>
                <w:b/>
                <w:i/>
              </w:rPr>
              <w:t>i do</w:t>
            </w:r>
            <w:r>
              <w:t xml:space="preserve"> rozpowszechniania dezinformacji w Europie;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zaleca, aby Komisja i państwa członkowskie monitorowały ingerencje zagraniczne, w szczególności wykorzystywanie mediów społecznościowych w celu manipulacji i w złych zamiarach, w tym przez osoby takie jak Elon Musk, które wykorzystują te media do wywierania wpływu na opinię publiczną i rozpowszechniania dezinformacji w Europie;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 xml:space="preserve">zaleca, aby Komisja i państwa członkowskie monitorowały ingerencje zagraniczne, w szczególności wykorzystywanie mediów społecznościowych w celu manipulacji i w złych zamiarach, w tym przez osoby </w:t>
            </w:r>
            <w:r>
              <w:rPr>
                <w:b/>
                <w:i/>
              </w:rPr>
              <w:t>i podmioty</w:t>
            </w:r>
            <w:r>
              <w:t xml:space="preserve"> takie jak Elon Musk </w:t>
            </w:r>
            <w:r>
              <w:rPr>
                <w:b/>
                <w:i/>
              </w:rPr>
              <w:t>i Meta</w:t>
            </w:r>
            <w:r>
              <w:t>, które wykorzystują te media do wywierania wpływu na opinię publiczną i rozpowszechniania dezinformacji w Europie;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zaleca, aby Komisja i państwa członkowskie monitorowały ingerencje zagraniczne, </w:t>
            </w:r>
            <w:r>
              <w:rPr>
                <w:b/>
                <w:i/>
              </w:rPr>
              <w:t>w szczególności wykorzystywanie mediów społecznościowych</w:t>
            </w:r>
            <w:r>
              <w:t xml:space="preserve"> w celu manipulacji i w złych zamiarach, w tym </w:t>
            </w:r>
            <w:r>
              <w:rPr>
                <w:b/>
                <w:i/>
              </w:rPr>
              <w:t>przez osoby takie jak Elon Musk, które wykorzystują te media</w:t>
            </w:r>
            <w:r>
              <w:t xml:space="preserve"> do wywierania wpływu na opinię publiczną i rozpowszechniania dezinformacji w Europie; podkreśla, że Komisja musi dopilnować, aby zasady praworządności właściwie stosowano w instytucjach UE, i wzywa do uwzględnienia instytucji UE w corocznym sprawozdaniu na temat praworządności;</w:t>
            </w:r>
          </w:p>
        </w:tc>
        <w:tc>
          <w:tcPr>
            <w:tcW w:w="4876" w:type="dxa"/>
            <w:tcBorders>
              <w:top w:val="nil"/>
              <w:left w:val="nil"/>
              <w:bottom w:val="nil"/>
              <w:right w:val="nil"/>
            </w:tcBorders>
          </w:tcPr>
          <w:p>
            <w:pPr>
              <w:pStyle w:val="Normal6a"/>
            </w:pPr>
            <w:r>
              <w:t>37.</w:t>
            </w:r>
            <w:r>
              <w:tab/>
            </w:r>
            <w:r>
              <w:t xml:space="preserve">zaleca, aby Komisja i państwa członkowskie monitorowały ingerencje zagraniczne, </w:t>
            </w:r>
            <w:r>
              <w:rPr>
                <w:b/>
                <w:i/>
              </w:rPr>
              <w:t>zwłaszcza ze strony organizacji pozarządowych wykorzystywanych</w:t>
            </w:r>
            <w:r>
              <w:t xml:space="preserve"> w celu manipulacji i w złych zamiarach, w tym </w:t>
            </w:r>
            <w:r>
              <w:rPr>
                <w:b/>
                <w:i/>
              </w:rPr>
              <w:t>gdy organizacje pozarządowe są wykorzystywane</w:t>
            </w:r>
            <w:r>
              <w:t xml:space="preserve"> do wywierania wpływu na opinię publiczną i rozpowszechniania dezinformacji w Europie; podkreśla, że Komisja musi dopilnować, aby zasady praworządności właściwie stosowano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wzywa Komisję do pełnego monitorowania, czy wykazy bezpiecznych krajów pochodzenia sporządzane przez właściwe organy krajowe są zawsze zgodne z zasadami demokracji, a tym samym zagwarantowaniem praworządności, kryteriów określonych w prawodawstwie UE, poszanowaniem wyroków TSUE i przestrzeganiem prawa międzynarodowego;</w:t>
            </w:r>
            <w:r>
              <w:t xml:space="preserve"> </w:t>
            </w:r>
            <w:r>
              <w:rPr>
                <w:b/>
                <w:i/>
              </w:rPr>
              <w:t>podkreśla wynikający z prawa UE i prawa międzynarodowego obowiązek udzielania ochrony międzynarodowej osobom prześladowanym lub narażonym na poważną krzywdę ze względu na pochodzenie rasowe i etniczne, religię lub przekonania, narodowość, poglądy polityczne, język, niepełnosprawność, wiek, płeć, w tym tożsamość płciową i ekspresję płciową, oraz orientację seksualną;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podkreśla znaczenie ochrony podstawowego prawa do wolności wypowiedzi, które jest filarem naszych demokratycznych społeczeństw;</w:t>
            </w:r>
            <w:r>
              <w:t xml:space="preserve"> </w:t>
            </w:r>
            <w:r>
              <w:rPr>
                <w:b/>
                <w:i/>
              </w:rPr>
              <w:t>Komisja musi zapewnić prawidłowe stosowanie unijnych ram regulacyjnych dotyczących platform społecznościowych, aby chronić to prawo, a nie umożliwiać wywieranie nacisków politycznych, które mogłyby stłumić uczciwą i otwartą debatę;</w:t>
            </w:r>
            <w:r>
              <w:t xml:space="preserve"> </w:t>
            </w:r>
            <w:r>
              <w:rPr>
                <w:b/>
                <w:i/>
              </w:rPr>
              <w:t>chociaż platformy społecznościowe muszą działać odpowiedzialnie i zgodnie z obowiązującymi przepisami, ważne jest, by praktyki moderowania treści nie stały się narzędziem kontroli, cenzury lub manipulacji politycznych;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wzywa państwa członkowskie do zwiększenia przejrzystości i rozliczalności działalności lobbingowej, w tym do wprowadzenia lub udoskonalenia obowiązkowych rejestrów lobbingowych i mechanizmów „śladu legislacyjnego” w celu śledzenia wpływu na procesy stanowienia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w imieniu Komisji Wolności Obywatelskich, Sprawiedliwości i Spraw Wewnętrznych</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podkreśla, że Komisja musi dopilnować, aby zasady praworządności stosowano właściwie w instytucjach UE, i wzywa do uwzględnienia instytucji UE w corocznym sprawozdaniu na temat praworządności;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wzywa Radę do przyjęcia decyzji o włączeniu nawoływania do nienawiści i przestępstw z nienawiści jako czynów zabronionych do wykazu na mocy art. 83 ust. 1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wyraża zaniepokojenie nasilającą się tendencją do wykorzystywania przepisów, takich jak akt o usługach cyfrowych, do promowania stanowisk i wizji politycznych, które mogą naruszać wolność wypowiedzi;</w:t>
            </w:r>
            <w:r>
              <w:t xml:space="preserve"> </w:t>
            </w:r>
            <w:r>
              <w:rPr>
                <w:b/>
                <w:i/>
              </w:rPr>
              <w:t>platformy społecznościowe powinny pozostać przestrzenią, w której można swobodnie wymieniać poglądy, bez obawy o cenzurę umotywowaną politycznie;</w:t>
            </w:r>
            <w:r>
              <w:t xml:space="preserve"> </w:t>
            </w:r>
            <w:r>
              <w:rPr>
                <w:b/>
                <w:i/>
              </w:rPr>
              <w:t>UE musi zachować czujność i sprzeciwiać się wszelkim próbom wykorzystywania moderacji treści do celów politycznych, i chronić w ten sposób wolność wypowiedzi;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wzywa Komisję do przedstawienia odnowionej strategii na rzecz równości osób LGBTQIA+ na okres po 2025 r., która w pełni uwzględni obecne wyzwania występujące w całej Europie i uczyni prawa LGBTQIA+ przekrojowym priorytetem we wszystkich obszarach polityki;</w:t>
            </w:r>
            <w:r>
              <w:t xml:space="preserve"> </w:t>
            </w:r>
            <w:r>
              <w:rPr>
                <w:b/>
                <w:i/>
              </w:rPr>
              <w:t>podkreśla znaczenie samostanowienia osób LGBTQIA+ oraz uznawania ich tożsamości i praw, bez ograniczeń wiekowych;</w:t>
            </w:r>
            <w:r>
              <w:t xml:space="preserve"> </w:t>
            </w:r>
            <w:r>
              <w:rPr>
                <w:b/>
                <w:i/>
              </w:rPr>
              <w:t>wzywa do ochrony i promowania zdrowia fizycznego i psychicznego osób LGBTQIA+;</w:t>
            </w:r>
            <w:r>
              <w:t xml:space="preserve"> </w:t>
            </w:r>
            <w:r>
              <w:rPr>
                <w:b/>
                <w:i/>
              </w:rPr>
              <w:t>wzywa Komisję do przedstawienia wniosków ustawodawczych mających na celu zwalczanie przestępstw z nienawiści i mowy nienawiści ze względu na tożsamość płciową i orientację seksualną oraz do zagwarantowania równych praw parom osób tej samej płci;</w:t>
            </w:r>
            <w:r>
              <w:t xml:space="preserve"> </w:t>
            </w:r>
            <w:r>
              <w:rPr>
                <w:b/>
                <w:i/>
              </w:rPr>
              <w:t>wzywa Komisję do przedstawienia wniosku w sprawie wiążącego unijnego zakazu praktyk konwersyjnych we wszystkich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wzywa Komisję i państwa członkowskie do zwalczania dyskryminacji ze względu na pochodzenie rasowe i etniczne, religię lub przekonania, narodowość, poglądy polityczne, język, niepełnosprawność, wiek, płeć, w tym tożsamość płciową i ekspresję płciową, oraz orientację seksualną;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z zadowoleniem przyjmuje inicjatywę Komisji, by uwzględniać Albanię, Czarnogórę, Macedonię Północną i Serbię w rocznych sprawozdaniach na temat praworządności, i zachęca do przeprowadzenia dokładnej oceny przestrzegania praworządności w tych krajach przystępujących;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z zadowoleniem przyjmuje inicjatywę Komisji, by uwzględniać Albanię, Czarnogórę, Macedonię Północną i Serbię w rocznych sprawozdaniach na temat praworządności, i zachęca do przeprowadzenia dokładnej oceny przestrzegania praworządności w tych krajach przystępujących;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z zadowoleniem przyjmuje inicjatywę Komisji, by uwzględniać Albanię, Czarnogórę, Macedonię Północną i Serbię w rocznych sprawozdaniach na temat praworządności, i zachęca do przeprowadzenia dokładnej oceny przestrzegania praworządności w tych krajach przystępujących;</w:t>
            </w:r>
          </w:p>
        </w:tc>
        <w:tc>
          <w:tcPr>
            <w:tcW w:w="4876" w:type="dxa"/>
            <w:tcBorders>
              <w:top w:val="nil"/>
              <w:left w:val="nil"/>
              <w:bottom w:val="nil"/>
              <w:right w:val="nil"/>
            </w:tcBorders>
          </w:tcPr>
          <w:p>
            <w:pPr>
              <w:pStyle w:val="Normal6a"/>
            </w:pPr>
            <w:r>
              <w:t>38.</w:t>
            </w:r>
            <w:r>
              <w:tab/>
            </w:r>
            <w:r>
              <w:t xml:space="preserve">z zadowoleniem przyjmuje </w:t>
            </w:r>
            <w:r>
              <w:rPr>
                <w:b/>
                <w:i/>
              </w:rPr>
              <w:t>objęcie zakresem sprawozdania Komisji na temat praworządności krajów kandydujących, gdyż podkreśla to, że podstawowe wartości UE muszą być przestrzegane nie tylko przez obecne państwa członkowskie, ale również przez przyszłych członków w procesie akcesyjnym;</w:t>
            </w:r>
            <w:r>
              <w:t xml:space="preserve"> </w:t>
            </w:r>
            <w:r>
              <w:rPr>
                <w:b/>
                <w:i/>
              </w:rPr>
              <w:t>z zadowoleniem przyjmuje</w:t>
            </w:r>
            <w:r>
              <w:t xml:space="preserve"> inicjatywę Komisji, by uwzględniać Albanię, Czarnogórę, Macedonię Północną i Serbię w rocznych sprawozdaniach na temat praworządności, i zachęca do przeprowadzenia dokładnej oceny przestrzegania praworządności w tych krajach przystępujących; </w:t>
            </w:r>
            <w:r>
              <w:rPr>
                <w:b/>
                <w:i/>
              </w:rPr>
              <w:t>oczekuje, że Komisja uwzględni wszystkie kraje kandydujące w swoim sprawozdaniu na temat praworządności za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w imieniu Komisji Wolności Obywatelskich, Sprawiedliwości i Spraw Wewnętrznych</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z zadowoleniem przyjmuje inicjatywę Komisji, by uwzględniać Albanię, Czarnogórę, Macedonię Północną i Serbię w rocznych sprawozdaniach na temat praworządności, i zachęca do przeprowadzenia dokładnej oceny przestrzegania praworządności </w:t>
            </w:r>
            <w:r>
              <w:rPr>
                <w:b/>
                <w:i/>
              </w:rPr>
              <w:t>w tych</w:t>
            </w:r>
            <w:r>
              <w:t xml:space="preserve"> krajach </w:t>
            </w:r>
            <w:r>
              <w:rPr>
                <w:b/>
                <w:i/>
              </w:rPr>
              <w:t>przystępujących</w:t>
            </w:r>
            <w:r>
              <w:t>;</w:t>
            </w:r>
          </w:p>
        </w:tc>
        <w:tc>
          <w:tcPr>
            <w:tcW w:w="4876" w:type="dxa"/>
            <w:tcBorders>
              <w:top w:val="nil"/>
              <w:left w:val="nil"/>
              <w:bottom w:val="nil"/>
              <w:right w:val="nil"/>
            </w:tcBorders>
          </w:tcPr>
          <w:p>
            <w:pPr>
              <w:pStyle w:val="Normal6a"/>
            </w:pPr>
            <w:r>
              <w:t>38.</w:t>
            </w:r>
            <w:r>
              <w:tab/>
            </w:r>
            <w:r>
              <w:t xml:space="preserve">z zadowoleniem przyjmuje inicjatywę Komisji, by uwzględniać Albanię, Czarnogórę, Macedonię Północną i Serbię w rocznych sprawozdaniach na temat praworządności, i zachęca do przeprowadzenia dokładnej oceny przestrzegania praworządności </w:t>
            </w:r>
            <w:r>
              <w:rPr>
                <w:b/>
                <w:i/>
              </w:rPr>
              <w:t>we wszystkich</w:t>
            </w:r>
            <w:r>
              <w:t xml:space="preserve"> krajach </w:t>
            </w:r>
            <w:r>
              <w:rPr>
                <w:b/>
                <w:i/>
              </w:rPr>
              <w:t>będących w procesie przystąpienia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z zadowoleniem</w:t>
            </w:r>
            <w:r>
              <w:t xml:space="preserve"> przyjmuje inicjatywę Komisji, by uwzględniać Albanię, Czarnogórę, Macedonię Północną i Serbię w rocznych sprawozdaniach na temat praworządności, i zachęca do przeprowadzenia dokładnej oceny przestrzegania praworządności w tych krajach przystępujących;</w:t>
            </w:r>
          </w:p>
        </w:tc>
        <w:tc>
          <w:tcPr>
            <w:tcW w:w="4876" w:type="dxa"/>
            <w:tcBorders>
              <w:top w:val="nil"/>
              <w:left w:val="nil"/>
              <w:bottom w:val="nil"/>
              <w:right w:val="nil"/>
            </w:tcBorders>
          </w:tcPr>
          <w:p>
            <w:pPr>
              <w:pStyle w:val="Normal6a"/>
            </w:pPr>
            <w:r>
              <w:t>38.</w:t>
            </w:r>
            <w:r>
              <w:tab/>
            </w:r>
            <w:r>
              <w:rPr>
                <w:b/>
                <w:i/>
              </w:rPr>
              <w:t>odnotowuje</w:t>
            </w:r>
            <w:r>
              <w:t xml:space="preserve"> przyjmuje inicjatywę Komisji, by uwzględniać Albanię, Czarnogórę, Macedonię Północną i Serbię w rocznych sprawozdaniach na temat praworządności, i zachęca do przeprowadzenia dokładnej oceny przestrzegania praworządności w tych krajach przystępujących;</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z zadowoleniem przyjmuje inicjatywę Komisji, by uwzględniać Albanię, Czarnogórę, Macedonię Północną i Serbię w rocznych sprawozdaniach na temat praworządności, i zachęca do przeprowadzenia dokładnej oceny przestrzegania praworządności </w:t>
            </w:r>
            <w:r>
              <w:rPr>
                <w:b/>
                <w:i/>
              </w:rPr>
              <w:t>w tych</w:t>
            </w:r>
            <w:r>
              <w:t xml:space="preserve"> krajach </w:t>
            </w:r>
            <w:r>
              <w:rPr>
                <w:b/>
                <w:i/>
              </w:rPr>
              <w:t>przystępujących</w:t>
            </w:r>
            <w:r>
              <w:t>;</w:t>
            </w:r>
          </w:p>
        </w:tc>
        <w:tc>
          <w:tcPr>
            <w:tcW w:w="4876" w:type="dxa"/>
            <w:tcBorders>
              <w:top w:val="nil"/>
              <w:left w:val="nil"/>
              <w:bottom w:val="nil"/>
              <w:right w:val="nil"/>
            </w:tcBorders>
          </w:tcPr>
          <w:p>
            <w:pPr>
              <w:pStyle w:val="Normal6a"/>
            </w:pPr>
            <w:r>
              <w:t>38.</w:t>
            </w:r>
            <w:r>
              <w:tab/>
            </w:r>
            <w:r>
              <w:t xml:space="preserve">z zadowoleniem przyjmuje inicjatywę Komisji, by uwzględniać Albanię, Czarnogórę, Macedonię Północną i Serbię w rocznych sprawozdaniach na temat praworządności, i zachęca do przeprowadzenia dokładnej oceny przestrzegania praworządności </w:t>
            </w:r>
            <w:r>
              <w:rPr>
                <w:b/>
                <w:i/>
              </w:rPr>
              <w:t>we wszystkich</w:t>
            </w:r>
            <w:r>
              <w:t xml:space="preserve"> krajach </w:t>
            </w:r>
            <w:r>
              <w:rPr>
                <w:b/>
                <w:i/>
              </w:rPr>
              <w:t>Bałkanów Zachodnich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z zadowoleniem przyjmuje inicjatywę Komisji, by uwzględniać Albanię, Czarnogórę, </w:t>
            </w:r>
            <w:r>
              <w:rPr>
                <w:b/>
                <w:i/>
              </w:rPr>
              <w:t>Macedonię Północną</w:t>
            </w:r>
            <w:r>
              <w:t xml:space="preserve"> i Serbię w rocznych sprawozdaniach na temat praworządności, i zachęca do przeprowadzenia dokładnej oceny przestrzegania praworządności w tych </w:t>
            </w:r>
            <w:r>
              <w:rPr>
                <w:b/>
                <w:i/>
              </w:rPr>
              <w:t>krajach przystępujących</w:t>
            </w:r>
            <w:r>
              <w:t>;</w:t>
            </w:r>
          </w:p>
        </w:tc>
        <w:tc>
          <w:tcPr>
            <w:tcW w:w="4876" w:type="dxa"/>
            <w:tcBorders>
              <w:top w:val="nil"/>
              <w:left w:val="nil"/>
              <w:bottom w:val="nil"/>
              <w:right w:val="nil"/>
            </w:tcBorders>
          </w:tcPr>
          <w:p>
            <w:pPr>
              <w:pStyle w:val="Normal6a"/>
            </w:pPr>
            <w:r>
              <w:t>38.</w:t>
            </w:r>
            <w:r>
              <w:tab/>
            </w:r>
            <w:r>
              <w:t xml:space="preserve">z zadowoleniem przyjmuje inicjatywę Komisji, by uwzględniać Albanię, Czarnogórę, </w:t>
            </w:r>
            <w:r>
              <w:rPr>
                <w:b/>
                <w:i/>
              </w:rPr>
              <w:t>Skopje</w:t>
            </w:r>
            <w:r>
              <w:t xml:space="preserve"> i Serbię w rocznych sprawozdaniach na temat praworządności, i zachęca do przeprowadzenia dokładnej oceny przestrzegania praworządności w tych </w:t>
            </w:r>
            <w:r>
              <w:rPr>
                <w:b/>
                <w:i/>
              </w:rPr>
              <w:t>analizowanych krajach</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zobowiązuje swoją przewodniczącą do przekazania niniejszej rezolucji Radzie </w:t>
            </w:r>
            <w:r>
              <w:rPr>
                <w:b/>
                <w:i/>
              </w:rPr>
              <w:t>i Komisji</w:t>
            </w:r>
            <w:r>
              <w:t>.</w:t>
            </w:r>
          </w:p>
        </w:tc>
        <w:tc>
          <w:tcPr>
            <w:tcW w:w="4876" w:type="dxa"/>
            <w:tcBorders>
              <w:top w:val="nil"/>
              <w:left w:val="nil"/>
              <w:bottom w:val="nil"/>
              <w:right w:val="nil"/>
            </w:tcBorders>
          </w:tcPr>
          <w:p>
            <w:pPr>
              <w:pStyle w:val="Normal6a"/>
            </w:pPr>
            <w:r>
              <w:t>39.</w:t>
            </w:r>
            <w:r>
              <w:tab/>
            </w:r>
            <w:r>
              <w:t>zobowiązuje swoją przewodniczącą do przekazania niniejszej rezolucji Radzie</w:t>
            </w:r>
            <w:r>
              <w:rPr>
                <w:b/>
                <w:i/>
              </w:rPr>
              <w:t>, Komisji, Agencji Praw Podstawowych Unii Europejskiej, Radzie Europy oraz rządom i parlamentom państw członkowskich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zobowiązuje swoją przewodniczącą do przekazania niniejszej rezolucji Radzie </w:t>
            </w:r>
            <w:r>
              <w:rPr>
                <w:b/>
                <w:i/>
              </w:rPr>
              <w:t>i</w:t>
            </w:r>
            <w:r>
              <w:t xml:space="preserve"> Komisji.</w:t>
            </w:r>
          </w:p>
        </w:tc>
        <w:tc>
          <w:tcPr>
            <w:tcW w:w="4876" w:type="dxa"/>
            <w:tcBorders>
              <w:top w:val="nil"/>
              <w:left w:val="nil"/>
              <w:bottom w:val="nil"/>
              <w:right w:val="nil"/>
            </w:tcBorders>
          </w:tcPr>
          <w:p>
            <w:pPr>
              <w:pStyle w:val="Normal6a"/>
            </w:pPr>
            <w:r>
              <w:t>39.</w:t>
            </w:r>
            <w:r>
              <w:tab/>
            </w:r>
            <w:r>
              <w:t>zobowiązuje swoją przewodniczącą do przekazania niniejszej rezolucji Radzie</w:t>
            </w:r>
            <w:r>
              <w:rPr>
                <w:b/>
                <w:i/>
              </w:rPr>
              <w:t>,</w:t>
            </w:r>
            <w:r>
              <w:t xml:space="preserve"> Komisji </w:t>
            </w:r>
            <w:r>
              <w:rPr>
                <w:b/>
                <w:i/>
              </w:rPr>
              <w:t>i państwom członkowskim</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52</w:t>
    </w:r>
    <w:r>
      <w:fldChar w:fldCharType="end"/>
    </w:r>
    <w:r>
      <w:tab/>
    </w:r>
    <w:r>
      <w:rPr>
        <w:rStyle w:val="HideTWBExt"/>
      </w:rPr>
      <w:t>&lt;PathFdR&gt;</w:t>
    </w:r>
    <w:r>
      <w:t>AM\1315576PL.docx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AM\1315576PL.docx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52</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AM\1315576PL.docx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52</Pages>
  <Words>9514</Words>
  <Characters>63524</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149676</vt:lpwstr>
  </property>
  <property fmtid="{D5CDD505-2E9C-101B-9397-08002B2CF9AE}" pid="7" name="dmxml.render.traceId">
    <vt:lpwstr>67dd76aad06167a2b427fa2d6823990f</vt:lpwstr>
  </property>
  <property fmtid="{D5CDD505-2E9C-101B-9397-08002B2CF9AE}" pid="8" name="FooterPath">
    <vt:lpwstr>AM\1315576PL.docx</vt:lpwstr>
  </property>
  <property fmtid="{D5CDD505-2E9C-101B-9397-08002B2CF9AE}" pid="9" name="PE Number">
    <vt:lpwstr>769.959</vt:lpwstr>
  </property>
  <property fmtid="{D5CDD505-2E9C-101B-9397-08002B2CF9AE}" pid="10" name="UID">
    <vt:lpwstr>eu.europa.europarl-DIN1-2025-0000027564_02.00-pl-01.00_text-xml</vt:lpwstr>
  </property>
</Properties>
</file>