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Raportul Comisiei pe 2024 privind statul de drept</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pPr>
              <w:pStyle w:val="Normal6a"/>
            </w:pPr>
            <w:r>
              <w:t>33.</w:t>
            </w:r>
            <w:r>
              <w:tab/>
            </w:r>
            <w:r>
              <w:t>îndeamnă Comisia să adauge un nou pilon la raportul anual privind statul de drept ce pune accentul pe combaterea tuturor formelor de discriminare</w:t>
            </w:r>
            <w:r>
              <w:rPr>
                <w:b/>
                <w:i/>
              </w:rPr>
              <w:t>, astfel cum sunt consacrate la articolul 21 din Carta drepturilor fundamentale a Uniunii Europene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îndeamnă Comisia să adauge </w:t>
            </w:r>
            <w:r>
              <w:rPr>
                <w:b/>
                <w:i/>
              </w:rPr>
              <w:t>un</w:t>
            </w:r>
            <w:r>
              <w:t xml:space="preserve"> nou pilon la raportul anual privind statul de drept </w:t>
            </w:r>
            <w:r>
              <w:rPr>
                <w:b/>
                <w:i/>
              </w:rPr>
              <w:t>ce pune accentul pe</w:t>
            </w:r>
            <w:r>
              <w:t xml:space="preserve"> combaterea tuturor formelor de discriminare;</w:t>
            </w:r>
          </w:p>
        </w:tc>
        <w:tc>
          <w:tcPr>
            <w:tcW w:w="4876" w:type="dxa"/>
            <w:tcBorders>
              <w:top w:val="nil"/>
              <w:left w:val="nil"/>
              <w:bottom w:val="nil"/>
              <w:right w:val="nil"/>
            </w:tcBorders>
          </w:tcPr>
          <w:p>
            <w:pPr>
              <w:pStyle w:val="Normal6a"/>
            </w:pPr>
            <w:r>
              <w:t>33.</w:t>
            </w:r>
            <w:r>
              <w:tab/>
            </w:r>
            <w:r>
              <w:t xml:space="preserve">îndeamnă Comisia să </w:t>
            </w:r>
            <w:r>
              <w:rPr>
                <w:b/>
                <w:i/>
              </w:rPr>
              <w:t>nu</w:t>
            </w:r>
            <w:r>
              <w:t xml:space="preserve"> adauge </w:t>
            </w:r>
            <w:r>
              <w:rPr>
                <w:b/>
                <w:i/>
              </w:rPr>
              <w:t>niciun</w:t>
            </w:r>
            <w:r>
              <w:t xml:space="preserve"> nou pilon la raportul anual privind statul de drept</w:t>
            </w:r>
            <w:r>
              <w:rPr>
                <w:b/>
                <w:i/>
              </w:rPr>
              <w:t>, inclusiv privind</w:t>
            </w:r>
            <w:r>
              <w:t xml:space="preserve"> combaterea tuturor formelor de discriminare;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îndeamnă Comisia să adauge un nou pilon la raportul anual privind statul de drept ce pune accentul pe combaterea tuturor formelor de discriminare;</w:t>
            </w:r>
          </w:p>
        </w:tc>
        <w:tc>
          <w:tcPr>
            <w:tcW w:w="4876" w:type="dxa"/>
            <w:tcBorders>
              <w:top w:val="nil"/>
              <w:left w:val="nil"/>
              <w:bottom w:val="nil"/>
              <w:right w:val="nil"/>
            </w:tcBorders>
          </w:tcPr>
          <w:p>
            <w:pPr>
              <w:pStyle w:val="Normal6a"/>
            </w:pPr>
            <w:r>
              <w:t>33.</w:t>
            </w:r>
            <w:r>
              <w:tab/>
            </w:r>
            <w:r>
              <w:t xml:space="preserve">îndeamnă Comisia să adauge un nou pilon la raportul anual privind statul de drept ce pune accentul pe combaterea tuturor formelor de discriminare </w:t>
            </w:r>
            <w:r>
              <w:rPr>
                <w:b/>
                <w:i/>
              </w:rPr>
              <w:t>și ură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îndeamnă Comisia să adauge un nou pilon la raportul anual privind statul de drept ce pune accentul pe combaterea </w:t>
            </w:r>
            <w:r>
              <w:rPr>
                <w:b/>
                <w:i/>
              </w:rPr>
              <w:t>tuturor formelor de discriminare</w:t>
            </w:r>
            <w:r>
              <w:t>;</w:t>
            </w:r>
          </w:p>
        </w:tc>
        <w:tc>
          <w:tcPr>
            <w:tcW w:w="4876" w:type="dxa"/>
            <w:tcBorders>
              <w:top w:val="nil"/>
              <w:left w:val="nil"/>
              <w:bottom w:val="nil"/>
              <w:right w:val="nil"/>
            </w:tcBorders>
          </w:tcPr>
          <w:p>
            <w:pPr>
              <w:pStyle w:val="Normal6a"/>
            </w:pPr>
            <w:r>
              <w:t>33.</w:t>
            </w:r>
            <w:r>
              <w:tab/>
            </w:r>
            <w:r>
              <w:t xml:space="preserve">îndeamnă Comisia să adauge un nou pilon la raportul anual privind statul de drept ce pune accentul pe combaterea </w:t>
            </w:r>
            <w:r>
              <w:rPr>
                <w:b/>
                <w:i/>
              </w:rPr>
              <w:t>cenzurării mass-mediei și a conținuturilor online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invită statele membre să pună în aplicare Pactul privind migrația și azilul în conformitate cu principiile consacrate în tratate, în Carta drepturilor fundamentale a UE și în dreptul internațional;</w:t>
            </w:r>
            <w:r>
              <w:t xml:space="preserve"> </w:t>
            </w:r>
            <w:r>
              <w:rPr>
                <w:b/>
                <w:i/>
              </w:rPr>
              <w:t>invită statele membre să se asigure că resortisanții țărilor terțe se bucură de drepturi egale, de tratamente egale și umane, precum și de acces echitabil la procedurile de protecție internațională, în deplină conformitate cu dreptul internațional și cu principiul nereturnării;</w:t>
            </w:r>
            <w:r>
              <w:t xml:space="preserve"> </w:t>
            </w:r>
            <w:r>
              <w:rPr>
                <w:b/>
                <w:i/>
              </w:rPr>
              <w:t>îndeamnă Comisia să se asigure că externalizarea și gestionarea extrateritorială a migrației, cum ar fi acordurile bilaterale ale statelor membre cu state terțe, nu subminează în niciun caz aceste principii și criteriile prevăzute în legislația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invită Comisia să își reconsidere poziția cu privire la inițiativa Minority SafePack și să prezinte inițiative legislative pentru a garanta promovarea drepturilor minorităților și a drepturilor lingvistice;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își reiterează apelul adresat Comisiei de a integra în continuare instrumentele reactive în raportul privind statul de drept, cum ar fi procedurile prevăzute la articolul 7 din TUE, mecanismul general de condiționalitate și procedurile de constatare a neîndeplinirii obligațiilor</w:t>
            </w:r>
            <w:r>
              <w:rPr>
                <w:b/>
                <w:i/>
                <w:vertAlign w:val="superscript"/>
              </w:rPr>
              <w:t>48</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își reiterează apelul adresat Comisiei de a integra în continuare instrumentele reactive în raportul privind statul de drept, cum ar fi procedurile prevăzute la articolul 7 din TUE, mecanismul general de condiționalitate și procedurile de constatare a neîndeplinirii obligațiilor</w:t>
            </w:r>
            <w:r>
              <w:rPr>
                <w:b/>
                <w:i/>
                <w:vertAlign w:val="superscript"/>
              </w:rPr>
              <w:t>48</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își reiterează apelul adresat Comisiei de a integra în continuare instrumentele reactive în raportul privind statul de drept, cum ar fi procedurile prevăzute la articolul 7 din TUE, mecanismul general de condiționalitate și procedurile de constatare a neîndeplinirii obligațiilor</w:t>
            </w:r>
            <w:r>
              <w:rPr>
                <w:b/>
                <w:i/>
                <w:vertAlign w:val="superscript"/>
              </w:rPr>
              <w:t>48</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își reiterează apelul adresat Comisiei de a integra în continuare instrumentele reactive în raportul privind statul de drept, cum ar fi procedurile prevăzute la articolul 7 din TUE, </w:t>
            </w:r>
            <w:r>
              <w:rPr>
                <w:b/>
                <w:i/>
              </w:rPr>
              <w:t>mecanismul general de condiționalitate și procedurile</w:t>
            </w:r>
            <w:r>
              <w:t xml:space="preserve"> de constatare a neîndeplinirii obligațiilor</w:t>
            </w:r>
            <w:r>
              <w:rPr>
                <w:b/>
                <w:i/>
                <w:vertAlign w:val="superscript"/>
              </w:rPr>
              <w:t>48</w:t>
            </w:r>
            <w:r>
              <w:t>;</w:t>
            </w:r>
          </w:p>
        </w:tc>
        <w:tc>
          <w:tcPr>
            <w:tcW w:w="4876" w:type="dxa"/>
            <w:tcBorders>
              <w:top w:val="nil"/>
              <w:left w:val="nil"/>
              <w:bottom w:val="nil"/>
              <w:right w:val="nil"/>
            </w:tcBorders>
          </w:tcPr>
          <w:p>
            <w:pPr>
              <w:pStyle w:val="Normal6a"/>
            </w:pPr>
            <w:r>
              <w:t>34.</w:t>
            </w:r>
            <w:r>
              <w:tab/>
            </w:r>
            <w:r>
              <w:t xml:space="preserve">își reiterează apelul adresat Comisiei de a integra în continuare instrumentele reactive în raportul privind statul de drept, cum ar fi procedurile prevăzute la articolul 7 din TUE, </w:t>
            </w:r>
            <w:r>
              <w:rPr>
                <w:b/>
                <w:i/>
              </w:rPr>
              <w:t>Regulamentul privind condiționalitatea și alte proceduri bugetare și de constatare a neîndeplinirii obligațiilor</w:t>
            </w:r>
            <w:r>
              <w:rPr>
                <w:b/>
                <w:i/>
                <w:vertAlign w:val="superscript"/>
              </w:rPr>
              <w:t>48</w:t>
            </w:r>
            <w:r>
              <w:rPr>
                <w:b/>
                <w:i/>
              </w:rPr>
              <w:t>;</w:t>
            </w:r>
            <w:r>
              <w:t xml:space="preserve"> </w:t>
            </w:r>
            <w:r>
              <w:rPr>
                <w:b/>
                <w:i/>
              </w:rPr>
              <w:t>invită Comisia să recurgă în mod sistematic la proceduri accelerate și la cereri de măsuri provizorii în fața CJUE în cauze legate de neîndeplinirea obligațiilor;</w:t>
            </w:r>
            <w:r>
              <w:t xml:space="preserve"> </w:t>
            </w:r>
            <w:r>
              <w:rPr>
                <w:b/>
                <w:i/>
              </w:rPr>
              <w:t>invită Comisia să nu utilizeze „dialogul” cu statele membre sau procedura „EU pilot” ca mijloc deschis de a evita lansarea unor proceduri propriu-zise</w:t>
            </w:r>
            <w:r>
              <w:t xml:space="preserve"> de constatare a neîndeplinirii obligațiilor</w:t>
            </w:r>
            <w:r>
              <w:rPr>
                <w:b/>
                <w:i/>
              </w:rPr>
              <w:t>; invită Comisia să își revizuiască politica conturată în comunicarea sa din 2022 privind asigurarea respectării legislației UE, să nu recurgă la acțiuni în constatarea neîndeplinirii obligațiilor pentru reparații „individuale”, deoarece această politică a dus la privarea gravă de drepturi a cetățenilor din întreaga UE, în special atunci când propriile lor guverne refuză să respecte dreptul UE sau hotărârile CJUE, și pentru că majoritatea acestor cazuri nu sunt doar individuale, ci vizează aspecte strategice și fundamentale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își reiterează apelul adresat Comisiei de a integra în continuare instrumentele reactive în raportul privind statul de drept, cum</w:t>
            </w:r>
            <w:r>
              <w:t xml:space="preserve"> ar fi </w:t>
            </w:r>
            <w:r>
              <w:rPr>
                <w:b/>
                <w:i/>
              </w:rPr>
              <w:t>procedurile prevăzute la articolul 7 din TUE, mecanismul general de condiționalitate și procedurile de constatare a neîndeplinirii obligațiilor</w:t>
            </w:r>
            <w:r>
              <w:rPr>
                <w:b/>
                <w:i/>
                <w:vertAlign w:val="superscript"/>
              </w:rPr>
              <w:t>48</w:t>
            </w:r>
            <w:r>
              <w:t>;</w:t>
            </w:r>
          </w:p>
        </w:tc>
        <w:tc>
          <w:tcPr>
            <w:tcW w:w="4876" w:type="dxa"/>
            <w:tcBorders>
              <w:top w:val="nil"/>
              <w:left w:val="nil"/>
              <w:bottom w:val="nil"/>
              <w:right w:val="nil"/>
            </w:tcBorders>
          </w:tcPr>
          <w:p>
            <w:pPr>
              <w:pStyle w:val="Normal6a"/>
            </w:pPr>
            <w:r>
              <w:t>34.</w:t>
            </w:r>
            <w:r>
              <w:tab/>
            </w:r>
            <w:r>
              <w:rPr>
                <w:b/>
                <w:i/>
              </w:rPr>
              <w:t>este profund îngrijorat de situația statului de drept în instituțiile europene;</w:t>
            </w:r>
            <w:r>
              <w:t xml:space="preserve"> </w:t>
            </w:r>
            <w:r>
              <w:rPr>
                <w:b/>
                <w:i/>
              </w:rPr>
              <w:t>invită Comisia să investigheze încălcările tot mai frecvente ale statului de drept în aceste instituții;</w:t>
            </w:r>
            <w:r>
              <w:t xml:space="preserve"> </w:t>
            </w:r>
            <w:r>
              <w:rPr>
                <w:b/>
                <w:i/>
              </w:rPr>
              <w:t>ia act cu profundă îngrijorare de presupusa implicare a fostului comisar pentru justiție, Didier Reynders, într-un mecanism de spălare a banilor;</w:t>
            </w:r>
            <w:r>
              <w:t xml:space="preserve"> </w:t>
            </w:r>
            <w:r>
              <w:rPr>
                <w:b/>
                <w:i/>
              </w:rPr>
              <w:t>este extrem de îngrijorat de faptul că un comisar pentru justiție care</w:t>
            </w:r>
            <w:r>
              <w:t xml:space="preserve"> ar fi </w:t>
            </w:r>
            <w:r>
              <w:rPr>
                <w:b/>
                <w:i/>
              </w:rPr>
              <w:t>spălat peste un milion de EUR prin achiziționarea de bilete de loterie a fost responsabil de respectarea statului de drept în Uniunea Europeană;</w:t>
            </w:r>
            <w:r>
              <w:t xml:space="preserve"> </w:t>
            </w:r>
            <w:r>
              <w:rPr>
                <w:b/>
                <w:i/>
              </w:rPr>
              <w:t>subliniază că, în 2019, pe când era comisar desemnat, Didier Reynders fusese deja acuzat de către autoritățile belgiene de spălare de bani și corupție;</w:t>
            </w:r>
            <w:r>
              <w:t xml:space="preserve"> </w:t>
            </w:r>
            <w:r>
              <w:rPr>
                <w:b/>
                <w:i/>
              </w:rPr>
              <w:t>invită Comisia să explice cum se face că Didier Reynders a fost responsabil de portofoliul justiției în cea de a 9-a legislatură, în pofida acuzațiilor grave;</w:t>
            </w:r>
            <w:r>
              <w:t xml:space="preserve"> </w:t>
            </w:r>
            <w:r>
              <w:rPr>
                <w:b/>
                <w:i/>
              </w:rPr>
              <w:t>reiterează că acest raport nu poate servi drept bază pentru niciun alt mecanism sau procedură a UE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își reiterează apelul adresat Comisiei de a integra</w:t>
            </w:r>
            <w:r>
              <w:t xml:space="preserve"> în continuare </w:t>
            </w:r>
            <w:r>
              <w:rPr>
                <w:b/>
                <w:i/>
              </w:rPr>
              <w:t>instrumentele</w:t>
            </w:r>
            <w:r>
              <w:t xml:space="preserve"> reactive în raportul privind statul de drept, cum ar fi procedurile prevăzute la articolul 7 din TUE, mecanismul general de condiționalitate și procedurile de constatare a neîndeplinirii obligațiilor</w:t>
            </w:r>
            <w:r>
              <w:rPr>
                <w:vertAlign w:val="superscript"/>
              </w:rPr>
              <w:t>48</w:t>
            </w:r>
            <w:r>
              <w:t>;</w:t>
            </w:r>
          </w:p>
        </w:tc>
        <w:tc>
          <w:tcPr>
            <w:tcW w:w="4876" w:type="dxa"/>
            <w:tcBorders>
              <w:top w:val="nil"/>
              <w:left w:val="nil"/>
              <w:bottom w:val="nil"/>
              <w:right w:val="nil"/>
            </w:tcBorders>
          </w:tcPr>
          <w:p>
            <w:pPr>
              <w:pStyle w:val="Normal6a"/>
            </w:pPr>
            <w:r>
              <w:t>34.</w:t>
            </w:r>
            <w:r>
              <w:tab/>
            </w:r>
            <w:r>
              <w:rPr>
                <w:b/>
                <w:i/>
              </w:rPr>
              <w:t>invită Comisia să evalueze dacă integrarea</w:t>
            </w:r>
            <w:r>
              <w:t xml:space="preserve"> în continuare </w:t>
            </w:r>
            <w:r>
              <w:rPr>
                <w:b/>
                <w:i/>
              </w:rPr>
              <w:t>a instrumentelor</w:t>
            </w:r>
            <w:r>
              <w:t xml:space="preserve"> reactive în raportul privind statul de drept, cum ar fi procedurile prevăzute la articolul 7 din TUE, mecanismul general de condiționalitate și procedurile</w:t>
            </w:r>
            <w:r>
              <w:rPr>
                <w:vertAlign w:val="superscript"/>
              </w:rPr>
              <w:t>48</w:t>
            </w:r>
            <w:r>
              <w:t xml:space="preserve"> de constatare a neîndeplinirii obligațiilor</w:t>
            </w:r>
            <w:r>
              <w:rPr>
                <w:b/>
                <w:i/>
              </w:rPr>
              <w:t>, este adecvată, având în vedere că a fost utilizată într-un mod revoltător de politizat, cel mai bun exemplu în acest sens fiind Polonia, unde, după schimbarea guvernului într-un guvern pro-Bruxelles și pro-Berlin, toate criticile au fost abandonate, iar procedura prevăzută la articolul 7 din TUE a fost stopată fără să se fi efectuat nicio modificare legislativă și în pofida încălcării pe față a principiilor constituționale ale țării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 un instantaneu al problemelor legate de statul de drept în Ungaria ținând seama de procedura prevăzută la articolul 7, 12 noiembrie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își reiterează apelul adresat Comisiei de a integra în continuare instrumentele reactive în raportul privind statul de drept, cum ar fi procedurile prevăzute la articolul 7 din TUE, mecanismul general de condiționalitate și procedurile de constatare a neîndeplinirii obligațiilor</w:t>
            </w:r>
            <w:r>
              <w:rPr>
                <w:vertAlign w:val="superscript"/>
              </w:rPr>
              <w:t>48</w:t>
            </w:r>
            <w:r>
              <w:t>;</w:t>
            </w:r>
          </w:p>
        </w:tc>
        <w:tc>
          <w:tcPr>
            <w:tcW w:w="4876" w:type="dxa"/>
            <w:tcBorders>
              <w:top w:val="nil"/>
              <w:left w:val="nil"/>
              <w:bottom w:val="nil"/>
              <w:right w:val="nil"/>
            </w:tcBorders>
          </w:tcPr>
          <w:p>
            <w:pPr>
              <w:pStyle w:val="Normal6a"/>
            </w:pPr>
            <w:r>
              <w:t>34.</w:t>
            </w:r>
            <w:r>
              <w:tab/>
            </w:r>
            <w:r>
              <w:t>își reiterează apelul adresat Comisiei de a integra în continuare instrumentele reactive în raportul privind statul de drept, cum ar fi procedurile prevăzute la articolul 7 din TUE, mecanismul general de condiționalitate și procedurile de constatare a neîndeplinirii obligațiilor</w:t>
            </w:r>
            <w:r>
              <w:rPr>
                <w:vertAlign w:val="superscript"/>
              </w:rPr>
              <w:t>48</w:t>
            </w:r>
            <w:r>
              <w:t xml:space="preserve">; </w:t>
            </w:r>
            <w:r>
              <w:rPr>
                <w:b/>
                <w:i/>
              </w:rPr>
              <w:t>solicită Comisiei să informeze anual cu privire la aplicarea și eficacitatea instrumentelor utilizate împotriva încălcărilor principiilor statului de drept în statele membre;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 un instantaneu al problemelor legate de statul de drept în Ungaria ținând seama de procedura prevăzută la articolul 7, 12 noiembrie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își reiterează apelul adresat Comisiei de a </w:t>
            </w:r>
            <w:r>
              <w:rPr>
                <w:b/>
                <w:i/>
              </w:rPr>
              <w:t>integra în continuare instrumentele reactive</w:t>
            </w:r>
            <w:r>
              <w:t xml:space="preserve"> în raportul privind statul de drept, </w:t>
            </w:r>
            <w:r>
              <w:rPr>
                <w:b/>
                <w:i/>
              </w:rPr>
              <w:t>cum ar fi procedurile prevăzute la articolul</w:t>
            </w:r>
            <w:r>
              <w:t xml:space="preserve"> 7 din TUE, mecanismul </w:t>
            </w:r>
            <w:r>
              <w:rPr>
                <w:b/>
                <w:i/>
              </w:rPr>
              <w:t>general de condiționalitate</w:t>
            </w:r>
            <w:r>
              <w:t xml:space="preserve"> și procedurile de constatare a neîndeplinirii obligațiilor</w:t>
            </w:r>
            <w:r>
              <w:rPr>
                <w:vertAlign w:val="superscript"/>
              </w:rPr>
              <w:t>48</w:t>
            </w:r>
            <w:r>
              <w:t>;</w:t>
            </w:r>
          </w:p>
        </w:tc>
        <w:tc>
          <w:tcPr>
            <w:tcW w:w="4876" w:type="dxa"/>
            <w:tcBorders>
              <w:top w:val="nil"/>
              <w:left w:val="nil"/>
              <w:bottom w:val="nil"/>
              <w:right w:val="nil"/>
            </w:tcBorders>
          </w:tcPr>
          <w:p>
            <w:pPr>
              <w:pStyle w:val="Normal6a"/>
            </w:pPr>
            <w:r>
              <w:t>34.</w:t>
            </w:r>
            <w:r>
              <w:tab/>
            </w:r>
            <w:r>
              <w:t xml:space="preserve">își reiterează apelul adresat Comisiei de a </w:t>
            </w:r>
            <w:r>
              <w:rPr>
                <w:b/>
                <w:i/>
              </w:rPr>
              <w:t>reflecta mai bine diferitele instrumente din setul de instrumente privind statul de drept</w:t>
            </w:r>
            <w:r>
              <w:t xml:space="preserve"> în raportul privind statul de drept, </w:t>
            </w:r>
            <w:r>
              <w:rPr>
                <w:b/>
                <w:i/>
              </w:rPr>
              <w:t>îndeosebi procedurile în curs în temeiul articolului</w:t>
            </w:r>
            <w:r>
              <w:t xml:space="preserve"> 7 din TUE, mecanismul </w:t>
            </w:r>
            <w:r>
              <w:rPr>
                <w:b/>
                <w:i/>
              </w:rPr>
              <w:t>de condiționalitate privind statul de drept, precum</w:t>
            </w:r>
            <w:r>
              <w:t xml:space="preserve"> și procedurile de constatare a neîndeplinirii obligațiilor</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 un instantaneu al problemelor legate de statul de drept în Ungaria ținând seama de procedura prevăzută la articolul 7, 12 noiembrie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își reiterează apelul adresat Comisiei de a </w:t>
            </w:r>
            <w:r>
              <w:rPr>
                <w:b/>
                <w:i/>
              </w:rPr>
              <w:t>integra în continuare instrumentele reactive în raportul privind statul de drept, cum ar fi procedurile prevăzute la articolul 7 din TUE, mecanismul general de condiționalitate și procedurile de constatare a neîndeplinirii obligațiilor</w:t>
            </w:r>
            <w:r>
              <w:rPr>
                <w:b/>
                <w:i/>
                <w:vertAlign w:val="superscript"/>
              </w:rPr>
              <w:t>48</w:t>
            </w:r>
            <w:r>
              <w:t>;</w:t>
            </w:r>
          </w:p>
        </w:tc>
        <w:tc>
          <w:tcPr>
            <w:tcW w:w="4876" w:type="dxa"/>
            <w:tcBorders>
              <w:top w:val="nil"/>
              <w:left w:val="nil"/>
              <w:bottom w:val="nil"/>
              <w:right w:val="nil"/>
            </w:tcBorders>
          </w:tcPr>
          <w:p>
            <w:pPr>
              <w:pStyle w:val="Normal6a"/>
            </w:pPr>
            <w:r>
              <w:t>34.</w:t>
            </w:r>
            <w:r>
              <w:tab/>
            </w:r>
            <w:r>
              <w:t xml:space="preserve">își reiterează apelul adresat Comisiei de a </w:t>
            </w:r>
            <w:r>
              <w:rPr>
                <w:b/>
                <w:i/>
              </w:rPr>
              <w:t>se abține de la crearea de noi mecanisme și instrumente pentru a proteja statul de drept, având în vedere faptul că mecanismele și instrumentele existente sunt suficiente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își reiterează apelul adresat Comisiei de a integra în continuare </w:t>
            </w:r>
            <w:r>
              <w:rPr>
                <w:b/>
                <w:i/>
              </w:rPr>
              <w:t>instrumentele reactive</w:t>
            </w:r>
            <w:r>
              <w:t xml:space="preserve"> în raportul privind statul de drept, cum ar fi procedurile prevăzute la articolul 7 din TUE, mecanismul general de condiționalitate și procedurile de constatare a neîndeplinirii obligațiilor</w:t>
            </w:r>
            <w:r>
              <w:rPr>
                <w:vertAlign w:val="superscript"/>
              </w:rPr>
              <w:t>48</w:t>
            </w:r>
            <w:r>
              <w:t>;</w:t>
            </w:r>
          </w:p>
        </w:tc>
        <w:tc>
          <w:tcPr>
            <w:tcW w:w="4876" w:type="dxa"/>
            <w:tcBorders>
              <w:top w:val="nil"/>
              <w:left w:val="nil"/>
              <w:bottom w:val="nil"/>
              <w:right w:val="nil"/>
            </w:tcBorders>
          </w:tcPr>
          <w:p>
            <w:pPr>
              <w:pStyle w:val="Normal6a"/>
            </w:pPr>
            <w:r>
              <w:t>34.</w:t>
            </w:r>
            <w:r>
              <w:tab/>
            </w:r>
            <w:r>
              <w:t xml:space="preserve">își reiterează apelul adresat Comisiei de a integra în continuare </w:t>
            </w:r>
            <w:r>
              <w:rPr>
                <w:b/>
                <w:i/>
              </w:rPr>
              <w:t>măsuri de executare</w:t>
            </w:r>
            <w:r>
              <w:t xml:space="preserve"> în raportul privind statul de drept, cum ar fi procedurile prevăzute la articolul 7 din TUE, mecanismul general de condiționalitate și procedurile de constatare a neîndeplinirii obligațiilor</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UE:un instantaneu al problemelor legate de statul de drept în Ungaria ținând seama de procedura prevăzută la articolul 7, 12 noiembrie 2024.</w:t>
            </w:r>
          </w:p>
        </w:tc>
        <w:tc>
          <w:tcPr>
            <w:tcW w:w="4876" w:type="dxa"/>
            <w:tcBorders>
              <w:top w:val="nil"/>
              <w:left w:val="nil"/>
              <w:bottom w:val="nil"/>
              <w:right w:val="nil"/>
            </w:tcBorders>
          </w:tcPr>
          <w:p>
            <w:pPr>
              <w:pStyle w:val="Normal6a"/>
            </w:pPr>
            <w:r>
              <w:rPr>
                <w:vertAlign w:val="superscript"/>
              </w:rPr>
              <w:t>48</w:t>
            </w:r>
            <w:r>
              <w:t xml:space="preserve"> </w:t>
            </w:r>
            <w:r>
              <w:t>Comitetul Helsinki din Ungaria, Neluarea în considerare a valorilor UE: un instantaneu al problemelor legate de statul de drept în Ungaria ținând seama de procedura prevăzută la articolul 7, 12 noiembrie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regretă că guvernul ungar nu a luat nicio măsură semnificativă în vederea punerii în aplicare a recomandărilor din Raportul din 2024 privind statul de drept;</w:t>
            </w:r>
            <w:r>
              <w:t xml:space="preserve"> </w:t>
            </w:r>
            <w:r>
              <w:rPr>
                <w:b/>
                <w:i/>
              </w:rPr>
              <w:t>subliniază că situația libertății mass-mediei, a sistemului de control și echilibru, a corupției la nivel înalt și a spațiului pentru organizațiile societății civile s-a deteriorat și mai mult de la publicarea acestuia;</w:t>
            </w:r>
            <w:r>
              <w:t xml:space="preserve"> </w:t>
            </w:r>
            <w:r>
              <w:rPr>
                <w:b/>
                <w:i/>
              </w:rPr>
              <w:t>evidențiază că reforma judiciară din 2023 nu a adus nicio îmbunătățire substanțială în ceea ce privește independența sistemului judiciar și condamnă recenta acțiune a guvernului de a corela adaptarea îndelung așteptată a remunerației judecătorilor de acceptarea de către aceștia a unor noi ingerințe politice în detrimentul independenței sistemului judiciar;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invită Comisia și statele membre să combată discriminarea pe motive de origine rasială și etnică, religie sau convingeri, naționalitate, opinii politice, limbă, handicap, vârstă, sex, inclusiv identitatea de gen și exprimarea de gen, precum și orientarea sexuală;</w:t>
            </w:r>
            <w:r>
              <w:t xml:space="preserve"> </w:t>
            </w:r>
            <w:r>
              <w:rPr>
                <w:b/>
                <w:i/>
              </w:rPr>
              <w:t>îndeamnă Consiliul să ajungă la un acord cu privire la Directiva 2008/140/CE;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regretă că guvernul Ungariei nu a luat nicio măsură semnificativă în vederea punerii în aplicare a recomandărilor din Raportul din 2024 privind statul de drept, și că Ungaria este singurul stat membru care rămâne sub incidența procedurii prevăzute la articolul 7 alineatul (1) TUE;</w:t>
            </w:r>
            <w:r>
              <w:t xml:space="preserve"> </w:t>
            </w:r>
            <w:r>
              <w:rPr>
                <w:b/>
                <w:i/>
              </w:rPr>
              <w:t>subliniază că respectarea statului de drept s-a deteriorat în mod constant;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invită Comisia Europeană să integreze în mod explicit considerațiile privind justiția rasială în viitoarele rapoarte privind statul de drept și să solicite statelor membre să colecteze date defalcate comparabile și solide privind egalitatea pentru a evalua pe deplin impactul discriminării structurale asupra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invită Comisia și statele membre să se asigure că drepturile persoanelor LGBTQIA+ sunt pe deplin respectate pe întreg teritoriul UE și că aceste persoane pot trăi în siguranță, își pot exercita drepturile și își pot valorifica pe deplin potențialul;</w:t>
            </w:r>
            <w:r>
              <w:t xml:space="preserve"> </w:t>
            </w:r>
            <w:r>
              <w:rPr>
                <w:b/>
                <w:i/>
              </w:rPr>
              <w:t>invită Comisia și Consiliul să se asigure că drepturile persoanelor LGBTIQ+ devin o prioritate transversală în toate domeniile de politică;</w:t>
            </w:r>
            <w:r>
              <w:t xml:space="preserve"> </w:t>
            </w:r>
            <w:r>
              <w:rPr>
                <w:b/>
                <w:i/>
              </w:rPr>
              <w:t>invită Comisia să prezinte măsuri legislative adecvate pentru a asigura respectarea acestor principii, precum și să se bazeze pe proceduri de constatare a neîndeplinirii obligațiilor împotriva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își reiterează apelul adresat Comisiei de a combate toate practicile discriminatorii și de a proteja principiile consacrate în Carta drepturilor fundamentale a UE;</w:t>
            </w:r>
            <w:r>
              <w:t xml:space="preserve"> </w:t>
            </w:r>
            <w:r>
              <w:rPr>
                <w:b/>
                <w:i/>
              </w:rPr>
              <w:t>îndeamnă Comisia să se asigure că libera circulație a persoanelor în UE, dreptul la liberă ședere și reîntregirea familiei sunt pe deplin respectate pe teritoriul UE și că fiecare cetățean se poate bucura de drepturi egale și își poate exercita pe deplin drepturile;</w:t>
            </w:r>
            <w:r>
              <w:t xml:space="preserve"> </w:t>
            </w:r>
            <w:r>
              <w:rPr>
                <w:b/>
                <w:i/>
              </w:rPr>
              <w:t>invită Comisia să reformeze Directiva 2004/38/CE pentru a include recunoașterea transfrontalieră a drepturilor familiale, inclusiv a filiației pentru părinții de același sex, în lumina celor mai recente hotărâri ale Curții de Justiție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subliniază importanța integrării jaloanelor privind statul de drept în instrumentele de finanțare, cum ar fi Mecanismul de redresare și reziliență;</w:t>
            </w:r>
            <w:r>
              <w:t xml:space="preserve"> </w:t>
            </w:r>
            <w:r>
              <w:rPr>
                <w:b/>
                <w:i/>
              </w:rPr>
              <w:t>regretă eliberarea fondurilor UE către Ungaria, în pofida deficiențelor în ceea ce privește independența sistemului judiciar și cadrele anticorupție ale țării respective;</w:t>
            </w:r>
            <w:r>
              <w:t xml:space="preserve"> </w:t>
            </w:r>
            <w:r>
              <w:rPr>
                <w:b/>
                <w:i/>
              </w:rPr>
              <w:t>recomandă suspendarea plăților până la îndeplinirea tuturor criteriilor de referință privind statul de drept;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subliniază importanța integrării jaloanelor privind statul de drept în instrumentele de finanțare, cum ar fi Mecanismul de redresare și reziliență;</w:t>
            </w:r>
            <w:r>
              <w:t xml:space="preserve"> </w:t>
            </w:r>
            <w:r>
              <w:rPr>
                <w:b/>
                <w:i/>
              </w:rPr>
              <w:t>regretă eliberarea fondurilor UE către Ungaria, în pofida deficiențelor în ceea ce privește independența sistemului judiciar și cadrele anticorupție ale țării respective;</w:t>
            </w:r>
            <w:r>
              <w:t xml:space="preserve"> </w:t>
            </w:r>
            <w:r>
              <w:rPr>
                <w:b/>
                <w:i/>
              </w:rPr>
              <w:t>recomandă suspendarea plăților până la îndeplinirea tuturor criteriilor de referință privind statul de drept;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subliniază importanța integrării jaloanelor privind statul de drept în instrumentele de finanțare, cum ar fi Mecanismul de redresare și reziliență;</w:t>
            </w:r>
            <w:r>
              <w:t xml:space="preserve"> </w:t>
            </w:r>
            <w:r>
              <w:rPr>
                <w:b/>
                <w:i/>
              </w:rPr>
              <w:t>regretă eliberarea fondurilor UE către Ungaria, în pofida deficiențelor în ceea ce privește independența sistemului judiciar și cadrele anticorupție ale țării respective;</w:t>
            </w:r>
            <w:r>
              <w:t xml:space="preserve"> </w:t>
            </w:r>
            <w:r>
              <w:rPr>
                <w:b/>
                <w:i/>
              </w:rPr>
              <w:t>recomandă suspendarea plăților până la îndeplinirea tuturor criteriilor de referință privind statul de drept;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Ungaria</w:t>
            </w:r>
            <w:r>
              <w:t>, în pofida deficiențelor în ceea ce privește independența sistemului judiciar și cadrele anticorupție ale țării respective; recomandă suspendarea plăților până la îndeplinirea tuturor criteriilor de referință privind statul de drept;</w:t>
            </w:r>
          </w:p>
        </w:tc>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guvernul Ungariei</w:t>
            </w:r>
            <w:r>
              <w:t xml:space="preserve">, în pofida deficiențelor </w:t>
            </w:r>
            <w:r>
              <w:rPr>
                <w:b/>
                <w:i/>
              </w:rPr>
              <w:t>serioase și în curs</w:t>
            </w:r>
            <w:r>
              <w:t xml:space="preserve"> în ceea ce privește independența sistemului judiciar și cadrele </w:t>
            </w:r>
            <w:r>
              <w:rPr>
                <w:b/>
                <w:i/>
              </w:rPr>
              <w:t>de</w:t>
            </w:r>
            <w:r>
              <w:t xml:space="preserve"> anticorupție ale țării respective; recomandă suspendarea plăților până la îndeplinirea tuturor criteriilor de referință privind statul de drept; </w:t>
            </w:r>
            <w:r>
              <w:rPr>
                <w:b/>
                <w:i/>
              </w:rPr>
              <w:t>îndeamnă Consiliul să deblocheze următoarele etape ale procedurii prevăzute la articolul 7 împotriva Ungariei, având în vedere încălcările persistente ale valorilor UE, inclusiv atacurile la adresa independenței sistemului judiciar, a libertății mass-mediei și a societății civile, care necesită acțiuni imediate și decisive pentru a proteja statul de drept în cadrul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subliniază importanța integrării jaloanelor</w:t>
            </w:r>
            <w:r>
              <w:t xml:space="preserve"> privind statul de drept </w:t>
            </w:r>
            <w:r>
              <w:rPr>
                <w:b/>
                <w:i/>
              </w:rPr>
              <w:t>în instrumentele de finanțare, cum ar fi Mecanismul de redresare și reziliență;</w:t>
            </w:r>
            <w:r>
              <w:t xml:space="preserve"> </w:t>
            </w:r>
            <w:r>
              <w:rPr>
                <w:b/>
                <w:i/>
              </w:rPr>
              <w:t>regretă eliberarea fondurilor UE</w:t>
            </w:r>
            <w:r>
              <w:t xml:space="preserve"> către </w:t>
            </w:r>
            <w:r>
              <w:rPr>
                <w:b/>
                <w:i/>
              </w:rPr>
              <w:t>Ungaria, în pofida deficiențelor</w:t>
            </w:r>
            <w:r>
              <w:t xml:space="preserve"> în ceea ce privește </w:t>
            </w:r>
            <w:r>
              <w:rPr>
                <w:b/>
                <w:i/>
              </w:rPr>
              <w:t>independența sistemului judiciar și cadrele anticorupție ale țării respective;</w:t>
            </w:r>
            <w:r>
              <w:t xml:space="preserve"> </w:t>
            </w:r>
            <w:r>
              <w:rPr>
                <w:b/>
                <w:i/>
              </w:rPr>
              <w:t>recomandă suspendarea plăților până la îndeplinirea tuturor criteriilor de referință privind statul de drept</w:t>
            </w:r>
            <w:r>
              <w:t>;</w:t>
            </w:r>
          </w:p>
        </w:tc>
        <w:tc>
          <w:tcPr>
            <w:tcW w:w="4876" w:type="dxa"/>
            <w:tcBorders>
              <w:top w:val="nil"/>
              <w:left w:val="nil"/>
              <w:bottom w:val="nil"/>
              <w:right w:val="nil"/>
            </w:tcBorders>
          </w:tcPr>
          <w:p>
            <w:pPr>
              <w:pStyle w:val="Normal6a"/>
            </w:pPr>
            <w:r>
              <w:t>35.</w:t>
            </w:r>
            <w:r>
              <w:tab/>
            </w:r>
            <w:r>
              <w:rPr>
                <w:b/>
                <w:i/>
              </w:rPr>
              <w:t>observă cu îngrijorare monitorizarea politică părtinitoare a Comisiei atunci când monitorizează criteriile de referință</w:t>
            </w:r>
            <w:r>
              <w:t xml:space="preserve"> privind statul de drept </w:t>
            </w:r>
            <w:r>
              <w:rPr>
                <w:b/>
                <w:i/>
              </w:rPr>
              <w:t>prin setul de instrumente privind statul de drept;</w:t>
            </w:r>
            <w:r>
              <w:t xml:space="preserve"> </w:t>
            </w:r>
            <w:r>
              <w:rPr>
                <w:b/>
                <w:i/>
              </w:rPr>
              <w:t>invită Comisia să pună capăt atacurilor politice împotriva guvernelor de dreapta și conservatoare;</w:t>
            </w:r>
            <w:r>
              <w:t xml:space="preserve"> </w:t>
            </w:r>
            <w:r>
              <w:rPr>
                <w:b/>
                <w:i/>
              </w:rPr>
              <w:t>subliniază că Ungaria este șantajată din punct de vedere financiar și politic de</w:t>
            </w:r>
            <w:r>
              <w:t xml:space="preserve"> către </w:t>
            </w:r>
            <w:r>
              <w:rPr>
                <w:b/>
                <w:i/>
              </w:rPr>
              <w:t>Comisie din cauza Legii privind protecția copilului, a Legii privind protecția suveranității naționale și a poziției ferme</w:t>
            </w:r>
            <w:r>
              <w:t xml:space="preserve"> în ceea ce privește </w:t>
            </w:r>
            <w:r>
              <w:rPr>
                <w:b/>
                <w:i/>
              </w:rPr>
              <w:t>politica în domeniul migrației;</w:t>
            </w:r>
            <w:r>
              <w:t xml:space="preserve"> </w:t>
            </w:r>
            <w:r>
              <w:rPr>
                <w:b/>
                <w:i/>
              </w:rPr>
              <w:t>reamintește că Ungaria are dreptul la toate fondurile UE care au fost blocate în mod ilegal de către Comisie;</w:t>
            </w:r>
            <w:r>
              <w:t xml:space="preserve"> </w:t>
            </w:r>
            <w:r>
              <w:rPr>
                <w:b/>
                <w:i/>
              </w:rPr>
              <w:t>invită Comisia Europeană să deblocheze restul de 20 miliarde EUR de fonduri UE la care Ungaria are dreptul în mod legitim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subliniază importanța integrării jaloanelor</w:t>
            </w:r>
            <w:r>
              <w:t xml:space="preserve"> privind statul de drept în instrumentele de finanțare, cum ar fi </w:t>
            </w:r>
            <w:r>
              <w:rPr>
                <w:b/>
                <w:i/>
              </w:rPr>
              <w:t>Mecanismul de redresare și reziliență;</w:t>
            </w:r>
            <w:r>
              <w:t xml:space="preserve"> </w:t>
            </w:r>
            <w:r>
              <w:rPr>
                <w:b/>
                <w:i/>
              </w:rPr>
              <w:t>regretă eliberarea fondurilor UE către Ungaria, în pofida deficiențelor în ceea ce privește independența sistemului judiciar și cadrele anticorupție ale țării respective;</w:t>
            </w:r>
            <w:r>
              <w:t xml:space="preserve"> </w:t>
            </w:r>
            <w:r>
              <w:rPr>
                <w:b/>
                <w:i/>
              </w:rPr>
              <w:t>recomandă suspendarea plăților până la îndeplinirea tuturor criteriilor de referință privind statul de drept</w:t>
            </w:r>
            <w:r>
              <w:t>;</w:t>
            </w:r>
          </w:p>
        </w:tc>
        <w:tc>
          <w:tcPr>
            <w:tcW w:w="4876" w:type="dxa"/>
            <w:tcBorders>
              <w:top w:val="nil"/>
              <w:left w:val="nil"/>
              <w:bottom w:val="nil"/>
              <w:right w:val="nil"/>
            </w:tcBorders>
          </w:tcPr>
          <w:p>
            <w:pPr>
              <w:pStyle w:val="Normal6a"/>
            </w:pPr>
            <w:r>
              <w:t>35.</w:t>
            </w:r>
            <w:r>
              <w:tab/>
            </w:r>
            <w:r>
              <w:rPr>
                <w:b/>
                <w:i/>
              </w:rPr>
              <w:t>ia act de faptul că jaloanele</w:t>
            </w:r>
            <w:r>
              <w:t xml:space="preserve"> privind statul de drept </w:t>
            </w:r>
            <w:r>
              <w:rPr>
                <w:b/>
                <w:i/>
              </w:rPr>
              <w:t>au fost integrate</w:t>
            </w:r>
            <w:r>
              <w:t xml:space="preserve"> în instrumentele de finanțare, cum ar fi </w:t>
            </w:r>
            <w:r>
              <w:rPr>
                <w:b/>
                <w:i/>
              </w:rPr>
              <w:t>MRR</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Ungaria</w:t>
            </w:r>
            <w:r>
              <w:t xml:space="preserve">, în pofida deficiențelor în ceea ce privește independența sistemului judiciar și cadrele anticorupție ale țării respective; recomandă suspendarea plăților </w:t>
            </w:r>
            <w:r>
              <w:rPr>
                <w:b/>
                <w:i/>
              </w:rPr>
              <w:t>până la îndeplinirea tuturor criteriilor</w:t>
            </w:r>
            <w:r>
              <w:t xml:space="preserve"> de referință privind statul de drept;</w:t>
            </w:r>
          </w:p>
        </w:tc>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guvernul Ungariei</w:t>
            </w:r>
            <w:r>
              <w:t xml:space="preserve">, în pofida deficiențelor în ceea ce privește independența sistemului judiciar și cadrele anticorupție ale țării respective; recomandă suspendarea plăților </w:t>
            </w:r>
            <w:r>
              <w:rPr>
                <w:b/>
                <w:i/>
              </w:rPr>
              <w:t>către guvernul Ungariei până când aceasta îndeplinește toate criteriile</w:t>
            </w:r>
            <w:r>
              <w:t xml:space="preserve"> de referință privind statul de drept; </w:t>
            </w:r>
            <w:r>
              <w:rPr>
                <w:b/>
                <w:i/>
              </w:rPr>
              <w:t>îndeamnă Comisia să se asigure că fondurile UE ajung la populația ungară, inclusiv prin finanțare directă sau indirectă pentru destinatarii și beneficiarii finali și independenți de guvernul ungar;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subliniază </w:t>
            </w:r>
            <w:r>
              <w:rPr>
                <w:b/>
                <w:i/>
              </w:rPr>
              <w:t>importanța integrării</w:t>
            </w:r>
            <w:r>
              <w:t xml:space="preserve"> jaloanelor privind statul de drept în instrumentele de finanțare, cum ar fi </w:t>
            </w:r>
            <w:r>
              <w:rPr>
                <w:b/>
                <w:i/>
              </w:rPr>
              <w:t>Mecanismul de redresare și reziliență;</w:t>
            </w:r>
            <w:r>
              <w:t xml:space="preserve"> </w:t>
            </w:r>
            <w:r>
              <w:rPr>
                <w:b/>
                <w:i/>
              </w:rPr>
              <w:t>regretă eliberarea</w:t>
            </w:r>
            <w:r>
              <w:t xml:space="preserve"> fondurilor UE către Ungaria, </w:t>
            </w:r>
            <w:r>
              <w:rPr>
                <w:b/>
                <w:i/>
              </w:rPr>
              <w:t>în pofida deficiențelor</w:t>
            </w:r>
            <w:r>
              <w:t xml:space="preserve"> în ceea ce privește independența </w:t>
            </w:r>
            <w:r>
              <w:rPr>
                <w:b/>
                <w:i/>
              </w:rPr>
              <w:t>sistemului judiciar</w:t>
            </w:r>
            <w:r>
              <w:t xml:space="preserve"> și cadrele anticorupție </w:t>
            </w:r>
            <w:r>
              <w:rPr>
                <w:b/>
                <w:i/>
              </w:rPr>
              <w:t>ale țării respective;</w:t>
            </w:r>
            <w:r>
              <w:t xml:space="preserve"> </w:t>
            </w:r>
            <w:r>
              <w:rPr>
                <w:b/>
                <w:i/>
              </w:rPr>
              <w:t>recomandă suspendarea plăților până la îndeplinirea tuturor criteriilor de referință privind statul</w:t>
            </w:r>
            <w:r>
              <w:t xml:space="preserve"> de drept;</w:t>
            </w:r>
          </w:p>
        </w:tc>
        <w:tc>
          <w:tcPr>
            <w:tcW w:w="4876" w:type="dxa"/>
            <w:tcBorders>
              <w:top w:val="nil"/>
              <w:left w:val="nil"/>
              <w:bottom w:val="nil"/>
              <w:right w:val="nil"/>
            </w:tcBorders>
          </w:tcPr>
          <w:p>
            <w:pPr>
              <w:pStyle w:val="Normal6a"/>
            </w:pPr>
            <w:r>
              <w:t>35.</w:t>
            </w:r>
            <w:r>
              <w:tab/>
            </w:r>
            <w:r>
              <w:t xml:space="preserve">subliniază </w:t>
            </w:r>
            <w:r>
              <w:rPr>
                <w:b/>
                <w:i/>
              </w:rPr>
              <w:t>că aplicarea</w:t>
            </w:r>
            <w:r>
              <w:t xml:space="preserve"> jaloanelor privind statul de drept în instrumentele de finanțare, cum ar fi </w:t>
            </w:r>
            <w:r>
              <w:rPr>
                <w:b/>
                <w:i/>
              </w:rPr>
              <w:t>MRR, este incompatibilă cu obligația de a respecta tratatele și de a urma o abordare bazată pe criterii obiective;</w:t>
            </w:r>
            <w:r>
              <w:t xml:space="preserve"> </w:t>
            </w:r>
            <w:r>
              <w:rPr>
                <w:b/>
                <w:i/>
              </w:rPr>
              <w:t>ia act de deblocarea</w:t>
            </w:r>
            <w:r>
              <w:t xml:space="preserve"> fondurilor UE către Ungaria, </w:t>
            </w:r>
            <w:r>
              <w:rPr>
                <w:b/>
                <w:i/>
              </w:rPr>
              <w:t>care nu contravine tratatelor, și că presupusele deficiențe</w:t>
            </w:r>
            <w:r>
              <w:t xml:space="preserve"> în ceea ce privește independența </w:t>
            </w:r>
            <w:r>
              <w:rPr>
                <w:b/>
                <w:i/>
              </w:rPr>
              <w:t>judiciară a țării respective</w:t>
            </w:r>
            <w:r>
              <w:t xml:space="preserve"> și cadrele anticorupție </w:t>
            </w:r>
            <w:r>
              <w:rPr>
                <w:b/>
                <w:i/>
              </w:rPr>
              <w:t>ar trebui abordate în cadrul unor proceduri conforme cu tratatele;</w:t>
            </w:r>
            <w:r>
              <w:t xml:space="preserve"> </w:t>
            </w:r>
            <w:r>
              <w:rPr>
                <w:b/>
                <w:i/>
              </w:rPr>
              <w:t>subliniază că plățile din fondurile UE nu sunt legate de criterii arbitrare aferente statului</w:t>
            </w:r>
            <w:r>
              <w:t xml:space="preserve"> de drept;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Ungaria</w:t>
            </w:r>
            <w:r>
              <w:t xml:space="preserve">, în pofida deficiențelor în ceea ce privește independența sistemului judiciar și cadrele anticorupție ale țării respective; recomandă suspendarea plăților </w:t>
            </w:r>
            <w:r>
              <w:rPr>
                <w:b/>
                <w:i/>
              </w:rPr>
              <w:t>până la îndeplinirea tuturor criteriilor</w:t>
            </w:r>
            <w:r>
              <w:t xml:space="preserve"> de referință privind statul de drept;</w:t>
            </w:r>
          </w:p>
        </w:tc>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regretă eliberarea fondurilor UE către </w:t>
            </w:r>
            <w:r>
              <w:rPr>
                <w:b/>
                <w:i/>
              </w:rPr>
              <w:t>guvernul Ungariei</w:t>
            </w:r>
            <w:r>
              <w:t xml:space="preserve">, în pofida deficiențelor în ceea ce privește independența sistemului judiciar și cadrele anticorupție ale țării respective; recomandă suspendarea plăților </w:t>
            </w:r>
            <w:r>
              <w:rPr>
                <w:b/>
                <w:i/>
              </w:rPr>
              <w:t>către guvernul Ungariei până când aceasta îndeplinește toate criteriile</w:t>
            </w:r>
            <w:r>
              <w:t xml:space="preserve"> de referință privind statul de drept; </w:t>
            </w:r>
            <w:r>
              <w:rPr>
                <w:b/>
                <w:i/>
              </w:rPr>
              <w:t>îndeamnă Comisia să se asigure că fondurile UE ajung la populația ungară, menținând, în același timp, impactul deplin al măsurilor luate;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subliniază importanța integrării jaloanelor privind statul de drept în instrumentele de finanțare, cum ar fi Mecanismul de redresare și reziliență; regretă eliberarea fondurilor UE către Ungaria, în pofida deficiențelor în ceea ce privește independența sistemului judiciar și cadrele anticorupție ale țării respective; recomandă suspendarea plăților până la îndeplinirea tuturor criteriilor de referință privind statul de drept;</w:t>
            </w:r>
          </w:p>
        </w:tc>
        <w:tc>
          <w:tcPr>
            <w:tcW w:w="4876" w:type="dxa"/>
            <w:tcBorders>
              <w:top w:val="nil"/>
              <w:left w:val="nil"/>
              <w:bottom w:val="nil"/>
              <w:right w:val="nil"/>
            </w:tcBorders>
          </w:tcPr>
          <w:p>
            <w:pPr>
              <w:pStyle w:val="Normal6a"/>
            </w:pPr>
            <w:r>
              <w:t>35.</w:t>
            </w:r>
            <w:r>
              <w:tab/>
            </w:r>
            <w:r>
              <w:t xml:space="preserve">subliniază importanța integrării jaloanelor privind statul de drept în instrumentele de finanțare, cum ar fi Mecanismul de redresare și reziliență; </w:t>
            </w:r>
            <w:r>
              <w:rPr>
                <w:b/>
                <w:i/>
              </w:rPr>
              <w:t>solicită ca viitorul CFM să includă garanții solide privind statul de drept aplicabile tuturor fondurilor UE;</w:t>
            </w:r>
            <w:r>
              <w:t xml:space="preserve"> regretă eliberarea fondurilor UE către Ungaria, în pofida deficiențelor în ceea ce privește independența sistemului judiciar și cadrele anticorupție ale țării respective; recomandă suspendarea plăților până la îndeplinirea tuturor criteriilor de referință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își exprimă profunda îngrijorare cu privire la intensificarea extremismului de extremă dreaptă și la efectul său coroziv asupra normelor democratice și a statului de drept în mai multe state membre;</w:t>
            </w:r>
            <w:r>
              <w:t xml:space="preserve"> </w:t>
            </w:r>
            <w:r>
              <w:rPr>
                <w:b/>
                <w:i/>
              </w:rPr>
              <w:t>solicită o acțiune coordonată la nivelul UE pentru a contracara această amenințare, inclusiv prin educație, programe de includere socială și, dacă este necesar, măsuri juridice;</w:t>
            </w:r>
            <w:r>
              <w:t xml:space="preserve"> </w:t>
            </w:r>
            <w:r>
              <w:rPr>
                <w:b/>
                <w:i/>
              </w:rPr>
              <w:t>constată cu îngrijorare că aceste grupuri vizează în mod activ minoritățile, inclusiv persoanele LGBTQI +, și contribuie la un climat de teamă și discriminare;</w:t>
            </w:r>
            <w:r>
              <w:t xml:space="preserve"> </w:t>
            </w:r>
            <w:r>
              <w:rPr>
                <w:b/>
                <w:i/>
              </w:rPr>
              <w:t>invită Comisia să identifice în mod explicit aceste grupuri ca o amenințare la adresa democrației, a drepturilor omului și a libertăților fundamentale, inclusiv a independenței universitare și a mass-mediei, în raportul său anual privind statul de drept;</w:t>
            </w:r>
            <w:r>
              <w:t xml:space="preserve"> </w:t>
            </w:r>
            <w:r>
              <w:rPr>
                <w:b/>
                <w:i/>
              </w:rPr>
              <w:t>îndeamnă statele membre să ia măsuri decisive pentru a contracara influența lor prin cadre juridice solide, educație care promovează valorile democratice și sprijin pentru organizațiile societății civile care combat extremismul;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solicită introducerea în Regulamentul privind cadrul financiar multianual a unui instrument bazat pe performanță, pe respectarea demnității umane, a libertății, a democrației, a egalității, a statului de drept și a drepturilor omului, pentru o aliniere mai puternică între respectarea acestor principii și acordarea de fonduri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insistă asupra introducerii unei legături mai strânse între constatările Raportului privind statul de drept și alocarea sprijinului financiar din bugetul Uniunii, în logica obiectivelor de etapă, asigurându-se că fondurile UE sunt legate de realizarea reformelor necesare;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este preocupat de faptul că data publicării raportului anual privind statul de drept nu este de natură să genereze o vizibilitate suficientă și este contrară scopului preconizat al raportului de a genera o dezbatere publică autentică cu privire la constatările sale;</w:t>
            </w:r>
            <w:r>
              <w:t xml:space="preserve"> </w:t>
            </w:r>
            <w:r>
              <w:rPr>
                <w:b/>
                <w:i/>
              </w:rPr>
              <w:t>îndeamnă Comisia să reconsidere data publicării și să depună eforturi suplimentare pentru ca constatările sale să fie cunoscute pe scară largă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se așteaptă ca raportul Comisiei din 2025 privind statul de drept să stabilească termene pentru punerea în aplicare a recomandărilor specifice fiecărei țări;</w:t>
            </w:r>
            <w:r>
              <w:t xml:space="preserve"> </w:t>
            </w:r>
            <w:r>
              <w:rPr>
                <w:b/>
                <w:i/>
              </w:rPr>
              <w:t>susține ca fondurile UE înghețate să fie deblocate numai după ce reformele semnificative au fost puse în aplicare pe deplin și respectarea statului de drept a fost verificată în practică;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încurajează statele membre să întărească democrația ecologică prin asigurarea punerii depline în aplicare a Convenției de la Aarhus, îndeosebi în ceea ce privește accesul la justiție în probleme de mediu și protecția activiștilor și organizațiilor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consideră că dialogul interinstituțional și cooperarea la nivelul UE privind statul de drept ar trebui întărite;</w:t>
            </w:r>
            <w:r>
              <w:t xml:space="preserve"> </w:t>
            </w:r>
            <w:r>
              <w:rPr>
                <w:b/>
                <w:i/>
              </w:rPr>
              <w:t>solicită instituirea unui dialog interinstituțional permanent privind statul de drept, 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consideră că dialogul interinstituțional și cooperarea la nivelul UE privind statul de drept ar trebui întărite;</w:t>
            </w:r>
            <w:r>
              <w:t xml:space="preserve"> </w:t>
            </w:r>
            <w:r>
              <w:rPr>
                <w:b/>
                <w:i/>
              </w:rPr>
              <w:t>solicită instituirea unui dialog interinstituțional permanent privind statul de drept, 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consideră că dialogul interinstituțional și cooperarea la nivelul UE privind statul de drept ar trebui întărite;</w:t>
            </w:r>
            <w:r>
              <w:t xml:space="preserve"> </w:t>
            </w:r>
            <w:r>
              <w:rPr>
                <w:b/>
                <w:i/>
              </w:rPr>
              <w:t>solicită instituirea unui dialog interinstituțional permanent privind statul de drept, 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w:t>
            </w:r>
            <w:r>
              <w:rPr>
                <w:b/>
                <w:i/>
              </w:rPr>
              <w:t>solicită instituirea unui dialog interinstituțional permanent</w:t>
            </w:r>
            <w:r>
              <w:t xml:space="preserve"> privind statul de drept</w:t>
            </w:r>
            <w:r>
              <w:rPr>
                <w:b/>
                <w:i/>
              </w:rPr>
              <w:t>, care să implice, printre altele, Parlamentul, Consiliul și Comisia</w:t>
            </w:r>
            <w:r>
              <w:t>; invită Consiliul să facă dialogul său privind statul de drept mai incluziv, invitând alte instituții, cum ar fi Comisia de la Veneția, Comisarul pentru drepturile omului și reprezentanți ai Parlamentului, la sesiunile sale;</w:t>
            </w:r>
          </w:p>
        </w:tc>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w:t>
            </w:r>
            <w:r>
              <w:rPr>
                <w:b/>
                <w:i/>
              </w:rPr>
              <w:t>regretă că, deocamdată, Comisia și Consiliul au respins oferta Parlamentului de a încheia un acord interinstituțional</w:t>
            </w:r>
            <w:r>
              <w:t xml:space="preserve"> privind </w:t>
            </w:r>
            <w:r>
              <w:rPr>
                <w:b/>
                <w:i/>
              </w:rPr>
              <w:t>democrația,</w:t>
            </w:r>
            <w:r>
              <w:t xml:space="preserve"> statul de drept </w:t>
            </w:r>
            <w:r>
              <w:rPr>
                <w:b/>
                <w:i/>
              </w:rPr>
              <w:t>și drepturile fundamentale;</w:t>
            </w:r>
            <w:r>
              <w:t xml:space="preserve"> </w:t>
            </w:r>
            <w:r>
              <w:rPr>
                <w:b/>
                <w:i/>
              </w:rPr>
              <w:t>își reafirmă disponibilitatea de a relua discuțiile privind acest acord;</w:t>
            </w:r>
            <w:r>
              <w:t xml:space="preserve"> </w:t>
            </w:r>
            <w:r>
              <w:rPr>
                <w:b/>
                <w:i/>
              </w:rPr>
              <w:t>invită, între timp, celelalte instituții să studieze, cel puțin, o cooperare mai accentuată în contextul proiectului-pilot interinstituțional propus privind democrația, statul de drept și drepturile fundamentale, care ar contribui la consolidarea încrederii între instituții într-un mod practic, în special prin schimbul de practici de monitorizare, dialog și reuniuni</w:t>
            </w:r>
            <w:r>
              <w:t xml:space="preserve">; invită Consiliul să facă dialogul său privind statul de drept mai incluziv, invitând alte instituții, cum ar fi Comisia de la Veneția, Comisarul pentru drepturile omului </w:t>
            </w:r>
            <w:r>
              <w:rPr>
                <w:b/>
                <w:i/>
              </w:rPr>
              <w:t>al Consiliului Europei</w:t>
            </w:r>
            <w:r>
              <w:t xml:space="preserve"> și reprezentanți ai Parlamentului, la sesiunile sale; </w:t>
            </w:r>
            <w:r>
              <w:rPr>
                <w:b/>
                <w:i/>
              </w:rPr>
              <w:t>consideră că dialogul privind statul de drept al Consiliului ar trebui să devină mai interactiv și mai substanțial și prin urmare invită statele membre să se implice în pregătirea adecvată a acestui dialog;</w:t>
            </w:r>
            <w:r>
              <w:t xml:space="preserve"> </w:t>
            </w:r>
            <w:r>
              <w:rPr>
                <w:b/>
                <w:i/>
              </w:rPr>
              <w:t>subliniază că o mai mare transparență ar consolida dialogul privind statul de drept în Uniune și, prin urmare, invită Consiliul să facă publice aceste discuții specifice fiecărei țări, incluzând concluzii publice detaliate;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consideră că dialogul interinstituțional și cooperarea la nivelul UE </w:t>
            </w:r>
            <w:r>
              <w:rPr>
                <w:b/>
                <w:i/>
              </w:rPr>
              <w:t>privind statul de drept ar trebui întărite;</w:t>
            </w:r>
            <w:r>
              <w:t xml:space="preserve"> </w:t>
            </w:r>
            <w:r>
              <w:rPr>
                <w:b/>
                <w:i/>
              </w:rPr>
              <w:t>solicită instituirea unui dialog interinstituțional permanent privind</w:t>
            </w:r>
            <w:r>
              <w:t xml:space="preserve"> statul de drept</w:t>
            </w:r>
            <w:r>
              <w:rPr>
                <w:b/>
                <w:i/>
              </w:rPr>
              <w:t>, 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r>
              <w:t>;</w:t>
            </w:r>
          </w:p>
        </w:tc>
        <w:tc>
          <w:tcPr>
            <w:tcW w:w="4876" w:type="dxa"/>
            <w:tcBorders>
              <w:top w:val="nil"/>
              <w:left w:val="nil"/>
              <w:bottom w:val="nil"/>
              <w:right w:val="nil"/>
            </w:tcBorders>
          </w:tcPr>
          <w:p>
            <w:pPr>
              <w:pStyle w:val="Normal6a"/>
            </w:pPr>
            <w:r>
              <w:t>36.</w:t>
            </w:r>
            <w:r>
              <w:tab/>
            </w:r>
            <w:r>
              <w:t xml:space="preserve">consideră că dialogul interinstituțional și cooperarea la nivelul UE </w:t>
            </w:r>
            <w:r>
              <w:rPr>
                <w:b/>
                <w:i/>
              </w:rPr>
              <w:t>cu privire la</w:t>
            </w:r>
            <w:r>
              <w:t xml:space="preserve"> statul de drept </w:t>
            </w:r>
            <w:r>
              <w:rPr>
                <w:b/>
                <w:i/>
              </w:rPr>
              <w:t>și lupta împotriva corupției ar trebui întărite prin includerea instituțiilor UE în ceea ce privește controlul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consideră că dialogul interinstituțional și cooperarea la nivelul UE privind statul de drept ar trebui întărite; solicită instituirea unui dialog interinstituțional permanent privind statul de drept, care să implice</w:t>
            </w:r>
            <w:r>
              <w:rPr>
                <w:b/>
                <w:i/>
              </w:rPr>
              <w:t>, printre altele,</w:t>
            </w:r>
            <w:r>
              <w:t xml:space="preserve"> Parlamentul, Consiliul și Comisia; invită Consiliul să facă dialogul său privind statul de drept mai incluziv, invitând alte instituții, cum ar fi Comisia de la Veneția, Comisarul pentru drepturile omului și </w:t>
            </w:r>
            <w:r>
              <w:rPr>
                <w:b/>
                <w:i/>
              </w:rPr>
              <w:t>reprezentanți ai</w:t>
            </w:r>
            <w:r>
              <w:t xml:space="preserve"> Parlamentului, la sesiunile sale;</w:t>
            </w:r>
          </w:p>
        </w:tc>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solicită instituirea unui dialog interinstituțional permanent </w:t>
            </w:r>
            <w:r>
              <w:rPr>
                <w:b/>
                <w:i/>
              </w:rPr>
              <w:t>prin încheierea unui acord interinstituțional</w:t>
            </w:r>
            <w:r>
              <w:t xml:space="preserve"> privind statul de drept, care să implice Parlamentul, Consiliul și Comisia; invită Consiliul să facă dialogul său privind statul de drept mai incluziv, invitând alte instituții, cum ar fi Comisia de la Veneția, Comisarul pentru drepturile omului și </w:t>
            </w:r>
            <w:r>
              <w:rPr>
                <w:b/>
                <w:i/>
              </w:rPr>
              <w:t>reprezentanții</w:t>
            </w:r>
            <w:r>
              <w:t xml:space="preserve"> Parlamentului, la sesiunile sale </w:t>
            </w:r>
            <w:r>
              <w:rPr>
                <w:b/>
                <w:i/>
              </w:rPr>
              <w:t>sau, cel puțin, să ofere Parlamentului European feedback sistematic cu privire la reuniunile de dialog privind statul de drept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consideră că dialogul interinstituțional și cooperarea la nivelul UE privind statul de drept ar trebui întărite; solicită instituirea unui dialog interinstituțional permanent privind statul de drept, care să implice, printre altele, Parlamentul, Consiliul și Comisia; invită Consiliul să facă dialogul său privind statul de drept mai incluziv, invitând alte instituții, cum ar fi Comisia de la Veneția, Comisarul pentru drepturile omului și reprezentanți ai Parlamentului, la sesiunile sale;</w:t>
            </w:r>
          </w:p>
        </w:tc>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solicită instituirea unui dialog interinstituțional permanent privind statul de drept, care să implice, printre altele, Parlamentul, Consiliul și Comisia; invită Consiliul să facă dialogul său privind statul de drept mai incluziv, invitând alte instituții, cum ar fi Comisia de la Veneția, Comisarul pentru drepturile omului și reprezentanți ai Parlamentului, la sesiunile sale; </w:t>
            </w:r>
            <w:r>
              <w:rPr>
                <w:b/>
                <w:i/>
              </w:rPr>
              <w:t>îndeamnă Consiliul să colaboreze cu parlamentele naționale pentru a consolida controlul democratic al respectării de către statele membre a standardelor UE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consideră că dialogul interinstituțional și cooperarea la nivelul UE privind statul de drept ar trebui întărite;</w:t>
            </w:r>
            <w:r>
              <w:t xml:space="preserve"> </w:t>
            </w:r>
            <w:r>
              <w:rPr>
                <w:b/>
                <w:i/>
              </w:rPr>
              <w:t>solicită instituirea unui dialog interinstituțional permanent privind statul de drept, 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r>
              <w:t>;</w:t>
            </w:r>
          </w:p>
        </w:tc>
        <w:tc>
          <w:tcPr>
            <w:tcW w:w="4876" w:type="dxa"/>
            <w:tcBorders>
              <w:top w:val="nil"/>
              <w:left w:val="nil"/>
              <w:bottom w:val="nil"/>
              <w:right w:val="nil"/>
            </w:tcBorders>
          </w:tcPr>
          <w:p>
            <w:pPr>
              <w:pStyle w:val="Normal6a"/>
            </w:pPr>
            <w:r>
              <w:t>36.</w:t>
            </w:r>
            <w:r>
              <w:tab/>
            </w:r>
            <w:r>
              <w:rPr>
                <w:b/>
                <w:i/>
              </w:rPr>
              <w:t>ia act de faptul că există solicitări de întărire a dialogului interinstituțional și a cooperării la nivelul UE, deși acest lucru nu este în concordanță cu formularea din tratate;</w:t>
            </w:r>
            <w:r>
              <w:t xml:space="preserve"> </w:t>
            </w:r>
            <w:r>
              <w:rPr>
                <w:b/>
                <w:i/>
              </w:rPr>
              <w:t>constată, în același timp, că pozițiile Parlamentului, în special, sunt adesea influențate de interesele de partid ale grupurilor individuale, ceea ce nu face decât să întărească părtinirea și dimensiunea politică a așa-numitului „dialog” privind statul de drept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solicită instituirea </w:t>
            </w:r>
            <w:r>
              <w:rPr>
                <w:b/>
                <w:i/>
              </w:rPr>
              <w:t>unui dialog interinstituțional permanent privind</w:t>
            </w:r>
            <w:r>
              <w:t xml:space="preserve"> statul de drept, </w:t>
            </w:r>
            <w:r>
              <w:rPr>
                <w:b/>
                <w:i/>
              </w:rPr>
              <w:t>care să implice, printre altele, Parlamentul, Consiliul și Comisia;</w:t>
            </w:r>
            <w:r>
              <w:t xml:space="preserve"> </w:t>
            </w:r>
            <w:r>
              <w:rPr>
                <w:b/>
                <w:i/>
              </w:rPr>
              <w:t>invită Consiliul să facă dialogul său privind statul de drept mai incluziv, invitând alte instituții, cum ar fi Comisia de la Veneția, Comisarul pentru drepturile omului și reprezentanți ai Parlamentului, la sesiunile sale</w:t>
            </w:r>
            <w:r>
              <w:t>;</w:t>
            </w:r>
          </w:p>
        </w:tc>
        <w:tc>
          <w:tcPr>
            <w:tcW w:w="4876" w:type="dxa"/>
            <w:tcBorders>
              <w:top w:val="nil"/>
              <w:left w:val="nil"/>
              <w:bottom w:val="nil"/>
              <w:right w:val="nil"/>
            </w:tcBorders>
          </w:tcPr>
          <w:p>
            <w:pPr>
              <w:pStyle w:val="Normal6a"/>
            </w:pPr>
            <w:r>
              <w:t>36.</w:t>
            </w:r>
            <w:r>
              <w:tab/>
            </w:r>
            <w:r>
              <w:t xml:space="preserve">consideră că dialogul interinstituțional și cooperarea la nivelul UE privind statul de drept ar trebui întărite; solicită instituirea </w:t>
            </w:r>
            <w:r>
              <w:rPr>
                <w:b/>
                <w:i/>
              </w:rPr>
              <w:t>semestrului european pentru</w:t>
            </w:r>
            <w:r>
              <w:t xml:space="preserve"> statul de drept, </w:t>
            </w:r>
            <w:r>
              <w:rPr>
                <w:b/>
                <w:i/>
              </w:rPr>
              <w:t>creând cadrul cu rolul-cheie al Consiliului și al Parlamentului European, sprijinit de competența Comisiei de a asigura conformitatea;</w:t>
            </w:r>
            <w:r>
              <w:t xml:space="preserve"> </w:t>
            </w:r>
            <w:r>
              <w:rPr>
                <w:b/>
                <w:i/>
              </w:rPr>
              <w:t>constată că acest cadru ar aborda deficitul democratic și ar asigura respectarea statului de drept în toate statele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regretă profund că Consiliul nu reușește să facă progrese semnificative în ceea ce privește procedura în curs prevăzută la articolul 7 alineatul (1) din TUE;</w:t>
            </w:r>
            <w:r>
              <w:t xml:space="preserve"> </w:t>
            </w:r>
            <w:r>
              <w:rPr>
                <w:b/>
                <w:i/>
              </w:rPr>
              <w:t>îndeamnă Consiliul să se asigure că audierile au loc cel puțin o dată în cursul fiecărei președinții în cadrul procedurilor în curs prevăzute la articolul 7 și, de asemenea, să abordeze noile evoluții care afectează statul de drept, democrația și drepturile fundamentale;</w:t>
            </w:r>
            <w:r>
              <w:t xml:space="preserve"> </w:t>
            </w:r>
            <w:r>
              <w:rPr>
                <w:b/>
                <w:i/>
              </w:rPr>
              <w:t>subliniază că nu este necesară unanimitatea în Consiliu pentru a identifica un risc clar de încălcare gravă a valorilor Uniunii în temeiul articolului 7 alineatul (1) din TUE, și nici pentru a adresa recomandări concrete statelor membre în cauză și a stabili termene pentru punerea în aplicare a acestor recomandări;</w:t>
            </w:r>
            <w:r>
              <w:t xml:space="preserve"> </w:t>
            </w:r>
            <w:r>
              <w:rPr>
                <w:b/>
                <w:i/>
              </w:rPr>
              <w:t>își reiterează invitația adresată Consiliului în acest sens, subliniind că orice întârziere suplimentară a unei astfel de acțiuni ar constitui o încălcare a principiului statului de drept chiar de către Consiliu;</w:t>
            </w:r>
            <w:r>
              <w:t xml:space="preserve"> </w:t>
            </w:r>
            <w:r>
              <w:rPr>
                <w:b/>
                <w:i/>
              </w:rPr>
              <w:t>insistă ca rolul și competențele Parlamentului să fie respectate;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reamintește solicitarea sa de lungă durată privind instituirea unui mecanism al UE pentru democrație, statul de drept și drepturile fundamentale (Pactul UE pentru DSF) sub forma unui acord interinstituțional și invită Comisia și Consiliul să încheie un astfel de acord interinstituțional;</w:t>
            </w:r>
            <w:r>
              <w:t xml:space="preserve"> </w:t>
            </w:r>
            <w:r>
              <w:rPr>
                <w:b/>
                <w:i/>
              </w:rPr>
              <w:t>reamintește că noul mecanism ar trebui să integreze și să completeze mecanismele existente, inclusiv raportul privind statul de drept, ar trebui să fie bazat pe dovezi, obiectiv, adresându-se statelor membre și instituțiilor UE, incluzând măsuri preventive și corective, și ar trebui să fie sprijinit de un grup de experți independenți;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invită statele membre să se asigure că toate reformele legislative care afectează separarea puterilor respectă pe deplin principiile juridice europene;</w:t>
            </w:r>
            <w:r>
              <w:t xml:space="preserve"> </w:t>
            </w:r>
            <w:r>
              <w:rPr>
                <w:b/>
                <w:i/>
              </w:rPr>
              <w:t>îndeamnă Comisia să evalueze dacă măsurile legislative care au un impact asupra sistemului judiciar, a beneficiilor juridice sau a controlului executiv asupra instituțiilor judiciare sunt în conformitate cu articolul 2 din TUE și dacă acestea pot justifica inițierea procedurilor în temeiul articolului 7 din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consideră că ar trebui întărită în continuare cooperarea dintre UE și organizațiile internaționale, cum ar fi Consiliul Europei, OSCE și Organizația Națiunilor Unite în ceea ce privește promovarea și apărarea democrației, a statului de drept, a libertăților fundamentale și a drepturilor omului, inclusiv a drepturilor minorităților;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consideră că cooperarea între statele membre este deosebit de importantă pentru promovarea democrației, a statului de drept și a drepturilor fundamentale în UE;</w:t>
            </w:r>
            <w:r>
              <w:t xml:space="preserve"> </w:t>
            </w:r>
            <w:r>
              <w:rPr>
                <w:b/>
                <w:i/>
              </w:rPr>
              <w:t>îndeamnă Comisia să își respecte propriile norme în domeniul transparenței, al combaterii corupției și al justiției;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invită statele membre să se asigure că măsurile de urgență adoptate ca răspuns la crize (cum ar fi pandemiile sau amenințările la adresa securității) fac obiectul unui control parlamentar periodic și al unui control judiciar și sunt strict limitate în timp și proporționale;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regretă faptul că Comisia nu a inclus multe dintre solicitările repetate ale Parlamentului cu privire la rapoartele Comisiei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solicită Comisiei să publice, până la 31 decembrie 2025, o comunicare în care să detalieze cererile adoptate de Parlament în legătură cu rapoartele Comisiei privind statul de drept începând din 2021 pe care Comisia le va pune în aplicare, pe care nu le va pune în aplicare, precum și motivele specifice ale oricărui refuz;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subliniază necesitatea ca statele membre să abordeze disparitatea de gen în sistemul judiciar și în alte instituții democratice esențiale;</w:t>
            </w:r>
            <w:r>
              <w:t xml:space="preserve"> </w:t>
            </w:r>
            <w:r>
              <w:rPr>
                <w:b/>
                <w:i/>
              </w:rPr>
              <w:t>recomandă punerea în aplicare a unor măsuri specifice pentru a crește reprezentarea femeilor în funcțiile superioare din sistemul judiciar și din administrația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invită Comisia să nu utilizeze protecția statului de drept și a drepturilor fundamentale ca pretext pentru a exercita presiuni politice asupra anumitor state membre pentru a determina modificarea politicilor care țin de competența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își exprimă profunda îngrijorare cu privire la faptul că, la fel ca în cazul procedurilor prevăzute la articolul 7, vor fi puse în aplicare măsuri în temeiul Regulamentului privind condiționalitatea legată de statul de drept pentru a promova idealurile politice și pentru a reduce legitimitatea anumitor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recomandă Comisiei și statelor membre să monitorizeze ingerințele străine, în special utilizarea rețelelor de socializare pentru manipulare și în scopuri răuvoitoare, inclusiv utilizarea acestora de către persoane precum Elon Musk pentru a influența opinia publică și a răspândi dezinformarea în Europa;</w:t>
            </w:r>
            <w:r>
              <w:t xml:space="preserve"> </w:t>
            </w:r>
            <w:r>
              <w:rPr>
                <w:b/>
                <w:i/>
              </w:rPr>
              <w:t>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recomandă Comisiei și</w:t>
            </w:r>
            <w:r>
              <w:t xml:space="preserve"> statelor membre </w:t>
            </w:r>
            <w:r>
              <w:rPr>
                <w:b/>
                <w:i/>
              </w:rPr>
              <w:t>să monitorizeze ingerințele străine, în special utilizarea rețelelor</w:t>
            </w:r>
            <w:r>
              <w:t xml:space="preserve"> de socializare </w:t>
            </w:r>
            <w:r>
              <w:rPr>
                <w:b/>
                <w:i/>
              </w:rPr>
              <w:t>pentru manipulare și în scopuri 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rPr>
                <w:b/>
                <w:i/>
              </w:rPr>
              <w:t>este preocupat de ingerința Parlamentului European și a Comisiei Europene în afacerile interne ale</w:t>
            </w:r>
            <w:r>
              <w:t xml:space="preserve"> statelor membre</w:t>
            </w:r>
            <w:r>
              <w:rPr>
                <w:b/>
                <w:i/>
              </w:rPr>
              <w:t>;</w:t>
            </w:r>
            <w:r>
              <w:t xml:space="preserve"> </w:t>
            </w:r>
            <w:r>
              <w:rPr>
                <w:b/>
                <w:i/>
              </w:rPr>
              <w:t>reamintește că, la 7 ianuarie 2025, directorul general al Meta, Mark Zuckerberg, a recunoscut că Facebook a cenzurat conținutul pe bază politică;</w:t>
            </w:r>
            <w:r>
              <w:t xml:space="preserve"> </w:t>
            </w:r>
            <w:r>
              <w:rPr>
                <w:b/>
                <w:i/>
              </w:rPr>
              <w:t>salută eforturile Meta de a promova libertatea de exprimare pe rețelele sale</w:t>
            </w:r>
            <w:r>
              <w:t xml:space="preserve"> de socializare</w:t>
            </w:r>
            <w:r>
              <w:rPr>
                <w:b/>
                <w:i/>
              </w:rPr>
              <w:t>;</w:t>
            </w:r>
            <w:r>
              <w:t xml:space="preserve"> </w:t>
            </w:r>
            <w:r>
              <w:rPr>
                <w:b/>
                <w:i/>
              </w:rPr>
              <w:t>regretă faptul că verificarea factuală părtinitoare din punct de vedere politic pe rețelele de socializare este încă pusă în aplicare în Europa;</w:t>
            </w:r>
            <w:r>
              <w:t xml:space="preserve"> </w:t>
            </w:r>
            <w:r>
              <w:rPr>
                <w:b/>
                <w:i/>
              </w:rPr>
              <w:t>invită Comisia să își oprească eforturile de cenzură a vocilor de dreapta și conservatoare pe rețelele de socializare;</w:t>
            </w:r>
            <w:r>
              <w:t xml:space="preserve"> </w:t>
            </w:r>
            <w:r>
              <w:rPr>
                <w:b/>
                <w:i/>
              </w:rPr>
              <w:t>invită Parlamentul European să înființeze o comisie de anchetă privind cenzura Facebook;</w:t>
            </w:r>
            <w:r>
              <w:t xml:space="preserve"> </w:t>
            </w:r>
            <w:r>
              <w:rPr>
                <w:b/>
                <w:i/>
              </w:rPr>
              <w:t>salută eforturile depuse de Elon Musk în lupta pentru libertatea de exprimare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recomandă Comisiei și statelor membre să monitorizeze ingerințele străine</w:t>
            </w:r>
            <w:r>
              <w:rPr>
                <w:b/>
                <w:i/>
              </w:rPr>
              <w:t>, în special utilizarea rețelelor de socializare pentru manipulare și în scopuri răuvoitoare, inclusiv utilizarea acestora de către persoane precum Elon Musk pentru a influența opinia publică și a răspândi dezinformarea în Europa;</w:t>
            </w:r>
            <w:r>
              <w:t xml:space="preserve"> </w:t>
            </w:r>
            <w:r>
              <w:rPr>
                <w:b/>
                <w:i/>
              </w:rPr>
              <w:t>subliniază că Comisia trebuie să se asigure că statul de drept este pus în aplicare în mod corespunzător în cadrul instituțiilor UE și solicită includerea instituțiilor UE în evaluarea raportului său anual privind statul de drept</w:t>
            </w:r>
            <w:r>
              <w:t>;</w:t>
            </w:r>
          </w:p>
        </w:tc>
        <w:tc>
          <w:tcPr>
            <w:tcW w:w="4876" w:type="dxa"/>
            <w:tcBorders>
              <w:top w:val="nil"/>
              <w:left w:val="nil"/>
              <w:bottom w:val="nil"/>
              <w:right w:val="nil"/>
            </w:tcBorders>
          </w:tcPr>
          <w:p>
            <w:pPr>
              <w:pStyle w:val="Normal6a"/>
            </w:pPr>
            <w:r>
              <w:t>37.</w:t>
            </w:r>
            <w:r>
              <w:tab/>
            </w:r>
            <w:r>
              <w:t>recomandă Comisiei și statelor membre să monitorizeze ingerințele străine;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w:t>
            </w:r>
            <w:r>
              <w:rPr>
                <w:b/>
                <w:i/>
              </w:rPr>
              <w:t>și statelor membre să monitorizeze ingerințele străine, în special utilizarea rețelelor de socializare pentru manipulare și în scopuri răuvoitoare, inclusiv utilizarea acestora de către persoane precum Elon Musk pentru a influența opinia publică și a răspândi dezinformarea în Europa;</w:t>
            </w:r>
            <w:r>
              <w:t xml:space="preserve"> </w:t>
            </w:r>
            <w:r>
              <w:rPr>
                <w:b/>
                <w:i/>
              </w:rPr>
              <w:t>subliniază că Comisia trebuie</w:t>
            </w:r>
            <w:r>
              <w:t xml:space="preserv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recomandă Comisiei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pentru manipulare și în scopuri răuvoitoare, </w:t>
            </w:r>
            <w:r>
              <w:rPr>
                <w:b/>
                <w:i/>
              </w:rPr>
              <w:t>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pentru manipulare și în scopuri răuvoitoare, </w:t>
            </w:r>
            <w:r>
              <w:rPr>
                <w:b/>
                <w:i/>
              </w:rPr>
              <w:t>având ca obiectiv influențarea opiniei publice și răspândirea dezinformării în Europa;</w:t>
            </w:r>
            <w:r>
              <w:t xml:space="preserve"> </w:t>
            </w:r>
            <w:r>
              <w:rPr>
                <w:b/>
                <w:i/>
              </w:rPr>
              <w:t>ia act de faptul că, de ani de zile, Comisia nu admite poziția dominantă pe care o ocupă rețelele de socializare de stânga liberală, inclusiv impunerea acestei agende de către anumite capitale, fundații internaționale și instituții ale UE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pentru manipulare și în scopuri răuvoitoare, inclusiv utilizarea acestora de către persoane precum Elon Musk pentru a influența opinia publică și a răspândi dezinformarea în Europa; </w:t>
            </w:r>
            <w:r>
              <w:rPr>
                <w:b/>
                <w:i/>
              </w:rPr>
              <w:t>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recomandă Comisiei și statelor membre să monitorizeze ingerințele străine, în special utilizarea rețelelor de socializare pentru manipulare și în scopuri răuvoitoare, inclusiv utilizarea acestora de către persoane precum Elon Musk pentru a influența opinia publică și a răspândi dezinformarea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recomandă Comisiei și statelor membre să monitorizeze ingerințele străine</w:t>
            </w:r>
            <w:r>
              <w:rPr>
                <w:b/>
                <w:i/>
              </w:rPr>
              <w:t>, în special utilizarea rețelelor de socializare pentru manipulare și în scopuri 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recomandă Comisiei și statelor membre să monitorizeze ingerințele străine;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w:t>
            </w:r>
            <w:r>
              <w:rPr>
                <w:b/>
                <w:i/>
              </w:rPr>
              <w:t>în special</w:t>
            </w:r>
            <w:r>
              <w:t xml:space="preserve"> utilizarea rețelelor de socializare </w:t>
            </w:r>
            <w:r>
              <w:rPr>
                <w:b/>
                <w:i/>
              </w:rPr>
              <w:t>pentru manipulare și</w:t>
            </w:r>
            <w:r>
              <w:t xml:space="preserve"> în scopuri </w:t>
            </w:r>
            <w:r>
              <w:rPr>
                <w:b/>
                <w:i/>
              </w:rPr>
              <w:t>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w:t>
            </w:r>
            <w:r>
              <w:rPr>
                <w:b/>
                <w:i/>
              </w:rPr>
              <w:t>incluzând</w:t>
            </w:r>
            <w:r>
              <w:t xml:space="preserve"> utilizarea rețelelor de socializare în scopuri </w:t>
            </w:r>
            <w:r>
              <w:rPr>
                <w:b/>
                <w:i/>
              </w:rPr>
              <w:t>de manipulare și răuvoitoare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recomandă Comisiei și statelor membre să monitorizeze ingerințele străine</w:t>
            </w:r>
            <w:r>
              <w:rPr>
                <w:b/>
                <w:i/>
              </w:rPr>
              <w:t>, în special utilizarea rețelelor de socializare</w:t>
            </w:r>
            <w:r>
              <w:t xml:space="preserve"> pentru </w:t>
            </w:r>
            <w:r>
              <w:rPr>
                <w:b/>
                <w:i/>
              </w:rPr>
              <w:t>manipulare și în scopuri 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w:t>
            </w:r>
            <w:r>
              <w:rPr>
                <w:b/>
                <w:i/>
              </w:rPr>
              <w:t>și să ia măsuri eficace</w:t>
            </w:r>
            <w:r>
              <w:t xml:space="preserve"> pentru </w:t>
            </w:r>
            <w:r>
              <w:rPr>
                <w:b/>
                <w:i/>
              </w:rPr>
              <w:t>a ne proteja interesele comune;</w:t>
            </w:r>
            <w:r>
              <w:t xml:space="preserve"> </w:t>
            </w:r>
            <w:r>
              <w:rPr>
                <w:b/>
                <w:i/>
              </w:rPr>
              <w:t>subliniază că operațiunile de propagandă străină pot fi combătute fără a afecta libertatea de exprimare, și anume prin etichetarea corespunzătoare a organizațiilor finanțate din străinătate sau prin inițiative neutre, cum ar fi notele comunitare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w:t>
            </w:r>
            <w:r>
              <w:rPr>
                <w:b/>
                <w:i/>
              </w:rPr>
              <w:t>pentru manipulare și</w:t>
            </w:r>
            <w:r>
              <w:t xml:space="preserve"> în scopuri </w:t>
            </w:r>
            <w:r>
              <w:rPr>
                <w:b/>
                <w:i/>
              </w:rPr>
              <w:t>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în scopuri </w:t>
            </w:r>
            <w:r>
              <w:rPr>
                <w:b/>
                <w:i/>
              </w:rPr>
              <w:t>de manipulare și răuvoitoare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w:t>
            </w:r>
            <w:r>
              <w:rPr>
                <w:b/>
                <w:i/>
              </w:rPr>
              <w:t>pentru manipulare și</w:t>
            </w:r>
            <w:r>
              <w:t xml:space="preserve"> în scopuri </w:t>
            </w:r>
            <w:r>
              <w:rPr>
                <w:b/>
                <w:i/>
              </w:rPr>
              <w:t>răuvoitoare, inclusiv utilizarea acestora de către persoane precum Elon Musk pentru a influența opinia publică și a răspândi dezinformarea în Europa</w:t>
            </w:r>
            <w:r>
              <w:t>;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în scopuri </w:t>
            </w:r>
            <w:r>
              <w:rPr>
                <w:b/>
                <w:i/>
              </w:rPr>
              <w:t>de manipulare și răuvoitoare</w:t>
            </w:r>
            <w:r>
              <w:t>;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w:t>
            </w:r>
            <w:r>
              <w:rPr>
                <w:b/>
                <w:i/>
              </w:rPr>
              <w:t>în special</w:t>
            </w:r>
            <w:r>
              <w:t xml:space="preserve"> utilizarea rețelelor de socializare </w:t>
            </w:r>
            <w:r>
              <w:rPr>
                <w:b/>
                <w:i/>
              </w:rPr>
              <w:t>pentru manipulare și</w:t>
            </w:r>
            <w:r>
              <w:t xml:space="preserve"> în scopuri </w:t>
            </w:r>
            <w:r>
              <w:rPr>
                <w:b/>
                <w:i/>
              </w:rPr>
              <w:t>răuvoitoare, inclusiv utilizarea acestora de către persoane precum Elon Musk pentru a influența opinia publică și a răspândi dezinformarea</w:t>
            </w:r>
            <w:r>
              <w:t xml:space="preserve"> în Europa;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w:t>
            </w:r>
            <w:r>
              <w:rPr>
                <w:b/>
                <w:i/>
              </w:rPr>
              <w:t>și să abordeze rapid</w:t>
            </w:r>
            <w:r>
              <w:t xml:space="preserve"> ingerințele străine, </w:t>
            </w:r>
            <w:r>
              <w:rPr>
                <w:b/>
                <w:i/>
              </w:rPr>
              <w:t>incluzând</w:t>
            </w:r>
            <w:r>
              <w:t xml:space="preserve"> utilizarea rețelelor de socializare în scopuri </w:t>
            </w:r>
            <w:r>
              <w:rPr>
                <w:b/>
                <w:i/>
              </w:rPr>
              <w:t>de manipulare, rău-intenționate și răspândirea dezinformării</w:t>
            </w:r>
            <w:r>
              <w:t xml:space="preserve"> în Europa;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recomandă Comisiei și statelor membre să monitorizeze ingerințele străine, în special utilizarea rețelelor de socializare pentru manipulare și în scopuri răuvoitoare, inclusiv utilizarea acestora de către persoane precum Elon Musk pentru a influența opinia publică și a răspândi dezinformarea în Europa;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utilizarea rețelelor de socializare pentru manipulare și în scopuri răuvoitoare, inclusiv utilizarea acestora de către persoane precum Elon Musk </w:t>
            </w:r>
            <w:r>
              <w:rPr>
                <w:b/>
                <w:i/>
              </w:rPr>
              <w:t>și Meta</w:t>
            </w:r>
            <w:r>
              <w:t xml:space="preserve"> pentru a influența opinia publică și a răspândi dezinformarea în Europa;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w:t>
            </w:r>
            <w:r>
              <w:rPr>
                <w:b/>
                <w:i/>
              </w:rPr>
              <w:t>utilizarea rețelelor de socializare</w:t>
            </w:r>
            <w:r>
              <w:t xml:space="preserve"> pentru manipulare și în scopuri răuvoitoare, inclusiv </w:t>
            </w:r>
            <w:r>
              <w:rPr>
                <w:b/>
                <w:i/>
              </w:rPr>
              <w:t>utilizarea acestora de către persoane precum Elon Musk</w:t>
            </w:r>
            <w:r>
              <w:t xml:space="preserve"> pentru a influența opinia publică și a răspândi dezinformarea în Europa; subliniază că Comisia trebuie să se asigure că statul de drept este pus în aplicare în mod corespunzător în cadrul instituțiilor UE și solicită includerea instituțiilor UE în evaluarea raportului său anual privind statul de drept;</w:t>
            </w:r>
          </w:p>
        </w:tc>
        <w:tc>
          <w:tcPr>
            <w:tcW w:w="4876" w:type="dxa"/>
            <w:tcBorders>
              <w:top w:val="nil"/>
              <w:left w:val="nil"/>
              <w:bottom w:val="nil"/>
              <w:right w:val="nil"/>
            </w:tcBorders>
          </w:tcPr>
          <w:p>
            <w:pPr>
              <w:pStyle w:val="Normal6a"/>
            </w:pPr>
            <w:r>
              <w:t>37.</w:t>
            </w:r>
            <w:r>
              <w:tab/>
            </w:r>
            <w:r>
              <w:t xml:space="preserve">recomandă Comisiei și statelor membre să monitorizeze ingerințele străine, în special </w:t>
            </w:r>
            <w:r>
              <w:rPr>
                <w:b/>
                <w:i/>
              </w:rPr>
              <w:t>de către ONG-uri,</w:t>
            </w:r>
            <w:r>
              <w:t xml:space="preserve"> pentru manipulare și în scopuri răuvoitoare, inclusiv </w:t>
            </w:r>
            <w:r>
              <w:rPr>
                <w:b/>
                <w:i/>
              </w:rPr>
              <w:t>cazuri în care ONG-urile sunt utilizate</w:t>
            </w:r>
            <w:r>
              <w:t xml:space="preserve"> pentru a influența opinia publică și a răspândi dezinformarea în Europa; 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îndeamnă Comisia să monitorizeze pe deplin ca listele de țări de origine sigură întocmite de către autoritățile naționale competente să respecte întotdeauna principiile democratice și, prin urmare, aderarea la statul de drept, criteriile prevăzute în legislația UE, hotărârile CJUE și dreptul internațional;</w:t>
            </w:r>
            <w:r>
              <w:t xml:space="preserve"> </w:t>
            </w:r>
            <w:r>
              <w:rPr>
                <w:b/>
                <w:i/>
              </w:rPr>
              <w:t>subliniază obligația, în temeiul dreptului UE și al dreptului internațional, de a acorda protecție internațională persoanelor persecutate și/sau expuse la vătămări grave pe motive de origine rasială și etnică, religie sau convingeri, naționalitate, opinii politice, limbă, handicap, vârstă, sex, inclusiv identitatea de gen și exprimarea de gen, precum și orientarea sexuală;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subliniază importanța protejării dreptului fundamental la libertatea de exprimare, care este un pilon al societăților noastre democratice.</w:t>
            </w:r>
            <w:r>
              <w:t xml:space="preserve"> </w:t>
            </w:r>
            <w:r>
              <w:rPr>
                <w:b/>
                <w:i/>
              </w:rPr>
              <w:t>Comisia trebuie să asigure aplicarea corespunzătoare a cadrului de reglementare al UE pe rețelele de socializare pentru a proteja acest drept, mai degrabă decât să permită presiuni politice de natură să frâneze dezbaterea onestă și deschisă.</w:t>
            </w:r>
            <w:r>
              <w:t xml:space="preserve"> </w:t>
            </w:r>
            <w:r>
              <w:rPr>
                <w:b/>
                <w:i/>
              </w:rPr>
              <w:t>Deși rețelele de socializare trebuie să acționeze în mod responsabil și să respecte reglementările în vigoare, este esențial ca practicile de moderare a conținutului să nu devină un instrument de control politic, de cenzură sau de manipulare.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invită statele membre să crească transparența și responsabilitatea activităților de lobby, incluzând crearea sau îmbunătățirea registrelor obligatorii de lobby și a mecanismelor de „amprentă legislativă” pentru urmărirea influenței asupra proceselor legislative;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subliniază că Comisia trebuie să se asigure că statul de drept este pus în aplicare în mod corespunzător în cadrul instituțiilor UE și solicită includerea instituțiilor UE în evaluarea raportului său anual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invită Consiliul să adopte o decizie de includere a discursului de incitare la ură și a infracțiunii motivate de ură printre infracțiunile din lista prevăzută la articolul 83 alineatul (1)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își exprimă îngrijorarea cu privire la tendința tot mai mare de a exploata reglementări, cum ar fi Actul legislativ privind serviciile digitale (DSA), pentru a promova poziții și viziuni politice de natură să submineze libertatea de exprimare.</w:t>
            </w:r>
            <w:r>
              <w:t xml:space="preserve"> </w:t>
            </w:r>
            <w:r>
              <w:rPr>
                <w:b/>
                <w:i/>
              </w:rPr>
              <w:t>Rețelele de socializare ar trebui să rămână forumuri în care ideile pot circula liber, fără teama de cenzură motivată politic.</w:t>
            </w:r>
            <w:r>
              <w:t xml:space="preserve"> </w:t>
            </w:r>
            <w:r>
              <w:rPr>
                <w:b/>
                <w:i/>
              </w:rPr>
              <w:t>UE trebuie să rămână vigilentă și să se opună oricărei încercări de a transforma în armă moderarea conținutului în scopuri politice, și să protejeze astfel libertatea de exprimare;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îndeamnă Comisia să prezinte o strategie reînnoită privind egalitatea pentru persoanele LGBTQIA+ pentru perioada de după 2025, care să abordeze pe deplin provocările actuale din întreaga Europă și să facă din drepturile persoanelor LGBTQIA+ o prioritate transversală în toate domeniile de politică;</w:t>
            </w:r>
            <w:r>
              <w:t xml:space="preserve"> </w:t>
            </w:r>
            <w:r>
              <w:rPr>
                <w:b/>
                <w:i/>
              </w:rPr>
              <w:t>subliniază importanța autodeterminării persoanelor LGBTQIA+ și a recunoașterii identităților și drepturilor acestora, fără restricții de vârstă;</w:t>
            </w:r>
            <w:r>
              <w:t xml:space="preserve"> </w:t>
            </w:r>
            <w:r>
              <w:rPr>
                <w:b/>
                <w:i/>
              </w:rPr>
              <w:t>solicită protejarea și promovarea sănătății fizice și mintale a persoanelor LGBTQIA+;</w:t>
            </w:r>
            <w:r>
              <w:t xml:space="preserve"> </w:t>
            </w:r>
            <w:r>
              <w:rPr>
                <w:b/>
                <w:i/>
              </w:rPr>
              <w:t>îndeamnă Comisia să prezinte propuneri legislative pentru a combate infracțiunile motivate de ură și discursurile de incitare la ură pe motive de identitate de gen și orientare sexuală și să garanteze drepturi egale pentru cuplurile de același sex;</w:t>
            </w:r>
            <w:r>
              <w:t xml:space="preserve"> </w:t>
            </w:r>
            <w:r>
              <w:rPr>
                <w:b/>
                <w:i/>
              </w:rPr>
              <w:t>îndeamnă Comisia să prezinte o propunere de interzicere obligatorie la nivelul UE a practicilor de conversie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invită Comisia și statele membre să combată discriminarea pe motive de origine rasială și etnică, religie sau convingeri, naționalitate, opinii politice, limbă, handicap, vârstă, sex, inclusiv identitatea de gen și exprimarea de gen, precum și orientarea sexuală;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salută inițiativa Comisiei de a include Albania, Muntenegru, Macedonia de Nord și Serbia în raportul său anual privind statul de drept și încurajează o evaluare atentă a statului de drept în aceste țări în curs de aderare;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salută inițiativa Comisiei de a include Albania, Muntenegru, Macedonia de Nord și Serbia în raportul său anual privind statul de drept și încurajează o evaluare atentă a statului de drept în aceste țări în curs de aderare;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salută inițiativa Comisiei de a include Albania, Muntenegru, Macedonia de Nord și Serbia în raportul său anual privind statul de drept și încurajează o evaluare atentă a statului de drept în aceste țări în curs de aderare;</w:t>
            </w:r>
          </w:p>
        </w:tc>
        <w:tc>
          <w:tcPr>
            <w:tcW w:w="4876" w:type="dxa"/>
            <w:tcBorders>
              <w:top w:val="nil"/>
              <w:left w:val="nil"/>
              <w:bottom w:val="nil"/>
              <w:right w:val="nil"/>
            </w:tcBorders>
          </w:tcPr>
          <w:p>
            <w:pPr>
              <w:pStyle w:val="Normal6a"/>
            </w:pPr>
            <w:r>
              <w:t>38.</w:t>
            </w:r>
            <w:r>
              <w:tab/>
            </w:r>
            <w:r>
              <w:t xml:space="preserve">salută </w:t>
            </w:r>
            <w:r>
              <w:rPr>
                <w:b/>
                <w:i/>
              </w:rPr>
              <w:t>extinderea raportului Comisiei privind statul de drept pentru a include țările candidate, consolidând faptul că valorile fundamentale ale UE trebuie respectate nu numai de actualele state membre, ci și de viitorii membri în timpul proceselor de aderare;</w:t>
            </w:r>
            <w:r>
              <w:t xml:space="preserve"> </w:t>
            </w:r>
            <w:r>
              <w:rPr>
                <w:b/>
                <w:i/>
              </w:rPr>
              <w:t>salută</w:t>
            </w:r>
            <w:r>
              <w:t xml:space="preserve"> inițiativa Comisiei de a include Albania, Muntenegru, Macedonia de Nord și Serbia în raportul său anual privind statul de drept și încurajează o evaluare atentă a statului de drept în aceste țări în curs de aderare; </w:t>
            </w:r>
            <w:r>
              <w:rPr>
                <w:b/>
                <w:i/>
              </w:rPr>
              <w:t>se așteaptă ca Comisia să includă toate țările candidate în raportul său din 2025 privind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salută inițiativa Comisiei de a include Albania, Muntenegru, Macedonia de Nord și Serbia în raportul său anual privind statul de drept și încurajează o evaluare atentă a statului de drept în </w:t>
            </w:r>
            <w:r>
              <w:rPr>
                <w:b/>
                <w:i/>
              </w:rPr>
              <w:t>aceste țări în curs</w:t>
            </w:r>
            <w:r>
              <w:t xml:space="preserve"> de aderare;</w:t>
            </w:r>
          </w:p>
        </w:tc>
        <w:tc>
          <w:tcPr>
            <w:tcW w:w="4876" w:type="dxa"/>
            <w:tcBorders>
              <w:top w:val="nil"/>
              <w:left w:val="nil"/>
              <w:bottom w:val="nil"/>
              <w:right w:val="nil"/>
            </w:tcBorders>
          </w:tcPr>
          <w:p>
            <w:pPr>
              <w:pStyle w:val="Normal6a"/>
            </w:pPr>
            <w:r>
              <w:t>38.</w:t>
            </w:r>
            <w:r>
              <w:tab/>
            </w:r>
            <w:r>
              <w:t xml:space="preserve">salută inițiativa Comisiei de a include Albania, Muntenegru, Macedonia de Nord și Serbia în raportul său anual privind statul de drept și încurajează o evaluare atentă a statului de drept în </w:t>
            </w:r>
            <w:r>
              <w:rPr>
                <w:b/>
                <w:i/>
              </w:rPr>
              <w:t>toate țările ce se află într-un proces</w:t>
            </w:r>
            <w:r>
              <w:t xml:space="preserve"> de aderare;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salută</w:t>
            </w:r>
            <w:r>
              <w:t xml:space="preserve"> inițiativa Comisiei de a include Albania, Muntenegru, Macedonia de Nord și Serbia în raportul său anual privind statul de drept și încurajează o evaluare atentă a statului de drept în aceste țări în curs de aderare;</w:t>
            </w:r>
          </w:p>
        </w:tc>
        <w:tc>
          <w:tcPr>
            <w:tcW w:w="4876" w:type="dxa"/>
            <w:tcBorders>
              <w:top w:val="nil"/>
              <w:left w:val="nil"/>
              <w:bottom w:val="nil"/>
              <w:right w:val="nil"/>
            </w:tcBorders>
          </w:tcPr>
          <w:p>
            <w:pPr>
              <w:pStyle w:val="Normal6a"/>
            </w:pPr>
            <w:r>
              <w:t>38.</w:t>
            </w:r>
            <w:r>
              <w:tab/>
            </w:r>
            <w:r>
              <w:rPr>
                <w:b/>
                <w:i/>
              </w:rPr>
              <w:t>observă</w:t>
            </w:r>
            <w:r>
              <w:t xml:space="preserve"> inițiativa Comisiei de a include Albania, Muntenegru, Macedonia de Nord și Serbia în raportul său anual privind statul de drept și încurajează o evaluare atentă a statului de drept în aceste țări în curs de aderare;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salută inițiativa Comisiei de a include Albania, Muntenegru, Macedonia de Nord și Serbia în raportul său anual privind statul de drept și încurajează o evaluare atentă a statului de drept în </w:t>
            </w:r>
            <w:r>
              <w:rPr>
                <w:b/>
                <w:i/>
              </w:rPr>
              <w:t>aceste țări în curs de aderare</w:t>
            </w:r>
            <w:r>
              <w:t>;</w:t>
            </w:r>
          </w:p>
        </w:tc>
        <w:tc>
          <w:tcPr>
            <w:tcW w:w="4876" w:type="dxa"/>
            <w:tcBorders>
              <w:top w:val="nil"/>
              <w:left w:val="nil"/>
              <w:bottom w:val="nil"/>
              <w:right w:val="nil"/>
            </w:tcBorders>
          </w:tcPr>
          <w:p>
            <w:pPr>
              <w:pStyle w:val="Normal6a"/>
            </w:pPr>
            <w:r>
              <w:t>38.</w:t>
            </w:r>
            <w:r>
              <w:tab/>
            </w:r>
            <w:r>
              <w:t xml:space="preserve">salută inițiativa Comisiei de a include Albania, Muntenegru, Macedonia de Nord și Serbia în raportul său anual privind statul de drept și încurajează o evaluare atentă a statului de drept în </w:t>
            </w:r>
            <w:r>
              <w:rPr>
                <w:b/>
                <w:i/>
              </w:rPr>
              <w:t>toate țările din Balcanii de Vest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salută inițiativa Comisiei de a include Albania, Muntenegru, </w:t>
            </w:r>
            <w:r>
              <w:rPr>
                <w:b/>
                <w:i/>
              </w:rPr>
              <w:t>Macedonia de Nord</w:t>
            </w:r>
            <w:r>
              <w:t xml:space="preserve"> și Serbia în raportul său anual privind statul de drept și încurajează o evaluare atentă a statului de drept în aceste țări </w:t>
            </w:r>
            <w:r>
              <w:rPr>
                <w:b/>
                <w:i/>
              </w:rPr>
              <w:t>în curs de aderare</w:t>
            </w:r>
            <w:r>
              <w:t>;</w:t>
            </w:r>
          </w:p>
        </w:tc>
        <w:tc>
          <w:tcPr>
            <w:tcW w:w="4876" w:type="dxa"/>
            <w:tcBorders>
              <w:top w:val="nil"/>
              <w:left w:val="nil"/>
              <w:bottom w:val="nil"/>
              <w:right w:val="nil"/>
            </w:tcBorders>
          </w:tcPr>
          <w:p>
            <w:pPr>
              <w:pStyle w:val="Normal6a"/>
            </w:pPr>
            <w:r>
              <w:t>38.</w:t>
            </w:r>
            <w:r>
              <w:tab/>
            </w:r>
            <w:r>
              <w:t xml:space="preserve">salută inițiativa Comisiei de a include Albania, Muntenegru, </w:t>
            </w:r>
            <w:r>
              <w:rPr>
                <w:b/>
                <w:i/>
              </w:rPr>
              <w:t>Skopje</w:t>
            </w:r>
            <w:r>
              <w:t xml:space="preserve"> și Serbia în raportul său anual privind statul de drept și încurajează o evaluare atentă a statului de drept în aceste țări </w:t>
            </w:r>
            <w:r>
              <w:rPr>
                <w:b/>
                <w:i/>
              </w:rPr>
              <w:t>aflate într-un proces de examinare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încredințează Președintei sarcina de a transmite prezenta rezoluție Consiliului </w:t>
            </w:r>
            <w:r>
              <w:rPr>
                <w:b/>
                <w:i/>
              </w:rPr>
              <w:t>și Comisiei</w:t>
            </w:r>
            <w:r>
              <w:t>.</w:t>
            </w:r>
          </w:p>
        </w:tc>
        <w:tc>
          <w:tcPr>
            <w:tcW w:w="4876" w:type="dxa"/>
            <w:tcBorders>
              <w:top w:val="nil"/>
              <w:left w:val="nil"/>
              <w:bottom w:val="nil"/>
              <w:right w:val="nil"/>
            </w:tcBorders>
          </w:tcPr>
          <w:p>
            <w:pPr>
              <w:pStyle w:val="Normal6a"/>
            </w:pPr>
            <w:r>
              <w:t>39.</w:t>
            </w:r>
            <w:r>
              <w:tab/>
            </w:r>
            <w:r>
              <w:t>încredințează Președintei sarcina de a transmite prezenta rezoluție Consiliului</w:t>
            </w:r>
            <w:r>
              <w:rPr>
                <w:b/>
                <w:i/>
              </w:rPr>
              <w:t>, Comisiei, Agenției pentru Drepturi Fundamentale a Uniunii Europene, Consiliului Europei, precum și guvernelor și parlamentelor statelor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încredințează Președintei sarcina de a transmite prezenta rezoluție Consiliului </w:t>
            </w:r>
            <w:r>
              <w:rPr>
                <w:b/>
                <w:i/>
              </w:rPr>
              <w:t>și Comisiei</w:t>
            </w:r>
            <w:r>
              <w:t>.</w:t>
            </w:r>
          </w:p>
        </w:tc>
        <w:tc>
          <w:tcPr>
            <w:tcW w:w="4876" w:type="dxa"/>
            <w:tcBorders>
              <w:top w:val="nil"/>
              <w:left w:val="nil"/>
              <w:bottom w:val="nil"/>
              <w:right w:val="nil"/>
            </w:tcBorders>
          </w:tcPr>
          <w:p>
            <w:pPr>
              <w:pStyle w:val="Normal6a"/>
            </w:pPr>
            <w:r>
              <w:t>39.</w:t>
            </w:r>
            <w:r>
              <w:tab/>
            </w:r>
            <w:r>
              <w:t>încredințează Președintei sarcina de a transmite prezenta rezoluție Consiliului</w:t>
            </w:r>
            <w:r>
              <w:rPr>
                <w:b/>
                <w:i/>
              </w:rPr>
              <w:t>, Comisiei și statelor membre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AM\1315576RO.docx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AM\1315576RO.docx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AM\1315576RO.docx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10863</Words>
  <Characters>65488</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149557</vt:lpwstr>
  </property>
  <property fmtid="{D5CDD505-2E9C-101B-9397-08002B2CF9AE}" pid="7" name="dmxml.render.traceId">
    <vt:lpwstr>67dd68d9d7231c6f0ab66427be2002b0</vt:lpwstr>
  </property>
  <property fmtid="{D5CDD505-2E9C-101B-9397-08002B2CF9AE}" pid="8" name="FooterPath">
    <vt:lpwstr>AM\1315576RO.docx</vt:lpwstr>
  </property>
  <property fmtid="{D5CDD505-2E9C-101B-9397-08002B2CF9AE}" pid="9" name="PE Number">
    <vt:lpwstr>769.959</vt:lpwstr>
  </property>
  <property fmtid="{D5CDD505-2E9C-101B-9397-08002B2CF9AE}" pid="10" name="UID">
    <vt:lpwstr>eu.europa.europarl-DIN1-2025-0000027564_02.00-ro-01.00_text-xml</vt:lpwstr>
  </property>
</Properties>
</file>