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pre občianske slobody, spravodlivosť a vnútorné veci</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Správa Komisie o právnom štáte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naliehavo vyzýva Komisiu, aby do výročnej správy o právnom štáte začlenila nový pilier zameraný na boj proti všetkým formám diskriminácie;</w:t>
            </w:r>
          </w:p>
        </w:tc>
        <w:tc>
          <w:tcPr>
            <w:tcW w:w="4876" w:type="dxa"/>
            <w:tcBorders>
              <w:top w:val="nil"/>
              <w:left w:val="nil"/>
              <w:bottom w:val="nil"/>
              <w:right w:val="nil"/>
            </w:tcBorders>
          </w:tcPr>
          <w:p>
            <w:pPr>
              <w:pStyle w:val="Normal6a"/>
            </w:pPr>
            <w:r>
              <w:t>33.</w:t>
            </w:r>
            <w:r>
              <w:tab/>
            </w:r>
            <w:r>
              <w:t>naliehavo vyzýva Komisiu, aby do výročnej správy o právnom štáte začlenila nový pilier zameraný na boj proti všetkým formám diskriminácie</w:t>
            </w:r>
            <w:r>
              <w:rPr>
                <w:b/>
                <w:i/>
              </w:rPr>
              <w:t>, ako je zakotvené v článku 21 Charty základných práv Európskej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naliehavo vyzýva Komisiu, aby do výročnej správy o právnom štáte </w:t>
            </w:r>
            <w:r>
              <w:rPr>
                <w:b/>
                <w:i/>
              </w:rPr>
              <w:t>začlenila</w:t>
            </w:r>
            <w:r>
              <w:t xml:space="preserve"> nový pilier </w:t>
            </w:r>
            <w:r>
              <w:rPr>
                <w:b/>
                <w:i/>
              </w:rPr>
              <w:t>zameraný</w:t>
            </w:r>
            <w:r>
              <w:t xml:space="preserve"> na boj proti všetkým formám diskriminácie;</w:t>
            </w:r>
          </w:p>
        </w:tc>
        <w:tc>
          <w:tcPr>
            <w:tcW w:w="4876" w:type="dxa"/>
            <w:tcBorders>
              <w:top w:val="nil"/>
              <w:left w:val="nil"/>
              <w:bottom w:val="nil"/>
              <w:right w:val="nil"/>
            </w:tcBorders>
          </w:tcPr>
          <w:p>
            <w:pPr>
              <w:pStyle w:val="Normal6a"/>
            </w:pPr>
            <w:r>
              <w:t>33.</w:t>
            </w:r>
            <w:r>
              <w:tab/>
            </w:r>
            <w:r>
              <w:t xml:space="preserve">naliehavo vyzýva Komisiu, aby do výročnej správy o právnom štáte </w:t>
            </w:r>
            <w:r>
              <w:rPr>
                <w:b/>
                <w:i/>
              </w:rPr>
              <w:t>nezačlenila žiaden</w:t>
            </w:r>
            <w:r>
              <w:t xml:space="preserve"> nový pilier </w:t>
            </w:r>
            <w:r>
              <w:rPr>
                <w:b/>
                <w:i/>
              </w:rPr>
              <w:t>vrátane piliera zameraného</w:t>
            </w:r>
            <w:r>
              <w:t xml:space="preserve"> na boj proti všetkým formám diskriminácie;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naliehavo vyzýva Komisiu, aby do výročnej správy o právnom štáte začlenila nový pilier zameraný na boj proti všetkým formám diskriminácie;</w:t>
            </w:r>
          </w:p>
        </w:tc>
        <w:tc>
          <w:tcPr>
            <w:tcW w:w="4876" w:type="dxa"/>
            <w:tcBorders>
              <w:top w:val="nil"/>
              <w:left w:val="nil"/>
              <w:bottom w:val="nil"/>
              <w:right w:val="nil"/>
            </w:tcBorders>
          </w:tcPr>
          <w:p>
            <w:pPr>
              <w:pStyle w:val="Normal6a"/>
            </w:pPr>
            <w:r>
              <w:t>33.</w:t>
            </w:r>
            <w:r>
              <w:tab/>
            </w:r>
            <w:r>
              <w:t xml:space="preserve">naliehavo vyzýva Komisiu, aby do výročnej správy o právnom štáte začlenila nový pilier zameraný na boj proti všetkým formám diskriminácie </w:t>
            </w:r>
            <w:r>
              <w:rPr>
                <w:b/>
                <w:i/>
              </w:rPr>
              <w:t>a nenávisti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naliehavo vyzýva Komisiu, aby do výročnej správy o právnom štáte začlenila nový pilier zameraný na boj proti </w:t>
            </w:r>
            <w:r>
              <w:rPr>
                <w:b/>
                <w:i/>
              </w:rPr>
              <w:t>všetkým formám diskriminácie</w:t>
            </w:r>
            <w:r>
              <w:t>;</w:t>
            </w:r>
          </w:p>
        </w:tc>
        <w:tc>
          <w:tcPr>
            <w:tcW w:w="4876" w:type="dxa"/>
            <w:tcBorders>
              <w:top w:val="nil"/>
              <w:left w:val="nil"/>
              <w:bottom w:val="nil"/>
              <w:right w:val="nil"/>
            </w:tcBorders>
          </w:tcPr>
          <w:p>
            <w:pPr>
              <w:pStyle w:val="Normal6a"/>
            </w:pPr>
            <w:r>
              <w:t>33.</w:t>
            </w:r>
            <w:r>
              <w:tab/>
            </w:r>
            <w:r>
              <w:t xml:space="preserve">naliehavo vyzýva Komisiu, aby do výročnej správy o právnom štáte začlenila nový pilier zameraný na boj proti </w:t>
            </w:r>
            <w:r>
              <w:rPr>
                <w:b/>
                <w:i/>
              </w:rPr>
              <w:t>cenzúre médií a obsahu online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vyzýva členské štáty, aby vykonávali pakt o migrácii a azyle v súlade so zásadami zakotvenými v zmluvách a Charte základných práv EÚ a v medzinárodnom práve;</w:t>
            </w:r>
            <w:r>
              <w:t xml:space="preserve"> </w:t>
            </w:r>
            <w:r>
              <w:rPr>
                <w:b/>
                <w:i/>
              </w:rPr>
              <w:t>vyzýva členské štáty, aby zabezpečili, že štátni príslušníci tretích krajín budú mať rovnaké práva, rovnaké a humánne zaobchádzanie, ako aj spravodlivý prístup ku konaniam o medzinárodnej ochrane v plnom súlade s medzinárodným právom a zásadou zákazu vyhostenia alebo vrátenia;</w:t>
            </w:r>
            <w:r>
              <w:t xml:space="preserve"> </w:t>
            </w:r>
            <w:r>
              <w:rPr>
                <w:b/>
                <w:i/>
              </w:rPr>
              <w:t>naliehavo vyzýva Komisiu, aby zabezpečila, že externalizácia a extrateritoriálne riadenie migrácie, ako sú dvojstranné dohody členských štátov s tretími štátmi, za žiadnych okolností neoslabia tieto zásady a kritériá stanovené v právnych predpisoch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vyzýva Komisiu, aby prehodnotila svoju pozíciu k iniciatíve Minority SafePack a predložila legislatívne iniciatívy na ochranu presadzovania práv menšín a jazykových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opakovane vyzýva Komisiu, aby do správy o právnom štáte vo väčšej miere začlenila nástroje reakcie, ako sú článok 7 Zmluvy o EÚ, všeobecný mechanizmus podmienenosti a postupy v prípade nesplnenia povinnosti</w:t>
            </w:r>
            <w:r>
              <w:rPr>
                <w:b/>
                <w:i/>
                <w:vertAlign w:val="superscript"/>
              </w:rPr>
              <w:t>48</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opakovane vyzýva Komisiu, aby do správy o právnom štáte vo väčšej miere začlenila nástroje reakcie, ako sú článok 7 Zmluvy o EÚ, všeobecný mechanizmus podmienenosti a postupy v prípade nesplnenia povinnosti</w:t>
            </w:r>
            <w:r>
              <w:rPr>
                <w:b/>
                <w:i/>
                <w:vertAlign w:val="superscript"/>
              </w:rPr>
              <w:t>48</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opakovane vyzýva Komisiu, aby do správy o právnom štáte vo väčšej miere začlenila nástroje reakcie, ako sú článok 7 Zmluvy o EÚ, všeobecný mechanizmus podmienenosti a postupy v prípade nesplnenia povinnosti</w:t>
            </w:r>
            <w:r>
              <w:rPr>
                <w:b/>
                <w:i/>
                <w:vertAlign w:val="superscript"/>
              </w:rPr>
              <w:t>48</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opakovane vyzýva Komisiu, aby do správy o právnom štáte vo väčšej miere začlenila nástroje reakcie, ako sú </w:t>
            </w:r>
            <w:r>
              <w:rPr>
                <w:b/>
                <w:i/>
              </w:rPr>
              <w:t>článok</w:t>
            </w:r>
            <w:r>
              <w:t xml:space="preserve"> 7 Zmluvy o EÚ, </w:t>
            </w:r>
            <w:r>
              <w:rPr>
                <w:b/>
                <w:i/>
              </w:rPr>
              <w:t>všeobecný mechanizmus</w:t>
            </w:r>
            <w:r>
              <w:t xml:space="preserve"> podmienenosti </w:t>
            </w:r>
            <w:r>
              <w:rPr>
                <w:b/>
                <w:i/>
              </w:rPr>
              <w:t>a</w:t>
            </w:r>
            <w:r>
              <w:t xml:space="preserve"> postupy v prípade nesplnenia povinnosti</w:t>
            </w:r>
            <w:r>
              <w:rPr>
                <w:b/>
                <w:i/>
                <w:vertAlign w:val="superscript"/>
              </w:rPr>
              <w:t>48</w:t>
            </w:r>
            <w:r>
              <w:t>;</w:t>
            </w:r>
          </w:p>
        </w:tc>
        <w:tc>
          <w:tcPr>
            <w:tcW w:w="4876" w:type="dxa"/>
            <w:tcBorders>
              <w:top w:val="nil"/>
              <w:left w:val="nil"/>
              <w:bottom w:val="nil"/>
              <w:right w:val="nil"/>
            </w:tcBorders>
          </w:tcPr>
          <w:p>
            <w:pPr>
              <w:pStyle w:val="Normal6a"/>
            </w:pPr>
            <w:r>
              <w:t>34.</w:t>
            </w:r>
            <w:r>
              <w:tab/>
            </w:r>
            <w:r>
              <w:t xml:space="preserve">opakovane vyzýva Komisiu, aby do správy o právnom štáte vo väčšej miere začlenila nástroje reakcie, ako sú </w:t>
            </w:r>
            <w:r>
              <w:rPr>
                <w:b/>
                <w:i/>
              </w:rPr>
              <w:t>postupy podľa článku</w:t>
            </w:r>
            <w:r>
              <w:t xml:space="preserve"> 7 Zmluvy o EÚ, </w:t>
            </w:r>
            <w:r>
              <w:rPr>
                <w:b/>
                <w:i/>
              </w:rPr>
              <w:t>nariadenie o</w:t>
            </w:r>
            <w:r>
              <w:t xml:space="preserve"> podmienenosti </w:t>
            </w:r>
            <w:r>
              <w:rPr>
                <w:b/>
                <w:i/>
              </w:rPr>
              <w:t>právnym štátom a ďalšie rozpočtové postupy, ako aj</w:t>
            </w:r>
            <w:r>
              <w:t xml:space="preserve"> postupy v prípade nesplnenia povinnosti</w:t>
            </w:r>
            <w:r>
              <w:rPr>
                <w:b/>
                <w:i/>
              </w:rPr>
              <w:t>;</w:t>
            </w:r>
            <w:r>
              <w:t xml:space="preserve"> </w:t>
            </w:r>
            <w:r>
              <w:rPr>
                <w:b/>
                <w:i/>
              </w:rPr>
              <w:t>vyzýva Komisiu, aby systematicky využívala skrátené konania a žiadosti o predbežné opatrenia na SDEÚ v prípadoch nesplnenia povinností;</w:t>
            </w:r>
            <w:r>
              <w:t xml:space="preserve"> </w:t>
            </w:r>
            <w:r>
              <w:rPr>
                <w:b/>
                <w:i/>
              </w:rPr>
              <w:t>vyzýva Komisiu, aby „dialóg“ s členskými štátmi alebo „pilotný“ postup nevyužívala ako otvorený prostriedok na to, aby sa vyhla začatiu skutočného postupu v prípade nesplnenia povinností; vyzýva Komisiu, aby prehodnotila svoju politiku načrtnutú v oznámení z roku 2022 o presadzovaní práva EÚ, ktorá spočíva v nevyužívaní konaní v prípade nesplnenia povinnosti v individuálnych prípadoch, pretože táto politika vedie k vážnemu porušovaniu práv občanov v celej EÚ, najmä v prípadoch, keď ich vlastné vlády odmietajú dodržiavať právo EÚ alebo rozsudky Súdneho dvora EÚ, a tiež preto, že väčšina týchto prípadov nemá len individuálny rozmer, ale týka sa strategických a zásadných otázok</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opakovane</w:t>
            </w:r>
            <w:r>
              <w:t xml:space="preserve"> vyzýva Komisiu, aby </w:t>
            </w:r>
            <w:r>
              <w:rPr>
                <w:b/>
                <w:i/>
              </w:rPr>
              <w:t>do správy o právnom štáte vo väčšej miere začlenila nástroje reakcie, ako sú článok 7 Zmluvy o EÚ, všeobecný mechanizmus podmienenosti a postupy v prípade nesplnenia povinnosti</w:t>
            </w:r>
            <w:r>
              <w:rPr>
                <w:b/>
                <w:i/>
                <w:vertAlign w:val="superscript"/>
              </w:rPr>
              <w:t>48</w:t>
            </w:r>
            <w:r>
              <w:t>;</w:t>
            </w:r>
          </w:p>
        </w:tc>
        <w:tc>
          <w:tcPr>
            <w:tcW w:w="4876" w:type="dxa"/>
            <w:tcBorders>
              <w:top w:val="nil"/>
              <w:left w:val="nil"/>
              <w:bottom w:val="nil"/>
              <w:right w:val="nil"/>
            </w:tcBorders>
          </w:tcPr>
          <w:p>
            <w:pPr>
              <w:pStyle w:val="Normal6a"/>
            </w:pPr>
            <w:r>
              <w:t>34.</w:t>
            </w:r>
            <w:r>
              <w:tab/>
            </w:r>
            <w:r>
              <w:rPr>
                <w:b/>
                <w:i/>
              </w:rPr>
              <w:t>je hlboko znepokojený situáciou v oblasti právneho štátu v európskych inštitúciách;</w:t>
            </w:r>
            <w:r>
              <w:t xml:space="preserve"> vyzýva Komisiu, aby </w:t>
            </w:r>
            <w:r>
              <w:rPr>
                <w:b/>
                <w:i/>
              </w:rPr>
              <w:t>vyšetrila rastúce porušovanie zásad právneho štátu v týchto inštitúciách;</w:t>
            </w:r>
            <w:r>
              <w:t xml:space="preserve"> </w:t>
            </w:r>
            <w:r>
              <w:rPr>
                <w:b/>
                <w:i/>
              </w:rPr>
              <w:t>s hlbokým znepokojením berie na vedomie údajné zapojenie bývalého komisára pre spravodlivosť Didiera Reyndersa do prípadu prania špinavých peňazí;</w:t>
            </w:r>
            <w:r>
              <w:t xml:space="preserve"> </w:t>
            </w:r>
            <w:r>
              <w:rPr>
                <w:b/>
                <w:i/>
              </w:rPr>
              <w:t>je mimoriadne znepokojený tým, že komisár pre spravodlivosť, ktorý údajne prepral viac ako 1 milión EUR nákupom lotériových žrebov, bol zodpovedný za dodržiavanie zásad právneho štátu v Európskej únii;</w:t>
            </w:r>
            <w:r>
              <w:t xml:space="preserve"> </w:t>
            </w:r>
            <w:r>
              <w:rPr>
                <w:b/>
                <w:i/>
              </w:rPr>
              <w:t>zdôrazňuje, že v roku 2019 bol Didier Reynders ako dezignovaný komisár už obvinený belgickými orgánmi z prania špinavých peňazí a korupcie;</w:t>
            </w:r>
            <w:r>
              <w:t xml:space="preserve"> </w:t>
            </w:r>
            <w:r>
              <w:rPr>
                <w:b/>
                <w:i/>
              </w:rPr>
              <w:t>vyzýva Komisiu, aby vysvetlila, ako je možné, že Didier Reynders bol napriek závažným obvineniam zodpovedný za portfólio spravodlivosti počas 9. funkčného obdobia;</w:t>
            </w:r>
            <w:r>
              <w:t xml:space="preserve"> </w:t>
            </w:r>
            <w:r>
              <w:rPr>
                <w:b/>
                <w:i/>
              </w:rPr>
              <w:t>opakuje, že táto správa nemôže slúžiť ako základ pre akékoľvek ďalšie mechanizmy a postupy EÚ</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opakovane</w:t>
            </w:r>
            <w:r>
              <w:t xml:space="preserve"> vyzýva Komisiu, aby </w:t>
            </w:r>
            <w:r>
              <w:rPr>
                <w:b/>
                <w:i/>
              </w:rPr>
              <w:t>do správy o právnom štáte</w:t>
            </w:r>
            <w:r>
              <w:t xml:space="preserve"> vo väčšej miere </w:t>
            </w:r>
            <w:r>
              <w:rPr>
                <w:b/>
                <w:i/>
              </w:rPr>
              <w:t>začlenila</w:t>
            </w:r>
            <w:r>
              <w:t xml:space="preserve"> nástroje reakcie, ako sú </w:t>
            </w:r>
            <w:r>
              <w:rPr>
                <w:b/>
                <w:i/>
              </w:rPr>
              <w:t>článok</w:t>
            </w:r>
            <w:r>
              <w:t xml:space="preserve"> 7 Zmluvy o EÚ, všeobecný mechanizmus podmienenosti a postupy v prípade nesplnenia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vyzýva Komisiu, aby </w:t>
            </w:r>
            <w:r>
              <w:rPr>
                <w:b/>
                <w:i/>
              </w:rPr>
              <w:t>posúdila, či je vhodné</w:t>
            </w:r>
            <w:r>
              <w:t xml:space="preserve"> vo väčšej miere </w:t>
            </w:r>
            <w:r>
              <w:rPr>
                <w:b/>
                <w:i/>
              </w:rPr>
              <w:t>začleňovať do správy o právnom štáte</w:t>
            </w:r>
            <w:r>
              <w:t xml:space="preserve"> nástroje reakcie, ako sú </w:t>
            </w:r>
            <w:r>
              <w:rPr>
                <w:b/>
                <w:i/>
              </w:rPr>
              <w:t>postupy podľa článku</w:t>
            </w:r>
            <w:r>
              <w:t xml:space="preserve"> 7 Zmluvy o EÚ, všeobecný mechanizmus podmienenosti a postupy v prípade nesplnenia povinnosti</w:t>
            </w:r>
            <w:r>
              <w:rPr>
                <w:vertAlign w:val="superscript"/>
              </w:rPr>
              <w:t>48</w:t>
            </w:r>
            <w:r>
              <w:rPr>
                <w:b/>
                <w:i/>
              </w:rPr>
              <w:t>, vzhľadom na to, že sa použili škandalóznym politickým spôsobom. Najlepším príkladom toho je Poľsko, kde sa po zmene vlády na vládu priaznivo naklonenú Bruselu a Berlínu bez akejkoľvek legislatívnej zmeny a napriek otvorenému porušovaniu ústavných základov štátu upustilo od akejkoľvek kritiky a postup podľa článku 7 ZEÚ bol zastavený</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opakovane vyzýva Komisiu, aby do správy o právnom štáte vo väčšej miere začlenila nástroje reakcie, ako sú </w:t>
            </w:r>
            <w:r>
              <w:rPr>
                <w:b/>
                <w:i/>
              </w:rPr>
              <w:t>článok</w:t>
            </w:r>
            <w:r>
              <w:t xml:space="preserve"> 7 Zmluvy o EÚ, všeobecný mechanizmus podmienenosti a postupy v prípade nesplnenia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opakovane vyzýva Komisiu, aby do správy o právnom štáte vo väčšej miere začlenila nástroje reakcie, ako sú </w:t>
            </w:r>
            <w:r>
              <w:rPr>
                <w:b/>
                <w:i/>
              </w:rPr>
              <w:t>postupy podľa článku</w:t>
            </w:r>
            <w:r>
              <w:t xml:space="preserve"> 7 Zmluvy o EÚ, všeobecný mechanizmus podmienenosti a postupy v prípade nesplnenia povinnosti</w:t>
            </w:r>
            <w:r>
              <w:rPr>
                <w:vertAlign w:val="superscript"/>
              </w:rPr>
              <w:t>48</w:t>
            </w:r>
            <w:r>
              <w:t xml:space="preserve">; </w:t>
            </w:r>
            <w:r>
              <w:rPr>
                <w:b/>
                <w:i/>
              </w:rPr>
              <w:t>žiada Komisiu, aby každoročne podávala správu o uplatňovaní a účinnosti nástrojov používaných v prípadoch porušovania zásad právneho štátu v členských štátoch;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opakovane vyzýva Komisiu, aby </w:t>
            </w:r>
            <w:r>
              <w:rPr>
                <w:b/>
                <w:i/>
              </w:rPr>
              <w:t>do správy</w:t>
            </w:r>
            <w:r>
              <w:t xml:space="preserve"> o právnom štáte </w:t>
            </w:r>
            <w:r>
              <w:rPr>
                <w:b/>
                <w:i/>
              </w:rPr>
              <w:t>vo väčšej miere začlenila</w:t>
            </w:r>
            <w:r>
              <w:t xml:space="preserve"> nástroje </w:t>
            </w:r>
            <w:r>
              <w:rPr>
                <w:b/>
                <w:i/>
              </w:rPr>
              <w:t>reakcie, ako sú článok</w:t>
            </w:r>
            <w:r>
              <w:t xml:space="preserve"> 7 Zmluvy o EÚ, </w:t>
            </w:r>
            <w:r>
              <w:rPr>
                <w:b/>
                <w:i/>
              </w:rPr>
              <w:t>všeobecný</w:t>
            </w:r>
            <w:r>
              <w:t xml:space="preserve"> mechanizmus podmienenosti </w:t>
            </w:r>
            <w:r>
              <w:rPr>
                <w:b/>
                <w:i/>
              </w:rPr>
              <w:t>a</w:t>
            </w:r>
            <w:r>
              <w:t xml:space="preserve"> postupy v prípade nesplnenia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opakovane vyzýva Komisiu, aby </w:t>
            </w:r>
            <w:r>
              <w:rPr>
                <w:b/>
                <w:i/>
              </w:rPr>
              <w:t>v správe</w:t>
            </w:r>
            <w:r>
              <w:t xml:space="preserve"> o právnom štáte </w:t>
            </w:r>
            <w:r>
              <w:rPr>
                <w:b/>
                <w:i/>
              </w:rPr>
              <w:t>lepšie zohľadnila rôzne</w:t>
            </w:r>
            <w:r>
              <w:t xml:space="preserve"> nástroje </w:t>
            </w:r>
            <w:r>
              <w:rPr>
                <w:b/>
                <w:i/>
              </w:rPr>
              <w:t>zo súboru nástrojov na podporu právneho štátu, najmä prebiehajúce postupy podľa článku</w:t>
            </w:r>
            <w:r>
              <w:t xml:space="preserve"> 7 Zmluvy o EÚ, mechanizmus podmienenosti </w:t>
            </w:r>
            <w:r>
              <w:rPr>
                <w:b/>
                <w:i/>
              </w:rPr>
              <w:t>právnym štátom, ako aj</w:t>
            </w:r>
            <w:r>
              <w:t xml:space="preserve"> postupy v prípade nesplnenia povinnosti</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opakovane vyzýva Komisiu, aby </w:t>
            </w:r>
            <w:r>
              <w:rPr>
                <w:b/>
                <w:i/>
              </w:rPr>
              <w:t>do správy o právnom štáte vo väčšej miere začlenila</w:t>
            </w:r>
            <w:r>
              <w:t xml:space="preserve"> nástroje </w:t>
            </w:r>
            <w:r>
              <w:rPr>
                <w:b/>
                <w:i/>
              </w:rPr>
              <w:t>reakcie, ako sú článok 7 Zmluvy o EÚ, všeobecný mechanizmus podmienenosti a postupy v prípade nesplnenia povinnosti</w:t>
            </w:r>
            <w:r>
              <w:rPr>
                <w:vertAlign w:val="superscript"/>
              </w:rPr>
              <w:t>48</w:t>
            </w:r>
            <w:r>
              <w:t xml:space="preserve"> ;</w:t>
            </w:r>
          </w:p>
        </w:tc>
        <w:tc>
          <w:tcPr>
            <w:tcW w:w="4876" w:type="dxa"/>
            <w:tcBorders>
              <w:top w:val="nil"/>
              <w:left w:val="nil"/>
              <w:bottom w:val="nil"/>
              <w:right w:val="nil"/>
            </w:tcBorders>
          </w:tcPr>
          <w:p>
            <w:pPr>
              <w:pStyle w:val="Normal6a"/>
            </w:pPr>
            <w:r>
              <w:t>34.</w:t>
            </w:r>
            <w:r>
              <w:tab/>
            </w:r>
            <w:r>
              <w:t xml:space="preserve">opakovane vyzýva Komisiu, aby </w:t>
            </w:r>
            <w:r>
              <w:rPr>
                <w:b/>
                <w:i/>
              </w:rPr>
              <w:t>sa zdržala vytvárania nových mechanizmov a nástrojov na ochranu právneho štátu, keďže existujúce mechanizmy a</w:t>
            </w:r>
            <w:r>
              <w:t xml:space="preserve"> nástroje </w:t>
            </w:r>
            <w:r>
              <w:rPr>
                <w:b/>
                <w:i/>
              </w:rPr>
              <w:t>sú dostatočné</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opakovane vyzýva Komisiu, aby do správy o právnom štáte vo väčšej miere začlenila </w:t>
            </w:r>
            <w:r>
              <w:rPr>
                <w:b/>
                <w:i/>
              </w:rPr>
              <w:t>nástroje reakcie</w:t>
            </w:r>
            <w:r>
              <w:t xml:space="preserve">, ako sú </w:t>
            </w:r>
            <w:r>
              <w:rPr>
                <w:b/>
                <w:i/>
              </w:rPr>
              <w:t>článok</w:t>
            </w:r>
            <w:r>
              <w:t xml:space="preserve"> 7 Zmluvy o EÚ, všeobecný mechanizmus podmienenosti a postupy v prípade nesplnenia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opakovane vyzýva Komisiu, aby do správy o právnom štáte vo väčšej miere začlenila </w:t>
            </w:r>
            <w:r>
              <w:rPr>
                <w:b/>
                <w:i/>
              </w:rPr>
              <w:t>opatrenia na presadzovanie práva</w:t>
            </w:r>
            <w:r>
              <w:t xml:space="preserve">, ako sú </w:t>
            </w:r>
            <w:r>
              <w:rPr>
                <w:b/>
                <w:i/>
              </w:rPr>
              <w:t>postupy podľa článku</w:t>
            </w:r>
            <w:r>
              <w:t xml:space="preserve"> 7 Zmluvy o EÚ, všeobecný mechanizmus podmienenosti a postupy v prípade nesplnenia povinnosti</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vyjadruje poľutovanie nad tým, že maďarská vláda neprijala žiadne zmysluplné kroky na vykonávanie odporúčaní zo správy o právnom štáte 2024;</w:t>
            </w:r>
            <w:r>
              <w:t xml:space="preserve"> </w:t>
            </w:r>
            <w:r>
              <w:rPr>
                <w:b/>
                <w:i/>
              </w:rPr>
              <w:t>zdôrazňuje, že situácia v oblasti slobody médií, systému bŕzd a protiváh, korupcie na vysokej úrovni a priestoru pre organizácie občianskej spoločnosti sa od jej uverejnenia ešte viac zhoršila;</w:t>
            </w:r>
            <w:r>
              <w:t xml:space="preserve"> </w:t>
            </w:r>
            <w:r>
              <w:rPr>
                <w:b/>
                <w:i/>
              </w:rPr>
              <w:t>zdôrazňuje, že reforma súdnictva z roku 2023 nepriniesla žiadne podstatné zlepšenie, pokiaľ ide o nezávislosť súdnictva, a odsudzuje nedávny krok vlády, ktorá spojila dlho oneskorenú nápravu odmeňovania sudcov s ich súhlasom s ďalším politickým zasahovaním na úkor nezávislosti súdnictva;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vyzýva Komisiu a členské štáty, aby bojovali proti diskriminácii na základe rasového a etnického pôvodu, náboženstva alebo viery, štátnej príslušnosti, politického názoru, jazyka, zdravotného postihnutia, veku, rodu vrátane rodovej identity a rodového vyjadrenia a sexuálnej orientácie;</w:t>
            </w:r>
            <w:r>
              <w:t xml:space="preserve"> </w:t>
            </w:r>
            <w:r>
              <w:rPr>
                <w:b/>
                <w:i/>
              </w:rPr>
              <w:t>naliehavo vyzýva Radu, aby dosiahla dohodu o smernici 2008/140/ES;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vyjadruje poľutovanie nad tým, že maďarská vláda neprijala žiadne zmysluplné kroky na vykonávanie odporúčaní zo správy o právnom štáte 2024 a že Maďarsko je jediným členským štátom, na ktorý sa vzťahuje postup podľa článku 7 ods. 1 Zmluvy o EÚ;</w:t>
            </w:r>
            <w:r>
              <w:t xml:space="preserve"> </w:t>
            </w:r>
            <w:r>
              <w:rPr>
                <w:b/>
                <w:i/>
              </w:rPr>
              <w:t>zdôrazňuje, že dodržiavanie zásad právneho štátu sa neustále zhoršuje;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vyzýva Európsku komisiu, aby výslovne začlenila aspekty rasovej spravodlivosti do budúcich správ o právnom štáte a aby od členských štátov vyžadovala zber porovnateľných a spoľahlivých rozčlenených údajov o rovnosti s cieľom plne posúdiť vplyv štrukturálnej diskriminácie na právny štát;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vyzýva Komisiu a členské štáty, aby zabezpečili, že sa budú plne rešpektovať práva LGBTQIA+ osôb na celom území EÚ a že osoby LGBTQIA+ budú môcť žiť v bezpečí, uplatňovať svoje práva a plne využívať svoj potenciál;</w:t>
            </w:r>
            <w:r>
              <w:t xml:space="preserve"> </w:t>
            </w:r>
            <w:r>
              <w:rPr>
                <w:b/>
                <w:i/>
              </w:rPr>
              <w:t>vyzýva Komisiu a Radu, aby sa práva LGBTQIA+ osôb stali prierezovou prioritou vo všetkých oblastiach politiky;</w:t>
            </w:r>
            <w:r>
              <w:t xml:space="preserve"> </w:t>
            </w:r>
            <w:r>
              <w:rPr>
                <w:b/>
                <w:i/>
              </w:rPr>
              <w:t>vyzýva Komisiu, aby predložila vhodné legislatívne opatrenia na zabezpečenie dodržiavania týchto zásad a aby sa opierala o postupy v prípade nesplnenia povinnosti proti členským štátom;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opakuje svoju výzvu Komisii, aby bojovala proti všetkým diskriminačným praktikám a chránila zásady zakotvené v Charte základných práv EÚ;</w:t>
            </w:r>
            <w:r>
              <w:t xml:space="preserve"> </w:t>
            </w:r>
            <w:r>
              <w:rPr>
                <w:b/>
                <w:i/>
              </w:rPr>
              <w:t>naliehavo vyzýva Komisiu, aby zabezpečila, aby sa na území EÚ plne rešpektoval voľný pohyb osôb v rámci EÚ, právo na slobodný pobyt a zlúčenie rodiny a aby každý občan mohol požívať rovnaké práva a v plnej miere ich uplatňovať;</w:t>
            </w:r>
            <w:r>
              <w:t xml:space="preserve"> </w:t>
            </w:r>
            <w:r>
              <w:rPr>
                <w:b/>
                <w:i/>
              </w:rPr>
              <w:t>vyzýva Komisiu, aby so zreteľom na najnovšie rozsudky Súdneho dvora EÚ prepracovala smernicu 2004/38/ES tak, aby zahŕňala cezhraničné uznávanie rodinných práv vrátane rodičovstva rodičov rovnakého pohlavia;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zdôrazňuje význam začlenenia míľnikov týkajúcich sa právneho štátu do nástrojov financovania, ako je Mechanizmus na podporu obnovy a odolnosti;</w:t>
            </w:r>
            <w:r>
              <w:t xml:space="preserve"> </w:t>
            </w:r>
            <w:r>
              <w:rPr>
                <w:b/>
                <w:i/>
              </w:rPr>
              <w:t>vyjadruje poľutovanie nad tým, že Maďarsku boli poskytnuté finančné prostriedky EÚ aj napriek nedostatkom krajiny, pokiaľ ide o nezávislosť súdnictva a protikorupčné rámce;</w:t>
            </w:r>
            <w:r>
              <w:t xml:space="preserve"> </w:t>
            </w:r>
            <w:r>
              <w:rPr>
                <w:b/>
                <w:i/>
              </w:rPr>
              <w:t>odporúča pozastaviť vyplácanie, kým nebudú splnené všetky kritériá právneho štátu;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zdôrazňuje význam začlenenia míľnikov týkajúcich sa právneho štátu do nástrojov financovania, ako je Mechanizmus na podporu obnovy a odolnosti;</w:t>
            </w:r>
            <w:r>
              <w:t xml:space="preserve"> </w:t>
            </w:r>
            <w:r>
              <w:rPr>
                <w:b/>
                <w:i/>
              </w:rPr>
              <w:t>vyjadruje poľutovanie nad tým, že Maďarsku boli poskytnuté finančné prostriedky EÚ aj napriek nedostatkom krajiny, pokiaľ ide o nezávislosť súdnictva a protikorupčné rámce;</w:t>
            </w:r>
            <w:r>
              <w:t xml:space="preserve"> </w:t>
            </w:r>
            <w:r>
              <w:rPr>
                <w:b/>
                <w:i/>
              </w:rPr>
              <w:t>odporúča pozastaviť vyplácanie, kým nebudú splnené všetky kritériá právneho štátu;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zdôrazňuje význam začlenenia míľnikov týkajúcich sa právneho štátu do nástrojov financovania, ako je Mechanizmus na podporu obnovy a odolnosti;</w:t>
            </w:r>
            <w:r>
              <w:t xml:space="preserve"> </w:t>
            </w:r>
            <w:r>
              <w:rPr>
                <w:b/>
                <w:i/>
              </w:rPr>
              <w:t>vyjadruje poľutovanie nad tým, že Maďarsku boli poskytnuté finančné prostriedky EÚ aj napriek nedostatkom krajiny, pokiaľ ide o nezávislosť súdnictva a protikorupčné rámce;</w:t>
            </w:r>
            <w:r>
              <w:t xml:space="preserve"> </w:t>
            </w:r>
            <w:r>
              <w:rPr>
                <w:b/>
                <w:i/>
              </w:rPr>
              <w:t>odporúča pozastaviť vyplácanie, kým nebudú splnené všetky kritériá právneho štátu;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vyjadruje poľutovanie nad tým, že </w:t>
            </w:r>
            <w:r>
              <w:rPr>
                <w:b/>
                <w:i/>
              </w:rPr>
              <w:t>Maďarsku</w:t>
            </w:r>
            <w:r>
              <w:t xml:space="preserve"> boli poskytnuté finančné prostriedky EÚ aj napriek nedostatkom krajiny, pokiaľ ide o nezávislosť súdnictva a protikorupčné rámce; odporúča pozastaviť vyplácanie, kým nebudú splnené všetky kritériá právneho štátu;</w:t>
            </w:r>
          </w:p>
        </w:tc>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vyjadruje poľutovanie nad tým, že </w:t>
            </w:r>
            <w:r>
              <w:rPr>
                <w:b/>
                <w:i/>
              </w:rPr>
              <w:t>maďarskej vláde</w:t>
            </w:r>
            <w:r>
              <w:t xml:space="preserve"> boli poskytnuté finančné prostriedky EÚ aj napriek </w:t>
            </w:r>
            <w:r>
              <w:rPr>
                <w:b/>
                <w:i/>
              </w:rPr>
              <w:t>vážnym a pretrvávajúcim</w:t>
            </w:r>
            <w:r>
              <w:t xml:space="preserve"> nedostatkom krajiny, pokiaľ ide o nezávislosť súdnictva a protikorupčné rámce; odporúča pozastaviť vyplácanie, kým nebudú splnené všetky kritériá právneho štátu; </w:t>
            </w:r>
            <w:r>
              <w:rPr>
                <w:b/>
                <w:i/>
              </w:rPr>
              <w:t>naliehavo vyzýva Radu, aby odblokovala ďalšie kroky v postupe podľa článku 7 proti Maďarsku vzhľadom na pretrvávajúce porušovanie hodnôt EÚ vrátane útokov na nezávislosť súdnictva, slobodu médií a občiansku spoločnosť, ktoré si vyžadujú okamžité a rozhodné opatrenia na ochranu právneho štátu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zdôrazňuje význam začlenenia míľnikov týkajúcich sa</w:t>
            </w:r>
            <w:r>
              <w:t xml:space="preserve"> právneho štátu </w:t>
            </w:r>
            <w:r>
              <w:rPr>
                <w:b/>
                <w:i/>
              </w:rPr>
              <w:t>do</w:t>
            </w:r>
            <w:r>
              <w:t xml:space="preserve"> nástrojov </w:t>
            </w:r>
            <w:r>
              <w:rPr>
                <w:b/>
                <w:i/>
              </w:rPr>
              <w:t>financovania, ako je Mechanizmus na podporu obnovy a odolnosti;</w:t>
            </w:r>
            <w:r>
              <w:t xml:space="preserve"> </w:t>
            </w:r>
            <w:r>
              <w:rPr>
                <w:b/>
                <w:i/>
              </w:rPr>
              <w:t>vyjadruje poľutovanie nad tým, že Maďarsku boli poskytnuté</w:t>
            </w:r>
            <w:r>
              <w:t xml:space="preserve"> finančné prostriedky EÚ </w:t>
            </w:r>
            <w:r>
              <w:rPr>
                <w:b/>
                <w:i/>
              </w:rPr>
              <w:t>aj napriek nedostatkom krajiny, pokiaľ ide o nezávislosť súdnictva a protikorupčné rámce;</w:t>
            </w:r>
            <w:r>
              <w:t xml:space="preserve"> </w:t>
            </w:r>
            <w:r>
              <w:rPr>
                <w:b/>
                <w:i/>
              </w:rPr>
              <w:t>odporúča pozastaviť vyplácanie, kým nebudú splnené všetky kritériá právneho štátu</w:t>
            </w:r>
            <w:r>
              <w:t>;</w:t>
            </w:r>
          </w:p>
        </w:tc>
        <w:tc>
          <w:tcPr>
            <w:tcW w:w="4876" w:type="dxa"/>
            <w:tcBorders>
              <w:top w:val="nil"/>
              <w:left w:val="nil"/>
              <w:bottom w:val="nil"/>
              <w:right w:val="nil"/>
            </w:tcBorders>
          </w:tcPr>
          <w:p>
            <w:pPr>
              <w:pStyle w:val="Normal6a"/>
            </w:pPr>
            <w:r>
              <w:t>35.</w:t>
            </w:r>
            <w:r>
              <w:tab/>
            </w:r>
            <w:r>
              <w:rPr>
                <w:b/>
                <w:i/>
              </w:rPr>
              <w:t>so znepokojením berie na vedomie politickú zaujatosť Komisie pri monitorovaní kritérií</w:t>
            </w:r>
            <w:r>
              <w:t xml:space="preserve"> právneho štátu </w:t>
            </w:r>
            <w:r>
              <w:rPr>
                <w:b/>
                <w:i/>
              </w:rPr>
              <w:t>prostredníctvom súboru</w:t>
            </w:r>
            <w:r>
              <w:t xml:space="preserve"> nástrojov </w:t>
            </w:r>
            <w:r>
              <w:rPr>
                <w:b/>
                <w:i/>
              </w:rPr>
              <w:t>na podporu právneho štátu;</w:t>
            </w:r>
            <w:r>
              <w:t xml:space="preserve"> </w:t>
            </w:r>
            <w:r>
              <w:rPr>
                <w:b/>
                <w:i/>
              </w:rPr>
              <w:t>vyzýva Komisiu, aby zastavila politické útoky proti pravicovým a konzervatívnym vládam;</w:t>
            </w:r>
            <w:r>
              <w:t xml:space="preserve"> </w:t>
            </w:r>
            <w:r>
              <w:rPr>
                <w:b/>
                <w:i/>
              </w:rPr>
              <w:t>zdôrazňuje, že Komisia finančne a politicky vydierala Maďarsko z dôvodu jeho zákona o ochrane detí, zákona o ochrane národnej suverenity a silného postoja k migračnej politike;</w:t>
            </w:r>
            <w:r>
              <w:t xml:space="preserve"> </w:t>
            </w:r>
            <w:r>
              <w:rPr>
                <w:b/>
                <w:i/>
              </w:rPr>
              <w:t>pripomína, že Maďarsko má nárok na všetky</w:t>
            </w:r>
            <w:r>
              <w:t xml:space="preserve"> finančné prostriedky EÚ</w:t>
            </w:r>
            <w:r>
              <w:rPr>
                <w:b/>
                <w:i/>
              </w:rPr>
              <w:t>, ktoré Komisia neoprávnene zadržala;</w:t>
            </w:r>
            <w:r>
              <w:t xml:space="preserve"> </w:t>
            </w:r>
            <w:r>
              <w:rPr>
                <w:b/>
                <w:i/>
              </w:rPr>
              <w:t>vyzýva Európsku komisiu, aby uvoľnila zvyšných 20 miliárd EUR finančných prostriedkov EÚ, na ktoré má Maďarsko oprávnený nárok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zdôrazňuje význam začlenenia</w:t>
            </w:r>
            <w:r>
              <w:t xml:space="preserve"> míľnikov týkajúcich sa právneho štátu do nástrojov financovania, ako je Mechanizmus na podporu obnovy a odolnosti; </w:t>
            </w:r>
            <w:r>
              <w:rPr>
                <w:b/>
                <w:i/>
              </w:rPr>
              <w:t>vyjadruje poľutovanie nad tým, že Maďarsku boli poskytnuté finančné prostriedky EÚ aj napriek nedostatkom krajiny, pokiaľ ide o nezávislosť súdnictva a protikorupčné rámce;</w:t>
            </w:r>
            <w:r>
              <w:t xml:space="preserve"> </w:t>
            </w:r>
            <w:r>
              <w:rPr>
                <w:b/>
                <w:i/>
              </w:rPr>
              <w:t>odporúča pozastaviť vyplácanie, kým nebudú splnené všetky kritériá právneho štátu;</w:t>
            </w:r>
          </w:p>
        </w:tc>
        <w:tc>
          <w:tcPr>
            <w:tcW w:w="4876" w:type="dxa"/>
            <w:tcBorders>
              <w:top w:val="nil"/>
              <w:left w:val="nil"/>
              <w:bottom w:val="nil"/>
              <w:right w:val="nil"/>
            </w:tcBorders>
          </w:tcPr>
          <w:p>
            <w:pPr>
              <w:pStyle w:val="Normal6a"/>
            </w:pPr>
            <w:r>
              <w:t>35.</w:t>
            </w:r>
            <w:r>
              <w:tab/>
            </w:r>
            <w:r>
              <w:rPr>
                <w:b/>
                <w:i/>
              </w:rPr>
              <w:t>berie na vedomie začlenenie</w:t>
            </w:r>
            <w:r>
              <w:t xml:space="preserve"> míľnikov týkajúcich sa právneho štátu do nástrojov financovania, ako je Mechanizmus na podporu obnovy a odolnosti;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vyjadruje poľutovanie nad tým, že </w:t>
            </w:r>
            <w:r>
              <w:rPr>
                <w:b/>
                <w:i/>
              </w:rPr>
              <w:t>Maďarsku</w:t>
            </w:r>
            <w:r>
              <w:t xml:space="preserve"> boli poskytnuté finančné prostriedky EÚ aj napriek nedostatkom krajiny, pokiaľ ide o nezávislosť súdnictva a protikorupčné rámce; odporúča pozastaviť vyplácanie</w:t>
            </w:r>
            <w:r>
              <w:rPr>
                <w:b/>
                <w:i/>
              </w:rPr>
              <w:t>, kým nebudú splnené</w:t>
            </w:r>
            <w:r>
              <w:t xml:space="preserve"> všetky kritériá právneho štátu;</w:t>
            </w:r>
          </w:p>
        </w:tc>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vyjadruje poľutovanie nad tým, že </w:t>
            </w:r>
            <w:r>
              <w:rPr>
                <w:b/>
                <w:i/>
              </w:rPr>
              <w:t>maďarskej vláde</w:t>
            </w:r>
            <w:r>
              <w:t xml:space="preserve"> boli poskytnuté finančné prostriedky EÚ aj napriek nedostatkom krajiny, pokiaľ ide o nezávislosť súdnictva a protikorupčné rámce; odporúča pozastaviť vyplácanie </w:t>
            </w:r>
            <w:r>
              <w:rPr>
                <w:b/>
                <w:i/>
              </w:rPr>
              <w:t>finančných prostriedkov maďarskej vláde, kým nesplní</w:t>
            </w:r>
            <w:r>
              <w:t xml:space="preserve"> všetky kritériá právneho štátu; </w:t>
            </w:r>
            <w:r>
              <w:rPr>
                <w:b/>
                <w:i/>
              </w:rPr>
              <w:t>naliehavo vyzýva Komisiu, aby zabezpečila, že finančné prostriedky EÚ sa dostanú k maďarskému obyvateľstvu, a to aj prostredníctvom priameho alebo nepriameho financovania konečných príjemcov a prijímateľov nezávislých od maďarskej vlády;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zdôrazňuje </w:t>
            </w:r>
            <w:r>
              <w:rPr>
                <w:b/>
                <w:i/>
              </w:rPr>
              <w:t>význam začlenenia</w:t>
            </w:r>
            <w:r>
              <w:t xml:space="preserve"> míľnikov týkajúcich sa právneho štátu </w:t>
            </w:r>
            <w:r>
              <w:rPr>
                <w:b/>
                <w:i/>
              </w:rPr>
              <w:t>do nástrojov</w:t>
            </w:r>
            <w:r>
              <w:t xml:space="preserve"> financovania, ako je Mechanizmus na podporu obnovy a odolnosti</w:t>
            </w:r>
            <w:r>
              <w:rPr>
                <w:b/>
                <w:i/>
              </w:rPr>
              <w:t>;</w:t>
            </w:r>
            <w:r>
              <w:t xml:space="preserve"> </w:t>
            </w:r>
            <w:r>
              <w:rPr>
                <w:b/>
                <w:i/>
              </w:rPr>
              <w:t>vyjadruje poľutovanie nad tým</w:t>
            </w:r>
            <w:r>
              <w:t xml:space="preserve">, že Maďarsku boli poskytnuté finančné prostriedky EÚ </w:t>
            </w:r>
            <w:r>
              <w:rPr>
                <w:b/>
                <w:i/>
              </w:rPr>
              <w:t>aj napriek nedostatkom</w:t>
            </w:r>
            <w:r>
              <w:t xml:space="preserve"> krajiny, pokiaľ ide o nezávislosť súdnictva a protikorupčné rámce</w:t>
            </w:r>
            <w:r>
              <w:rPr>
                <w:b/>
                <w:i/>
              </w:rPr>
              <w:t>;</w:t>
            </w:r>
            <w:r>
              <w:t xml:space="preserve"> </w:t>
            </w:r>
            <w:r>
              <w:rPr>
                <w:b/>
                <w:i/>
              </w:rPr>
              <w:t>odporúča pozastaviť</w:t>
            </w:r>
            <w:r>
              <w:t xml:space="preserve"> vyplácanie</w:t>
            </w:r>
            <w:r>
              <w:rPr>
                <w:b/>
                <w:i/>
              </w:rPr>
              <w:t>, kým nebudú splnené všetky kritériá</w:t>
            </w:r>
            <w:r>
              <w:t xml:space="preserve"> právneho štátu;</w:t>
            </w:r>
          </w:p>
        </w:tc>
        <w:tc>
          <w:tcPr>
            <w:tcW w:w="4876" w:type="dxa"/>
            <w:tcBorders>
              <w:top w:val="nil"/>
              <w:left w:val="nil"/>
              <w:bottom w:val="nil"/>
              <w:right w:val="nil"/>
            </w:tcBorders>
          </w:tcPr>
          <w:p>
            <w:pPr>
              <w:pStyle w:val="Normal6a"/>
            </w:pPr>
            <w:r>
              <w:t>35.</w:t>
            </w:r>
            <w:r>
              <w:tab/>
            </w:r>
            <w:r>
              <w:t xml:space="preserve">zdôrazňuje </w:t>
            </w:r>
            <w:r>
              <w:rPr>
                <w:b/>
                <w:i/>
              </w:rPr>
              <w:t>rozpor medzi postupom</w:t>
            </w:r>
            <w:r>
              <w:t xml:space="preserve"> míľnikov týkajúcich sa právneho štátu </w:t>
            </w:r>
            <w:r>
              <w:rPr>
                <w:b/>
                <w:i/>
              </w:rPr>
              <w:t>v nástrojoch</w:t>
            </w:r>
            <w:r>
              <w:t xml:space="preserve"> financovania, ako je Mechanizmus na podporu obnovy a odolnosti</w:t>
            </w:r>
            <w:r>
              <w:rPr>
                <w:b/>
                <w:i/>
              </w:rPr>
              <w:t>, a nutnosťou dodržiavať zmluvy a uplatňovať prístup založený na objektívnych kritériách;</w:t>
            </w:r>
            <w:r>
              <w:t xml:space="preserve"> </w:t>
            </w:r>
            <w:r>
              <w:rPr>
                <w:b/>
                <w:i/>
              </w:rPr>
              <w:t>konštatuje</w:t>
            </w:r>
            <w:r>
              <w:t>, že Maďarsku boli poskytnuté finančné prostriedky EÚ</w:t>
            </w:r>
            <w:r>
              <w:rPr>
                <w:b/>
                <w:i/>
              </w:rPr>
              <w:t>, čo nie je v rozpore so zmluvami, a že údajné nedostatky</w:t>
            </w:r>
            <w:r>
              <w:t xml:space="preserve"> krajiny, pokiaľ ide o nezávislosť súdnictva a protikorupčné rámce</w:t>
            </w:r>
            <w:r>
              <w:rPr>
                <w:b/>
                <w:i/>
              </w:rPr>
              <w:t>, treba riešiť v rámci postupov, ktoré sú v súlade so zmluvami;</w:t>
            </w:r>
            <w:r>
              <w:t xml:space="preserve"> </w:t>
            </w:r>
            <w:r>
              <w:rPr>
                <w:b/>
                <w:i/>
              </w:rPr>
              <w:t>zdôrazňuje, že</w:t>
            </w:r>
            <w:r>
              <w:t xml:space="preserve"> vyplácanie </w:t>
            </w:r>
            <w:r>
              <w:rPr>
                <w:b/>
                <w:i/>
              </w:rPr>
              <w:t>prostriedkov z fondov EÚ nie je spojené so svojvoľnými kritériami</w:t>
            </w:r>
            <w:r>
              <w:t xml:space="preserve"> právneho štátu;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vyjadruje poľutovanie nad tým, že </w:t>
            </w:r>
            <w:r>
              <w:rPr>
                <w:b/>
                <w:i/>
              </w:rPr>
              <w:t>Maďarsku</w:t>
            </w:r>
            <w:r>
              <w:t xml:space="preserve"> boli poskytnuté finančné prostriedky EÚ aj napriek nedostatkom krajiny, pokiaľ ide o nezávislosť súdnictva a protikorupčné rámce; odporúča pozastaviť vyplácanie</w:t>
            </w:r>
            <w:r>
              <w:rPr>
                <w:b/>
                <w:i/>
              </w:rPr>
              <w:t>, kým nebudú splnené</w:t>
            </w:r>
            <w:r>
              <w:t xml:space="preserve"> všetky kritériá právneho štátu;</w:t>
            </w:r>
          </w:p>
        </w:tc>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vyjadruje poľutovanie nad tým, že </w:t>
            </w:r>
            <w:r>
              <w:rPr>
                <w:b/>
                <w:i/>
              </w:rPr>
              <w:t>maďarskej vláde</w:t>
            </w:r>
            <w:r>
              <w:t xml:space="preserve"> boli poskytnuté finančné prostriedky EÚ aj napriek nedostatkom krajiny, pokiaľ ide o nezávislosť súdnictva a protikorupčné rámce; odporúča pozastaviť vyplácanie </w:t>
            </w:r>
            <w:r>
              <w:rPr>
                <w:b/>
                <w:i/>
              </w:rPr>
              <w:t>finančných prostriedkov maďarskej vláde, kým nesplní</w:t>
            </w:r>
            <w:r>
              <w:t xml:space="preserve"> všetky kritériá právneho štátu; </w:t>
            </w:r>
            <w:r>
              <w:rPr>
                <w:b/>
                <w:i/>
              </w:rPr>
              <w:t>naliehavo vyzýva Komisiu, aby zabezpečila, že finančné prostriedky EÚ sa dostanú k maďarskému obyvateľstvu a zároveň sa zachová plný vplyv prijatých opatrení;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zdôrazňuje význam začlenenia míľnikov týkajúcich sa právneho štátu do nástrojov financovania, ako je Mechanizmus na podporu obnovy a odolnosti; vyjadruje poľutovanie nad tým, že Maďarsku boli poskytnuté finančné prostriedky EÚ aj napriek nedostatkom krajiny, pokiaľ ide o nezávislosť súdnictva a protikorupčné rámce; odporúča pozastaviť vyplácanie, kým nebudú splnené všetky kritériá právneho štátu;</w:t>
            </w:r>
          </w:p>
        </w:tc>
        <w:tc>
          <w:tcPr>
            <w:tcW w:w="4876" w:type="dxa"/>
            <w:tcBorders>
              <w:top w:val="nil"/>
              <w:left w:val="nil"/>
              <w:bottom w:val="nil"/>
              <w:right w:val="nil"/>
            </w:tcBorders>
          </w:tcPr>
          <w:p>
            <w:pPr>
              <w:pStyle w:val="Normal6a"/>
            </w:pPr>
            <w:r>
              <w:t>35.</w:t>
            </w:r>
            <w:r>
              <w:tab/>
            </w:r>
            <w:r>
              <w:t xml:space="preserve">zdôrazňuje význam začlenenia míľnikov týkajúcich sa právneho štátu do nástrojov financovania, ako je Mechanizmus na podporu obnovy a odolnosti; </w:t>
            </w:r>
            <w:r>
              <w:rPr>
                <w:b/>
                <w:i/>
              </w:rPr>
              <w:t>žiada, aby budúci VFR zahŕňal spoľahlivé záruky právneho štátu uplatniteľné na všetky finančné prostriedky EÚ;</w:t>
            </w:r>
            <w:r>
              <w:t xml:space="preserve"> vyjadruje poľutovanie nad tým, že Maďarsku boli poskytnuté finančné prostriedky EÚ aj napriek nedostatkom krajiny, pokiaľ ide o nezávislosť súdnictva a protikorupčné rámce; odporúča pozastaviť vyplácanie, kým nebudú splnené všetky kritériá právneho štátu;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vyjadruje hlboké znepokojenie nad nárastom krajne pravicového extrémizmu a jeho korozívnym účinkom na demokratické normy a právny štát vo viacerých členských štátoch;</w:t>
            </w:r>
            <w:r>
              <w:t xml:space="preserve"> </w:t>
            </w:r>
            <w:r>
              <w:rPr>
                <w:b/>
                <w:i/>
              </w:rPr>
              <w:t>vyzýva na koordinované opatrenia EÚ na boj proti tejto hrozbe, a to aj prostredníctvom vzdelávania, programov sociálneho začlenenia a v prípade potreby právnych opatrení;</w:t>
            </w:r>
            <w:r>
              <w:t xml:space="preserve"> </w:t>
            </w:r>
            <w:r>
              <w:rPr>
                <w:b/>
                <w:i/>
              </w:rPr>
              <w:t>so znepokojením konštatuje, že tieto skupiny sa aktívne zameriavajú na menšiny vrátane LGBTQI+ osôb a prispievajú k atmosfére strachu a diskriminácie;</w:t>
            </w:r>
            <w:r>
              <w:t xml:space="preserve"> </w:t>
            </w:r>
            <w:r>
              <w:rPr>
                <w:b/>
                <w:i/>
              </w:rPr>
              <w:t>vyzýva Komisiu, aby vo svojej výročnej správe o právnom štáte výslovne identifikovala takéto skupiny ako hrozbu pre demokraciu, ľudské práva a základné slobody vrátane akademickej nezávislosti a nezávislosti médií;</w:t>
            </w:r>
            <w:r>
              <w:t xml:space="preserve"> </w:t>
            </w:r>
            <w:r>
              <w:rPr>
                <w:b/>
                <w:i/>
              </w:rPr>
              <w:t>naliehavo vyzýva členské štáty, aby prijali rozhodné opatrenia na boj proti ich vplyvu prostredníctvom pevných právnych rámcov, vzdelávania presadzujúceho demokratické hodnoty a podpory organizácií občianskej spoločnosti, ktoré bojujú proti extrémizmu;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vyzýva, aby sa v nariadení o viacročnom finančnom rámci zaviedol nástroj založený na výkonnosti, ktorý bude vychádzať z rešpektovania ľudskej dôstojnosti, slobody, demokracie, rovnosti, právneho štátu a ľudských práv, s cieľom lepšie zosúladiť dodržiavanie týchto zásad s poskytovaním finančných prostriedkov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trvá na užšom prepojení medzi zisteniami správy o právnom štáte a prideľovaním finančnej podpory z rozpočtu Únie, a to v logike míľnikov, čím sa zabezpečí, že finančné prostriedky EÚ budú viazané na dosiahnutie potrebných reforiem;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vyjadruje znepokojenie nad tým, že dátum zverejnenia výročnej správy o právnom štáte neprispieva k zabezpečeniu dostatočnej viditeľnosti a je v rozpore so zamýšľaným účelom správy, ktorým je vytvorenie skutočnej verejnej diskusie o jej zisteniach;</w:t>
            </w:r>
            <w:r>
              <w:t xml:space="preserve"> </w:t>
            </w:r>
            <w:r>
              <w:rPr>
                <w:b/>
                <w:i/>
              </w:rPr>
              <w:t>naliehavo vyzýva Komisiu, aby prehodnotila dátum uverejnenia a vyvinula ďalšie úsilie o to, aby jej zistenia boli všeobecne známe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očakáva, že v správe Komisie o právnom štáte 2025 sa stanovia lehoty na vykonávanie odporúčaní pre jednotlivé krajiny;</w:t>
            </w:r>
            <w:r>
              <w:t xml:space="preserve"> </w:t>
            </w:r>
            <w:r>
              <w:rPr>
                <w:b/>
                <w:i/>
              </w:rPr>
              <w:t>trvá na tom, že zmrazené finančné prostriedky EÚ by sa mali uvoľniť až po úplnom vykonaní zmysluplných reforiem a po tom, ako sa v praxi preukázateľne dosiahne dodržiavanie zásad právneho štátu;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nabáda členské štáty, aby posilnili environmentálnu demokraciu zabezpečením úplného vykonávania Aarhuského dohovoru, najmä pokiaľ ide o prístup k spravodlivosti v záležitostiach životného prostredia a ochranu environmentálnych aktivistov a organizácií;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je presvedčený, že by sa mal posilniť medziinštitucionálny dialóg a spolupráca na úrovni EÚ v oblasti právneho štátu;</w:t>
            </w:r>
            <w:r>
              <w:t xml:space="preserve"> </w:t>
            </w:r>
            <w:r>
              <w:rPr>
                <w:b/>
                <w:i/>
              </w:rPr>
              <w:t>vyzýva na vytvorenie stáleho medziinštitucionálneho dialógu o právnom štáte, do ktorého by boli okrem iných inštitúcií zapojení Parlament, Rada a Komisia;</w:t>
            </w:r>
            <w:r>
              <w:t xml:space="preserve"> </w:t>
            </w:r>
            <w:r>
              <w:rPr>
                <w:b/>
                <w:i/>
              </w:rPr>
              <w:t>vyzýva Radu, aby zvýšila inkluzívnosť svojho dialógu o právnom štáte tým, že na svoje zasadnutia pozve aj iné inštitúcie, ako sú Benátska komisia, komisár pre ľudské práva a zástupcovia Parlamentu;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je presvedčený, že by sa mal posilniť medziinštitucionálny dialóg a spolupráca na úrovni EÚ v oblasti právneho štátu;</w:t>
            </w:r>
            <w:r>
              <w:t xml:space="preserve"> </w:t>
            </w:r>
            <w:r>
              <w:rPr>
                <w:b/>
                <w:i/>
              </w:rPr>
              <w:t>vyzýva na vytvorenie stáleho medziinštitucionálneho dialógu o právnom štáte, do ktorého by boli okrem iných inštitúcií zapojení Parlament, Rada a Komisia;</w:t>
            </w:r>
            <w:r>
              <w:t xml:space="preserve"> </w:t>
            </w:r>
            <w:r>
              <w:rPr>
                <w:b/>
                <w:i/>
              </w:rPr>
              <w:t>vyzýva Radu, aby zvýšila inkluzívnosť svojho dialógu o právnom štáte tým, že na svoje zasadnutia pozve aj iné inštitúcie, ako sú Benátska komisia, komisár pre ľudské práva a zástupcovia Parlamentu;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je presvedčený, že by sa mal posilniť medziinštitucionálny dialóg a spolupráca na úrovni EÚ v oblasti právneho štátu;</w:t>
            </w:r>
            <w:r>
              <w:t xml:space="preserve"> </w:t>
            </w:r>
            <w:r>
              <w:rPr>
                <w:b/>
                <w:i/>
              </w:rPr>
              <w:t>vyzýva na vytvorenie stáleho medziinštitucionálneho dialógu o právnom štáte, do ktorého by boli okrem iných inštitúcií zapojení Parlament, Rada a Komisia;</w:t>
            </w:r>
            <w:r>
              <w:t xml:space="preserve"> </w:t>
            </w:r>
            <w:r>
              <w:rPr>
                <w:b/>
                <w:i/>
              </w:rPr>
              <w:t>vyzýva Radu, aby zvýšila inkluzívnosť svojho dialógu o právnom štáte tým, že na svoje zasadnutia pozve aj iné inštitúcie, ako sú Benátska komisia, komisár pre ľudské práva a zástupcovia Parlamentu;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w:t>
            </w:r>
            <w:r>
              <w:rPr>
                <w:b/>
                <w:i/>
              </w:rPr>
              <w:t>vyzýva na vytvorenie stáleho medziinštitucionálneho dialógu o</w:t>
            </w:r>
            <w:r>
              <w:t xml:space="preserve"> právnom štáte</w:t>
            </w:r>
            <w:r>
              <w:rPr>
                <w:b/>
                <w:i/>
              </w:rPr>
              <w:t>, do ktorého by boli okrem iných inštitúcií zapojení Parlament, Rada a Komisia</w:t>
            </w:r>
            <w:r>
              <w:t>; vyzýva Radu, aby zvýšila inkluzívnosť svojho dialógu o právnom štáte tým, že na svoje zasadnutia pozve aj iné inštitúcie, ako sú Benátska komisia, komisár pre ľudské práva a zástupcovia Parlamentu;</w:t>
            </w:r>
          </w:p>
        </w:tc>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w:t>
            </w:r>
            <w:r>
              <w:rPr>
                <w:b/>
                <w:i/>
              </w:rPr>
              <w:t>vyjadruje poľutovanie nad tým, že Komisia a Rada doposiaľ odmietali ponuku Parlamentu na uzavretie medziinštitucionálnej dohody o demokracii,</w:t>
            </w:r>
            <w:r>
              <w:t xml:space="preserve"> právnom štáte </w:t>
            </w:r>
            <w:r>
              <w:rPr>
                <w:b/>
                <w:i/>
              </w:rPr>
              <w:t>a základných právach;</w:t>
            </w:r>
            <w:r>
              <w:t xml:space="preserve"> </w:t>
            </w:r>
            <w:r>
              <w:rPr>
                <w:b/>
                <w:i/>
              </w:rPr>
              <w:t>opätovne potvrdzuje svoju ochotu obnoviť rokovania o tejto dohode;</w:t>
            </w:r>
            <w:r>
              <w:t xml:space="preserve"> </w:t>
            </w:r>
            <w:r>
              <w:rPr>
                <w:b/>
                <w:i/>
              </w:rPr>
              <w:t>vyzýva ostatné inštitúcie, aby medzitým aspoň preskúmali možnosť ďalšej spolupráce v rámci navrhovaného medziinštitucionálneho pilotného projektu v oblasti demokracie, právneho štátu a základných práv, ktorý by z praktického hľadiska pomohol budovať dôveru medzi inštitúciami, najmä prostredníctvom výmeny postupov v oblasti monitorovania, dialógu a stretnutí</w:t>
            </w:r>
            <w:r>
              <w:t xml:space="preserve">; vyzýva Radu, aby zvýšila inkluzívnosť svojho dialógu o právnom štáte tým, že na svoje zasadnutia pozve aj iné inštitúcie, ako sú Benátska komisia, komisár </w:t>
            </w:r>
            <w:r>
              <w:rPr>
                <w:b/>
                <w:i/>
              </w:rPr>
              <w:t>Rady Európy</w:t>
            </w:r>
            <w:r>
              <w:t xml:space="preserve"> pre ľudské práva a zástupcovia Parlamentu; </w:t>
            </w:r>
            <w:r>
              <w:rPr>
                <w:b/>
                <w:i/>
              </w:rPr>
              <w:t>domnieva sa, že dialóg Rady o právnom štáte by mal byť interaktívnejší a obsažnejší, a preto vyzýva členské štáty, aby investovali do riadnej prípravy na tento dialóg;</w:t>
            </w:r>
            <w:r>
              <w:t xml:space="preserve"> </w:t>
            </w:r>
            <w:r>
              <w:rPr>
                <w:b/>
                <w:i/>
              </w:rPr>
              <w:t>zdôrazňuje, že väčšia transparentnosť by posilnila dialóg o právnom štáte v rámci Únie, a preto vyzýva Radu, aby tieto diskusie o jednotlivých krajinách zverejnila vrátane podrobných verejných záverov;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 presvedčený, že by sa mal posilniť medziinštitucionálny dialóg a spolupráca na úrovni EÚ v oblasti právneho štátu</w:t>
            </w:r>
            <w:r>
              <w:rPr>
                <w:b/>
                <w:i/>
              </w:rPr>
              <w:t>;</w:t>
            </w:r>
            <w:r>
              <w:t xml:space="preserve"> </w:t>
            </w:r>
            <w:r>
              <w:rPr>
                <w:b/>
                <w:i/>
              </w:rPr>
              <w:t>vyzýva na vytvorenie stáleho medziinštitucionálneho dialógu o právnom štáte, do ktorého by boli okrem iných inštitúcií zapojení Parlament, Rada a Komisia;</w:t>
            </w:r>
            <w:r>
              <w:t xml:space="preserve"> </w:t>
            </w:r>
            <w:r>
              <w:rPr>
                <w:b/>
                <w:i/>
              </w:rPr>
              <w:t>vyzýva Radu, aby zvýšila inkluzívnosť svojho dialógu o právnom štáte tým, že na svoje zasadnutia pozve aj iné inštitúcie, ako sú Benátska komisia, komisár pre ľudské práva a zástupcovia Parlamentu</w:t>
            </w:r>
            <w:r>
              <w:t>;</w:t>
            </w:r>
          </w:p>
        </w:tc>
        <w:tc>
          <w:tcPr>
            <w:tcW w:w="4876" w:type="dxa"/>
            <w:tcBorders>
              <w:top w:val="nil"/>
              <w:left w:val="nil"/>
              <w:bottom w:val="nil"/>
              <w:right w:val="nil"/>
            </w:tcBorders>
          </w:tcPr>
          <w:p>
            <w:pPr>
              <w:pStyle w:val="Normal6a"/>
            </w:pPr>
            <w:r>
              <w:t>36.</w:t>
            </w:r>
            <w:r>
              <w:tab/>
            </w:r>
            <w:r>
              <w:t>je presvedčený, že by sa mal posilniť medziinštitucionálny dialóg a spolupráca na úrovni EÚ v oblasti právneho štátu</w:t>
            </w:r>
            <w:r>
              <w:rPr>
                <w:b/>
                <w:i/>
              </w:rPr>
              <w:t> a boja proti korupcii, a to zapojením inštitúcií EÚ do kontroly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vyzýva na vytvorenie stáleho medziinštitucionálneho dialógu o právnom štáte, do ktorého by boli </w:t>
            </w:r>
            <w:r>
              <w:rPr>
                <w:b/>
                <w:i/>
              </w:rPr>
              <w:t>okrem iných inštitúcií</w:t>
            </w:r>
            <w:r>
              <w:t xml:space="preserve"> zapojení Parlament, Rada a Komisia; vyzýva Radu, aby zvýšila inkluzívnosť svojho dialógu o právnom štáte tým, že na svoje zasadnutia pozve aj iné inštitúcie, ako sú Benátska komisia, komisár pre ľudské práva a zástupcovia Parlamentu;</w:t>
            </w:r>
          </w:p>
        </w:tc>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vyzýva na vytvorenie stáleho medziinštitucionálneho dialógu o právnom štáte </w:t>
            </w:r>
            <w:r>
              <w:rPr>
                <w:b/>
                <w:i/>
              </w:rPr>
              <w:t>prostredníctvom uzavretia medziinštitucionálnej dohody</w:t>
            </w:r>
            <w:r>
              <w:t>, do ktorého by boli zapojení Parlament, Rada a Komisia; vyzýva Radu, aby zvýšila inkluzívnosť svojho dialógu o právnom štáte tým, že na svoje zasadnutia pozve aj iné inštitúcie, ako sú Benátska komisia, komisár pre ľudské práva a zástupcovia Parlamentu</w:t>
            </w:r>
            <w:r>
              <w:rPr>
                <w:b/>
                <w:i/>
              </w:rPr>
              <w:t>, alebo aspoň bude systematicky poskytovať Európskemu parlamentu spätnú väzbu zo zasadnutí v rámci dialógu o právnom štáte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 presvedčený, že by sa mal posilniť medziinštitucionálny dialóg a spolupráca na úrovni EÚ v oblasti právneho štátu; vyzýva na vytvorenie stáleho medziinštitucionálneho dialógu o právnom štáte, do ktorého by boli okrem iných inštitúcií zapojení Parlament, Rada a Komisia; vyzýva Radu, aby zvýšila inkluzívnosť svojho dialógu o právnom štáte tým, že na svoje zasadnutia pozve aj iné inštitúcie, ako sú Benátska komisia, komisár pre ľudské práva a zástupcovia Parlamentu;</w:t>
            </w:r>
          </w:p>
        </w:tc>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vyzýva na vytvorenie stáleho medziinštitucionálneho dialógu o právnom štáte, do ktorého by boli okrem iných inštitúcií zapojení Parlament, Rada a Komisia; vyzýva Radu, aby zvýšila inkluzívnosť svojho dialógu o právnom štáte tým, že na svoje zasadnutia pozve aj iné inštitúcie, ako sú Benátska komisia, komisár pre ľudské práva a zástupcovia Parlamentu; </w:t>
            </w:r>
            <w:r>
              <w:rPr>
                <w:b/>
                <w:i/>
              </w:rPr>
              <w:t>naliehavo vyzýva Radu, aby spolupracovala s národnými parlamentmi s cieľom posilniť demokratický dohľad nad dodržiavaním noriem EÚ v oblasti právneho štátu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je presvedčený</w:t>
            </w:r>
            <w:r>
              <w:t>, že by sa mal posilniť medziinštitucionálny dialóg a spolupráca na úrovni EÚ v oblasti právneho štátu</w:t>
            </w:r>
            <w:r>
              <w:rPr>
                <w:b/>
                <w:i/>
              </w:rPr>
              <w:t>;</w:t>
            </w:r>
            <w:r>
              <w:t xml:space="preserve"> </w:t>
            </w:r>
            <w:r>
              <w:rPr>
                <w:b/>
                <w:i/>
              </w:rPr>
              <w:t>vyzýva na vytvorenie stáleho medziinštitucionálneho dialógu o právnom štáte, do ktorého by boli okrem iných inštitúcií zapojení Parlament, Rada a Komisia;</w:t>
            </w:r>
            <w:r>
              <w:t xml:space="preserve"> </w:t>
            </w:r>
            <w:r>
              <w:rPr>
                <w:b/>
                <w:i/>
              </w:rPr>
              <w:t>vyzýva Radu, aby zvýšila inkluzívnosť svojho dialógu o právnom štáte tým, že na svoje zasadnutia pozve aj iné inštitúcie, ako sú Benátska komisia, komisár pre ľudské práva a zástupcovia Parlamentu</w:t>
            </w:r>
            <w:r>
              <w:t>;</w:t>
            </w:r>
          </w:p>
        </w:tc>
        <w:tc>
          <w:tcPr>
            <w:tcW w:w="4876" w:type="dxa"/>
            <w:tcBorders>
              <w:top w:val="nil"/>
              <w:left w:val="nil"/>
              <w:bottom w:val="nil"/>
              <w:right w:val="nil"/>
            </w:tcBorders>
          </w:tcPr>
          <w:p>
            <w:pPr>
              <w:pStyle w:val="Normal6a"/>
            </w:pPr>
            <w:r>
              <w:t>36.</w:t>
            </w:r>
            <w:r>
              <w:tab/>
            </w:r>
            <w:r>
              <w:rPr>
                <w:b/>
                <w:i/>
              </w:rPr>
              <w:t>konštatuje, že sa ozývajú hlasy</w:t>
            </w:r>
            <w:r>
              <w:t>, že by sa mal posilniť medziinštitucionálny dialóg a spolupráca na úrovni EÚ v oblasti právneho štátu</w:t>
            </w:r>
            <w:r>
              <w:rPr>
                <w:b/>
                <w:i/>
              </w:rPr>
              <w:t>, čo však nie je v súlade so znením zmlúv;</w:t>
            </w:r>
            <w:r>
              <w:t xml:space="preserve"> </w:t>
            </w:r>
            <w:r>
              <w:rPr>
                <w:b/>
                <w:i/>
              </w:rPr>
              <w:t>zároveň konštatuje, že najmä pozície Parlamentu sú často ovplyvnené straníckymi záujmami jednotlivých skupín, čo len posilňuje zaujatosť a politický rozmer tzv. dialógu o právnom štáte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vyzýva na </w:t>
            </w:r>
            <w:r>
              <w:rPr>
                <w:b/>
                <w:i/>
              </w:rPr>
              <w:t>vytvorenie stáleho medziinštitucionálneho dialógu o právnom štáte, do ktorého by boli okrem iných inštitúcií zapojení</w:t>
            </w:r>
            <w:r>
              <w:t xml:space="preserve"> Parlament, </w:t>
            </w:r>
            <w:r>
              <w:rPr>
                <w:b/>
                <w:i/>
              </w:rPr>
              <w:t>Rada a Komisia;</w:t>
            </w:r>
            <w:r>
              <w:t xml:space="preserve"> </w:t>
            </w:r>
            <w:r>
              <w:rPr>
                <w:b/>
                <w:i/>
              </w:rPr>
              <w:t>vyzýva Radu, aby zvýšila inkluzívnosť svojho dialógu o právnom štáte tým, že na svoje zasadnutia pozve aj iné inštitúcie, ako sú Benátska komisia, komisár pre ľudské práva a zástupcovia Parlamentu</w:t>
            </w:r>
            <w:r>
              <w:t>;</w:t>
            </w:r>
          </w:p>
        </w:tc>
        <w:tc>
          <w:tcPr>
            <w:tcW w:w="4876" w:type="dxa"/>
            <w:tcBorders>
              <w:top w:val="nil"/>
              <w:left w:val="nil"/>
              <w:bottom w:val="nil"/>
              <w:right w:val="nil"/>
            </w:tcBorders>
          </w:tcPr>
          <w:p>
            <w:pPr>
              <w:pStyle w:val="Normal6a"/>
            </w:pPr>
            <w:r>
              <w:t>36.</w:t>
            </w:r>
            <w:r>
              <w:tab/>
            </w:r>
            <w:r>
              <w:t xml:space="preserve">je presvedčený, že by sa mal posilniť medziinštitucionálny dialóg a spolupráca na úrovni EÚ v oblasti právneho štátu; vyzýva na </w:t>
            </w:r>
            <w:r>
              <w:rPr>
                <w:b/>
                <w:i/>
              </w:rPr>
              <w:t>zavedenie európskeho semestra pre právny štát s cieľom vytvoriť rámec, v ktorom by mali kľúčovú úlohu Rada a Európsky</w:t>
            </w:r>
            <w:r>
              <w:t xml:space="preserve"> parlament, </w:t>
            </w:r>
            <w:r>
              <w:rPr>
                <w:b/>
                <w:i/>
              </w:rPr>
              <w:t>a to za podpory Komisie, ktorá má právomoc presadzovať dodržiavanie predpisov;</w:t>
            </w:r>
            <w:r>
              <w:t xml:space="preserve"> </w:t>
            </w:r>
            <w:r>
              <w:rPr>
                <w:b/>
                <w:i/>
              </w:rPr>
              <w:t>konštatuje, že tento rámec by riešil demokratický deficit a zabezpečil by dodržiavanie zásad právneho štátu vo všetkých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vyjadruje dôrazné poľutovanie nad neschopnosťou Rady dosiahnuť významný pokrok v prebiehajúcom postupe podľa článku 7 ods. 1 ZEÚ;</w:t>
            </w:r>
            <w:r>
              <w:t xml:space="preserve"> </w:t>
            </w:r>
            <w:r>
              <w:rPr>
                <w:b/>
                <w:i/>
              </w:rPr>
              <w:t>naliehavo vyzýva Radu, aby zabezpečila, že vypočutia sa uskutočnia aspoň raz za každé predsedníctvo počas prebiehajúcich postupov podľa článku 7, a aby sa zaoberala aj novým vývojom ovplyvňujúcim právny štát, demokraciu a základné práva;</w:t>
            </w:r>
            <w:r>
              <w:t xml:space="preserve"> </w:t>
            </w:r>
            <w:r>
              <w:rPr>
                <w:b/>
                <w:i/>
              </w:rPr>
              <w:t>zdôrazňuje, že v Rade nie je potrebná jednomyseľnosť na identifikovanie jasného rizika závažného porušenia hodnôt Únie podľa článku 7 ods. 1 ZEÚ, ani na adresovanie konkrétnych odporúčaní príslušným členským štátom a stanovenie lehoty na vykonanie týchto odporúčaní;</w:t>
            </w:r>
            <w:r>
              <w:t xml:space="preserve"> </w:t>
            </w:r>
            <w:r>
              <w:rPr>
                <w:b/>
                <w:i/>
              </w:rPr>
              <w:t>opakovane vyzýva Radu, aby tak urobila, pričom zdôrazňuje, že každé ďalšie odkladanie takéhoto kroku by znamenalo porušenie zásady právneho štátu samotnou Radou;</w:t>
            </w:r>
            <w:r>
              <w:t xml:space="preserve"> </w:t>
            </w:r>
            <w:r>
              <w:rPr>
                <w:b/>
                <w:i/>
              </w:rPr>
              <w:t>trvá na tom, aby sa rešpektovala úloha a právomoci Európskeho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pripomína svoju dlhodobú požiadavku na vytvorenie mechanizmu EÚ pre demokraciu, právny štát a základné práva (pakt EÚ pre demokraciu, právny štát a základné práva) vo forme medziinštitucionálnej dohody a vyzýva Komisiu a Radu, aby takúto medziinštitucionálnu dohodu uzavreli;</w:t>
            </w:r>
            <w:r>
              <w:t xml:space="preserve"> </w:t>
            </w:r>
            <w:r>
              <w:rPr>
                <w:b/>
                <w:i/>
              </w:rPr>
              <w:t>pripomína, že nový mechanizmus by mal integrovať a dopĺňať existujúce mechanizmy vrátane správy o právnom štáte, mal by byť založený na dôkazoch, mal by byť objektívny a zameriavať sa na členské štáty a inštitúcie EÚ vrátane preventívnych a nápravných opatrení a mala by mu pomáhať skupina nezávislých odborníkov;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vyzýva členské štáty, aby zabezpečili, že všetky legislatívne reformy ovplyvňujúce deľbu moci budú v plnom súlade s európskymi právnymi zásadami;</w:t>
            </w:r>
            <w:r>
              <w:t xml:space="preserve"> </w:t>
            </w:r>
            <w:r>
              <w:rPr>
                <w:b/>
                <w:i/>
              </w:rPr>
              <w:t>naliehavo vyzýva Komisiu, aby posúdila, či sú legislatívne opatrenia s vplyvom na súdnictvo, právne výhody alebo výkonnú kontrolu nad súdnymi inštitúciami v súlade s článkom 2 ZEÚ a či môžu odôvodniť začatie konania podľa článku 7 ZEÚ;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domnieva sa, že by sa mala ďalej posilňovať spolupráca medzi EÚ a medzinárodnými organizáciami, ako sú Rada Európy, OBSE a OSN, pri podpore a obrane demokracie, právneho štátu, základných slobôd a ľudských práv vrátane práv menšín;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domnieva sa, že spolupráca medzi členskými štátmi má osobitný význam pre presadzovanie demokracie, právneho štátu a základných práv v EÚ;</w:t>
            </w:r>
            <w:r>
              <w:t xml:space="preserve"> </w:t>
            </w:r>
            <w:r>
              <w:rPr>
                <w:b/>
                <w:i/>
              </w:rPr>
              <w:t>naliehavo vyzýva Komisiu, aby dodržiavala vlastné pravidlá v oblasti transparentnosti, boja proti korupcii a spravodlivosti;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vyzýva členské štáty, aby zabezpečili, že núdzové opatrenia prijaté v reakcii na krízy (ako sú pandémie alebo bezpečnostné hrozby) budú podliehať pravidelnej parlamentnej kontrole a súdnemu preskúmaniu a budú prísne časovo obmedzené a primerané;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vyjadruje poľutovanie nad tým, že Komisia nezapracovala mnohé opakované žiadosti Parlamentu týkajúce sa správ Komisie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žiada, aby Komisia do 31. decembra 2025 vydala oznámenie, v ktorom podrobne uvedie, ktoré požiadavky prijaté Parlamentom v súvislosti so správami Komisie o právnom štáte od roku 2021 Komisia vykoná, ktoré nemieni vykonať, ako aj konkrétne dôvody v prípade ich zamietnutia;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zdôrazňuje, že je potrebné, aby členské štáty riešili rodové rozdiely v súdnictve a iných kľúčových demokratických inštitúciách;</w:t>
            </w:r>
            <w:r>
              <w:t xml:space="preserve"> </w:t>
            </w:r>
            <w:r>
              <w:rPr>
                <w:b/>
                <w:i/>
              </w:rPr>
              <w:t>odporúča zaviesť cielené opatrenia na zvýšenie zastúpenia žien na vyšších pozíciách v súdnictve a vo verejnej správe;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vyzýva Komisiu, aby ochranu právneho štátu a základných práv nevyužívala ako zámienku na vyvíjanie politického nátlaku na niektoré členské štáty na zmenu politík, ktoré patria do právomoci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vyjadruje vážne obavy, že podobne ako v prípade konaní podľa článku 7 sa opatrenia podľa nariadenia o podmienenosti právnym štátom budú vykonávať s cieľom presadzovať politické ideály a delegitimizovať niektoré členské štáty;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odporúča, aby Komisia a členské štáty monitorovali zahraničné zasahovanie, najmä využívanie sociálnych médií na manipuláciu a škodlivé účely vrátane prípadov, keď sociálne médiá využívajú jednotlivci ako Elon Musk na ovplyvňovanie verejnej mienky a šírenie dezinformácií v Európe;</w:t>
            </w:r>
            <w:r>
              <w:t xml:space="preserve"> </w:t>
            </w:r>
            <w:r>
              <w:rPr>
                <w:b/>
                <w:i/>
              </w:rPr>
              <w:t>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odporúča, aby Komisia a členské štáty monitorovali zahraničné zasahovanie, najmä využívanie</w:t>
            </w:r>
            <w:r>
              <w:t xml:space="preserve"> sociálnych médií </w:t>
            </w:r>
            <w:r>
              <w:rPr>
                <w:b/>
                <w:i/>
              </w:rPr>
              <w:t>na manipuláciu a škodlivé účely 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rPr>
                <w:b/>
                <w:i/>
              </w:rPr>
              <w:t>vyjadruje znepokojenie nad zasahovaním Európskeho parlamentu a Európskej komisie do vnútorných záležitostí členských štátov;</w:t>
            </w:r>
            <w:r>
              <w:t xml:space="preserve"> </w:t>
            </w:r>
            <w:r>
              <w:rPr>
                <w:b/>
                <w:i/>
              </w:rPr>
              <w:t>pripomína, že 7. januára 2025 generálny riaditeľ spoločnosti Meta Mark Zuckerberg pripustil, že Facebook cenzuroval obsah z politických dôvodov;</w:t>
            </w:r>
            <w:r>
              <w:t xml:space="preserve"> </w:t>
            </w:r>
            <w:r>
              <w:rPr>
                <w:b/>
                <w:i/>
              </w:rPr>
              <w:t>víta úsilie spoločnosti Meta o presadzovanie slobody prejavu na jej platformách</w:t>
            </w:r>
            <w:r>
              <w:t xml:space="preserve"> sociálnych médií</w:t>
            </w:r>
            <w:r>
              <w:rPr>
                <w:b/>
                <w:i/>
              </w:rPr>
              <w:t>;</w:t>
            </w:r>
            <w:r>
              <w:t xml:space="preserve"> </w:t>
            </w:r>
            <w:r>
              <w:rPr>
                <w:b/>
                <w:i/>
              </w:rPr>
              <w:t>vyjadruje poľutovanie nad tým, že v Európe sa stále presadzuje politicky zaujaté overovanie faktov na platformách sociálnych médií;</w:t>
            </w:r>
            <w:r>
              <w:t xml:space="preserve"> </w:t>
            </w:r>
            <w:r>
              <w:rPr>
                <w:b/>
                <w:i/>
              </w:rPr>
              <w:t>vyzýva Komisiu, aby zastavila svoje úsilie o cenzúru pravicových a konzervatívnych názorov na platformách sociálnych médií;</w:t>
            </w:r>
            <w:r>
              <w:t xml:space="preserve"> </w:t>
            </w:r>
            <w:r>
              <w:rPr>
                <w:b/>
                <w:i/>
              </w:rPr>
              <w:t>vyzýva Európsky parlament, aby zriadil vyšetrovací výbor pre cenzúru na Facebooku;</w:t>
            </w:r>
            <w:r>
              <w:t xml:space="preserve"> </w:t>
            </w:r>
            <w:r>
              <w:rPr>
                <w:b/>
                <w:i/>
              </w:rPr>
              <w:t>víta úsilie Elona Muska v boji za slobodu prejavu</w:t>
            </w:r>
            <w:r>
              <w:t>;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 aby Komisia a členské štáty monitorovali zahraničné zasahovanie</w:t>
            </w:r>
            <w:r>
              <w:rPr>
                <w:b/>
                <w:i/>
              </w:rPr>
              <w:t>, najmä využívanie sociálnych médií na manipuláciu a škodlivé účely vrátane prípadov, keď sociálne médiá využívajú jednotlivci ako Elon Musk na ovplyvňovanie verejnej mienky a šírenie dezinformácií v Európe;</w:t>
            </w:r>
            <w:r>
              <w:t xml:space="preserve"> </w:t>
            </w:r>
            <w:r>
              <w:rPr>
                <w:b/>
                <w:i/>
              </w:rPr>
              <w:t>zdôrazňuje, že Komisia musí zabezpečiť, aby sa zásady právneho štátu riadne vykonávali aj v inštitúciách EÚ, a požaduje začlenenie inštitúcií EÚ do výročnej hodnotiacej správy o právnom štáte</w:t>
            </w:r>
            <w:r>
              <w:t>;</w:t>
            </w:r>
          </w:p>
        </w:tc>
        <w:tc>
          <w:tcPr>
            <w:tcW w:w="4876" w:type="dxa"/>
            <w:tcBorders>
              <w:top w:val="nil"/>
              <w:left w:val="nil"/>
              <w:bottom w:val="nil"/>
              <w:right w:val="nil"/>
            </w:tcBorders>
          </w:tcPr>
          <w:p>
            <w:pPr>
              <w:pStyle w:val="Normal6a"/>
            </w:pPr>
            <w:r>
              <w:t>37.</w:t>
            </w:r>
            <w:r>
              <w:tab/>
            </w:r>
            <w:r>
              <w:t>odporúča, aby Komisia a členské štáty monitorovali zahraničné zasahovanie;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w:t>
            </w:r>
            <w:r>
              <w:rPr>
                <w:b/>
                <w:i/>
              </w:rPr>
              <w:t>, aby Komisia a členské štáty monitorovali zahraničné zasahovanie, najmä využívanie sociálnych médií na manipuláciu a škodlivé účely vrátane prípadov, keď sociálne médiá využívajú jednotlivci ako Elon Musk na ovplyvňovanie verejnej mienky a šírenie dezinformácií v Európe;</w:t>
            </w:r>
            <w:r>
              <w:t xml:space="preserve"> </w:t>
            </w:r>
            <w:r>
              <w:rPr>
                <w:b/>
                <w:i/>
              </w:rPr>
              <w:t>zdôrazňuje, že Komisia musí</w:t>
            </w:r>
            <w:r>
              <w:t xml:space="preserve">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w:t>
            </w:r>
            <w:r>
              <w:rPr>
                <w:b/>
                <w:i/>
              </w:rPr>
              <w:t>Komisii</w:t>
            </w:r>
            <w:r>
              <w:t xml:space="preserve">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využívanie sociálnych médií na manipuláciu a škodlivé účely </w:t>
            </w:r>
            <w:r>
              <w:rPr>
                <w:b/>
                <w:i/>
              </w:rPr>
              <w:t>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využívanie sociálnych médií na manipuláciu a škodlivé účely </w:t>
            </w:r>
            <w:r>
              <w:rPr>
                <w:b/>
                <w:i/>
              </w:rPr>
              <w:t>s cieľom ovplyvňovať verejnú mienku a šíriť dezinformácie v Európe;</w:t>
            </w:r>
            <w:r>
              <w:t xml:space="preserve"> </w:t>
            </w:r>
            <w:r>
              <w:rPr>
                <w:b/>
                <w:i/>
              </w:rPr>
              <w:t>konštatuje, že Komisia roky ignorovala ľavicovo-liberálnu dominanciu v sociálnych médiách vrátane presadzovania tejto agendy niektorými hlavnými mestami, medzinárodnými nadáciami a inštitúciami EÚ</w:t>
            </w:r>
            <w:r>
              <w:t>;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využívanie sociálnych médií na manipuláciu a škodlivé účely vrátane prípadov, keď sociálne médiá využívajú jednotlivci ako Elon Musk na ovplyvňovanie verejnej mienky a šírenie dezinformácií v Európe; </w:t>
            </w:r>
            <w:r>
              <w:rPr>
                <w:b/>
                <w:i/>
              </w:rPr>
              <w:t>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odporúča, aby Komisia a členské štáty monitorovali zahraničné zasahovanie, najmä využívanie sociálnych médií na manipuláciu a škodlivé účely vrátane prípadov, keď sociálne médiá využívajú jednotlivci ako Elon Musk na ovplyvňovanie verejnej mienky a šírenie dezinformácií v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 aby Komisia a členské štáty monitorovali zahraničné zasahovanie</w:t>
            </w:r>
            <w:r>
              <w:rPr>
                <w:b/>
                <w:i/>
              </w:rPr>
              <w:t>, najmä využívanie sociálnych médií na manipuláciu a škodlivé účely 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odporúča, aby Komisia a členské štáty monitorovali zahraničné zasahovanie;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 aby Komisia a členské štáty monitorovali zahraničné zasahovanie</w:t>
            </w:r>
            <w:r>
              <w:rPr>
                <w:b/>
                <w:i/>
              </w:rPr>
              <w:t>, najmä využívanie</w:t>
            </w:r>
            <w:r>
              <w:t xml:space="preserve"> sociálnych médií na manipuláciu a škodlivé účely </w:t>
            </w:r>
            <w:r>
              <w:rPr>
                <w:b/>
                <w:i/>
              </w:rPr>
              <w:t>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aby Komisia a členské štáty monitorovali zahraničné zasahovanie </w:t>
            </w:r>
            <w:r>
              <w:rPr>
                <w:b/>
                <w:i/>
              </w:rPr>
              <w:t>vrátane využívania</w:t>
            </w:r>
            <w:r>
              <w:t xml:space="preserve"> sociálnych médií na manipuláciu a škodlivé účely;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 aby Komisia a členské štáty monitorovali zahraničné zasahovanie</w:t>
            </w:r>
            <w:r>
              <w:rPr>
                <w:b/>
                <w:i/>
              </w:rPr>
              <w:t>, najmä využívanie sociálnych médií na manipuláciu a škodlivé účely 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aby Komisia a členské štáty monitorovali zahraničné zasahovanie </w:t>
            </w:r>
            <w:r>
              <w:rPr>
                <w:b/>
                <w:i/>
              </w:rPr>
              <w:t>a prijali účinné opatrenia na ochranu našich spoločných záujmov;</w:t>
            </w:r>
            <w:r>
              <w:t xml:space="preserve"> </w:t>
            </w:r>
            <w:r>
              <w:rPr>
                <w:b/>
                <w:i/>
              </w:rPr>
              <w:t>zdôrazňuje, že proti zahraničným propagandistickým operáciám možno bojovať bez porušovania slobody prejavu, t. j. náležitým označovaním organizácií financovaných zo zahraničia alebo neutrálnymi iniciatívami, ako sú tzv. komunitné poznámky (community notes)</w:t>
            </w:r>
            <w:r>
              <w:t>;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využívanie sociálnych médií na manipuláciu a škodlivé účely </w:t>
            </w:r>
            <w:r>
              <w:rPr>
                <w:b/>
                <w:i/>
              </w:rPr>
              <w:t>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odporúča, aby Komisia a členské štáty monitorovali zahraničné zasahovanie, najmä využívanie sociálnych médií na manipuláciu a škodlivé účely;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využívanie sociálnych médií na manipuláciu a škodlivé účely </w:t>
            </w:r>
            <w:r>
              <w:rPr>
                <w:b/>
                <w:i/>
              </w:rPr>
              <w:t>vrátane prípadov, keď sociálne médiá využívajú jednotlivci ako Elon Musk na ovplyvňovanie verejnej mienky a šírenie dezinformácií v Európe</w:t>
            </w:r>
            <w:r>
              <w:t>;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odporúča, aby Komisia a členské štáty monitorovali zahraničné zasahovanie, najmä využívanie sociálnych médií na manipuláciu a škodlivé účely;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 aby Komisia a členské štáty monitorovali zahraničné zasahovanie</w:t>
            </w:r>
            <w:r>
              <w:rPr>
                <w:b/>
                <w:i/>
              </w:rPr>
              <w:t>, najmä využívanie</w:t>
            </w:r>
            <w:r>
              <w:t xml:space="preserve"> sociálnych médií na manipuláciu </w:t>
            </w:r>
            <w:r>
              <w:rPr>
                <w:b/>
                <w:i/>
              </w:rPr>
              <w:t>a</w:t>
            </w:r>
            <w:r>
              <w:t xml:space="preserve"> škodlivé účely </w:t>
            </w:r>
            <w:r>
              <w:rPr>
                <w:b/>
                <w:i/>
              </w:rPr>
              <w:t>vrátane prípadov, keď sociálne médiá využívajú jednotlivci ako Elon Musk na ovplyvňovanie verejnej mienky</w:t>
            </w:r>
            <w:r>
              <w:t xml:space="preserve"> a šírenie dezinformácií v Európe;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aby Komisia a členské štáty monitorovali </w:t>
            </w:r>
            <w:r>
              <w:rPr>
                <w:b/>
                <w:i/>
              </w:rPr>
              <w:t>a urýchlene riešili</w:t>
            </w:r>
            <w:r>
              <w:t xml:space="preserve"> zahraničné zasahovanie </w:t>
            </w:r>
            <w:r>
              <w:rPr>
                <w:b/>
                <w:i/>
              </w:rPr>
              <w:t>vrátane využívania</w:t>
            </w:r>
            <w:r>
              <w:t xml:space="preserve"> sociálnych médií na manipuláciu</w:t>
            </w:r>
            <w:r>
              <w:rPr>
                <w:b/>
                <w:i/>
              </w:rPr>
              <w:t>,</w:t>
            </w:r>
            <w:r>
              <w:t xml:space="preserve"> škodlivé účely a šírenie dezinformácií v Európe;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odporúča, aby Komisia a členské štáty monitorovali zahraničné zasahovanie, najmä využívanie sociálnych médií na manipuláciu a škodlivé účely vrátane prípadov, keď sociálne médiá využívajú jednotlivci ako Elon Musk na ovplyvňovanie verejnej mienky a šírenie dezinformácií v Európe;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využívanie sociálnych médií na manipuláciu a škodlivé účely vrátane prípadov, keď sociálne médiá využívajú jednotlivci ako Elon Musk </w:t>
            </w:r>
            <w:r>
              <w:rPr>
                <w:b/>
                <w:i/>
              </w:rPr>
              <w:t>a Meta</w:t>
            </w:r>
            <w:r>
              <w:t xml:space="preserve"> na ovplyvňovanie verejnej mienky a šírenie dezinformácií v Európe;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w:t>
            </w:r>
            <w:r>
              <w:rPr>
                <w:b/>
                <w:i/>
              </w:rPr>
              <w:t>využívanie sociálnych médií</w:t>
            </w:r>
            <w:r>
              <w:t xml:space="preserve"> na manipuláciu a škodlivé účely vrátane prípadov, keď </w:t>
            </w:r>
            <w:r>
              <w:rPr>
                <w:b/>
                <w:i/>
              </w:rPr>
              <w:t>sociálne médiá využívajú jednotlivci ako Elon Musk</w:t>
            </w:r>
            <w:r>
              <w:t xml:space="preserve"> na ovplyvňovanie verejnej mienky a šírenie dezinformácií v Európe; zdôrazňuje, že Komisia musí zabezpečiť, aby sa zásady právneho štátu riadne vykonávali aj v inštitúciách EÚ, a požaduje začlenenie inštitúcií EÚ do výročnej hodnotiacej správy o právnom štáte;</w:t>
            </w:r>
          </w:p>
        </w:tc>
        <w:tc>
          <w:tcPr>
            <w:tcW w:w="4876" w:type="dxa"/>
            <w:tcBorders>
              <w:top w:val="nil"/>
              <w:left w:val="nil"/>
              <w:bottom w:val="nil"/>
              <w:right w:val="nil"/>
            </w:tcBorders>
          </w:tcPr>
          <w:p>
            <w:pPr>
              <w:pStyle w:val="Normal6a"/>
            </w:pPr>
            <w:r>
              <w:t>37.</w:t>
            </w:r>
            <w:r>
              <w:tab/>
            </w:r>
            <w:r>
              <w:t xml:space="preserve">odporúča, aby Komisia a členské štáty monitorovali zahraničné zasahovanie, najmä </w:t>
            </w:r>
            <w:r>
              <w:rPr>
                <w:b/>
                <w:i/>
              </w:rPr>
              <w:t>zo strany mimovládnych organizácií</w:t>
            </w:r>
            <w:r>
              <w:t xml:space="preserve"> na manipuláciu a škodlivé účely vrátane prípadov, keď </w:t>
            </w:r>
            <w:r>
              <w:rPr>
                <w:b/>
                <w:i/>
              </w:rPr>
              <w:t>sú mimovládne organizácie využívané</w:t>
            </w:r>
            <w:r>
              <w:t xml:space="preserve"> na ovplyvňovanie verejnej mienky a šírenie dezinformácií v Európe; 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naliehavo vyzýva Komisiu, aby dôkladne monitorovala, či sú zoznamy bezpečných krajín pôvodu vypracované príslušnými vnútroštátnymi orgánmi vždy v súlade s demokratickými zásadami, a teda so zásadami právneho štátu, kritériami stanovenými v právnych predpisoch EÚ, rozsudkami Súdneho dvora EÚ a medzinárodným právom;</w:t>
            </w:r>
            <w:r>
              <w:t xml:space="preserve"> </w:t>
            </w:r>
            <w:r>
              <w:rPr>
                <w:b/>
                <w:i/>
              </w:rPr>
              <w:t>zdôrazňuje povinnosť podľa práva EÚ a medzinárodného práva poskytovať medzinárodnú ochranu osobám, ktoré sú prenasledované a/alebo vystavené vážnej ujme na základe rasového a etnického pôvodu, náboženstva alebo viery, štátnej príslušnosti, politického názoru, jazyka, zdravotného postihnutia, veku, rodu vrátane rodovej identity a rodového vyjadrenia a sexuálnej orientácie;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zdôrazňuje, že je dôležité chrániť základné právo na slobodu prejavu, ktoré je pilierom našich demokratických spoločností.</w:t>
            </w:r>
            <w:r>
              <w:t xml:space="preserve"> </w:t>
            </w:r>
            <w:r>
              <w:rPr>
                <w:b/>
                <w:i/>
              </w:rPr>
              <w:t>Komisia musí zabezpečiť správne uplatňovanie regulačného rámca Európskej únie na platformy sociálnych médií s cieľom chrániť toto právo namiesto toho, aby umožňovala politický tlak, ktorý by mohol obmedziť otvorenú a čestnú diskusiu.</w:t>
            </w:r>
            <w:r>
              <w:t xml:space="preserve"> </w:t>
            </w:r>
            <w:r>
              <w:rPr>
                <w:b/>
                <w:i/>
              </w:rPr>
              <w:t>Hoci platformy sociálnych médií musia konať zodpovedne a zároveň dodržiavať existujúce nariadenia, je nevyhnutné, aby sa postupy moderovania obsahu nestali nástrojom kontroly, cenzúry alebo politickej manipulácie;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vyzýva členské štáty, aby zvýšili transparentnosť a zodpovednosť lobistických činností vrátane zriadenia alebo zlepšenia povinných registrov lobistov a mechanizmov „legislatívnej stopy“ na sledovanie vplyvu na procesy tvorby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zdôrazňuje, že Komisia musí zabezpečiť, aby sa zásady právneho štátu riadne vykonávali aj v inštitúciách EÚ, a požaduje začlenenie inštitúcií EÚ do výročnej hodnotiacej správy o právnom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vyzýva Radu, aby prijala rozhodnutie o zaradení nenávistných prejavov a trestných činov z nenávisti medzi trestné činy do zoznamu podľa článku 83 ods. 1 ZFEÚ;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vyjadruje znepokojenie nad rastúcou tendenciou využívať právne predpisy, ako je akt o digitálnych službách, na presadzovanie politických pozícií a vízií, ktoré môžu ohroziť slobodu prejavu.</w:t>
            </w:r>
            <w:r>
              <w:t xml:space="preserve"> </w:t>
            </w:r>
            <w:r>
              <w:rPr>
                <w:b/>
                <w:i/>
              </w:rPr>
              <w:t>Platformy sociálnych médií by mali zostať priestorom na voľnú výmenu názorov bez obáv z politicky motivovanej cenzúry.</w:t>
            </w:r>
            <w:r>
              <w:t xml:space="preserve"> </w:t>
            </w:r>
            <w:r>
              <w:rPr>
                <w:b/>
                <w:i/>
              </w:rPr>
              <w:t>EÚ musí zostať ostražitá a musí sa brániť akýmkoľvek pokusom o inštrumentalizáciu moderovania obsahu na politické účely, čím sa zabezpečí ochrana slobody prejavu;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naliehavo vyzýva Komisiu, aby predložila obnovenú stratégiu pre rovnosť LGBTQIA+ osôb na obdobie po roku 2025, ktorá bude v plnej miere riešiť súčasné výzvy v celej Európe, pričom práva LGBTQIA+ osôb sa stanú prierezovou prioritou vo všetkých oblastiach politiky;</w:t>
            </w:r>
            <w:r>
              <w:t xml:space="preserve"> </w:t>
            </w:r>
            <w:r>
              <w:rPr>
                <w:b/>
                <w:i/>
              </w:rPr>
              <w:t>zdôrazňuje význam sebaurčenia LGBTQIA+ osôb a uznávania ich identít a práv bez vekových obmedzení;</w:t>
            </w:r>
            <w:r>
              <w:t xml:space="preserve"> </w:t>
            </w:r>
            <w:r>
              <w:rPr>
                <w:b/>
                <w:i/>
              </w:rPr>
              <w:t>vyzýva na ochranu a podporu fyzického a duševného zdravia LGBTQIA+ osôb;</w:t>
            </w:r>
            <w:r>
              <w:t xml:space="preserve"> </w:t>
            </w:r>
            <w:r>
              <w:rPr>
                <w:b/>
                <w:i/>
              </w:rPr>
              <w:t>naliehavo vyzýva Komisiu, aby predložila legislatívne návrhy na boj proti trestným činom z nenávisti a nenávistným prejavom na základe rodovej identity a sexuálnej orientácie a aby zaručila rovnaké práva párom rovnakého pohlavia;</w:t>
            </w:r>
            <w:r>
              <w:t xml:space="preserve"> </w:t>
            </w:r>
            <w:r>
              <w:rPr>
                <w:b/>
                <w:i/>
              </w:rPr>
              <w:t>naliehavo vyzýva Komisiu, aby predložila návrh na záväzný zákaz konverzných praktík vo všetkých členských štátoch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vyzýva Komisiu a členské štáty, aby bojovali proti diskriminácii na základe rasového a etnického pôvodu, náboženstva alebo viery, štátnej príslušnosti, politického názoru, jazyka, zdravotného postihnutia, veku, rodu vrátane rodovej identity a rodového vyjadrenia a sexuálnej orientácie;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víta iniciatívu Komisie zahrnúť do výročnej správy o právnom štáte Albánsko, Čiernu Horu, Severné Macedónsko a Srbsko a nabáda na dôkladné hodnotenie právneho štátu v týchto pristupujúcich krajinách;</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víta iniciatívu Komisie zahrnúť do výročnej správy o právnom štáte Albánsko, Čiernu Horu, Severné Macedónsko a Srbsko a nabáda na dôkladné hodnotenie právneho štátu v týchto pristupujúcich krajinách;</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víta iniciatívu Komisie zahrnúť do výročnej správy o právnom štáte Albánsko, Čiernu Horu, Severné Macedónsko a Srbsko a nabáda na dôkladné hodnotenie právneho štátu v týchto pristupujúcich krajinách;</w:t>
            </w:r>
          </w:p>
        </w:tc>
        <w:tc>
          <w:tcPr>
            <w:tcW w:w="4876" w:type="dxa"/>
            <w:tcBorders>
              <w:top w:val="nil"/>
              <w:left w:val="nil"/>
              <w:bottom w:val="nil"/>
              <w:right w:val="nil"/>
            </w:tcBorders>
          </w:tcPr>
          <w:p>
            <w:pPr>
              <w:pStyle w:val="Normal6a"/>
            </w:pPr>
            <w:r>
              <w:t>38.</w:t>
            </w:r>
            <w:r>
              <w:tab/>
            </w:r>
            <w:r>
              <w:t xml:space="preserve">víta </w:t>
            </w:r>
            <w:r>
              <w:rPr>
                <w:b/>
                <w:i/>
              </w:rPr>
              <w:t>rozšírenie správy Komisie o právnom štáte na kandidátske krajiny, čím sa zdôrazňuje, že základné hodnoty EÚ musia rešpektovať nielen súčasné členské štáty, ale aj budúci členovia počas prístupových procesov;</w:t>
            </w:r>
            <w:r>
              <w:t xml:space="preserve"> </w:t>
            </w:r>
            <w:r>
              <w:rPr>
                <w:b/>
                <w:i/>
              </w:rPr>
              <w:t>víta</w:t>
            </w:r>
            <w:r>
              <w:t xml:space="preserve"> iniciatívu Komisie zahrnúť do výročnej správy o právnom štáte Albánsko, Čiernu Horu, Severné Macedónsko a Srbsko a nabáda na dôkladné hodnotenie právneho štátu v týchto pristupujúcich krajinách; </w:t>
            </w:r>
            <w:r>
              <w:rPr>
                <w:b/>
                <w:i/>
              </w:rPr>
              <w:t>očakáva, že Komisia zahrnie do svojej správy o právnom štáte 2025 všetky kandidátske 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víta iniciatívu Komisie zahrnúť do výročnej správy o právnom štáte Albánsko, Čiernu Horu, Severné Macedónsko a Srbsko a nabáda na dôkladné hodnotenie právneho štátu </w:t>
            </w:r>
            <w:r>
              <w:rPr>
                <w:b/>
                <w:i/>
              </w:rPr>
              <w:t>v týchto pristupujúcich</w:t>
            </w:r>
            <w:r>
              <w:t xml:space="preserve"> krajinách;</w:t>
            </w:r>
          </w:p>
        </w:tc>
        <w:tc>
          <w:tcPr>
            <w:tcW w:w="4876" w:type="dxa"/>
            <w:tcBorders>
              <w:top w:val="nil"/>
              <w:left w:val="nil"/>
              <w:bottom w:val="nil"/>
              <w:right w:val="nil"/>
            </w:tcBorders>
          </w:tcPr>
          <w:p>
            <w:pPr>
              <w:pStyle w:val="Normal6a"/>
            </w:pPr>
            <w:r>
              <w:t>38.</w:t>
            </w:r>
            <w:r>
              <w:tab/>
            </w:r>
            <w:r>
              <w:t xml:space="preserve">víta iniciatívu Komisie zahrnúť do výročnej správy o právnom štáte Albánsko, Čiernu Horu, Severné Macedónsko a Srbsko a nabáda na dôkladné hodnotenie právneho štátu </w:t>
            </w:r>
            <w:r>
              <w:rPr>
                <w:b/>
                <w:i/>
              </w:rPr>
              <w:t>vo všetkých</w:t>
            </w:r>
            <w:r>
              <w:t xml:space="preserve"> krajinách </w:t>
            </w:r>
            <w:r>
              <w:rPr>
                <w:b/>
                <w:i/>
              </w:rPr>
              <w:t>v procese pristúpenia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víta</w:t>
            </w:r>
            <w:r>
              <w:t xml:space="preserve"> iniciatívu Komisie zahrnúť do výročnej správy o právnom štáte Albánsko, Čiernu Horu, Severné Macedónsko a Srbsko a nabáda na dôkladné hodnotenie právneho štátu v týchto pristupujúcich krajinách;</w:t>
            </w:r>
          </w:p>
        </w:tc>
        <w:tc>
          <w:tcPr>
            <w:tcW w:w="4876" w:type="dxa"/>
            <w:tcBorders>
              <w:top w:val="nil"/>
              <w:left w:val="nil"/>
              <w:bottom w:val="nil"/>
              <w:right w:val="nil"/>
            </w:tcBorders>
          </w:tcPr>
          <w:p>
            <w:pPr>
              <w:pStyle w:val="Normal6a"/>
            </w:pPr>
            <w:r>
              <w:t>38.</w:t>
            </w:r>
            <w:r>
              <w:tab/>
            </w:r>
            <w:r>
              <w:rPr>
                <w:b/>
                <w:i/>
              </w:rPr>
              <w:t>berie na vedomie</w:t>
            </w:r>
            <w:r>
              <w:t xml:space="preserve"> iniciatívu Komisie zahrnúť do výročnej správy o právnom štáte Albánsko, Čiernu Horu, Severné Macedónsko a Srbsko a nabáda na dôkladné hodnotenie právneho štátu v týchto pristupujúcich krajinách;</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víta iniciatívu Komisie zahrnúť do výročnej správy o právnom štáte Albánsko, Čiernu Horu, Severné Macedónsko a Srbsko a nabáda na dôkladné hodnotenie právneho štátu </w:t>
            </w:r>
            <w:r>
              <w:rPr>
                <w:b/>
                <w:i/>
              </w:rPr>
              <w:t>v týchto pristupujúcich</w:t>
            </w:r>
            <w:r>
              <w:t xml:space="preserve"> krajinách;</w:t>
            </w:r>
          </w:p>
        </w:tc>
        <w:tc>
          <w:tcPr>
            <w:tcW w:w="4876" w:type="dxa"/>
            <w:tcBorders>
              <w:top w:val="nil"/>
              <w:left w:val="nil"/>
              <w:bottom w:val="nil"/>
              <w:right w:val="nil"/>
            </w:tcBorders>
          </w:tcPr>
          <w:p>
            <w:pPr>
              <w:pStyle w:val="Normal6a"/>
            </w:pPr>
            <w:r>
              <w:t>38.</w:t>
            </w:r>
            <w:r>
              <w:tab/>
            </w:r>
            <w:r>
              <w:t xml:space="preserve">víta iniciatívu Komisie zahrnúť do výročnej správy o právnom štáte Albánsko, Čiernu Horu, Severné Macedónsko a Srbsko a nabáda na dôkladné hodnotenie právneho štátu </w:t>
            </w:r>
            <w:r>
              <w:rPr>
                <w:b/>
                <w:i/>
              </w:rPr>
              <w:t>vo všetkých</w:t>
            </w:r>
            <w:r>
              <w:t xml:space="preserve"> krajinách </w:t>
            </w:r>
            <w:r>
              <w:rPr>
                <w:b/>
                <w:i/>
              </w:rPr>
              <w:t>západného Balkánu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víta iniciatívu Komisie zahrnúť do výročnej správy o právnom štáte Albánsko, Čiernu Horu, </w:t>
            </w:r>
            <w:r>
              <w:rPr>
                <w:b/>
                <w:i/>
              </w:rPr>
              <w:t>Severné Macedónsko</w:t>
            </w:r>
            <w:r>
              <w:t xml:space="preserve"> a Srbsko a nabáda na dôkladné hodnotenie právneho štátu v týchto pristupujúcich krajinách;</w:t>
            </w:r>
          </w:p>
        </w:tc>
        <w:tc>
          <w:tcPr>
            <w:tcW w:w="4876" w:type="dxa"/>
            <w:tcBorders>
              <w:top w:val="nil"/>
              <w:left w:val="nil"/>
              <w:bottom w:val="nil"/>
              <w:right w:val="nil"/>
            </w:tcBorders>
          </w:tcPr>
          <w:p>
            <w:pPr>
              <w:pStyle w:val="Normal6a"/>
            </w:pPr>
            <w:r>
              <w:t>38.</w:t>
            </w:r>
            <w:r>
              <w:tab/>
            </w:r>
            <w:r>
              <w:t xml:space="preserve">víta iniciatívu Komisie zahrnúť do výročnej správy o právnom štáte Albánsko, Čiernu Horu, </w:t>
            </w:r>
            <w:r>
              <w:rPr>
                <w:b/>
                <w:i/>
              </w:rPr>
              <w:t>Skopje</w:t>
            </w:r>
            <w:r>
              <w:t xml:space="preserve"> a Srbsko a nabáda na dôkladné hodnotenie právneho štátu v týchto </w:t>
            </w:r>
            <w:r>
              <w:rPr>
                <w:b/>
                <w:i/>
              </w:rPr>
              <w:t>potenciálne</w:t>
            </w:r>
            <w:r>
              <w:t xml:space="preserve"> pristupujúcich krajinách;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poveruje svoju predsedníčku, aby postúpila </w:t>
            </w:r>
            <w:r>
              <w:rPr>
                <w:b/>
                <w:i/>
              </w:rPr>
              <w:t>toto uznesenie Rade a Komisii</w:t>
            </w:r>
            <w:r>
              <w:t>.</w:t>
            </w:r>
          </w:p>
        </w:tc>
        <w:tc>
          <w:tcPr>
            <w:tcW w:w="4876" w:type="dxa"/>
            <w:tcBorders>
              <w:top w:val="nil"/>
              <w:left w:val="nil"/>
              <w:bottom w:val="nil"/>
              <w:right w:val="nil"/>
            </w:tcBorders>
          </w:tcPr>
          <w:p>
            <w:pPr>
              <w:pStyle w:val="Normal6a"/>
            </w:pPr>
            <w:r>
              <w:t>39.</w:t>
            </w:r>
            <w:r>
              <w:tab/>
            </w:r>
            <w:r>
              <w:t xml:space="preserve">poveruje svoju predsedníčku, aby </w:t>
            </w:r>
            <w:r>
              <w:rPr>
                <w:b/>
                <w:i/>
              </w:rPr>
              <w:t>toto uznesenie</w:t>
            </w:r>
            <w:r>
              <w:t xml:space="preserve"> postúpila </w:t>
            </w:r>
            <w:r>
              <w:rPr>
                <w:b/>
                <w:i/>
              </w:rPr>
              <w:t>Rade, Komisii, Agentúre Európskej únie pre základné práva, Rade Európy a vládam a parlamentom členských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poveruje svoju predsedníčku, aby postúpila toto uznesenie Rade </w:t>
            </w:r>
            <w:r>
              <w:rPr>
                <w:b/>
                <w:i/>
              </w:rPr>
              <w:t>a Komisii</w:t>
            </w:r>
            <w:r>
              <w:t>.</w:t>
            </w:r>
          </w:p>
        </w:tc>
        <w:tc>
          <w:tcPr>
            <w:tcW w:w="4876" w:type="dxa"/>
            <w:tcBorders>
              <w:top w:val="nil"/>
              <w:left w:val="nil"/>
              <w:bottom w:val="nil"/>
              <w:right w:val="nil"/>
            </w:tcBorders>
          </w:tcPr>
          <w:p>
            <w:pPr>
              <w:pStyle w:val="Normal6a"/>
            </w:pPr>
            <w:r>
              <w:t>39.</w:t>
            </w:r>
            <w:r>
              <w:tab/>
            </w:r>
            <w:r>
              <w:t>poveruje svoju predsedníčku, aby postúpila toto uznesenie Rade</w:t>
            </w:r>
            <w:r>
              <w:rPr>
                <w:b/>
                <w:i/>
              </w:rPr>
              <w:t>, Komisii a členským štátom</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AM\1315576SK.docx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AM\1315576SK.docx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AM\1315576SK.docx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9710</Words>
  <Characters>59216</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149591</vt:lpwstr>
  </property>
  <property fmtid="{D5CDD505-2E9C-101B-9397-08002B2CF9AE}" pid="7" name="dmxml.render.traceId">
    <vt:lpwstr>67dd6a3225194952fde83c8632b40813</vt:lpwstr>
  </property>
  <property fmtid="{D5CDD505-2E9C-101B-9397-08002B2CF9AE}" pid="8" name="FooterPath">
    <vt:lpwstr>AM\1315576SK.docx</vt:lpwstr>
  </property>
  <property fmtid="{D5CDD505-2E9C-101B-9397-08002B2CF9AE}" pid="9" name="PE Number">
    <vt:lpwstr>769.959</vt:lpwstr>
  </property>
  <property fmtid="{D5CDD505-2E9C-101B-9397-08002B2CF9AE}" pid="10" name="UID">
    <vt:lpwstr>eu.europa.europarl-DIN1-2025-0000027564_02.00-sk-01.00_text-xml</vt:lpwstr>
  </property>
</Properties>
</file>