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državljanske svoboščine, pravosodje in notranje zadeve</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Poročilo Komisije o stanju pravne države za leto 2024</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poziva Komisijo, naj v letno poročilo o stanju pravne države vključi novo poglavje o boju proti vsem oblikam diskriminacije;</w:t>
            </w:r>
          </w:p>
        </w:tc>
        <w:tc>
          <w:tcPr>
            <w:tcW w:w="4876" w:type="dxa"/>
            <w:tcBorders>
              <w:top w:val="nil"/>
              <w:left w:val="nil"/>
              <w:bottom w:val="nil"/>
              <w:right w:val="nil"/>
            </w:tcBorders>
          </w:tcPr>
          <w:p>
            <w:pPr>
              <w:pStyle w:val="Normal6a"/>
            </w:pPr>
            <w:r>
              <w:t>33.</w:t>
            </w:r>
            <w:r>
              <w:tab/>
            </w:r>
            <w:r>
              <w:t>poziva Komisijo, naj v letno poročilo o stanju pravne države vključi novo poglavje o boju proti vsem oblikam diskriminacije</w:t>
            </w:r>
            <w:r>
              <w:rPr>
                <w:b/>
                <w:i/>
              </w:rPr>
              <w:t>, kot je zapisano v členu 21 Listine Evropske unije o temeljnih pravicah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poziva Komisijo, naj v letno poročilo o stanju pravne države vključi </w:t>
            </w:r>
            <w:r>
              <w:rPr>
                <w:b/>
                <w:i/>
              </w:rPr>
              <w:t>novo poglavje</w:t>
            </w:r>
            <w:r>
              <w:t xml:space="preserve"> o boju proti vsem oblikam diskriminacije;</w:t>
            </w:r>
          </w:p>
        </w:tc>
        <w:tc>
          <w:tcPr>
            <w:tcW w:w="4876" w:type="dxa"/>
            <w:tcBorders>
              <w:top w:val="nil"/>
              <w:left w:val="nil"/>
              <w:bottom w:val="nil"/>
              <w:right w:val="nil"/>
            </w:tcBorders>
          </w:tcPr>
          <w:p>
            <w:pPr>
              <w:pStyle w:val="Normal6a"/>
            </w:pPr>
            <w:r>
              <w:t>33.</w:t>
            </w:r>
            <w:r>
              <w:tab/>
            </w:r>
            <w:r>
              <w:t xml:space="preserve">poziva Komisijo, naj v letno poročilo o stanju pravne države </w:t>
            </w:r>
            <w:r>
              <w:rPr>
                <w:b/>
                <w:i/>
              </w:rPr>
              <w:t>ne</w:t>
            </w:r>
            <w:r>
              <w:t xml:space="preserve"> vključi </w:t>
            </w:r>
            <w:r>
              <w:rPr>
                <w:b/>
                <w:i/>
              </w:rPr>
              <w:t>nobenega novega poglavja, niti</w:t>
            </w:r>
            <w:r>
              <w:t xml:space="preserve"> o boju proti vsem oblikam diskriminacije;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poziva Komisijo, naj v letno poročilo o stanju pravne države vključi novo poglavje o boju proti vsem oblikam diskriminacije;</w:t>
            </w:r>
          </w:p>
        </w:tc>
        <w:tc>
          <w:tcPr>
            <w:tcW w:w="4876" w:type="dxa"/>
            <w:tcBorders>
              <w:top w:val="nil"/>
              <w:left w:val="nil"/>
              <w:bottom w:val="nil"/>
              <w:right w:val="nil"/>
            </w:tcBorders>
          </w:tcPr>
          <w:p>
            <w:pPr>
              <w:pStyle w:val="Normal6a"/>
            </w:pPr>
            <w:r>
              <w:t>33.</w:t>
            </w:r>
            <w:r>
              <w:tab/>
            </w:r>
            <w:r>
              <w:t xml:space="preserve">poziva Komisijo, naj v letno poročilo o stanju pravne države vključi novo poglavje o boju proti vsem oblikam diskriminacije </w:t>
            </w:r>
            <w:r>
              <w:rPr>
                <w:b/>
                <w:i/>
              </w:rPr>
              <w:t>in sovraštva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poziva Komisijo, naj v letno poročilo o stanju pravne države vključi novo poglavje o boju proti </w:t>
            </w:r>
            <w:r>
              <w:rPr>
                <w:b/>
                <w:i/>
              </w:rPr>
              <w:t>vsem oblikam diskriminacije</w:t>
            </w:r>
            <w:r>
              <w:t>;</w:t>
            </w:r>
          </w:p>
        </w:tc>
        <w:tc>
          <w:tcPr>
            <w:tcW w:w="4876" w:type="dxa"/>
            <w:tcBorders>
              <w:top w:val="nil"/>
              <w:left w:val="nil"/>
              <w:bottom w:val="nil"/>
              <w:right w:val="nil"/>
            </w:tcBorders>
          </w:tcPr>
          <w:p>
            <w:pPr>
              <w:pStyle w:val="Normal6a"/>
            </w:pPr>
            <w:r>
              <w:t>33.</w:t>
            </w:r>
            <w:r>
              <w:tab/>
            </w:r>
            <w:r>
              <w:t xml:space="preserve">poziva Komisijo, naj v letno poročilo o stanju pravne države vključi novo poglavje o boju proti </w:t>
            </w:r>
            <w:r>
              <w:rPr>
                <w:b/>
                <w:i/>
              </w:rPr>
              <w:t>cenzuri medijev in spletnih vsebin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poziva države članice, naj pakt o migracijah in azilu izvajajo v skladu z načeli iz Pogodb, Listine EU o temeljnih pravicah in mednarodnega prava;</w:t>
            </w:r>
            <w:r>
              <w:t xml:space="preserve"> </w:t>
            </w:r>
            <w:r>
              <w:rPr>
                <w:b/>
                <w:i/>
              </w:rPr>
              <w:t>poziva jih tudi, naj državljanom tretjih držav zagotovijo enake pravice, enako in humano obravnavo ter pravičen dostop do postopkov mednarodne zaščite ob popolnem spoštovanju mednarodnega prava in načela nevračanja;</w:t>
            </w:r>
            <w:r>
              <w:t xml:space="preserve"> </w:t>
            </w:r>
            <w:r>
              <w:rPr>
                <w:b/>
                <w:i/>
              </w:rPr>
              <w:t>poziva Komisijo, naj zagotovi, da eksternalizacija upravljanja migracij in ekstrateritorialno upravljanje migracij, na primer z dvostranskimi sporazumi med državami članicami in tretjimi državami, nikakor ne bosta ogrožala teh načel in meril iz zakonodaje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poziva Komisijo, naj še enkrat preuči svoje stališče o pobudi za zaščito manjšin Minority SafePack in predlaga zakonodajne pobude za zaščito pravic manjšin in jezikovnih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ponovno poziva Komisijo, naj v poročilo o stanju pravne države dodatno vključi reaktivna orodja, kot so postopki iz člena 7 PEU, splošni mehanizem pogojenosti in postopki za ugotavljanje kršitev</w:t>
            </w:r>
            <w:r>
              <w:rPr>
                <w:b/>
                <w:i/>
                <w:vertAlign w:val="superscript"/>
              </w:rPr>
              <w:t>48</w:t>
            </w:r>
            <w:r>
              <w:rPr>
                <w:b/>
                <w:i/>
              </w:rPr>
              <w:t>;</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Madžarski helsinški odbor, Disregard for EU values:</w:t>
            </w:r>
            <w:r>
              <w:t xml:space="preserve"> </w:t>
            </w:r>
            <w:r>
              <w:rPr>
                <w:b/>
                <w:i/>
              </w:rPr>
              <w:t>a snapshot of RoL issues in Hungary in light of the Article 7 procedure (Neupoštevanje vrednot EU:</w:t>
            </w:r>
            <w:r>
              <w:t xml:space="preserve"> </w:t>
            </w:r>
            <w:r>
              <w:rPr>
                <w:b/>
                <w:i/>
              </w:rPr>
              <w:t>pregled vprašanj v zvezi s stanjem pravne države na Madžarskem glede na postopek iz člena 7 PEU),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ponovno poziva Komisijo, naj v poročilo o stanju pravne države dodatno vključi reaktivna orodja, kot so postopki iz člena 7 PEU, splošni mehanizem pogojenosti in postopki za ugotavljanje kršitev</w:t>
            </w:r>
            <w:r>
              <w:rPr>
                <w:b/>
                <w:i/>
                <w:vertAlign w:val="superscript"/>
              </w:rPr>
              <w:t>48</w:t>
            </w:r>
            <w:r>
              <w:rPr>
                <w:b/>
                <w:i/>
              </w:rPr>
              <w:t>;</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Madžarski helsinški odbor, Disregard for EU values:</w:t>
            </w:r>
            <w:r>
              <w:t xml:space="preserve"> </w:t>
            </w:r>
            <w:r>
              <w:rPr>
                <w:b/>
                <w:i/>
              </w:rPr>
              <w:t>a snapshot of RoL issues in Hungary in light of the Article 7 procedure (Neupoštevanje vrednot EU:</w:t>
            </w:r>
            <w:r>
              <w:t xml:space="preserve"> </w:t>
            </w:r>
            <w:r>
              <w:rPr>
                <w:b/>
                <w:i/>
              </w:rPr>
              <w:t>pregled vprašanj v zvezi s stanjem pravne države na Madžarskem glede na postopek iz člena 7 PEU),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ponovno poziva Komisijo, naj v poročilo o stanju pravne države dodatno vključi reaktivna orodja, kot so postopki iz člena 7 PEU, splošni mehanizem pogojenosti in postopki za ugotavljanje kršitev</w:t>
            </w:r>
            <w:r>
              <w:rPr>
                <w:b/>
                <w:i/>
                <w:vertAlign w:val="superscript"/>
              </w:rPr>
              <w:t>48</w:t>
            </w:r>
            <w:r>
              <w:rPr>
                <w:b/>
                <w:i/>
              </w:rPr>
              <w:t>;</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Madžarski helsinški odbor, Disregard for EU values:</w:t>
            </w:r>
            <w:r>
              <w:t xml:space="preserve"> </w:t>
            </w:r>
            <w:r>
              <w:rPr>
                <w:b/>
                <w:i/>
              </w:rPr>
              <w:t>a snapshot of RoL issues in Hungary in light of the Article 7 procedure (Neupoštevanje vrednot EU:</w:t>
            </w:r>
            <w:r>
              <w:t xml:space="preserve"> </w:t>
            </w:r>
            <w:r>
              <w:rPr>
                <w:b/>
                <w:i/>
              </w:rPr>
              <w:t>pregled vprašanj v zvezi s stanjem pravne države na Madžarskem glede na postopek iz člena 7 PEU),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ponovno poziva Komisijo, naj v poročilo o stanju pravne države dodatno vključi reaktivna orodja, kot so postopki iz člena 7 PEU, </w:t>
            </w:r>
            <w:r>
              <w:rPr>
                <w:b/>
                <w:i/>
              </w:rPr>
              <w:t>splošni mehanizem pogojenosti in</w:t>
            </w:r>
            <w:r>
              <w:t xml:space="preserve"> postopki za ugotavljanje kršitev</w:t>
            </w:r>
            <w:r>
              <w:rPr>
                <w:b/>
                <w:i/>
                <w:vertAlign w:val="superscript"/>
              </w:rPr>
              <w:t>48</w:t>
            </w:r>
            <w:r>
              <w:t>;</w:t>
            </w:r>
          </w:p>
        </w:tc>
        <w:tc>
          <w:tcPr>
            <w:tcW w:w="4876" w:type="dxa"/>
            <w:tcBorders>
              <w:top w:val="nil"/>
              <w:left w:val="nil"/>
              <w:bottom w:val="nil"/>
              <w:right w:val="nil"/>
            </w:tcBorders>
          </w:tcPr>
          <w:p>
            <w:pPr>
              <w:pStyle w:val="Normal6a"/>
            </w:pPr>
            <w:r>
              <w:t>34.</w:t>
            </w:r>
            <w:r>
              <w:tab/>
            </w:r>
            <w:r>
              <w:t xml:space="preserve">ponovno poziva Komisijo, naj v poročilo o stanju pravne države dodatno vključi reaktivna orodja, kot so postopki iz člena 7 PEU, </w:t>
            </w:r>
            <w:r>
              <w:rPr>
                <w:b/>
                <w:i/>
              </w:rPr>
              <w:t>Uredba o pogojevanju s pravno državo in drugi proračunski postopki ter</w:t>
            </w:r>
            <w:r>
              <w:t xml:space="preserve"> postopki za ugotavljanje kršitev</w:t>
            </w:r>
            <w:r>
              <w:rPr>
                <w:b/>
                <w:i/>
              </w:rPr>
              <w:t>;</w:t>
            </w:r>
            <w:r>
              <w:t xml:space="preserve"> </w:t>
            </w:r>
            <w:r>
              <w:rPr>
                <w:b/>
                <w:i/>
              </w:rPr>
              <w:t>poziva Komisijo, naj v postopkih za ugotavljanje kršitev pred Sodiščem EU sistematično uporablja hitre postopke in zahtevke za začasne ukrepe;</w:t>
            </w:r>
            <w:r>
              <w:t xml:space="preserve"> </w:t>
            </w:r>
            <w:r>
              <w:rPr>
                <w:b/>
                <w:i/>
              </w:rPr>
              <w:t>poziva Komisijo, naj „dialoga“ z državami članicami ali „pilotnega“ postopka ne uporablja kot časovno neomejenega načina, da bi se izognila uvedbi dejanskih postopkov za ugotavljanje kršitev; poziva Komisijo, naj spremeni svojo politiko, kot je opisana v njenem sporočilu o izvrševanju prava EU iz leta 2022, da postopkov za ugotavljanje kršitev ne uporablja za „individualne“ primere, saj je ta politika privedla do hudega kratenja pravic državljanov po vsej EU, zlasti kadar njihove vlade ne spoštujejo prava EU ali sodb Sodišča EU, tudi zato, ker večina teh primerov ni individualnih, temveč zadevajo strateške in temeljne težave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Madžarski helsinški odbor, Disregard for EU values:</w:t>
            </w:r>
            <w:r>
              <w:t xml:space="preserve"> </w:t>
            </w:r>
            <w:r>
              <w:rPr>
                <w:b/>
                <w:i/>
              </w:rPr>
              <w:t>a snapshot of RoL issues in Hungary in light of the Article 7 procedure (Neupoštevanje vrednot EU:</w:t>
            </w:r>
            <w:r>
              <w:t xml:space="preserve"> </w:t>
            </w:r>
            <w:r>
              <w:rPr>
                <w:b/>
                <w:i/>
              </w:rPr>
              <w:t>pregled vprašanj v zvezi s stanjem pravne države na Madžarskem glede na postopek iz člena 7 PEU),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ponovno</w:t>
            </w:r>
            <w:r>
              <w:t xml:space="preserve"> poziva Komisijo, naj </w:t>
            </w:r>
            <w:r>
              <w:rPr>
                <w:b/>
                <w:i/>
              </w:rPr>
              <w:t>v poročilo o stanju</w:t>
            </w:r>
            <w:r>
              <w:t xml:space="preserve"> pravne države </w:t>
            </w:r>
            <w:r>
              <w:rPr>
                <w:b/>
                <w:i/>
              </w:rPr>
              <w:t>dodatno vključi reaktivna orodja, kot so postopki iz člena 7 PEU, splošni mehanizem pogojenosti in postopki za ugotavljanje kršitev</w:t>
            </w:r>
            <w:r>
              <w:rPr>
                <w:b/>
                <w:i/>
                <w:vertAlign w:val="superscript"/>
              </w:rPr>
              <w:t>48</w:t>
            </w:r>
            <w:r>
              <w:t>;</w:t>
            </w:r>
          </w:p>
        </w:tc>
        <w:tc>
          <w:tcPr>
            <w:tcW w:w="4876" w:type="dxa"/>
            <w:tcBorders>
              <w:top w:val="nil"/>
              <w:left w:val="nil"/>
              <w:bottom w:val="nil"/>
              <w:right w:val="nil"/>
            </w:tcBorders>
          </w:tcPr>
          <w:p>
            <w:pPr>
              <w:pStyle w:val="Normal6a"/>
            </w:pPr>
            <w:r>
              <w:t>34.</w:t>
            </w:r>
            <w:r>
              <w:tab/>
            </w:r>
            <w:r>
              <w:rPr>
                <w:b/>
                <w:i/>
              </w:rPr>
              <w:t>je zelo zaskrbljen zaradi stanja pravne države v evropskih institucijah;</w:t>
            </w:r>
            <w:r>
              <w:t xml:space="preserve"> poziva Komisijo, naj </w:t>
            </w:r>
            <w:r>
              <w:rPr>
                <w:b/>
                <w:i/>
              </w:rPr>
              <w:t>razišče vse pogostejše kršitve načela pravne države v teh institucijah;</w:t>
            </w:r>
            <w:r>
              <w:t xml:space="preserve"> </w:t>
            </w:r>
            <w:r>
              <w:rPr>
                <w:b/>
                <w:i/>
              </w:rPr>
              <w:t>je zelo zaskrbljen zaradi domnevne vpletenosti nekdanjega komisarja za pravosodje Didierja Reyndersa v shemo pranja denarja;</w:t>
            </w:r>
            <w:r>
              <w:t xml:space="preserve"> </w:t>
            </w:r>
            <w:r>
              <w:rPr>
                <w:b/>
                <w:i/>
              </w:rPr>
              <w:t>je zelo zaskrbljen, ker je bil komisar za pravosodje, ki je z nakupom loterijskih vstopnic domnevno opral več kot milijon EUR, odgovoren za ohranjaje</w:t>
            </w:r>
            <w:r>
              <w:t xml:space="preserve"> pravne države </w:t>
            </w:r>
            <w:r>
              <w:rPr>
                <w:b/>
                <w:i/>
              </w:rPr>
              <w:t>v Evropski uniji;</w:t>
            </w:r>
            <w:r>
              <w:t xml:space="preserve"> </w:t>
            </w:r>
            <w:r>
              <w:rPr>
                <w:b/>
                <w:i/>
              </w:rPr>
              <w:t>poudarja, da so belgijske oblasti Didierja Reyndersa že leta 2019, ko je bil še kandidat za komisarja, obtožile pranja denarja in korupcije;</w:t>
            </w:r>
            <w:r>
              <w:t xml:space="preserve"> </w:t>
            </w:r>
            <w:r>
              <w:rPr>
                <w:b/>
                <w:i/>
              </w:rPr>
              <w:t>poziva Komisijo, naj pojasni kako da je bil Didier Reynders kljub resnim obtožbam proti njemu v devetem zakonodajnem obdobju pristojen za pravosodni portfelj;</w:t>
            </w:r>
            <w:r>
              <w:t xml:space="preserve"> </w:t>
            </w:r>
            <w:r>
              <w:rPr>
                <w:b/>
                <w:i/>
              </w:rPr>
              <w:t>poudarja, da to poročilo ne more biti podlaga za nadaljnje mehanizme in postopke EU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Madžarski helsinški odbor, Disregard for EU values:</w:t>
            </w:r>
            <w:r>
              <w:t xml:space="preserve"> </w:t>
            </w:r>
            <w:r>
              <w:rPr>
                <w:b/>
                <w:i/>
              </w:rPr>
              <w:t>a snapshot of RoL issues in Hungary in light of the Article 7 procedure (Neupoštevanje vrednot EU:</w:t>
            </w:r>
            <w:r>
              <w:t xml:space="preserve"> </w:t>
            </w:r>
            <w:r>
              <w:rPr>
                <w:b/>
                <w:i/>
              </w:rPr>
              <w:t>pregled vprašanj v zvezi s stanjem pravne države na Madžarskem glede na postopek iz člena 7 PEU),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ponovno</w:t>
            </w:r>
            <w:r>
              <w:t xml:space="preserve"> poziva Komisijo, naj </w:t>
            </w:r>
            <w:r>
              <w:rPr>
                <w:b/>
                <w:i/>
              </w:rPr>
              <w:t>v poročilo o stanju pravne države dodatno vključi reaktivna orodja</w:t>
            </w:r>
            <w:r>
              <w:t>, kot so postopki iz člena 7 PEU, splošni mehanizem pogojenosti in postopki za ugotavljanje kršitev</w:t>
            </w:r>
            <w:r>
              <w:rPr>
                <w:vertAlign w:val="superscript"/>
              </w:rPr>
              <w:t>48</w:t>
            </w:r>
            <w:r>
              <w:t>;</w:t>
            </w:r>
          </w:p>
        </w:tc>
        <w:tc>
          <w:tcPr>
            <w:tcW w:w="4876" w:type="dxa"/>
            <w:tcBorders>
              <w:top w:val="nil"/>
              <w:left w:val="nil"/>
              <w:bottom w:val="nil"/>
              <w:right w:val="nil"/>
            </w:tcBorders>
          </w:tcPr>
          <w:p>
            <w:pPr>
              <w:pStyle w:val="Normal6a"/>
            </w:pPr>
            <w:r>
              <w:t>34.</w:t>
            </w:r>
            <w:r>
              <w:tab/>
            </w:r>
            <w:r>
              <w:t xml:space="preserve">poziva Komisijo, naj </w:t>
            </w:r>
            <w:r>
              <w:rPr>
                <w:b/>
                <w:i/>
              </w:rPr>
              <w:t>oceni, ali je nadaljnje vključevanje reaktivnih orodij v poročilo o pravni državi</w:t>
            </w:r>
            <w:r>
              <w:t>, kot so postopki iz člena 7 PEU, splošni mehanizem pogojenosti in postopki za ugotavljanje kršitev</w:t>
            </w:r>
            <w:r>
              <w:rPr>
                <w:vertAlign w:val="superscript"/>
              </w:rPr>
              <w:t>48</w:t>
            </w:r>
            <w:r>
              <w:rPr>
                <w:b/>
                <w:i/>
              </w:rPr>
              <w:t>, primerno, glede na to, da so bila uporabljena na nezaslišano spolitiziran način, najboljši primer česar je Poljska, kjer so bile po zamenjavi vlade z vlado, ki je všečna Bruslju in Berlinu, vse kritike odpravljene, postopek iz člena 7 PEU pa je bil ustavljen brez zakonodajnih sprememb in kljub odprti kršitvi ustavnih načel države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Madžarski helsinški odbor, Disregard for EU values: a snapshot of RoL issues in Hungary in light of the Article 7 procedure (Neupoštevanje vrednot EU: pregled vprašanj v zvezi s stanjem pravne države na Madžarskem glede na postopek iz člena 7 PEU), 12. november 2024.</w:t>
            </w:r>
          </w:p>
        </w:tc>
        <w:tc>
          <w:tcPr>
            <w:tcW w:w="4876" w:type="dxa"/>
            <w:tcBorders>
              <w:top w:val="nil"/>
              <w:left w:val="nil"/>
              <w:bottom w:val="nil"/>
              <w:right w:val="nil"/>
            </w:tcBorders>
          </w:tcPr>
          <w:p>
            <w:pPr>
              <w:pStyle w:val="Normal6a"/>
            </w:pPr>
            <w:r>
              <w:rPr>
                <w:vertAlign w:val="superscript"/>
              </w:rPr>
              <w:t>48</w:t>
            </w:r>
            <w:r>
              <w:t xml:space="preserve"> </w:t>
            </w:r>
            <w:r>
              <w:t>Madžarski helsinški odbor, Disregard for EU values: a snapshot of RoL issues in Hungary in light of the Article 7 procedure (Neupoštevanje vrednot EU: pregled vprašanj v zvezi s stanjem pravne države na Madžarskem glede na postopek iz člena 7 PEU), 12. november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v imenu Odbora za državljanske svoboščine, pravosodje in notranje zadeve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ponovno poziva Komisijo, naj v poročilo o stanju pravne države dodatno vključi reaktivna orodja, kot so postopki iz člena 7 PEU, splošni mehanizem pogojenosti in postopki za ugotavljanje kršitev</w:t>
            </w:r>
            <w:r>
              <w:rPr>
                <w:vertAlign w:val="superscript"/>
              </w:rPr>
              <w:t>48</w:t>
            </w:r>
            <w:r>
              <w:t>;</w:t>
            </w:r>
          </w:p>
        </w:tc>
        <w:tc>
          <w:tcPr>
            <w:tcW w:w="4876" w:type="dxa"/>
            <w:tcBorders>
              <w:top w:val="nil"/>
              <w:left w:val="nil"/>
              <w:bottom w:val="nil"/>
              <w:right w:val="nil"/>
            </w:tcBorders>
          </w:tcPr>
          <w:p>
            <w:pPr>
              <w:pStyle w:val="Normal6a"/>
            </w:pPr>
            <w:r>
              <w:t>34.</w:t>
            </w:r>
            <w:r>
              <w:tab/>
            </w:r>
            <w:r>
              <w:t>ponovno poziva Komisijo, naj v poročilo o stanju pravne države dodatno vključi reaktivna orodja, kot so postopki iz člena 7 PEU, splošni mehanizem pogojenosti in postopki za ugotavljanje kršitev</w:t>
            </w:r>
            <w:r>
              <w:rPr>
                <w:vertAlign w:val="superscript"/>
              </w:rPr>
              <w:t>48</w:t>
            </w:r>
            <w:r>
              <w:t xml:space="preserve">; </w:t>
            </w:r>
            <w:r>
              <w:rPr>
                <w:b/>
                <w:i/>
              </w:rPr>
              <w:t>poziva Komisijo, naj vsako leto poroča o uporabi in učinkovitosti orodij, ki se uporabljajo proti kršitvam načel pravne države v državah članicah;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Madžarski helsinški odbor, Disregard for EU values: a snapshot of RoL issues in Hungary in light of the Article 7 procedure (Neupoštevanje vrednot EU: pregled vprašanj v zvezi s stanjem pravne države na Madžarskem glede na postopek iz člena 7 PEU), 12. november 2024.</w:t>
            </w:r>
          </w:p>
        </w:tc>
        <w:tc>
          <w:tcPr>
            <w:tcW w:w="4876" w:type="dxa"/>
            <w:tcBorders>
              <w:top w:val="nil"/>
              <w:left w:val="nil"/>
              <w:bottom w:val="nil"/>
              <w:right w:val="nil"/>
            </w:tcBorders>
          </w:tcPr>
          <w:p>
            <w:pPr>
              <w:pStyle w:val="Normal6a"/>
            </w:pPr>
            <w:r>
              <w:rPr>
                <w:vertAlign w:val="superscript"/>
              </w:rPr>
              <w:t>48</w:t>
            </w:r>
            <w:r>
              <w:t xml:space="preserve"> </w:t>
            </w:r>
            <w:r>
              <w:t>Madžarski helsinški odbor, Disregard for EU values: a snapshot of RoL issues in Hungary in light of the Article 7 procedure (Neupoštevanje vrednot EU:pregled vprašanj v zvezi s stanjem pravne države na Madžarskem glede na postopek iz člena 7 PEU),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ponovno poziva Komisijo, naj v </w:t>
            </w:r>
            <w:r>
              <w:rPr>
                <w:b/>
                <w:i/>
              </w:rPr>
              <w:t>poročilo o stanju pravne države dodatno vključi reaktivna orodja, kot so postopki</w:t>
            </w:r>
            <w:r>
              <w:t xml:space="preserve"> iz člena 7 PEU, </w:t>
            </w:r>
            <w:r>
              <w:rPr>
                <w:b/>
                <w:i/>
              </w:rPr>
              <w:t>splošni mehanizem pogojenosti in postopki</w:t>
            </w:r>
            <w:r>
              <w:t xml:space="preserve"> za ugotavljanje kršitev</w:t>
            </w:r>
            <w:r>
              <w:rPr>
                <w:vertAlign w:val="superscript"/>
              </w:rPr>
              <w:t>48</w:t>
            </w:r>
            <w:r>
              <w:t>;</w:t>
            </w:r>
          </w:p>
        </w:tc>
        <w:tc>
          <w:tcPr>
            <w:tcW w:w="4876" w:type="dxa"/>
            <w:tcBorders>
              <w:top w:val="nil"/>
              <w:left w:val="nil"/>
              <w:bottom w:val="nil"/>
              <w:right w:val="nil"/>
            </w:tcBorders>
          </w:tcPr>
          <w:p>
            <w:pPr>
              <w:pStyle w:val="Normal6a"/>
            </w:pPr>
            <w:r>
              <w:t>34.</w:t>
            </w:r>
            <w:r>
              <w:tab/>
            </w:r>
            <w:r>
              <w:t xml:space="preserve">ponovno poziva Komisijo, naj v </w:t>
            </w:r>
            <w:r>
              <w:rPr>
                <w:b/>
                <w:i/>
              </w:rPr>
              <w:t>poročilu o pravni državi bolje upošteva različne instrumente iz nabora orodij za pravno državo, zlasti tekoče postopke</w:t>
            </w:r>
            <w:r>
              <w:t xml:space="preserve"> iz člena 7 PEU, </w:t>
            </w:r>
            <w:r>
              <w:rPr>
                <w:b/>
                <w:i/>
              </w:rPr>
              <w:t>mehanizem pogojevanja s pravno državo in postopke</w:t>
            </w:r>
            <w:r>
              <w:t xml:space="preserve"> za ugotavljanje kršitev</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Madžarski helsinški odbor, Disregard for EU values: a snapshot of RoL issues in Hungary in light of the Article 7 procedure (Neupoštevanje vrednot EU: pregled vprašanj v zvezi s stanjem pravne države na Madžarskem glede na postopek iz člena 7 PEU), 12. november 2024.</w:t>
            </w:r>
          </w:p>
        </w:tc>
        <w:tc>
          <w:tcPr>
            <w:tcW w:w="4876" w:type="dxa"/>
            <w:tcBorders>
              <w:top w:val="nil"/>
              <w:left w:val="nil"/>
              <w:bottom w:val="nil"/>
              <w:right w:val="nil"/>
            </w:tcBorders>
          </w:tcPr>
          <w:p>
            <w:pPr>
              <w:pStyle w:val="Normal6a"/>
            </w:pPr>
            <w:r>
              <w:rPr>
                <w:vertAlign w:val="superscript"/>
              </w:rPr>
              <w:t>48</w:t>
            </w:r>
            <w:r>
              <w:t xml:space="preserve"> </w:t>
            </w:r>
            <w:r>
              <w:t>Madžarski helsinški odbor, Disregard for EU values: a snapshot of RoL issues in Hungary in light of the Article 7 procedure (Neupoštevanje vrednot EU: pregled vprašanj v zvezi s stanjem pravne države na Madžarskem glede na postopek iz člena 7 PEU),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ponovno poziva Komisijo, naj </w:t>
            </w:r>
            <w:r>
              <w:rPr>
                <w:b/>
                <w:i/>
              </w:rPr>
              <w:t>v poročilo o stanju pravne države dodatno vključi reaktivna orodja, kot so postopki iz člena 7 PEU, splošni mehanizem pogojenosti in postopki za ugotavljanje kršitev</w:t>
            </w:r>
            <w:r>
              <w:rPr>
                <w:b/>
                <w:i/>
                <w:vertAlign w:val="superscript"/>
              </w:rPr>
              <w:t>48</w:t>
            </w:r>
            <w:r>
              <w:t>;</w:t>
            </w:r>
          </w:p>
        </w:tc>
        <w:tc>
          <w:tcPr>
            <w:tcW w:w="4876" w:type="dxa"/>
            <w:tcBorders>
              <w:top w:val="nil"/>
              <w:left w:val="nil"/>
              <w:bottom w:val="nil"/>
              <w:right w:val="nil"/>
            </w:tcBorders>
          </w:tcPr>
          <w:p>
            <w:pPr>
              <w:pStyle w:val="Normal6a"/>
            </w:pPr>
            <w:r>
              <w:t>34.</w:t>
            </w:r>
            <w:r>
              <w:tab/>
            </w:r>
            <w:r>
              <w:t xml:space="preserve">ponovno poziva Komisijo, naj </w:t>
            </w:r>
            <w:r>
              <w:rPr>
                <w:b/>
                <w:i/>
              </w:rPr>
              <w:t>ne vzpostavlja novih mehanizmov in orodij za zaščito pravne države, saj obstoječi mehanizmi in instrumenti zadostujejo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Madžarski helsinški odbor, Disregard for EU values:</w:t>
            </w:r>
            <w:r>
              <w:t xml:space="preserve"> </w:t>
            </w:r>
            <w:r>
              <w:rPr>
                <w:b/>
                <w:i/>
              </w:rPr>
              <w:t>a snapshot of RoL issues in Hungary in light of the Article 7 procedure (Neupoštevanje vrednot EU:</w:t>
            </w:r>
            <w:r>
              <w:t xml:space="preserve"> </w:t>
            </w:r>
            <w:r>
              <w:rPr>
                <w:b/>
                <w:i/>
              </w:rPr>
              <w:t>pregled vprašanj v zvezi s stanjem pravne države na Madžarskem glede na postopek iz člena 7 PEU),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ponovno poziva Komisijo, naj v poročilo o stanju pravne države dodatno vključi </w:t>
            </w:r>
            <w:r>
              <w:rPr>
                <w:b/>
                <w:i/>
              </w:rPr>
              <w:t>reaktivna orodja</w:t>
            </w:r>
            <w:r>
              <w:t>, kot so postopki iz člena 7 PEU, splošni mehanizem pogojenosti in postopki za ugotavljanje kršitev</w:t>
            </w:r>
            <w:r>
              <w:rPr>
                <w:vertAlign w:val="superscript"/>
              </w:rPr>
              <w:t>48</w:t>
            </w:r>
            <w:r>
              <w:t>;</w:t>
            </w:r>
          </w:p>
        </w:tc>
        <w:tc>
          <w:tcPr>
            <w:tcW w:w="4876" w:type="dxa"/>
            <w:tcBorders>
              <w:top w:val="nil"/>
              <w:left w:val="nil"/>
              <w:bottom w:val="nil"/>
              <w:right w:val="nil"/>
            </w:tcBorders>
          </w:tcPr>
          <w:p>
            <w:pPr>
              <w:pStyle w:val="Normal6a"/>
            </w:pPr>
            <w:r>
              <w:t>34.</w:t>
            </w:r>
            <w:r>
              <w:tab/>
            </w:r>
            <w:r>
              <w:t xml:space="preserve">ponovno poziva Komisijo, naj v poročilo o stanju pravne države dodatno vključi </w:t>
            </w:r>
            <w:r>
              <w:rPr>
                <w:b/>
                <w:i/>
              </w:rPr>
              <w:t>izvršilne ukrepe</w:t>
            </w:r>
            <w:r>
              <w:t>, kot so postopki iz člena 7 PEU, splošni mehanizem pogojenosti in postopki za ugotavljanje kršitev</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Madžarski helsinški odbor, Disregard for EU values: a snapshot of RoL issues in Hungary in light of the Article 7 procedure (Neupoštevanje vrednot EU: pregled vprašanj v zvezi s stanjem pravne države na Madžarskem glede na postopek iz člena 7 PEU), 12. november 2024.</w:t>
            </w:r>
          </w:p>
        </w:tc>
        <w:tc>
          <w:tcPr>
            <w:tcW w:w="4876" w:type="dxa"/>
            <w:tcBorders>
              <w:top w:val="nil"/>
              <w:left w:val="nil"/>
              <w:bottom w:val="nil"/>
              <w:right w:val="nil"/>
            </w:tcBorders>
          </w:tcPr>
          <w:p>
            <w:pPr>
              <w:pStyle w:val="Normal6a"/>
            </w:pPr>
            <w:r>
              <w:rPr>
                <w:vertAlign w:val="superscript"/>
              </w:rPr>
              <w:t>48</w:t>
            </w:r>
            <w:r>
              <w:t xml:space="preserve"> </w:t>
            </w:r>
            <w:r>
              <w:t>Madžarski helsinški odbor, Disregard for EU values: a snapshot of RoL issues in Hungary in light of the Article 7 procedure (Neupoštevanje vrednot EU:pregled vprašanj v zvezi s stanjem pravne države na Madžarskem glede na postopek iz člena 7 PEU),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obžaluje, da madžarska vlada ni sprejela nobenih pomembnih ukrepov za izvajanje priporočil iz poročila o stanju pravne države za leto 2024;</w:t>
            </w:r>
            <w:r>
              <w:t xml:space="preserve"> </w:t>
            </w:r>
            <w:r>
              <w:rPr>
                <w:b/>
                <w:i/>
              </w:rPr>
              <w:t>poudarja, da so se razmere na področju svobode medijev, sistema zavor in ravnovesij, korupcije na visoki ravni in prostora za organizacije civilne družbe od njegove objave še poslabšale;</w:t>
            </w:r>
            <w:r>
              <w:t xml:space="preserve"> </w:t>
            </w:r>
            <w:r>
              <w:rPr>
                <w:b/>
                <w:i/>
              </w:rPr>
              <w:t>poudarja, da reforma pravosodja iz leta 2023 ni prinesla bistvenih izboljšav glede neodvisnosti sodstva, in obsoja nedavno odločitev vlade, da že dolgo zapoznelo korekcijo plač sodnikov poveže s tem, da sprejmejo nadaljnjo politično vmešavanje na škodo neodvisnosti sodstva;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poziva Komisijo in države članice, naj se borijo proti diskriminaciji na podlagi rase in etničnega porekla, veroizpovedi ali prepričanja, narodnosti, političnega prepričanja, jezika, invalidnosti, starosti, spola, vključno s spolno identiteto in spolnim izrazom, ter spolne usmerjenosti;</w:t>
            </w:r>
            <w:r>
              <w:t xml:space="preserve"> </w:t>
            </w:r>
            <w:r>
              <w:rPr>
                <w:b/>
                <w:i/>
              </w:rPr>
              <w:t>poziva Svet, naj doseže dogovor o Direktivi 2008/140/ES;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obsoja, da madžarska vlada ni sprejela nobenih pomembnih ukrepov za izvajanje priporočil iz poročila o stanju pravne države za leto 2024 in da je Madžarska edina država članica, ki ostaja v postopku iz člena 7(1) PEU;</w:t>
            </w:r>
            <w:r>
              <w:t xml:space="preserve"> </w:t>
            </w:r>
            <w:r>
              <w:rPr>
                <w:b/>
                <w:i/>
              </w:rPr>
              <w:t>poudarja, da se spoštovanje pravne države nenehno slabša;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poziva Evropsko komisijo, naj vidike rasne pravičnosti izrecno vključi v prihodnja poročila o pravni državi in od držav članic zahteva, naj zbirajo primerljive in zanesljive razčlenjene podatke o enakosti, da bi v celoti ocenili učinek strukturne diskriminacije na pravno državo;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poziva Komisijo in države članice, naj zagotovijo, da se pravice oseb LGBTQIA+ v celoti spoštujejo na celotnem ozemlju EU in da lahko te osebe živijo varno, uveljavljajo svoje pravice in v celoti izkoristijo svoj potencial;</w:t>
            </w:r>
            <w:r>
              <w:t xml:space="preserve"> </w:t>
            </w:r>
            <w:r>
              <w:rPr>
                <w:b/>
                <w:i/>
              </w:rPr>
              <w:t>poziva Komisijo in Svet, naj pravice oseb LGBTQIA+ uvrstita med medsektorske prednostne naloge na vseh področjih politike;</w:t>
            </w:r>
            <w:r>
              <w:t xml:space="preserve"> </w:t>
            </w:r>
            <w:r>
              <w:rPr>
                <w:b/>
                <w:i/>
              </w:rPr>
              <w:t>poziva Komisijo, naj predlaga ustrezne zakonodajne ukrepe, s katerimi bo zagotovila spoštovanja teh načel, pa tudi, naj se opre na postopke za ugotavljanje kršitev proti državam članicam;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ponovno poziva Komisijo, naj se bori proti vsem diskriminatornim praksam in zaščiti načela iz Listine EU o temeljnih pravicah;</w:t>
            </w:r>
            <w:r>
              <w:t xml:space="preserve"> </w:t>
            </w:r>
            <w:r>
              <w:rPr>
                <w:b/>
                <w:i/>
              </w:rPr>
              <w:t>poziva Komisijo, naj poskrbi, da se na ozemlju EU v celoti spoštujejo prosto gibanje oseb v EU, pravica do prostega prebivanja in združitev družine ter da lahko vsak državljan uživa enake pravice in v celoti uveljavlja svoje pravice;</w:t>
            </w:r>
            <w:r>
              <w:t xml:space="preserve"> </w:t>
            </w:r>
            <w:r>
              <w:rPr>
                <w:b/>
                <w:i/>
              </w:rPr>
              <w:t>poziva Komisijo, naj prenovi Direktivo 2004/38/ES, da bi vključila čezmejno priznavanje družinskih pravic, vključno s starševstvom za istospolne starše, glede na najnovejše sodbe Sodišča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poudarja, da je pomembno mejnike v zvezi s pravno državo vključiti v instrumente financiranja, kot je mehanizem za okrevanje in odpornost;</w:t>
            </w:r>
            <w:r>
              <w:t xml:space="preserve"> </w:t>
            </w:r>
            <w:r>
              <w:rPr>
                <w:b/>
                <w:i/>
              </w:rPr>
              <w:t>obžaluje sprostitev sredstev EU Madžarski kljub pomanjkljivostim v zvezi z neodvisnostjo sodstva in protikorupcijskimi okviri v tej državi;</w:t>
            </w:r>
            <w:r>
              <w:t xml:space="preserve"> </w:t>
            </w:r>
            <w:r>
              <w:rPr>
                <w:b/>
                <w:i/>
              </w:rPr>
              <w:t>priporoča, da se začasno ustavijo vsa izplačila, dokler ne bodo izpolnjena vsa merila uspešnosti pravne države;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poudarja, da je pomembno mejnike v zvezi s pravno državo vključiti v instrumente financiranja, kot je mehanizem za okrevanje in odpornost;</w:t>
            </w:r>
            <w:r>
              <w:t xml:space="preserve"> </w:t>
            </w:r>
            <w:r>
              <w:rPr>
                <w:b/>
                <w:i/>
              </w:rPr>
              <w:t>obžaluje sprostitev sredstev EU Madžarski kljub pomanjkljivostim v zvezi z neodvisnostjo sodstva in protikorupcijskimi okviri v tej državi;</w:t>
            </w:r>
            <w:r>
              <w:t xml:space="preserve"> </w:t>
            </w:r>
            <w:r>
              <w:rPr>
                <w:b/>
                <w:i/>
              </w:rPr>
              <w:t>priporoča, da se začasno ustavijo vsa izplačila, dokler ne bodo izpolnjena vsa merila uspešnosti pravne države;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poudarja, da je pomembno mejnike v zvezi s pravno državo vključiti v instrumente financiranja, kot je mehanizem za okrevanje in odpornost;</w:t>
            </w:r>
            <w:r>
              <w:t xml:space="preserve"> </w:t>
            </w:r>
            <w:r>
              <w:rPr>
                <w:b/>
                <w:i/>
              </w:rPr>
              <w:t>obžaluje sprostitev sredstev EU Madžarski kljub pomanjkljivostim v zvezi z neodvisnostjo sodstva in protikorupcijskimi okviri v tej državi;</w:t>
            </w:r>
            <w:r>
              <w:t xml:space="preserve"> </w:t>
            </w:r>
            <w:r>
              <w:rPr>
                <w:b/>
                <w:i/>
              </w:rPr>
              <w:t>priporoča, da se začasno ustavijo vsa izplačila, dokler ne bodo izpolnjena vsa merila uspešnosti pravne države;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poudarja, da je pomembno mejnike v zvezi s pravno državo vključiti v instrumente financiranja, kot je mehanizem za okrevanje in odpornost; obžaluje sprostitev sredstev EU Madžarski kljub pomanjkljivostim v zvezi z neodvisnostjo sodstva in protikorupcijskimi okviri v tej državi; priporoča, da se začasno ustavijo vsa izplačila, dokler ne bodo izpolnjena vsa merila uspešnosti pravne države;</w:t>
            </w:r>
          </w:p>
        </w:tc>
        <w:tc>
          <w:tcPr>
            <w:tcW w:w="4876" w:type="dxa"/>
            <w:tcBorders>
              <w:top w:val="nil"/>
              <w:left w:val="nil"/>
              <w:bottom w:val="nil"/>
              <w:right w:val="nil"/>
            </w:tcBorders>
          </w:tcPr>
          <w:p>
            <w:pPr>
              <w:pStyle w:val="Normal6a"/>
            </w:pPr>
            <w:r>
              <w:t>35.</w:t>
            </w:r>
            <w:r>
              <w:tab/>
            </w:r>
            <w:r>
              <w:t xml:space="preserve">poudarja, da je pomembno mejnike v zvezi s pravno državo vključiti v instrumente financiranja, kot je mehanizem za okrevanje in odpornost; obžaluje sprostitev sredstev EU madžarski </w:t>
            </w:r>
            <w:r>
              <w:rPr>
                <w:b/>
                <w:i/>
              </w:rPr>
              <w:t>vladi</w:t>
            </w:r>
            <w:r>
              <w:t xml:space="preserve"> kljub </w:t>
            </w:r>
            <w:r>
              <w:rPr>
                <w:b/>
                <w:i/>
              </w:rPr>
              <w:t>tekočim in hudim</w:t>
            </w:r>
            <w:r>
              <w:t xml:space="preserve"> pomanjkljivostim v zvezi z neodvisnostjo sodstva in protikorupcijskimi okviri v tej državi; priporoča, da se začasno ustavijo vsa izplačila, dokler ne bodo izpolnjena vsa merila uspešnosti pravne države; </w:t>
            </w:r>
            <w:r>
              <w:rPr>
                <w:b/>
                <w:i/>
              </w:rPr>
              <w:t>poziva Svet, naj zaradi stalnih kršitev vrednot EU, vključno z napadi na neodvisnost sodstva, svobodo medijev in civilno družbo, zaradi katerih so potrebni takojšnji in odločni ukrepi za zaščito pravne države v EU, sprosti naslednje korake v postopku iz člena 7 proti Madžarski;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poudarja, da je pomembno mejnike v zvezi s</w:t>
            </w:r>
            <w:r>
              <w:t xml:space="preserve"> pravno državo </w:t>
            </w:r>
            <w:r>
              <w:rPr>
                <w:b/>
                <w:i/>
              </w:rPr>
              <w:t>vključiti v instrumente financiranja, kot je mehanizem za okrevanje in odpornost;</w:t>
            </w:r>
            <w:r>
              <w:t xml:space="preserve"> </w:t>
            </w:r>
            <w:r>
              <w:rPr>
                <w:b/>
                <w:i/>
              </w:rPr>
              <w:t>obžaluje sprostitev sredstev EU Madžarski kljub pomanjkljivostim v zvezi z neodvisnostjo sodstva in protikorupcijskimi okviri v tej državi;</w:t>
            </w:r>
            <w:r>
              <w:t xml:space="preserve"> </w:t>
            </w:r>
            <w:r>
              <w:rPr>
                <w:b/>
                <w:i/>
              </w:rPr>
              <w:t>priporoča, da se začasno ustavijo vsa izplačila, dokler ne bodo izpolnjena vsa merila uspešnosti pravne države</w:t>
            </w:r>
            <w:r>
              <w:t>;</w:t>
            </w:r>
          </w:p>
        </w:tc>
        <w:tc>
          <w:tcPr>
            <w:tcW w:w="4876" w:type="dxa"/>
            <w:tcBorders>
              <w:top w:val="nil"/>
              <w:left w:val="nil"/>
              <w:bottom w:val="nil"/>
              <w:right w:val="nil"/>
            </w:tcBorders>
          </w:tcPr>
          <w:p>
            <w:pPr>
              <w:pStyle w:val="Normal6a"/>
            </w:pPr>
            <w:r>
              <w:t>35.</w:t>
            </w:r>
            <w:r>
              <w:tab/>
            </w:r>
            <w:r>
              <w:rPr>
                <w:b/>
                <w:i/>
              </w:rPr>
              <w:t>z zaskrbljenostjo opaža, da Komisija pri spremljanju meril pravne države s pomočjo orodij za</w:t>
            </w:r>
            <w:r>
              <w:t xml:space="preserve"> pravno državo </w:t>
            </w:r>
            <w:r>
              <w:rPr>
                <w:b/>
                <w:i/>
              </w:rPr>
              <w:t>ni politično nepristranska;</w:t>
            </w:r>
            <w:r>
              <w:t xml:space="preserve"> </w:t>
            </w:r>
            <w:r>
              <w:rPr>
                <w:b/>
                <w:i/>
              </w:rPr>
              <w:t>poziva Komisijo, naj ustavi politične napade na desničarske in konservativne vlade;</w:t>
            </w:r>
            <w:r>
              <w:t xml:space="preserve"> </w:t>
            </w:r>
            <w:r>
              <w:rPr>
                <w:b/>
                <w:i/>
              </w:rPr>
              <w:t>poudarja, da Komisija Madžarsko finančno in politično izsiljuje zaradi zakona o zaščiti otrok, zakona o zaščiti nacionalne suverenosti in odločnega stališča o migracijski politiki;</w:t>
            </w:r>
            <w:r>
              <w:t xml:space="preserve"> </w:t>
            </w:r>
            <w:r>
              <w:rPr>
                <w:b/>
                <w:i/>
              </w:rPr>
              <w:t>opozarja, da je Madžarska upravičena do vseh sredstev EU, ki jih Komisija nezakonito zadržuje;</w:t>
            </w:r>
            <w:r>
              <w:t xml:space="preserve"> </w:t>
            </w:r>
            <w:r>
              <w:rPr>
                <w:b/>
                <w:i/>
              </w:rPr>
              <w:t>poziva Evropsko komisijo, naj sprosti preostalih 20 milijard EUR sredstev EU, do katerih je Madžarska upravičena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poudarja, da je pomembno mejnike</w:t>
            </w:r>
            <w:r>
              <w:t xml:space="preserve"> v zvezi s pravno državo </w:t>
            </w:r>
            <w:r>
              <w:rPr>
                <w:b/>
                <w:i/>
              </w:rPr>
              <w:t>vključiti</w:t>
            </w:r>
            <w:r>
              <w:t xml:space="preserve"> v instrumente financiranja, kot je mehanizem za okrevanje in odpornost; </w:t>
            </w:r>
            <w:r>
              <w:rPr>
                <w:b/>
                <w:i/>
              </w:rPr>
              <w:t>obžaluje sprostitev sredstev EU Madžarski kljub pomanjkljivostim v zvezi z neodvisnostjo sodstva in protikorupcijskimi okviri v tej državi;</w:t>
            </w:r>
            <w:r>
              <w:t xml:space="preserve"> </w:t>
            </w:r>
            <w:r>
              <w:rPr>
                <w:b/>
                <w:i/>
              </w:rPr>
              <w:t>priporoča, da se začasno ustavijo vsa izplačila, dokler ne bodo izpolnjena vsa merila uspešnosti pravne države;</w:t>
            </w:r>
          </w:p>
        </w:tc>
        <w:tc>
          <w:tcPr>
            <w:tcW w:w="4876" w:type="dxa"/>
            <w:tcBorders>
              <w:top w:val="nil"/>
              <w:left w:val="nil"/>
              <w:bottom w:val="nil"/>
              <w:right w:val="nil"/>
            </w:tcBorders>
          </w:tcPr>
          <w:p>
            <w:pPr>
              <w:pStyle w:val="Normal6a"/>
            </w:pPr>
            <w:r>
              <w:t>35.</w:t>
            </w:r>
            <w:r>
              <w:tab/>
            </w:r>
            <w:r>
              <w:rPr>
                <w:b/>
                <w:i/>
              </w:rPr>
              <w:t>ugotavlja, da so bili mejniki</w:t>
            </w:r>
            <w:r>
              <w:t xml:space="preserve"> v zvezi s pravno državo </w:t>
            </w:r>
            <w:r>
              <w:rPr>
                <w:b/>
                <w:i/>
              </w:rPr>
              <w:t>vključeni</w:t>
            </w:r>
            <w:r>
              <w:t xml:space="preserve"> v instrumente financiranja, kot je mehanizem za okrevanje in odpornost;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poudarja, da je pomembno mejnike v zvezi s pravno državo vključiti v instrumente financiranja, kot je mehanizem za okrevanje in odpornost; obžaluje sprostitev sredstev EU Madžarski kljub pomanjkljivostim v zvezi z neodvisnostjo sodstva in protikorupcijskimi okviri v tej državi; priporoča, da se </w:t>
            </w:r>
            <w:r>
              <w:rPr>
                <w:b/>
                <w:i/>
              </w:rPr>
              <w:t>začasno ustavijo vsa izplačila</w:t>
            </w:r>
            <w:r>
              <w:t xml:space="preserve">, dokler </w:t>
            </w:r>
            <w:r>
              <w:rPr>
                <w:b/>
                <w:i/>
              </w:rPr>
              <w:t>ne bodo izpolnjena vsa merila</w:t>
            </w:r>
            <w:r>
              <w:t xml:space="preserve"> uspešnosti pravne države;</w:t>
            </w:r>
          </w:p>
        </w:tc>
        <w:tc>
          <w:tcPr>
            <w:tcW w:w="4876" w:type="dxa"/>
            <w:tcBorders>
              <w:top w:val="nil"/>
              <w:left w:val="nil"/>
              <w:bottom w:val="nil"/>
              <w:right w:val="nil"/>
            </w:tcBorders>
          </w:tcPr>
          <w:p>
            <w:pPr>
              <w:pStyle w:val="Normal6a"/>
            </w:pPr>
            <w:r>
              <w:t>35.</w:t>
            </w:r>
            <w:r>
              <w:tab/>
            </w:r>
            <w:r>
              <w:t xml:space="preserve">poudarja, da je pomembno mejnike v zvezi s pravno državo vključiti v instrumente financiranja, kot je mehanizem za okrevanje in odpornost; obžaluje sprostitev sredstev EU madžarski </w:t>
            </w:r>
            <w:r>
              <w:rPr>
                <w:b/>
                <w:i/>
              </w:rPr>
              <w:t>vladi</w:t>
            </w:r>
            <w:r>
              <w:t xml:space="preserve"> kljub pomanjkljivostim v zvezi z neodvisnostjo sodstva in protikorupcijskimi okviri v tej državi; priporoča, da se </w:t>
            </w:r>
            <w:r>
              <w:rPr>
                <w:b/>
                <w:i/>
              </w:rPr>
              <w:t>izplačila madžarski vladi začasno ustavijo</w:t>
            </w:r>
            <w:r>
              <w:t xml:space="preserve">, dokler </w:t>
            </w:r>
            <w:r>
              <w:rPr>
                <w:b/>
                <w:i/>
              </w:rPr>
              <w:t>ta ne izpolni vseh meril</w:t>
            </w:r>
            <w:r>
              <w:t xml:space="preserve"> uspešnosti pravne države; </w:t>
            </w:r>
            <w:r>
              <w:rPr>
                <w:b/>
                <w:i/>
              </w:rPr>
              <w:t>poziva Komisijo, naj zagotovi, da bodo sredstva EU dosegla madžarsko prebivalstvo, tudi z neposrednim ali posrednim financiranjem končnih prejemnikov in upravičencev, neodvisno od madžarske vlade;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poudarja, da </w:t>
            </w:r>
            <w:r>
              <w:rPr>
                <w:b/>
                <w:i/>
              </w:rPr>
              <w:t>je pomembno mejnike</w:t>
            </w:r>
            <w:r>
              <w:t xml:space="preserve"> v zvezi s pravno državo </w:t>
            </w:r>
            <w:r>
              <w:rPr>
                <w:b/>
                <w:i/>
              </w:rPr>
              <w:t>vključiti v instrumente</w:t>
            </w:r>
            <w:r>
              <w:t xml:space="preserve"> financiranja, kot je mehanizem za okrevanje in odpornost</w:t>
            </w:r>
            <w:r>
              <w:rPr>
                <w:b/>
                <w:i/>
              </w:rPr>
              <w:t>;</w:t>
            </w:r>
            <w:r>
              <w:t xml:space="preserve"> </w:t>
            </w:r>
            <w:r>
              <w:rPr>
                <w:b/>
                <w:i/>
              </w:rPr>
              <w:t>obžaluje sprostitev</w:t>
            </w:r>
            <w:r>
              <w:t xml:space="preserve"> sredstev EU Madžarski </w:t>
            </w:r>
            <w:r>
              <w:rPr>
                <w:b/>
                <w:i/>
              </w:rPr>
              <w:t>kljub pomanjkljivostim v zvezi z neodvisnostjo sodstva in protikorupcijskimi okviri v tej državi;</w:t>
            </w:r>
            <w:r>
              <w:t xml:space="preserve"> </w:t>
            </w:r>
            <w:r>
              <w:rPr>
                <w:b/>
                <w:i/>
              </w:rPr>
              <w:t>priporoča, da se začasno ustavijo vsa</w:t>
            </w:r>
            <w:r>
              <w:t xml:space="preserve"> izplačila</w:t>
            </w:r>
            <w:r>
              <w:rPr>
                <w:b/>
                <w:i/>
              </w:rPr>
              <w:t>, dokler ne bodo izpolnjena vsa merila</w:t>
            </w:r>
            <w:r>
              <w:t xml:space="preserve"> uspešnosti pravne države;</w:t>
            </w:r>
          </w:p>
        </w:tc>
        <w:tc>
          <w:tcPr>
            <w:tcW w:w="4876" w:type="dxa"/>
            <w:tcBorders>
              <w:top w:val="nil"/>
              <w:left w:val="nil"/>
              <w:bottom w:val="nil"/>
              <w:right w:val="nil"/>
            </w:tcBorders>
          </w:tcPr>
          <w:p>
            <w:pPr>
              <w:pStyle w:val="Normal6a"/>
            </w:pPr>
            <w:r>
              <w:t>35.</w:t>
            </w:r>
            <w:r>
              <w:tab/>
            </w:r>
            <w:r>
              <w:t xml:space="preserve">poudarja, da </w:t>
            </w:r>
            <w:r>
              <w:rPr>
                <w:b/>
                <w:i/>
              </w:rPr>
              <w:t>uporaba mejnikov</w:t>
            </w:r>
            <w:r>
              <w:t xml:space="preserve"> v zvezi s pravno državo </w:t>
            </w:r>
            <w:r>
              <w:rPr>
                <w:b/>
                <w:i/>
              </w:rPr>
              <w:t>v instrumentih</w:t>
            </w:r>
            <w:r>
              <w:t xml:space="preserve"> financiranja, kot je mehanizem za okrevanje in odpornost</w:t>
            </w:r>
            <w:r>
              <w:rPr>
                <w:b/>
                <w:i/>
              </w:rPr>
              <w:t>, ni skladna z obveznostjo spoštovanja Pogodb in uporabe pristopa, ki temelji na objektivnih merilih;</w:t>
            </w:r>
            <w:r>
              <w:t xml:space="preserve"> </w:t>
            </w:r>
            <w:r>
              <w:rPr>
                <w:b/>
                <w:i/>
              </w:rPr>
              <w:t>je seznanjen s sprostitvijo</w:t>
            </w:r>
            <w:r>
              <w:t xml:space="preserve"> sredstev EU Madžarski</w:t>
            </w:r>
            <w:r>
              <w:rPr>
                <w:b/>
                <w:i/>
              </w:rPr>
              <w:t>, kar ni v nasprotju s Pogodbama, in da bi bilo treba domnevne pomanjkljivosti v pravosodnem in protikorupcijskem okviru te države obravnavati v postopkih, ki so skladni s Pogodbama;</w:t>
            </w:r>
            <w:r>
              <w:t xml:space="preserve"> </w:t>
            </w:r>
            <w:r>
              <w:rPr>
                <w:b/>
                <w:i/>
              </w:rPr>
              <w:t>poudarja, da</w:t>
            </w:r>
            <w:r>
              <w:t xml:space="preserve"> izplačila </w:t>
            </w:r>
            <w:r>
              <w:rPr>
                <w:b/>
                <w:i/>
              </w:rPr>
              <w:t>iz skladov EU niso povezana s samovoljnimi merili</w:t>
            </w:r>
            <w:r>
              <w:t xml:space="preserve"> uspešnosti pravne države;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poudarja, da je pomembno mejnike v zvezi s pravno državo vključiti v instrumente financiranja, kot je mehanizem za okrevanje in odpornost; obžaluje sprostitev sredstev EU Madžarski kljub pomanjkljivostim v zvezi z neodvisnostjo sodstva in protikorupcijskimi okviri v tej državi; priporoča, da se </w:t>
            </w:r>
            <w:r>
              <w:rPr>
                <w:b/>
                <w:i/>
              </w:rPr>
              <w:t>začasno ustavijo vsa izplačila</w:t>
            </w:r>
            <w:r>
              <w:t xml:space="preserve">, dokler </w:t>
            </w:r>
            <w:r>
              <w:rPr>
                <w:b/>
                <w:i/>
              </w:rPr>
              <w:t>ne bodo izpolnjena vsa merila</w:t>
            </w:r>
            <w:r>
              <w:t xml:space="preserve"> uspešnosti pravne države;</w:t>
            </w:r>
          </w:p>
        </w:tc>
        <w:tc>
          <w:tcPr>
            <w:tcW w:w="4876" w:type="dxa"/>
            <w:tcBorders>
              <w:top w:val="nil"/>
              <w:left w:val="nil"/>
              <w:bottom w:val="nil"/>
              <w:right w:val="nil"/>
            </w:tcBorders>
          </w:tcPr>
          <w:p>
            <w:pPr>
              <w:pStyle w:val="Normal6a"/>
            </w:pPr>
            <w:r>
              <w:t>35.</w:t>
            </w:r>
            <w:r>
              <w:tab/>
            </w:r>
            <w:r>
              <w:t xml:space="preserve">poudarja, da je pomembno mejnike v zvezi s pravno državo vključiti v instrumente financiranja, kot je mehanizem za okrevanje in odpornost; obžaluje sprostitev sredstev EU madžarski </w:t>
            </w:r>
            <w:r>
              <w:rPr>
                <w:b/>
                <w:i/>
              </w:rPr>
              <w:t>vladi</w:t>
            </w:r>
            <w:r>
              <w:t xml:space="preserve"> kljub pomanjkljivostim v zvezi z neodvisnostjo sodstva in protikorupcijskimi okviri v tej državi; priporoča, da se </w:t>
            </w:r>
            <w:r>
              <w:rPr>
                <w:b/>
                <w:i/>
              </w:rPr>
              <w:t>izplačila madžarski vladi začasno ustavijo</w:t>
            </w:r>
            <w:r>
              <w:t xml:space="preserve">, dokler </w:t>
            </w:r>
            <w:r>
              <w:rPr>
                <w:b/>
                <w:i/>
              </w:rPr>
              <w:t>ta ne izpolni vseh meril</w:t>
            </w:r>
            <w:r>
              <w:t xml:space="preserve"> uspešnosti pravne države; </w:t>
            </w:r>
            <w:r>
              <w:rPr>
                <w:b/>
                <w:i/>
              </w:rPr>
              <w:t>poziva Komisijo, naj zagotovi, da bodo sredstva EU dosegla madžarsko prebivalstvo, hkrati pa naj ohrani polni učinek sprejetih ukrepov;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v imenu Odbora za državljanske svoboščine, pravosodje in notranje zadeve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poudarja, da je pomembno mejnike v zvezi s pravno državo vključiti v instrumente financiranja, kot je mehanizem za okrevanje in odpornost; obžaluje sprostitev sredstev EU Madžarski kljub pomanjkljivostim v zvezi z neodvisnostjo sodstva in protikorupcijskimi okviri v tej državi; priporoča, da se začasno ustavijo vsa izplačila, dokler ne bodo izpolnjena vsa merila uspešnosti pravne države;</w:t>
            </w:r>
          </w:p>
        </w:tc>
        <w:tc>
          <w:tcPr>
            <w:tcW w:w="4876" w:type="dxa"/>
            <w:tcBorders>
              <w:top w:val="nil"/>
              <w:left w:val="nil"/>
              <w:bottom w:val="nil"/>
              <w:right w:val="nil"/>
            </w:tcBorders>
          </w:tcPr>
          <w:p>
            <w:pPr>
              <w:pStyle w:val="Normal6a"/>
            </w:pPr>
            <w:r>
              <w:t>35.</w:t>
            </w:r>
            <w:r>
              <w:tab/>
            </w:r>
            <w:r>
              <w:t xml:space="preserve">poudarja, da je pomembno mejnike v zvezi s pravno državo vključiti v instrumente financiranja, kot je mehanizem za okrevanje in odpornost; </w:t>
            </w:r>
            <w:r>
              <w:rPr>
                <w:b/>
                <w:i/>
              </w:rPr>
              <w:t>poziva, naj prihodnji večletni finančni okvir vključuje trdne zaščitne ukrepe za varstvo načela pravne države, ki se bodo uporabljali za vse sklade EU;</w:t>
            </w:r>
            <w:r>
              <w:t xml:space="preserve"> obžaluje sprostitev sredstev EU Madžarski kljub pomanjkljivostim v zvezi z neodvisnostjo sodstva in protikorupcijskimi okviri v tej državi; priporoča, da se začasno ustavijo vsa izplačila, dokler ne bodo izpolnjena vsa merila uspešnosti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je globoko zaskrbljen zaradi porasta skrajno desničarskega ekstremizma in škodljivega vpliva, ki ga ima na demokratične norme in pravno državo v več državah članicah;</w:t>
            </w:r>
            <w:r>
              <w:t xml:space="preserve"> </w:t>
            </w:r>
            <w:r>
              <w:rPr>
                <w:b/>
                <w:i/>
              </w:rPr>
              <w:t>poziva k usklajenemu ukrepanju EU za boj proti tej grožnji, tudi z izobraževanjem, programi socialnega vključevanja in po potrebi pravnimi ukrepi;</w:t>
            </w:r>
            <w:r>
              <w:t xml:space="preserve"> </w:t>
            </w:r>
            <w:r>
              <w:rPr>
                <w:b/>
                <w:i/>
              </w:rPr>
              <w:t>z zaskrbljenostjo ugotavlja, da so te skupine dejavno usmerjene v manjšine, vključno s posamezniki LGBTQI+, ter prispevajo k vzdušju strahu in diskriminacije;</w:t>
            </w:r>
            <w:r>
              <w:t xml:space="preserve"> </w:t>
            </w:r>
            <w:r>
              <w:rPr>
                <w:b/>
                <w:i/>
              </w:rPr>
              <w:t>poziva Komisijo, naj v svojem letnem poročilu o stanju pravne države izrecno opredeli te skupine kot grožnjo demokraciji, človekovim pravicam in temeljnim svoboščinam, tudi akademski neodvisnosti in neodvisnosti medijev;</w:t>
            </w:r>
            <w:r>
              <w:t xml:space="preserve"> </w:t>
            </w:r>
            <w:r>
              <w:rPr>
                <w:b/>
                <w:i/>
              </w:rPr>
              <w:t>poziva države članice, naj odločno ukrepajo proti njihovem vplivu s trdnimi pravnimi okviri, izobraževanjem, ki spodbuja demokratične vrednote, in podporo organizacijam civilne družbe, ki se borijo proti ekstremizmu;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poziva k uvedbi instrumenta, ki temelji na uspešnosti, na podlagi spoštovanja človekovega dostojanstva, svobode, demokracije, enakosti, pravne države in človekovih pravic v uredbi o večletnem finančnem okviru, da bi se spoštovanje teh načel bolj uskladilo z nepovratnimi sredstvi iz skladov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vztraja, da je treba v skladu z mejniki uvesti tesnejšo povezavo med ugotovitvami iz poročila o stanju pravne države in dodelitvijo finančne podpore iz proračuna Unije, da bodo sredstva EU vezana na izvedbo potrebnih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je zaskrbljen, ker datum objave letnega poročila o stanju pravne države ne prispeva k zadostni prepoznavnosti in je v nasprotju s predvidenim namenom poročila, da bi se začela resnična javna razprava o njegovih ugotovitvah;</w:t>
            </w:r>
            <w:r>
              <w:t xml:space="preserve"> </w:t>
            </w:r>
            <w:r>
              <w:rPr>
                <w:b/>
                <w:i/>
              </w:rPr>
              <w:t>poziva Komisijo, naj ponovno razmisli o datumu objave in si dodatno prizadeva, da bodo njegove ugotovitve splošno znane v vseh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pričakuje, da bo Komisija v poročilu o stanju pravne države za leto 2025 določila roke za izvajanje priporočil za posamezne države;</w:t>
            </w:r>
            <w:r>
              <w:t xml:space="preserve"> </w:t>
            </w:r>
            <w:r>
              <w:rPr>
                <w:b/>
                <w:i/>
              </w:rPr>
              <w:t>vztraja, da bi bilo treba zamrznjena sredstva EU sprostiti šele, ko bodo v celoti izvedene smiselne reforme in bo v praksi preverljivo doseženo spoštovanje načela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spodbuja države članice, naj okrepijo okoljsko demokracijo z zagotavljanjem polnega izvajanja Aarhuške konvencije, zlasti glede dostopa do pravnega varstva v okoljskih zadevah ter varstva okoljskih aktivistov in organizacij;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meni, da je treba izboljšati medinstitucionalni dialog in sodelovanje na področju pravne države;</w:t>
            </w:r>
            <w:r>
              <w:t xml:space="preserve"> </w:t>
            </w:r>
            <w:r>
              <w:rPr>
                <w:b/>
                <w:i/>
              </w:rPr>
              <w:t>poziva k vzpostavitvi stalnega medinstitucionalnega dialoga o pravni državi, ki bo med drugim vključeval Parlament, Svet in Komisijo;</w:t>
            </w:r>
            <w:r>
              <w:t xml:space="preserve"> </w:t>
            </w:r>
            <w:r>
              <w:rPr>
                <w:b/>
                <w:i/>
              </w:rPr>
              <w:t>poziva Svet, poskrbi za bolj vključujoč dialog o načelu pravne države ter na svoje seje povabi druge institucije, kot so Beneška komisija, komisar za človekove pravice in predstavniki Parlamenta;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meni, da je treba izboljšati medinstitucionalni dialog in sodelovanje na področju pravne države;</w:t>
            </w:r>
            <w:r>
              <w:t xml:space="preserve"> </w:t>
            </w:r>
            <w:r>
              <w:rPr>
                <w:b/>
                <w:i/>
              </w:rPr>
              <w:t>poziva k vzpostavitvi stalnega medinstitucionalnega dialoga o pravni državi, ki bo med drugim vključeval Parlament, Svet in Komisijo;</w:t>
            </w:r>
            <w:r>
              <w:t xml:space="preserve"> </w:t>
            </w:r>
            <w:r>
              <w:rPr>
                <w:b/>
                <w:i/>
              </w:rPr>
              <w:t>poziva Svet, poskrbi za bolj vključujoč dialog o načelu pravne države ter na svoje seje povabi druge institucije, kot so Beneška komisija, komisar za človekove pravice in predstavniki Parlamenta;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meni, da je treba izboljšati medinstitucionalni dialog in sodelovanje na področju pravne države;</w:t>
            </w:r>
            <w:r>
              <w:t xml:space="preserve"> </w:t>
            </w:r>
            <w:r>
              <w:rPr>
                <w:b/>
                <w:i/>
              </w:rPr>
              <w:t>poziva k vzpostavitvi stalnega medinstitucionalnega dialoga o pravni državi, ki bo med drugim vključeval Parlament, Svet in Komisijo;</w:t>
            </w:r>
            <w:r>
              <w:t xml:space="preserve"> </w:t>
            </w:r>
            <w:r>
              <w:rPr>
                <w:b/>
                <w:i/>
              </w:rPr>
              <w:t>poziva Svet, poskrbi za bolj vključujoč dialog o načelu pravne države ter na svoje seje povabi druge institucije, kot so Beneška komisija, komisar za človekove pravice in predstavniki Parlamenta;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meni, da je treba izboljšati medinstitucionalni dialog in sodelovanje na področju pravne države; poziva </w:t>
            </w:r>
            <w:r>
              <w:rPr>
                <w:b/>
                <w:i/>
              </w:rPr>
              <w:t>k vzpostavitvi stalnega</w:t>
            </w:r>
            <w:r>
              <w:t xml:space="preserve"> medinstitucionalnega </w:t>
            </w:r>
            <w:r>
              <w:rPr>
                <w:b/>
                <w:i/>
              </w:rPr>
              <w:t>dialoga o</w:t>
            </w:r>
            <w:r>
              <w:t xml:space="preserve"> pravni državi</w:t>
            </w:r>
            <w:r>
              <w:rPr>
                <w:b/>
                <w:i/>
              </w:rPr>
              <w:t>, ki bo med drugim vključeval Parlament, Svet in Komisijo</w:t>
            </w:r>
            <w:r>
              <w:t>; poziva Svet, poskrbi za bolj vključujoč dialog o načelu pravne države ter na svoje seje povabi druge institucije, kot so Beneška komisija, komisar za človekove pravice in predstavniki Parlamenta;</w:t>
            </w:r>
          </w:p>
        </w:tc>
        <w:tc>
          <w:tcPr>
            <w:tcW w:w="4876" w:type="dxa"/>
            <w:tcBorders>
              <w:top w:val="nil"/>
              <w:left w:val="nil"/>
              <w:bottom w:val="nil"/>
              <w:right w:val="nil"/>
            </w:tcBorders>
          </w:tcPr>
          <w:p>
            <w:pPr>
              <w:pStyle w:val="Normal6a"/>
            </w:pPr>
            <w:r>
              <w:t>36.</w:t>
            </w:r>
            <w:r>
              <w:tab/>
            </w:r>
            <w:r>
              <w:t xml:space="preserve">meni, da je treba izboljšati medinstitucionalni dialog in sodelovanje na </w:t>
            </w:r>
            <w:r>
              <w:rPr>
                <w:b/>
                <w:i/>
              </w:rPr>
              <w:t>ravni EU na</w:t>
            </w:r>
            <w:r>
              <w:t xml:space="preserve"> področju pravne države; </w:t>
            </w:r>
            <w:r>
              <w:rPr>
                <w:b/>
                <w:i/>
              </w:rPr>
              <w:t>obžaluje, da sta Komisija in Svet doslej zavračala ponudbo Parlamenta, da bi sklenili medinstitucionalni sporazum o demokraciji, pravni državi in temeljnih pravicah;</w:t>
            </w:r>
            <w:r>
              <w:t xml:space="preserve"> </w:t>
            </w:r>
            <w:r>
              <w:rPr>
                <w:b/>
                <w:i/>
              </w:rPr>
              <w:t>ponovno potrjuje svojo pripravljenost za nadaljevanje pogovorov o tem sporazumu;</w:t>
            </w:r>
            <w:r>
              <w:t xml:space="preserve"> poziva </w:t>
            </w:r>
            <w:r>
              <w:rPr>
                <w:b/>
                <w:i/>
              </w:rPr>
              <w:t>druge institucije, naj medtem vsaj proučijo možnost nadaljnjega sodelovanja v okviru predlaganega</w:t>
            </w:r>
            <w:r>
              <w:t xml:space="preserve"> medinstitucionalnega </w:t>
            </w:r>
            <w:r>
              <w:rPr>
                <w:b/>
                <w:i/>
              </w:rPr>
              <w:t>pilotnega projekta o demokraciji,</w:t>
            </w:r>
            <w:r>
              <w:t xml:space="preserve"> pravni državi </w:t>
            </w:r>
            <w:r>
              <w:rPr>
                <w:b/>
                <w:i/>
              </w:rPr>
              <w:t>in temeljnih pravicah, ki bi pripomogel k praktični krepitvi zaupanja med institucijami, zlasti z izmenjavo primerov praks spremljanja, dialoga in srečanj</w:t>
            </w:r>
            <w:r>
              <w:t xml:space="preserve">; poziva Svet, poskrbi za bolj vključujoč dialog o načelu pravne države ter na svoje seje povabi druge institucije, kot so Beneška komisija, komisar </w:t>
            </w:r>
            <w:r>
              <w:rPr>
                <w:b/>
                <w:i/>
              </w:rPr>
              <w:t>Sveta Evrope</w:t>
            </w:r>
            <w:r>
              <w:t xml:space="preserve"> za človekove pravice in predstavniki Parlamenta; </w:t>
            </w:r>
            <w:r>
              <w:rPr>
                <w:b/>
                <w:i/>
              </w:rPr>
              <w:t>meni, da bi moral dialog Sveta o pravilih pravne države postati bolj interaktiven in vsebinski, zato poziva države članice, naj vlagajo v ustrezne priprave na ta dialog;</w:t>
            </w:r>
            <w:r>
              <w:t xml:space="preserve"> </w:t>
            </w:r>
            <w:r>
              <w:rPr>
                <w:b/>
                <w:i/>
              </w:rPr>
              <w:t>poudarja, da bi večja preglednost okrepila dialog o pravni državi v Uniji, zato poziva Svet, naj te razprave o posameznih državah objavi, skupaj s podrobnimi javnimi sklepi;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meni, da je treba izboljšati medinstitucionalni dialog in sodelovanje na </w:t>
            </w:r>
            <w:r>
              <w:rPr>
                <w:b/>
                <w:i/>
              </w:rPr>
              <w:t>področju pravne države;</w:t>
            </w:r>
            <w:r>
              <w:t xml:space="preserve"> </w:t>
            </w:r>
            <w:r>
              <w:rPr>
                <w:b/>
                <w:i/>
              </w:rPr>
              <w:t>poziva k vzpostavitvi stalnega medinstitucionalnega dialoga o pravni državi, ki bo med drugim vključeval Parlament, Svet in Komisijo;</w:t>
            </w:r>
            <w:r>
              <w:t xml:space="preserve"> </w:t>
            </w:r>
            <w:r>
              <w:rPr>
                <w:b/>
                <w:i/>
              </w:rPr>
              <w:t>poziva Svet, poskrbi za bolj vključujoč dialog o načelu</w:t>
            </w:r>
            <w:r>
              <w:t xml:space="preserve"> pravne države </w:t>
            </w:r>
            <w:r>
              <w:rPr>
                <w:b/>
                <w:i/>
              </w:rPr>
              <w:t>ter na svoje seje povabi druge institucije, kot so Beneška komisija, komisar za človekove pravice in predstavniki Parlamenta</w:t>
            </w:r>
            <w:r>
              <w:t>;</w:t>
            </w:r>
          </w:p>
        </w:tc>
        <w:tc>
          <w:tcPr>
            <w:tcW w:w="4876" w:type="dxa"/>
            <w:tcBorders>
              <w:top w:val="nil"/>
              <w:left w:val="nil"/>
              <w:bottom w:val="nil"/>
              <w:right w:val="nil"/>
            </w:tcBorders>
          </w:tcPr>
          <w:p>
            <w:pPr>
              <w:pStyle w:val="Normal6a"/>
            </w:pPr>
            <w:r>
              <w:t>36.</w:t>
            </w:r>
            <w:r>
              <w:tab/>
            </w:r>
            <w:r>
              <w:t xml:space="preserve">meni, da je treba izboljšati medinstitucionalni dialog in sodelovanje na </w:t>
            </w:r>
            <w:r>
              <w:rPr>
                <w:b/>
                <w:i/>
              </w:rPr>
              <w:t>ravni EU na področju</w:t>
            </w:r>
            <w:r>
              <w:t xml:space="preserve"> pravne države </w:t>
            </w:r>
            <w:r>
              <w:rPr>
                <w:b/>
                <w:i/>
              </w:rPr>
              <w:t>in boja proti korupciji z vključitvijo institucij EU v nadzor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v imenu Odbora za državljanske svoboščine, pravosodje in notranje zadeve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meni, da je treba izboljšati medinstitucionalni dialog in sodelovanje na področju pravne države; poziva </w:t>
            </w:r>
            <w:r>
              <w:rPr>
                <w:b/>
                <w:i/>
              </w:rPr>
              <w:t>k vzpostavitvi stalnega</w:t>
            </w:r>
            <w:r>
              <w:t xml:space="preserve"> medinstitucionalnega </w:t>
            </w:r>
            <w:r>
              <w:rPr>
                <w:b/>
                <w:i/>
              </w:rPr>
              <w:t>dialoga o pravni državi, ki bo med drugim vključeval Parlament, Svet</w:t>
            </w:r>
            <w:r>
              <w:t xml:space="preserve"> in Komisijo</w:t>
            </w:r>
            <w:r>
              <w:rPr>
                <w:b/>
                <w:i/>
              </w:rPr>
              <w:t>;</w:t>
            </w:r>
            <w:r>
              <w:t xml:space="preserve"> </w:t>
            </w:r>
            <w:r>
              <w:rPr>
                <w:b/>
                <w:i/>
              </w:rPr>
              <w:t>poziva Svet, poskrbi za bolj vključujoč</w:t>
            </w:r>
            <w:r>
              <w:t xml:space="preserve"> dialog o </w:t>
            </w:r>
            <w:r>
              <w:rPr>
                <w:b/>
                <w:i/>
              </w:rPr>
              <w:t>načelu pravne države ter</w:t>
            </w:r>
            <w:r>
              <w:t xml:space="preserve"> na svoje seje povabi druge institucije, kot so Beneška komisija, komisar za človekove pravice in predstavniki Parlamenta;</w:t>
            </w:r>
          </w:p>
        </w:tc>
        <w:tc>
          <w:tcPr>
            <w:tcW w:w="4876" w:type="dxa"/>
            <w:tcBorders>
              <w:top w:val="nil"/>
              <w:left w:val="nil"/>
              <w:bottom w:val="nil"/>
              <w:right w:val="nil"/>
            </w:tcBorders>
          </w:tcPr>
          <w:p>
            <w:pPr>
              <w:pStyle w:val="Normal6a"/>
            </w:pPr>
            <w:r>
              <w:t>36.</w:t>
            </w:r>
            <w:r>
              <w:tab/>
            </w:r>
            <w:r>
              <w:t xml:space="preserve">meni, da je treba izboljšati medinstitucionalni dialog in sodelovanje na </w:t>
            </w:r>
            <w:r>
              <w:rPr>
                <w:b/>
                <w:i/>
              </w:rPr>
              <w:t>ravni EU na</w:t>
            </w:r>
            <w:r>
              <w:t xml:space="preserve"> področju pravne države; poziva</w:t>
            </w:r>
            <w:r>
              <w:rPr>
                <w:b/>
                <w:i/>
              </w:rPr>
              <w:t>, naj se s sklenitvijo</w:t>
            </w:r>
            <w:r>
              <w:t xml:space="preserve"> medinstitucionalnega </w:t>
            </w:r>
            <w:r>
              <w:rPr>
                <w:b/>
                <w:i/>
              </w:rPr>
              <w:t>sporazuma med Parlamentom, Svetom</w:t>
            </w:r>
            <w:r>
              <w:t xml:space="preserve"> in Komisijo</w:t>
            </w:r>
            <w:r>
              <w:rPr>
                <w:b/>
                <w:i/>
              </w:rPr>
              <w:t> vzpostavi stalen medinstitucionalni</w:t>
            </w:r>
            <w:r>
              <w:t xml:space="preserve"> dialog o </w:t>
            </w:r>
            <w:r>
              <w:rPr>
                <w:b/>
                <w:i/>
              </w:rPr>
              <w:t>pravni državi;</w:t>
            </w:r>
            <w:r>
              <w:t xml:space="preserve"> </w:t>
            </w:r>
            <w:r>
              <w:rPr>
                <w:b/>
                <w:i/>
              </w:rPr>
              <w:t>poziva Svet, naj</w:t>
            </w:r>
            <w:r>
              <w:t xml:space="preserve"> na svoje seje povabi druge institucije, kot so Beneška komisija, komisar za človekove pravice in predstavniki Parlamenta</w:t>
            </w:r>
            <w:r>
              <w:rPr>
                <w:b/>
                <w:i/>
              </w:rPr>
              <w:t>, da bo dialog o pravni državi bolj vključujoč, ali pa naj vsaj Evropskemu parlamentu sistematično zagotavlja povratne informacije o srečanjih v okviru dialoga o pravni državi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meni, da je treba izboljšati medinstitucionalni dialog in sodelovanje na področju pravne države; poziva k vzpostavitvi stalnega medinstitucionalnega dialoga o pravni državi, ki bo med drugim vključeval Parlament, Svet in Komisijo; poziva Svet, poskrbi za bolj vključujoč dialog o načelu pravne države ter na svoje seje povabi druge institucije, kot so Beneška komisija, komisar za človekove pravice in predstavniki Parlamenta;</w:t>
            </w:r>
          </w:p>
        </w:tc>
        <w:tc>
          <w:tcPr>
            <w:tcW w:w="4876" w:type="dxa"/>
            <w:tcBorders>
              <w:top w:val="nil"/>
              <w:left w:val="nil"/>
              <w:bottom w:val="nil"/>
              <w:right w:val="nil"/>
            </w:tcBorders>
          </w:tcPr>
          <w:p>
            <w:pPr>
              <w:pStyle w:val="Normal6a"/>
            </w:pPr>
            <w:r>
              <w:t>36.</w:t>
            </w:r>
            <w:r>
              <w:tab/>
            </w:r>
            <w:r>
              <w:t xml:space="preserve">meni, da je treba izboljšati medinstitucionalni dialog in sodelovanje na </w:t>
            </w:r>
            <w:r>
              <w:rPr>
                <w:b/>
                <w:i/>
              </w:rPr>
              <w:t>ravni EU a</w:t>
            </w:r>
            <w:r>
              <w:t xml:space="preserve"> področju pravne države; poziva k vzpostavitvi stalnega medinstitucionalnega dialoga o pravni državi, ki bo med drugim vključeval Parlament, Svet in Komisijo; poziva Svet, </w:t>
            </w:r>
            <w:r>
              <w:rPr>
                <w:b/>
                <w:i/>
              </w:rPr>
              <w:t>naj</w:t>
            </w:r>
            <w:r>
              <w:t xml:space="preserve"> poskrbi za bolj vključujoč dialog o načelu pravne države ter na svoje seje povabi druge institucije, kot so Beneška komisija, komisar za človekove pravice in predstavniki Parlamenta; </w:t>
            </w:r>
            <w:r>
              <w:rPr>
                <w:b/>
                <w:i/>
              </w:rPr>
              <w:t>poziva Svet, naj sodeluje z nacionalnimi parlamenti, da bi okrepili demokratični nadzor nad tem, ali države članice spoštujejo standarde pravne države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meni, da je treba izboljšati medinstitucionalni dialog in sodelovanje</w:t>
            </w:r>
            <w:r>
              <w:t xml:space="preserve"> na področju pravne države</w:t>
            </w:r>
            <w:r>
              <w:rPr>
                <w:b/>
                <w:i/>
              </w:rPr>
              <w:t>;</w:t>
            </w:r>
            <w:r>
              <w:t xml:space="preserve"> </w:t>
            </w:r>
            <w:r>
              <w:rPr>
                <w:b/>
                <w:i/>
              </w:rPr>
              <w:t>poziva k vzpostavitvi stalnega medinstitucionalnega dialoga o pravni državi, ki bo med drugim vključeval Parlament, Svet in Komisijo;</w:t>
            </w:r>
            <w:r>
              <w:t xml:space="preserve"> </w:t>
            </w:r>
            <w:r>
              <w:rPr>
                <w:b/>
                <w:i/>
              </w:rPr>
              <w:t>poziva Svet, poskrbi za bolj vključujoč dialog o načelu pravne države ter na svoje seje povabi druge institucije, kot so Beneška komisija, komisar za človekove pravice in predstavniki Parlamenta</w:t>
            </w:r>
            <w:r>
              <w:t>;</w:t>
            </w:r>
          </w:p>
        </w:tc>
        <w:tc>
          <w:tcPr>
            <w:tcW w:w="4876" w:type="dxa"/>
            <w:tcBorders>
              <w:top w:val="nil"/>
              <w:left w:val="nil"/>
              <w:bottom w:val="nil"/>
              <w:right w:val="nil"/>
            </w:tcBorders>
          </w:tcPr>
          <w:p>
            <w:pPr>
              <w:pStyle w:val="Normal6a"/>
            </w:pPr>
            <w:r>
              <w:t>36.</w:t>
            </w:r>
            <w:r>
              <w:tab/>
            </w:r>
            <w:r>
              <w:rPr>
                <w:b/>
                <w:i/>
              </w:rPr>
              <w:t>ugotavlja, da obstajajo pozivi k okrepitvi medinstitucionalnega dialoga in sodelovanja</w:t>
            </w:r>
            <w:r>
              <w:t xml:space="preserve"> na področju pravne države </w:t>
            </w:r>
            <w:r>
              <w:rPr>
                <w:b/>
                <w:i/>
              </w:rPr>
              <w:t>na ravni EU, čeprav to ni v skladu z besedilom Pogodb;</w:t>
            </w:r>
            <w:r>
              <w:t xml:space="preserve"> </w:t>
            </w:r>
            <w:r>
              <w:rPr>
                <w:b/>
                <w:i/>
              </w:rPr>
              <w:t>hkrati ugotavlja, da predvsem na stališča Parlamenta pogosto vplivajo strankarski interesi posameznih skupin, kar samo krepi pristranskost in politično razsežnost tako imenovanega „dialoga“ o pravni državi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meni, da je treba izboljšati medinstitucionalni dialog in sodelovanje na področju pravne države; poziva k vzpostavitvi </w:t>
            </w:r>
            <w:r>
              <w:rPr>
                <w:b/>
                <w:i/>
              </w:rPr>
              <w:t>stalnega medinstitucionalnega dialoga o pravni državi, ki bo med drugim vključeval Parlament, Svet in Komisijo;</w:t>
            </w:r>
            <w:r>
              <w:t xml:space="preserve"> </w:t>
            </w:r>
            <w:r>
              <w:rPr>
                <w:b/>
                <w:i/>
              </w:rPr>
              <w:t>poziva Svet, poskrbi za bolj vključujoč dialog o načelu pravne države ter na svoje seje povabi druge institucije, kot so Beneška komisija, komisar za človekove pravice in predstavniki Parlamenta</w:t>
            </w:r>
            <w:r>
              <w:t>;</w:t>
            </w:r>
          </w:p>
        </w:tc>
        <w:tc>
          <w:tcPr>
            <w:tcW w:w="4876" w:type="dxa"/>
            <w:tcBorders>
              <w:top w:val="nil"/>
              <w:left w:val="nil"/>
              <w:bottom w:val="nil"/>
              <w:right w:val="nil"/>
            </w:tcBorders>
          </w:tcPr>
          <w:p>
            <w:pPr>
              <w:pStyle w:val="Normal6a"/>
            </w:pPr>
            <w:r>
              <w:t>36.</w:t>
            </w:r>
            <w:r>
              <w:tab/>
            </w:r>
            <w:r>
              <w:t xml:space="preserve">meni, da je treba izboljšati medinstitucionalni dialog in sodelovanje na področju pravne države; poziva k vzpostavitvi </w:t>
            </w:r>
            <w:r>
              <w:rPr>
                <w:b/>
                <w:i/>
              </w:rPr>
              <w:t>evropskega semestra za pravno državo, s čimer bi oblikovali okvir, kjer bi imela osrednjo vlogo Svet in Evropski parlament ob podpori pristojnosti Komisije za zagotavljanje skladnosti;</w:t>
            </w:r>
            <w:r>
              <w:t xml:space="preserve"> </w:t>
            </w:r>
            <w:r>
              <w:rPr>
                <w:b/>
                <w:i/>
              </w:rPr>
              <w:t>ugotavlja, da bi moral ta okvir obravnavati demokratični primanjkljaj ter zagotavljati spoštovanje načel pravne države v državah članicah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močno obžaluje, da Svet ne more doseči pomembnega napredka v postopku iz člena 7(1) PEU, ki trenutno poteka;</w:t>
            </w:r>
            <w:r>
              <w:t xml:space="preserve"> </w:t>
            </w:r>
            <w:r>
              <w:rPr>
                <w:b/>
                <w:i/>
              </w:rPr>
              <w:t>poziva Svet, naj zagotovi, da bodo med tekočimi postopki iz člena 7 vsaj enkrat na predsedstvo potekale predstavitve, in naj obravnava tudi nove okoliščine, ki vplivajo na pravno državo, demokracijo in temeljne pravice;</w:t>
            </w:r>
            <w:r>
              <w:t xml:space="preserve"> </w:t>
            </w:r>
            <w:r>
              <w:rPr>
                <w:b/>
                <w:i/>
              </w:rPr>
              <w:t>poudarja, da za ugotovitev očitnega tveganja za hujšo kršitev vrednot Unije v skladu s členom 7(1) PEU ni potrebno soglasje v Svetu, ki ravno tako ni potrebno za pripravo konkretnih priporočil za ustrezne države članice in določitev rokov za njihovo uresničitev;</w:t>
            </w:r>
            <w:r>
              <w:t xml:space="preserve"> </w:t>
            </w:r>
            <w:r>
              <w:rPr>
                <w:b/>
                <w:i/>
              </w:rPr>
              <w:t>ponovno poziva Svet, naj to stori, ter poudarja, da bi vsako odlašanje s temi ukrepi pomenilo, da Svet sam krši načelo pravne države;</w:t>
            </w:r>
            <w:r>
              <w:t xml:space="preserve"> </w:t>
            </w:r>
            <w:r>
              <w:rPr>
                <w:b/>
                <w:i/>
              </w:rPr>
              <w:t>vztraja, da je treba spoštovati vlogo in pristojnosti Parlamenta;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 xml:space="preserve">opozarja na dolgoletno zahtevo za vzpostavitev mehanizma EU za demokracijo, pravno državo in temeljne pravice v obliki medinstitucionalnega sporazuma ter poziva Komisijo in Svet, naj se temu sporazumu pridružita; </w:t>
            </w:r>
            <w:r>
              <w:t xml:space="preserve"> </w:t>
            </w:r>
            <w:r>
              <w:rPr>
                <w:b/>
                <w:i/>
              </w:rPr>
              <w:t>opozarja, da bi moral novi mehanizem vključevati in dopolnjevati obstoječe mehanizme, tudi poročilo o stanju pravne države, temeljiti bi moral na dokazih in biti objektiven, obravnavati države članice in institucije EU ter vključevati preventivne in korektivne ukrepe, pomagati pa bi mu moral odbor neodvisnih strokovnjakov;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poziva države članice, naj poskrbijo, da so zakonodajne reforme, ki vplivajo na ločitev oblasti, v celoti skladne z evropskimi pravnimi načeli;</w:t>
            </w:r>
            <w:r>
              <w:t xml:space="preserve"> </w:t>
            </w:r>
            <w:r>
              <w:rPr>
                <w:b/>
                <w:i/>
              </w:rPr>
              <w:t>poziva Komisijo, naj oceni, ali so zakonodajni ukrepi, ki vplivajo na sodstvo, pravne ugodnosti ali izvršni nadzor nad sodnimi institucijami, v skladu s členom 2 PEU in ali je morda upravičen začetek postopkov na podlagi člena 7 PEU;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meni, da je treba še izboljšati sodelovanje med EU in mednarodnimi organizacijami, kot so Svet Evrope, Organizacija za varnost in sodelovanje v Evropi ter Organizacija združenih narodov, pri spodbujanju in varovanju demokracije, pravne države, temeljnih svoboščin in človekovih pravic, vključno s pravicami manjšin;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meni, da je sodelovanje med državami članicami še posebej pomembno za spodbujanje demokracije, pravne države in temeljnih pravic v EU;</w:t>
            </w:r>
            <w:r>
              <w:t xml:space="preserve"> </w:t>
            </w:r>
            <w:r>
              <w:rPr>
                <w:b/>
                <w:i/>
              </w:rPr>
              <w:t>poziva Komisijo, naj spoštuje lastna pravila na področjih preglednosti, boja proti korupciji in pravosodja;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poziva države članice, naj poskrbijo, da se za nujne ukrepe, sprejete pri odzivanju na krize (kot so pandemije ali varnostne grožnje), izvaja reden parlamentarni in sodni nadzor, da so časovno omejeni in sorazmerni;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obžaluje, da Komisija ne upošteva večkratnih prošenj Parlamenta glede poročil Komisije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zahteva, naj Komisija do 31. decembra 2025 objavi sporočilo in navede, katere zahteve za poročilo o stanju pravne države, ki jih je Parlament sprejel od leta 2021, bo upoštevala, katerih ne in posebne razloge za zavrnitev;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poudarja, da morajo države članice odpraviti razlike v zastopanosti spolov v sodstvu ter drugih ključnih demokratičnih institucijah;</w:t>
            </w:r>
            <w:r>
              <w:t xml:space="preserve"> </w:t>
            </w:r>
            <w:r>
              <w:rPr>
                <w:b/>
                <w:i/>
              </w:rPr>
              <w:t>priporoča uvedbo usmerjenih ukrepov, da se poveča zastopanost žensk na višjih položajih v sodstvu in javni upravi;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poziva Komisijo, naj varstva pravne države in temeljnih pravic ne uporablja kot izgovor za politične pritiske na nekatere države članice, naj spremenijo politike, ki so v njihovi pristojnosti;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je globoko zaskrbljen, da se bodo, tako kot v primeru postopkov iz člena 7, ukrepi iz uredbe o pogojenosti pravne države izvajali za spodbujanje določenih političnih idealov in delegitimizacijo določenih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priporoča Komisiji in državam članicam, naj spremljajo tuje vmešavanje, zlasti uporabo družbenih omrežij za manipulacijo in zlonamerne namene, vključno z uporabo za vplivanje na javno mnenje in širjenje dezinformacij v Evropi s strani posameznikov, kot je Elon Musk;</w:t>
            </w:r>
            <w:r>
              <w:t xml:space="preserve"> </w:t>
            </w:r>
            <w:r>
              <w:rPr>
                <w:b/>
                <w:i/>
              </w:rPr>
              <w:t>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priporoča Komisiji in državam članicam, naj spremljajo tuje vmešavanje, zlasti uporabo družbenih omrežij za manipulacijo in zlonamerne namene, vključno z uporabo za vplivanje na javno mnenje in širjenje dezinformacij</w:t>
            </w:r>
            <w:r>
              <w:t xml:space="preserve"> v Evropi </w:t>
            </w:r>
            <w:r>
              <w:rPr>
                <w:b/>
                <w:i/>
              </w:rPr>
              <w:t>s strani posameznikov, kot je Elon Musk</w:t>
            </w:r>
            <w:r>
              <w:t>;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rPr>
                <w:b/>
                <w:i/>
              </w:rPr>
              <w:t>je zaskrbljen zaradi vmešavanja Evropskega parlamenta in Evropske komisije v notranje zadeve držav članic;</w:t>
            </w:r>
            <w:r>
              <w:t xml:space="preserve"> </w:t>
            </w:r>
            <w:r>
              <w:rPr>
                <w:b/>
                <w:i/>
              </w:rPr>
              <w:t>opozarja, da je izvršni direktor družbe Meta Mark Zuckerberg 7. januarja 2025 priznal, da Facebook cenzurira vsebino na politični podlagi;</w:t>
            </w:r>
            <w:r>
              <w:t xml:space="preserve"> </w:t>
            </w:r>
            <w:r>
              <w:rPr>
                <w:b/>
                <w:i/>
              </w:rPr>
              <w:t>pozdravlja prizadevanja podjetja Meta za spodbujanje svobodnega govora na svojih platformah družbenih medijev;</w:t>
            </w:r>
            <w:r>
              <w:t xml:space="preserve"> </w:t>
            </w:r>
            <w:r>
              <w:rPr>
                <w:b/>
                <w:i/>
              </w:rPr>
              <w:t>obžaluje, da se</w:t>
            </w:r>
            <w:r>
              <w:t xml:space="preserve"> v Evropi </w:t>
            </w:r>
            <w:r>
              <w:rPr>
                <w:b/>
                <w:i/>
              </w:rPr>
              <w:t>še vedno izvaja politično pristransko preverjanje dejstev na platformah družbenih medijev;</w:t>
            </w:r>
            <w:r>
              <w:t xml:space="preserve"> </w:t>
            </w:r>
            <w:r>
              <w:rPr>
                <w:b/>
                <w:i/>
              </w:rPr>
              <w:t>poziva Komisijo, naj opusti prizadevanja za cenzuro desnih konzervativnih glasov na platformah družbenih medijev;</w:t>
            </w:r>
            <w:r>
              <w:t xml:space="preserve"> </w:t>
            </w:r>
            <w:r>
              <w:rPr>
                <w:b/>
                <w:i/>
              </w:rPr>
              <w:t>poziva Evropski parlament, naj ustanovi preiskovalni odbor o cenzuri na Facebooku;</w:t>
            </w:r>
            <w:r>
              <w:t xml:space="preserve"> </w:t>
            </w:r>
            <w:r>
              <w:rPr>
                <w:b/>
                <w:i/>
              </w:rPr>
              <w:t>pozdravlja prizadevanja Elona Muska v boju za svobodo izražanja</w:t>
            </w:r>
            <w:r>
              <w:t>;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priporoča Komisiji in državam članicam, naj spremljajo tuje vmešavanje</w:t>
            </w:r>
            <w:r>
              <w:rPr>
                <w:b/>
                <w:i/>
              </w:rPr>
              <w:t>, zlasti uporabo družbenih omrežij za manipulacijo in zlonamerne namene, vključno z uporabo za vplivanje na javno mnenje in širjenje dezinformacij v Evropi s strani posameznikov, kot je Elon Musk;</w:t>
            </w:r>
            <w:r>
              <w:t xml:space="preserve"> </w:t>
            </w:r>
            <w:r>
              <w:rPr>
                <w:b/>
                <w:i/>
              </w:rPr>
              <w:t>poudarja, da mora Komisija zagotoviti ustrezno izvajanje načel pravne države v institucijah EU, in poziva, naj se institucije EU vključijo v letno poročilo o stanju pravne države</w:t>
            </w:r>
            <w:r>
              <w:t>;</w:t>
            </w:r>
          </w:p>
        </w:tc>
        <w:tc>
          <w:tcPr>
            <w:tcW w:w="4876" w:type="dxa"/>
            <w:tcBorders>
              <w:top w:val="nil"/>
              <w:left w:val="nil"/>
              <w:bottom w:val="nil"/>
              <w:right w:val="nil"/>
            </w:tcBorders>
          </w:tcPr>
          <w:p>
            <w:pPr>
              <w:pStyle w:val="Normal6a"/>
            </w:pPr>
            <w:r>
              <w:t>37.</w:t>
            </w:r>
            <w:r>
              <w:tab/>
            </w:r>
            <w:r>
              <w:t>priporoča Komisiji in državam članicam, naj spremljajo tuje vmešavanje;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priporoča Komisiji </w:t>
            </w:r>
            <w:r>
              <w:rPr>
                <w:b/>
                <w:i/>
              </w:rPr>
              <w:t>in državam članicam, naj spremljajo tuje vmešavanje, zlasti uporabo družbenih omrežij za manipulacijo in zlonamerne namene, vključno z uporabo za vplivanje na javno mnenje in širjenje dezinformacij v Evropi s strani posameznikov, kot je Elon Musk;</w:t>
            </w:r>
            <w:r>
              <w:t xml:space="preserve"> </w:t>
            </w:r>
            <w:r>
              <w:rPr>
                <w:b/>
                <w:i/>
              </w:rPr>
              <w:t>poudarja, da mora Komisija zagotoviti</w:t>
            </w:r>
            <w:r>
              <w:t xml:space="preserve">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priporoča Komisiji</w:t>
            </w:r>
            <w:r>
              <w:rPr>
                <w:b/>
                <w:i/>
              </w:rPr>
              <w:t>, naj zagotovi</w:t>
            </w:r>
            <w:r>
              <w:t xml:space="preserve">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priporoča Komisiji in državam članicam, naj spremljajo tuje vmešavanje, zlasti uporabo družbenih omrežij za manipulacijo in zlonamerne namene, </w:t>
            </w:r>
            <w:r>
              <w:rPr>
                <w:b/>
                <w:i/>
              </w:rPr>
              <w:t>vključno z uporabo za vplivanje</w:t>
            </w:r>
            <w:r>
              <w:t xml:space="preserve"> na javno mnenje in širjenje dezinformacij v Evropi s strani </w:t>
            </w:r>
            <w:r>
              <w:rPr>
                <w:b/>
                <w:i/>
              </w:rPr>
              <w:t>posameznikov, kot je Elon Musk</w:t>
            </w:r>
            <w:r>
              <w:t>;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 xml:space="preserve">priporoča Komisiji in državam članicam, naj spremljajo tuje vmešavanje, zlasti uporabo družbenih omrežij za manipulacijo in zlonamerne namene, </w:t>
            </w:r>
            <w:r>
              <w:rPr>
                <w:b/>
                <w:i/>
              </w:rPr>
              <w:t>da bi se vplivalo</w:t>
            </w:r>
            <w:r>
              <w:t xml:space="preserve"> na javno mnenje in širjenje dezinformacij v Evropi</w:t>
            </w:r>
            <w:r>
              <w:rPr>
                <w:b/>
                <w:i/>
              </w:rPr>
              <w:t>;</w:t>
            </w:r>
            <w:r>
              <w:t xml:space="preserve"> </w:t>
            </w:r>
            <w:r>
              <w:rPr>
                <w:b/>
                <w:i/>
              </w:rPr>
              <w:t>ugotavlja, da Komisija že leta ne priznava prevlade levice na družbenih medije, vključno z uvedbo te agende</w:t>
            </w:r>
            <w:r>
              <w:t xml:space="preserve"> s strani </w:t>
            </w:r>
            <w:r>
              <w:rPr>
                <w:b/>
                <w:i/>
              </w:rPr>
              <w:t>nekaterih glavnih mest, mednarodnih fundacij in institucij EU</w:t>
            </w:r>
            <w:r>
              <w:t>;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v imenu Odbora za državljanske svoboščine, pravosodje in notranje zadeve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priporoča Komisiji in državam članicam, naj spremljajo tuje vmešavanje, zlasti uporabo družbenih omrežij za manipulacijo in zlonamerne namene, vključno z uporabo za vplivanje na javno mnenje in širjenje dezinformacij v Evropi s strani posameznikov, kot je Elon Musk; </w:t>
            </w:r>
            <w:r>
              <w:rPr>
                <w:b/>
                <w:i/>
              </w:rPr>
              <w:t>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priporoča Komisiji in državam članicam, naj spremljajo tuje vmešavanje, zlasti uporabo družbenih omrežij za manipulacijo in zlonamerne namene, vključno z uporabo za vplivanje na javno mnenje in širjenje dezinformacij v Evropi s strani posameznikov, kot je Elon Musk;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priporoča Komisiji in državam članicam, naj spremljajo tuje vmešavanje</w:t>
            </w:r>
            <w:r>
              <w:rPr>
                <w:b/>
                <w:i/>
              </w:rPr>
              <w:t>, zlasti uporabo družbenih omrežij za manipulacijo in zlonamerne namene, vključno z uporabo za vplivanje na javno mnenje in širjenje dezinformacij v Evropi s strani posameznikov, kot je Elon Musk</w:t>
            </w:r>
            <w:r>
              <w:t>;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priporoča Komisiji in državam članicam, naj spremljajo tuje vmešavanje;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priporoča </w:t>
            </w:r>
            <w:r>
              <w:rPr>
                <w:b/>
                <w:i/>
              </w:rPr>
              <w:t>Komisiji in državam članicam, naj</w:t>
            </w:r>
            <w:r>
              <w:t xml:space="preserve"> spremljajo tuje vmešavanje, </w:t>
            </w:r>
            <w:r>
              <w:rPr>
                <w:b/>
                <w:i/>
              </w:rPr>
              <w:t>zlasti</w:t>
            </w:r>
            <w:r>
              <w:t xml:space="preserve"> uporabo družbenih </w:t>
            </w:r>
            <w:r>
              <w:rPr>
                <w:b/>
                <w:i/>
              </w:rPr>
              <w:t>omrežij</w:t>
            </w:r>
            <w:r>
              <w:t xml:space="preserve"> za manipulacijo in zlonamerne namene</w:t>
            </w:r>
            <w:r>
              <w:rPr>
                <w:b/>
                <w:i/>
              </w:rPr>
              <w:t>, vključno z uporabo za vplivanje na javno mnenje in širjenje dezinformacij v Evropi s strani posameznikov, kot je Elon Musk</w:t>
            </w:r>
            <w:r>
              <w:t>;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priporoča</w:t>
            </w:r>
            <w:r>
              <w:rPr>
                <w:b/>
                <w:i/>
              </w:rPr>
              <w:t>, naj Komisija in države članice</w:t>
            </w:r>
            <w:r>
              <w:t xml:space="preserve"> spremljajo tuje vmešavanje, </w:t>
            </w:r>
            <w:r>
              <w:rPr>
                <w:b/>
                <w:i/>
              </w:rPr>
              <w:t>vključno z</w:t>
            </w:r>
            <w:r>
              <w:t xml:space="preserve"> uporabo družbenih </w:t>
            </w:r>
            <w:r>
              <w:rPr>
                <w:b/>
                <w:i/>
              </w:rPr>
              <w:t>medijev</w:t>
            </w:r>
            <w:r>
              <w:t xml:space="preserve"> za manipulacijo in zlonamerne namene;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priporoča Komisiji in državam članicam, naj spremljajo tuje vmešavanje</w:t>
            </w:r>
            <w:r>
              <w:rPr>
                <w:b/>
                <w:i/>
              </w:rPr>
              <w:t>, zlasti uporabo družbenih omrežij za manipulacijo in zlonamerne namene, vključno z uporabo za vplivanje na javno mnenje in širjenje dezinformacij v Evropi s strani posameznikov, kot je Elon Musk</w:t>
            </w:r>
            <w:r>
              <w:t>;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 xml:space="preserve">priporoča Komisiji in državam članicam, naj spremljajo tuje vmešavanje </w:t>
            </w:r>
            <w:r>
              <w:rPr>
                <w:b/>
                <w:i/>
              </w:rPr>
              <w:t>ter uvedejo učinkovite ukrepe za zaščito skupnih interesov;</w:t>
            </w:r>
            <w:r>
              <w:t xml:space="preserve"> </w:t>
            </w:r>
            <w:r>
              <w:rPr>
                <w:b/>
                <w:i/>
              </w:rPr>
              <w:t>poudarja, da je mogoče operacije tuje propagande onemogočiti brez napadanja svobode izražanja, torej z ustreznim označevanjem organizacij, financiranih iz tujine, ali z nevtralnimi pobudami, kot so beležke skupnosti</w:t>
            </w:r>
            <w:r>
              <w:t>;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priporoča Komisiji in državam članicam, naj spremljajo tuje vmešavanje, zlasti uporabo družbenih omrežij za manipulacijo in zlonamerne namene</w:t>
            </w:r>
            <w:r>
              <w:rPr>
                <w:b/>
                <w:i/>
              </w:rPr>
              <w:t>, vključno z uporabo za vplivanje na javno mnenje in širjenje dezinformacij v Evropi s strani posameznikov, kot je Elon Musk</w:t>
            </w:r>
            <w:r>
              <w:t>;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priporoča Komisiji in državam članicam, naj spremljajo tuje vmešavanje, zlasti uporabo družbenih omrežij za manipulacijo in zlonamerne namene;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priporoča Komisiji in državam članicam, naj spremljajo tuje vmešavanje, zlasti uporabo družbenih omrežij za manipulacijo in zlonamerne namene</w:t>
            </w:r>
            <w:r>
              <w:rPr>
                <w:b/>
                <w:i/>
              </w:rPr>
              <w:t>, vključno z uporabo za vplivanje na javno mnenje in širjenje dezinformacij v Evropi s strani posameznikov, kot je Elon Musk</w:t>
            </w:r>
            <w:r>
              <w:t>;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priporoča Komisiji in državam članicam, naj spremljajo tuje vmešavanje, zlasti uporabo družbenih omrežij za manipulacijo in zlonamerne namene;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priporoča Komisiji in državam članicam, naj spremljajo tuje vmešavanje, </w:t>
            </w:r>
            <w:r>
              <w:rPr>
                <w:b/>
                <w:i/>
              </w:rPr>
              <w:t>zlasti</w:t>
            </w:r>
            <w:r>
              <w:t xml:space="preserve"> uporabo družbenih omrežij za manipulacijo </w:t>
            </w:r>
            <w:r>
              <w:rPr>
                <w:b/>
                <w:i/>
              </w:rPr>
              <w:t>in</w:t>
            </w:r>
            <w:r>
              <w:t xml:space="preserve"> zlonamerne namene</w:t>
            </w:r>
            <w:r>
              <w:rPr>
                <w:b/>
                <w:i/>
              </w:rPr>
              <w:t>, vključno z uporabo za vplivanje na javno mnenje in</w:t>
            </w:r>
            <w:r>
              <w:t xml:space="preserve"> širjenje dezinformacij v Evropi </w:t>
            </w:r>
            <w:r>
              <w:rPr>
                <w:b/>
                <w:i/>
              </w:rPr>
              <w:t>s strani posameznikov, kot je Elon Musk</w:t>
            </w:r>
            <w:r>
              <w:t>;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 xml:space="preserve">priporoča Komisiji in državam članicam, naj spremljajo </w:t>
            </w:r>
            <w:r>
              <w:rPr>
                <w:b/>
                <w:i/>
              </w:rPr>
              <w:t>in hitro obravnavajo</w:t>
            </w:r>
            <w:r>
              <w:t xml:space="preserve"> tuje vmešavanje, </w:t>
            </w:r>
            <w:r>
              <w:rPr>
                <w:b/>
                <w:i/>
              </w:rPr>
              <w:t>vključno z</w:t>
            </w:r>
            <w:r>
              <w:t xml:space="preserve"> uporabo družbenih omrežij za manipulacijo</w:t>
            </w:r>
            <w:r>
              <w:rPr>
                <w:b/>
                <w:i/>
              </w:rPr>
              <w:t>,</w:t>
            </w:r>
            <w:r>
              <w:t xml:space="preserve"> zlonamerne namene </w:t>
            </w:r>
            <w:r>
              <w:rPr>
                <w:b/>
                <w:i/>
              </w:rPr>
              <w:t>ter</w:t>
            </w:r>
            <w:r>
              <w:t xml:space="preserve"> širjenje dezinformacij v Evropi;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priporoča Komisiji in državam članicam, naj spremljajo tuje vmešavanje, zlasti uporabo družbenih omrežij za manipulacijo in zlonamerne namene, vključno z uporabo za vplivanje na javno mnenje in širjenje dezinformacij v Evropi s strani posameznikov, kot </w:t>
            </w:r>
            <w:r>
              <w:rPr>
                <w:b/>
                <w:i/>
              </w:rPr>
              <w:t>je</w:t>
            </w:r>
            <w:r>
              <w:t xml:space="preserve"> Elon Musk;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 xml:space="preserve">priporoča Komisiji in državam članicam, naj spremljajo tuje vmešavanje, zlasti uporabo družbenih omrežij za manipulacijo in zlonamerne namene, vključno z uporabo za vplivanje na javno mnenje in širjenje dezinformacij v Evropi s strani posameznikov, kot </w:t>
            </w:r>
            <w:r>
              <w:rPr>
                <w:b/>
                <w:i/>
              </w:rPr>
              <w:t>sta</w:t>
            </w:r>
            <w:r>
              <w:t xml:space="preserve"> Elon Musk </w:t>
            </w:r>
            <w:r>
              <w:rPr>
                <w:b/>
                <w:i/>
              </w:rPr>
              <w:t>in družba Meta</w:t>
            </w:r>
            <w:r>
              <w:t>;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priporoča Komisiji in državam članicam, naj spremljajo tuje vmešavanje, zlasti </w:t>
            </w:r>
            <w:r>
              <w:rPr>
                <w:b/>
                <w:i/>
              </w:rPr>
              <w:t>uporabo družbenih omrežij</w:t>
            </w:r>
            <w:r>
              <w:t xml:space="preserve"> za manipulacijo in zlonamerne namene, </w:t>
            </w:r>
            <w:r>
              <w:rPr>
                <w:b/>
                <w:i/>
              </w:rPr>
              <w:t>vključno z uporabo</w:t>
            </w:r>
            <w:r>
              <w:t xml:space="preserve"> za vplivanje na javno mnenje in širjenje dezinformacij v Evropi </w:t>
            </w:r>
            <w:r>
              <w:rPr>
                <w:b/>
                <w:i/>
              </w:rPr>
              <w:t>s strani posameznikov, kot je Elon Musk</w:t>
            </w:r>
            <w:r>
              <w:t>; poudarja, da mora Komisija zagotoviti ustrezno izvajanje načel pravne države v institucijah EU, in poziva, naj se institucije EU vključijo v letno poročilo o stanju pravne države;</w:t>
            </w:r>
          </w:p>
        </w:tc>
        <w:tc>
          <w:tcPr>
            <w:tcW w:w="4876" w:type="dxa"/>
            <w:tcBorders>
              <w:top w:val="nil"/>
              <w:left w:val="nil"/>
              <w:bottom w:val="nil"/>
              <w:right w:val="nil"/>
            </w:tcBorders>
          </w:tcPr>
          <w:p>
            <w:pPr>
              <w:pStyle w:val="Normal6a"/>
            </w:pPr>
            <w:r>
              <w:t>37.</w:t>
            </w:r>
            <w:r>
              <w:tab/>
            </w:r>
            <w:r>
              <w:t xml:space="preserve">priporoča Komisiji in državam članicam, naj spremljajo tuje vmešavanje, zlasti </w:t>
            </w:r>
            <w:r>
              <w:rPr>
                <w:b/>
                <w:i/>
              </w:rPr>
              <w:t>s strani nevladnih organizacij,</w:t>
            </w:r>
            <w:r>
              <w:t xml:space="preserve"> za manipulacijo in zlonamerne namene, </w:t>
            </w:r>
            <w:r>
              <w:rPr>
                <w:b/>
                <w:i/>
              </w:rPr>
              <w:t>ko se te organizacije uporabljajo</w:t>
            </w:r>
            <w:r>
              <w:t xml:space="preserve"> za vplivanje na javno mnenje in širjenje dezinformacij v Evropi; 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poziva Komisijo, naj pozorno spremlja, da so seznami varnih držav izvora, ki jih pripravijo pristojni nacionalni organi, vedno v skladu z demokratičnimi načeli in torej spoštujejo načela pravne države in merila iz zakonodaje EU, sodbe Sodišča Evropske unije in mednarodno pravo;</w:t>
            </w:r>
            <w:r>
              <w:t xml:space="preserve"> </w:t>
            </w:r>
            <w:r>
              <w:rPr>
                <w:b/>
                <w:i/>
              </w:rPr>
              <w:t>poudarja obveznost iz prava EU in mednarodnega prava, da se zagotovi mednarodna zaščita osebam, ki so preganjane in/ali izpostavljene resni škodi na podlagi rase ali narodnosti, vere ali prepričanja, državljanstva, političnega prepričanja, jezika, invalidnosti, starosti, spola, vključno s spolno identiteto in spolnim izrazom, ter spolne usmerjenosti;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poudarja, da je treba varovati temeljno pravico do svobode izražanja, ki je eden od stebrov naših demokratičnih družb.</w:t>
            </w:r>
            <w:r>
              <w:t xml:space="preserve"> </w:t>
            </w:r>
            <w:r>
              <w:rPr>
                <w:b/>
                <w:i/>
              </w:rPr>
              <w:t>Komisija mora zagotoviti, da bodo platforme družbenih medijev pravilno uporabljale regulativni okvir EU, da bi zaščitila to pravico, ne pa omogočala politični pritisk, ki bi lahko oviral pošteno in odprto razpravo.</w:t>
            </w:r>
            <w:r>
              <w:t xml:space="preserve"> </w:t>
            </w:r>
            <w:r>
              <w:rPr>
                <w:b/>
                <w:i/>
              </w:rPr>
              <w:t>Čeprav morajo platforme družbenih medijev ravnati odgovorno in spoštovati veljavne predpise, je bistveno, da prakse moderiranja vsebin ne postanejo orodje za politični nadzor, cenzuro ali manipulacijo.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poziva države članice, naj povečajo transparentnost in odgovornost lobistov, ter naj vzpostavijo ali izboljšajo obvezne registre lobistov in mehanizme „zakonodajnih sledi“, da je mogoče slediti vplivom na zakonodajne procese;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v imenu Odbora za državljanske svoboščine, pravosodje in notranje zadeve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poudarja, da mora Komisija zagotoviti ustrezno izvajanje načel pravne države v institucijah EU, in poziva, naj se institucije EU vključijo v letno poročilo o stanju pravne države;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poziva Svet, naj sprejme sklep o vključitvi sovražnega govora in kaznivih dejanj iz sovraštva med kazniva dejanja na seznamu iz člena 83(1) PDEU;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izraža zaskrbljenost zaradi vse večje težnje, da se izkoriščajo predpisi, kot je akt o digitalnih storitvah, za spodbujanje političnih stališč in vizij, ki bi lahko ogrozile svobodo izražanja.</w:t>
            </w:r>
            <w:r>
              <w:t xml:space="preserve"> </w:t>
            </w:r>
            <w:r>
              <w:rPr>
                <w:b/>
                <w:i/>
              </w:rPr>
              <w:t>Platforme družbenih medijev bi morale ostati prostor, kjer se lahko prosto izmenjujejo zamisli brez strahu pred politično motivirano cenzuro.</w:t>
            </w:r>
            <w:r>
              <w:t xml:space="preserve"> </w:t>
            </w:r>
            <w:r>
              <w:rPr>
                <w:b/>
                <w:i/>
              </w:rPr>
              <w:t>EU mora še naprej ostati pozorna in nasprotovati vsem poskusom moderiranja vsebin kot orodja za politične namene, da bi varovala svobodo izražanja;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poziva Komisijo, naj predstavi prenovljeno strategijo za enakost oseb LGBTQIA+ po letu 2025, kjer bo celovito obravnavala današnje izzive v Evropi, pravice oseb LGBTQIA+ pa naj uvrsti med presečne prednostne naloge na vseh političnih področjih;</w:t>
            </w:r>
            <w:r>
              <w:t xml:space="preserve"> </w:t>
            </w:r>
            <w:r>
              <w:rPr>
                <w:b/>
                <w:i/>
              </w:rPr>
              <w:t>poudarja pomen samoodločanja pri osebah LGBTQIA+ ter priznanja njihove identitete in pravic ne glede na starost;</w:t>
            </w:r>
            <w:r>
              <w:t xml:space="preserve"> </w:t>
            </w:r>
            <w:r>
              <w:rPr>
                <w:b/>
                <w:i/>
              </w:rPr>
              <w:t>poziva k varovanju in podpiranju telesnega in duševnega zdravja oseb LGBTQIA+;</w:t>
            </w:r>
            <w:r>
              <w:t xml:space="preserve"> </w:t>
            </w:r>
            <w:r>
              <w:rPr>
                <w:b/>
                <w:i/>
              </w:rPr>
              <w:t>poziva Komisijo, naj predstavi zakonodajne predloge za boj proti kaznivim dejanjem iz sovraštva in sovražnemu govoru na podlagi spolne identitete in spolne usmerjenosti ter naj zagotovi enake pravice istospolnim parom;</w:t>
            </w:r>
            <w:r>
              <w:t xml:space="preserve"> </w:t>
            </w:r>
            <w:r>
              <w:rPr>
                <w:b/>
                <w:i/>
              </w:rPr>
              <w:t>poziva Komisijo, naj predstavi predlog na ravni EU za obvezno prepoved praks za spreobrnitev spolne usmerjenosti v vseh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37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poziva Komisijo in države članice, naj se borijo proti diskriminaciji na podlagi rase in narodnosti, veroizpovedi ali prepričanja, državljanstva, političnega prepričanja, jezika, invalidnosti, starosti, spola, vključno s spolno identiteto in spolnim izrazom, ter spolne usmerjenosti;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pozdravlja pobudo Komisije, da v svoje letno poročilo o stanju pravne države vključi Albanijo, Črno goro, Severno Makedonijo in Srbijo, ter spodbuja k natančni oceni stanja pravne države v teh državah pristopnicah;</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pozdravlja pobudo Komisije, da v svoje letno poročilo o stanju pravne države vključi Albanijo, Črno goro, Severno Makedonijo in Srbijo, ter spodbuja k natančni oceni stanja pravne države v teh državah pristopnicah;</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pozdravlja pobudo Komisije, da v svoje letno poročilo o stanju pravne države vključi Albanijo, Črno goro, Severno Makedonijo in Srbijo, ter spodbuja k natančni oceni stanja pravne države v teh državah pristopnicah;</w:t>
            </w:r>
          </w:p>
        </w:tc>
        <w:tc>
          <w:tcPr>
            <w:tcW w:w="4876" w:type="dxa"/>
            <w:tcBorders>
              <w:top w:val="nil"/>
              <w:left w:val="nil"/>
              <w:bottom w:val="nil"/>
              <w:right w:val="nil"/>
            </w:tcBorders>
          </w:tcPr>
          <w:p>
            <w:pPr>
              <w:pStyle w:val="Normal6a"/>
            </w:pPr>
            <w:r>
              <w:t>38.</w:t>
            </w:r>
            <w:r>
              <w:tab/>
            </w:r>
            <w:r>
              <w:t xml:space="preserve">pozdravlja </w:t>
            </w:r>
            <w:r>
              <w:rPr>
                <w:b/>
                <w:i/>
              </w:rPr>
              <w:t>razširitev poročila Komisije o stanju pravne države na države kandidatke, s čimer se še utrjuje, da morajo temeljne vrednote EU spoštovati ne le sedanje države članice, ampak tudi prihodnje članice v pristopnem procesu;</w:t>
            </w:r>
            <w:r>
              <w:t xml:space="preserve"> </w:t>
            </w:r>
            <w:r>
              <w:rPr>
                <w:b/>
                <w:i/>
              </w:rPr>
              <w:t>pozdravlja</w:t>
            </w:r>
            <w:r>
              <w:t xml:space="preserve"> pobudo Komisije, da v svoje letno poročilo o stanju pravne države vključi Albanijo, Črno goro, Severno Makedonijo in Srbijo, ter spodbuja k natančni oceni stanja pravne države v teh državah pristopnicah; </w:t>
            </w:r>
            <w:r>
              <w:rPr>
                <w:b/>
                <w:i/>
              </w:rPr>
              <w:t>pričakuje, da bo Komisija v poročilo o stanju pravne države za leto 2025 vključila vse države kandidatke;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v imenu Odbora za državljanske svoboščine, pravosodje in notranje zadeve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pozdravlja pobudo Komisije, da v svoje letno poročilo o stanju pravne države vključi Albanijo, Črno goro, Severno Makedonijo in Srbijo, ter spodbuja k natančni oceni stanja pravne države v </w:t>
            </w:r>
            <w:r>
              <w:rPr>
                <w:b/>
                <w:i/>
              </w:rPr>
              <w:t>teh</w:t>
            </w:r>
            <w:r>
              <w:t xml:space="preserve"> državah </w:t>
            </w:r>
            <w:r>
              <w:rPr>
                <w:b/>
                <w:i/>
              </w:rPr>
              <w:t>pristopnicah</w:t>
            </w:r>
            <w:r>
              <w:t>;</w:t>
            </w:r>
          </w:p>
        </w:tc>
        <w:tc>
          <w:tcPr>
            <w:tcW w:w="4876" w:type="dxa"/>
            <w:tcBorders>
              <w:top w:val="nil"/>
              <w:left w:val="nil"/>
              <w:bottom w:val="nil"/>
              <w:right w:val="nil"/>
            </w:tcBorders>
          </w:tcPr>
          <w:p>
            <w:pPr>
              <w:pStyle w:val="Normal6a"/>
            </w:pPr>
            <w:r>
              <w:t>38.</w:t>
            </w:r>
            <w:r>
              <w:tab/>
            </w:r>
            <w:r>
              <w:t xml:space="preserve">pozdravlja pobudo Komisije, da v svoje letno poročilo o stanju pravne države vključi Albanijo, Črno goro, Severno Makedonijo in Srbijo, ter spodbuja k natančni oceni stanja pravne države v </w:t>
            </w:r>
            <w:r>
              <w:rPr>
                <w:b/>
                <w:i/>
              </w:rPr>
              <w:t>vseh</w:t>
            </w:r>
            <w:r>
              <w:t xml:space="preserve"> državah </w:t>
            </w:r>
            <w:r>
              <w:rPr>
                <w:b/>
                <w:i/>
              </w:rPr>
              <w:t>v pristopnem procesu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pozdravlja</w:t>
            </w:r>
            <w:r>
              <w:t xml:space="preserve"> pobudo Komisije, da v svoje letno poročilo o stanju pravne države vključi Albanijo, Črno goro, Severno Makedonijo in Srbijo, ter spodbuja k natančni oceni stanja pravne države v teh državah pristopnicah;</w:t>
            </w:r>
          </w:p>
        </w:tc>
        <w:tc>
          <w:tcPr>
            <w:tcW w:w="4876" w:type="dxa"/>
            <w:tcBorders>
              <w:top w:val="nil"/>
              <w:left w:val="nil"/>
              <w:bottom w:val="nil"/>
              <w:right w:val="nil"/>
            </w:tcBorders>
          </w:tcPr>
          <w:p>
            <w:pPr>
              <w:pStyle w:val="Normal6a"/>
            </w:pPr>
            <w:r>
              <w:t>38.</w:t>
            </w:r>
            <w:r>
              <w:tab/>
            </w:r>
            <w:r>
              <w:rPr>
                <w:b/>
                <w:i/>
              </w:rPr>
              <w:t>ve za</w:t>
            </w:r>
            <w:r>
              <w:t xml:space="preserve"> pobudo Komisije, da v svoje letno poročilo o stanju pravne države vključi Albanijo, Črno goro, Severno Makedonijo in Srbijo, ter spodbuja k natančni oceni stanja pravne države v teh državah pristopnicah;</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pozdravlja pobudo Komisije, da v svoje letno poročilo o stanju pravne države vključi Albanijo, Črno goro, Severno Makedonijo in Srbijo, ter spodbuja k natančni oceni stanja pravne države v </w:t>
            </w:r>
            <w:r>
              <w:rPr>
                <w:b/>
                <w:i/>
              </w:rPr>
              <w:t>teh</w:t>
            </w:r>
            <w:r>
              <w:t xml:space="preserve"> državah </w:t>
            </w:r>
            <w:r>
              <w:rPr>
                <w:b/>
                <w:i/>
              </w:rPr>
              <w:t>pristopnicah</w:t>
            </w:r>
            <w:r>
              <w:t>;</w:t>
            </w:r>
          </w:p>
        </w:tc>
        <w:tc>
          <w:tcPr>
            <w:tcW w:w="4876" w:type="dxa"/>
            <w:tcBorders>
              <w:top w:val="nil"/>
              <w:left w:val="nil"/>
              <w:bottom w:val="nil"/>
              <w:right w:val="nil"/>
            </w:tcBorders>
          </w:tcPr>
          <w:p>
            <w:pPr>
              <w:pStyle w:val="Normal6a"/>
            </w:pPr>
            <w:r>
              <w:t>38.</w:t>
            </w:r>
            <w:r>
              <w:tab/>
            </w:r>
            <w:r>
              <w:t xml:space="preserve">pozdravlja pobudo Komisije, da v svoje letno poročilo o stanju pravne države vključi Albanijo, Črno goro, Severno Makedonijo in Srbijo, ter spodbuja k natančni oceni stanja pravne države v </w:t>
            </w:r>
            <w:r>
              <w:rPr>
                <w:b/>
                <w:i/>
              </w:rPr>
              <w:t>vseh</w:t>
            </w:r>
            <w:r>
              <w:t xml:space="preserve"> državah </w:t>
            </w:r>
            <w:r>
              <w:rPr>
                <w:b/>
                <w:i/>
              </w:rPr>
              <w:t>Zahodnega Balkana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pozdravlja pobudo Komisije, da v svoje letno poročilo o stanju pravne države vključi Albanijo, Črno goro, </w:t>
            </w:r>
            <w:r>
              <w:rPr>
                <w:b/>
                <w:i/>
              </w:rPr>
              <w:t>Severno Makedonijo</w:t>
            </w:r>
            <w:r>
              <w:t xml:space="preserve"> in Srbijo, ter spodbuja k natančni oceni stanja pravne države v teh državah </w:t>
            </w:r>
            <w:r>
              <w:rPr>
                <w:b/>
                <w:i/>
              </w:rPr>
              <w:t>pristopnicah</w:t>
            </w:r>
            <w:r>
              <w:t>;</w:t>
            </w:r>
          </w:p>
        </w:tc>
        <w:tc>
          <w:tcPr>
            <w:tcW w:w="4876" w:type="dxa"/>
            <w:tcBorders>
              <w:top w:val="nil"/>
              <w:left w:val="nil"/>
              <w:bottom w:val="nil"/>
              <w:right w:val="nil"/>
            </w:tcBorders>
          </w:tcPr>
          <w:p>
            <w:pPr>
              <w:pStyle w:val="Normal6a"/>
            </w:pPr>
            <w:r>
              <w:t>38.</w:t>
            </w:r>
            <w:r>
              <w:tab/>
            </w:r>
            <w:r>
              <w:t xml:space="preserve">pozdravlja pobudo Komisije, da v svoje letno poročilo o stanju pravne države vključi Albanijo, Črno goro, </w:t>
            </w:r>
            <w:r>
              <w:rPr>
                <w:b/>
                <w:i/>
              </w:rPr>
              <w:t>Skopje</w:t>
            </w:r>
            <w:r>
              <w:t xml:space="preserve"> in Srbijo, ter spodbuja k natančni oceni stanja pravne države v teh državah </w:t>
            </w:r>
            <w:r>
              <w:rPr>
                <w:b/>
                <w:i/>
              </w:rPr>
              <w:t>v obravnavi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naroči svoji predsednici, naj to resolucijo posreduje Svetu </w:t>
            </w:r>
            <w:r>
              <w:rPr>
                <w:b/>
                <w:i/>
              </w:rPr>
              <w:t>in Komisiji</w:t>
            </w:r>
            <w:r>
              <w:t>.</w:t>
            </w:r>
          </w:p>
        </w:tc>
        <w:tc>
          <w:tcPr>
            <w:tcW w:w="4876" w:type="dxa"/>
            <w:tcBorders>
              <w:top w:val="nil"/>
              <w:left w:val="nil"/>
              <w:bottom w:val="nil"/>
              <w:right w:val="nil"/>
            </w:tcBorders>
          </w:tcPr>
          <w:p>
            <w:pPr>
              <w:pStyle w:val="Normal6a"/>
            </w:pPr>
            <w:r>
              <w:t>39.</w:t>
            </w:r>
            <w:r>
              <w:tab/>
            </w:r>
            <w:r>
              <w:t>naroči svoji predsednici, naj to resolucijo posreduje Svetu</w:t>
            </w:r>
            <w:r>
              <w:rPr>
                <w:b/>
                <w:i/>
              </w:rPr>
              <w:t>, Komisiji, Agenciji Evropske unije za temeljne pravice, Svetu Evrope ter vladam in parlamentom držav članic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naroči svoji predsednici, naj to resolucijo posreduje Svetu </w:t>
            </w:r>
            <w:r>
              <w:rPr>
                <w:b/>
                <w:i/>
              </w:rPr>
              <w:t>in Komisiji</w:t>
            </w:r>
            <w:r>
              <w:t>.</w:t>
            </w:r>
          </w:p>
        </w:tc>
        <w:tc>
          <w:tcPr>
            <w:tcW w:w="4876" w:type="dxa"/>
            <w:tcBorders>
              <w:top w:val="nil"/>
              <w:left w:val="nil"/>
              <w:bottom w:val="nil"/>
              <w:right w:val="nil"/>
            </w:tcBorders>
          </w:tcPr>
          <w:p>
            <w:pPr>
              <w:pStyle w:val="Normal6a"/>
            </w:pPr>
            <w:r>
              <w:t>39.</w:t>
            </w:r>
            <w:r>
              <w:tab/>
            </w:r>
            <w:r>
              <w:t>naroči svoji predsednici, naj to resolucijo posreduje Svetu</w:t>
            </w:r>
            <w:r>
              <w:rPr>
                <w:b/>
                <w:i/>
              </w:rPr>
              <w:t>, Komisiji in državam članicam</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48</w:t>
    </w:r>
    <w:r>
      <w:fldChar w:fldCharType="end"/>
    </w:r>
    <w:r>
      <w:tab/>
    </w:r>
    <w:r>
      <w:rPr>
        <w:rStyle w:val="HideTWBExt"/>
      </w:rPr>
      <w:t>&lt;PathFdR&gt;</w:t>
    </w:r>
    <w:r>
      <w:t>AM\1315576SL.docx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AM\1315576SL.docx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48</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AM\1315576SL.docx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48</Pages>
  <Words>9860</Words>
  <Characters>59134</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149603</vt:lpwstr>
  </property>
  <property fmtid="{D5CDD505-2E9C-101B-9397-08002B2CF9AE}" pid="7" name="dmxml.render.traceId">
    <vt:lpwstr>67dd6bc203f9e9417dc62c7c2b4c55eb</vt:lpwstr>
  </property>
  <property fmtid="{D5CDD505-2E9C-101B-9397-08002B2CF9AE}" pid="8" name="FooterPath">
    <vt:lpwstr>AM\1315576SL.docx</vt:lpwstr>
  </property>
  <property fmtid="{D5CDD505-2E9C-101B-9397-08002B2CF9AE}" pid="9" name="PE Number">
    <vt:lpwstr>769.959</vt:lpwstr>
  </property>
  <property fmtid="{D5CDD505-2E9C-101B-9397-08002B2CF9AE}" pid="10" name="UID">
    <vt:lpwstr>eu.europa.europarl-DIN1-2025-0000027564_02.00-sl-01.00_text-xml</vt:lpwstr>
  </property>
</Properties>
</file>