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Kommissionens rapport om rättsstatsprincipen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Europaparlamentet uppmanar med kraft kommissionen att införa en ny pelare om att bekämpa alla former av diskriminering i den årliga rättsstatsrapporten.</w:t>
            </w:r>
          </w:p>
        </w:tc>
        <w:tc>
          <w:tcPr>
            <w:tcW w:w="4876" w:type="dxa"/>
            <w:tcBorders>
              <w:top w:val="nil"/>
              <w:left w:val="nil"/>
              <w:bottom w:val="nil"/>
              <w:right w:val="nil"/>
            </w:tcBorders>
          </w:tcPr>
          <w:p>
            <w:pPr>
              <w:pStyle w:val="Normal6a"/>
            </w:pPr>
            <w:r>
              <w:t>33.</w:t>
            </w:r>
            <w:r>
              <w:tab/>
            </w:r>
            <w:r>
              <w:t xml:space="preserve">Europaparlamentet uppmanar med kraft kommissionen att införa en ny pelare om att bekämpa alla former av diskriminering i den årliga rättsstatsrapporten </w:t>
            </w:r>
            <w:r>
              <w:rPr>
                <w:b/>
                <w:i/>
              </w:rPr>
              <w:t>i enlighet med artikel 21 i Europeiska unionens stadga om de grundläggande rättigheterna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Europaparlamentet uppmanar med kraft kommissionen att införa </w:t>
            </w:r>
            <w:r>
              <w:rPr>
                <w:b/>
                <w:i/>
              </w:rPr>
              <w:t>en</w:t>
            </w:r>
            <w:r>
              <w:t xml:space="preserve"> ny pelare om att bekämpa alla former av diskriminering i den årliga rättsstatsrapporten.</w:t>
            </w:r>
          </w:p>
        </w:tc>
        <w:tc>
          <w:tcPr>
            <w:tcW w:w="4876" w:type="dxa"/>
            <w:tcBorders>
              <w:top w:val="nil"/>
              <w:left w:val="nil"/>
              <w:bottom w:val="nil"/>
              <w:right w:val="nil"/>
            </w:tcBorders>
          </w:tcPr>
          <w:p>
            <w:pPr>
              <w:pStyle w:val="Normal6a"/>
            </w:pPr>
            <w:r>
              <w:t>33.</w:t>
            </w:r>
            <w:r>
              <w:tab/>
            </w:r>
            <w:r>
              <w:t xml:space="preserve">Europaparlamentet uppmanar med kraft kommissionen att </w:t>
            </w:r>
            <w:r>
              <w:rPr>
                <w:b/>
                <w:i/>
              </w:rPr>
              <w:t>inte</w:t>
            </w:r>
            <w:r>
              <w:t xml:space="preserve"> införa </w:t>
            </w:r>
            <w:r>
              <w:rPr>
                <w:b/>
                <w:i/>
              </w:rPr>
              <w:t>någon</w:t>
            </w:r>
            <w:r>
              <w:t xml:space="preserve"> ny pelare om att bekämpa alla former av diskriminering i den årliga rättsstatsrapporten.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Europaparlamentet uppmanar med kraft kommissionen att införa en ny pelare om att bekämpa alla former av diskriminering i den årliga rättsstatsrapporten.</w:t>
            </w:r>
          </w:p>
        </w:tc>
        <w:tc>
          <w:tcPr>
            <w:tcW w:w="4876" w:type="dxa"/>
            <w:tcBorders>
              <w:top w:val="nil"/>
              <w:left w:val="nil"/>
              <w:bottom w:val="nil"/>
              <w:right w:val="nil"/>
            </w:tcBorders>
          </w:tcPr>
          <w:p>
            <w:pPr>
              <w:pStyle w:val="Normal6a"/>
            </w:pPr>
            <w:r>
              <w:t>33.</w:t>
            </w:r>
            <w:r>
              <w:tab/>
            </w:r>
            <w:r>
              <w:t xml:space="preserve">Europaparlamentet uppmanar med kraft kommissionen att införa en ny pelare om att bekämpa alla former av diskriminering </w:t>
            </w:r>
            <w:r>
              <w:rPr>
                <w:b/>
                <w:i/>
              </w:rPr>
              <w:t>och hat</w:t>
            </w:r>
            <w:r>
              <w:t xml:space="preserve"> i den årliga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Europaparlamentet uppmanar med kraft kommissionen att införa en ny pelare om att bekämpa </w:t>
            </w:r>
            <w:r>
              <w:rPr>
                <w:b/>
                <w:i/>
              </w:rPr>
              <w:t>alla former av diskriminering</w:t>
            </w:r>
            <w:r>
              <w:t xml:space="preserve"> i den årliga rättsstatsrapporten.</w:t>
            </w:r>
          </w:p>
        </w:tc>
        <w:tc>
          <w:tcPr>
            <w:tcW w:w="4876" w:type="dxa"/>
            <w:tcBorders>
              <w:top w:val="nil"/>
              <w:left w:val="nil"/>
              <w:bottom w:val="nil"/>
              <w:right w:val="nil"/>
            </w:tcBorders>
          </w:tcPr>
          <w:p>
            <w:pPr>
              <w:pStyle w:val="Normal6a"/>
            </w:pPr>
            <w:r>
              <w:t>33.</w:t>
            </w:r>
            <w:r>
              <w:tab/>
            </w:r>
            <w:r>
              <w:t xml:space="preserve">Europaparlamentet uppmanar med kraft kommissionen att införa en ny pelare om att bekämpa </w:t>
            </w:r>
            <w:r>
              <w:rPr>
                <w:b/>
                <w:i/>
              </w:rPr>
              <w:t>censur av medier och onlineinnehåll</w:t>
            </w:r>
            <w:r>
              <w:t xml:space="preserve"> i den årliga rättsstatsrapporten.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Europaparlamentet uppmanar medlemsstaterna att genomföra migrations- och asylpakten i enlighet med principerna i fördragen, EU-stadgan om de grundläggande rättigheterna och internationell rätt.</w:t>
            </w:r>
            <w:r>
              <w:t xml:space="preserve"> </w:t>
            </w:r>
            <w:r>
              <w:rPr>
                <w:b/>
                <w:i/>
              </w:rPr>
              <w:t>Parlamentet uppmanar medlemsstaterna att se till att tredjelandsmedborgare åtnjuter lika rättigheter, likvärdig och human behandling samt rättvis tillgång till förfaranden för internationellt skydd i full överensstämmelse med internationell rätt och principen om non-refoulement.</w:t>
            </w:r>
            <w:r>
              <w:t xml:space="preserve"> </w:t>
            </w:r>
            <w:r>
              <w:rPr>
                <w:b/>
                <w:i/>
              </w:rPr>
              <w:t>Kommissionen uppmanas kraftfullt att se till att externalisering och extraterritoriell migrationshantering, såsom bilaterala avtal mellan medlemsstater och tredjeländer, under inga omständigheter undergräver dessa principer och de kriterier som fastställs i EU-lagstiftningen.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Europaparlamentet uppmanar kommissionen att ompröva sin ståndpunkt om Minority SafePack-initiativet och att lägga fram lagstiftningsinitiativ för att värna främjandet av minoriteters rättigheter och språkrättigheter.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Europaparlamentet upprepar sin uppmaning till kommissionen att ytterligare integrera reaktiva verktyg i rättsstatsrapporten, såsom förfarandena i artikel 7 i EU-fördraget, den generella villkorlighetsordningen och överträdelseförfaranden</w:t>
            </w:r>
            <w:r>
              <w:rPr>
                <w:b/>
                <w:i/>
                <w:vertAlign w:val="superscript"/>
              </w:rPr>
              <w:t>48</w:t>
            </w:r>
            <w:r>
              <w:rPr>
                <w:b/>
                <w:i/>
              </w:rPr>
              <w: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Ungerns Helsingforskommitté,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Europaparlamentet upprepar sin uppmaning till kommissionen att ytterligare integrera reaktiva verktyg i rättsstatsrapporten, såsom förfarandena i artikel 7 i EU-fördraget, den generella villkorlighetsordningen och överträdelseförfaranden</w:t>
            </w:r>
            <w:r>
              <w:rPr>
                <w:b/>
                <w:i/>
                <w:vertAlign w:val="superscript"/>
              </w:rPr>
              <w:t>48</w:t>
            </w:r>
            <w:r>
              <w:rPr>
                <w:b/>
                <w:i/>
              </w:rPr>
              <w: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Ungerns Helsingforskommitté,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Europaparlamentet upprepar sin uppmaning till kommissionen att ytterligare integrera reaktiva verktyg i rättsstatsrapporten, såsom förfarandena i artikel 7 i EU-fördraget, den generella villkorlighetsordningen och överträdelseförfaranden</w:t>
            </w:r>
            <w:r>
              <w:rPr>
                <w:b/>
                <w:i/>
                <w:vertAlign w:val="superscript"/>
              </w:rPr>
              <w:t>48</w:t>
            </w:r>
            <w:r>
              <w:rPr>
                <w:b/>
                <w:i/>
              </w:rPr>
              <w: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Ungerns Helsingforskommitté,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upprepar sin uppmaning till kommissionen att ytterligare integrera reaktiva verktyg i rättsstatsrapporten, såsom förfarandena i artikel 7 i EU-fördraget, </w:t>
            </w:r>
            <w:r>
              <w:rPr>
                <w:b/>
                <w:i/>
              </w:rPr>
              <w:t>den generella villkorlighetsordningen och</w:t>
            </w:r>
            <w:r>
              <w:t xml:space="preserve"> överträdelseförfaranden</w:t>
            </w:r>
            <w:r>
              <w:rPr>
                <w:b/>
                <w:i/>
                <w:vertAlign w:val="superscript"/>
              </w:rPr>
              <w:t>48</w:t>
            </w:r>
            <w:r>
              <w:t>.</w:t>
            </w:r>
          </w:p>
        </w:tc>
        <w:tc>
          <w:tcPr>
            <w:tcW w:w="4876" w:type="dxa"/>
            <w:tcBorders>
              <w:top w:val="nil"/>
              <w:left w:val="nil"/>
              <w:bottom w:val="nil"/>
              <w:right w:val="nil"/>
            </w:tcBorders>
          </w:tcPr>
          <w:p>
            <w:pPr>
              <w:pStyle w:val="Normal6a"/>
            </w:pPr>
            <w:r>
              <w:t>34.</w:t>
            </w:r>
            <w:r>
              <w:tab/>
            </w:r>
            <w:r>
              <w:t xml:space="preserve">Europaparlamentet upprepar sin uppmaning till kommissionen att ytterligare integrera reaktiva verktyg i rättsstatsrapporten, såsom förfarandena i artikel 7 i EU-fördraget, </w:t>
            </w:r>
            <w:r>
              <w:rPr>
                <w:b/>
                <w:i/>
              </w:rPr>
              <w:t>villkorlighetsförordningen för rättsstatlighet och andra budgetförfaranden samt överträdelseförfaranden.</w:t>
            </w:r>
            <w:r>
              <w:t xml:space="preserve"> </w:t>
            </w:r>
            <w:r>
              <w:rPr>
                <w:b/>
                <w:i/>
              </w:rPr>
              <w:t>Parlamentet uppmanar kommissionen att systematiskt använda sig av påskyndade förfaranden och ansökningar om interimistiska åtgärder inför EU-domstolen i överträdelseförfaranden.</w:t>
            </w:r>
            <w:r>
              <w:t xml:space="preserve"> </w:t>
            </w:r>
            <w:r>
              <w:rPr>
                <w:b/>
                <w:i/>
              </w:rPr>
              <w:t>Parlamentet uppmanar kommissionen att inte använda sig av ”dialog” med medlemsstaterna eller ”EU Pilot”-förfarandet som ett förutsättningslöst sätt att undvika att inleda faktiska överträdelseförfaranden. Parlamentet uppmanar kommissionen att se över den policy som beskrivs i meddelandet från 2022 om verkställande av EU-rätten och som innebär att</w:t>
            </w:r>
            <w:r>
              <w:t xml:space="preserve"> överträdelseförfaranden </w:t>
            </w:r>
            <w:r>
              <w:rPr>
                <w:b/>
                <w:i/>
              </w:rPr>
              <w:t>inte används för ”individuella” fall, eftersom denna policy har lett till att medborgare i stor utsträckning berövas sina rättigheter i hela EU, särskilt när de berörda regeringarna vägrar att följa unionsrätten eller EU-domstolens domar, och eftersom de flesta av dessa fall inte enbart angår den enskilda individen utan även rör strategiska och grundläggande frågor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Ungerns Helsingforskommitté,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w:t>
            </w:r>
            <w:r>
              <w:rPr>
                <w:b/>
                <w:i/>
              </w:rPr>
              <w:t>upprepar sin uppmaning till</w:t>
            </w:r>
            <w:r>
              <w:t xml:space="preserve"> kommissionen att </w:t>
            </w:r>
            <w:r>
              <w:rPr>
                <w:b/>
                <w:i/>
              </w:rPr>
              <w:t>ytterligare integrera reaktiva verktyg i rättsstatsrapporten, såsom förfarandena i artikel 7 i EU-fördraget, den generella villkorlighetsordningen och överträdelseförfaranden</w:t>
            </w:r>
            <w:r>
              <w:rPr>
                <w:b/>
                <w:i/>
                <w:vertAlign w:val="superscript"/>
              </w:rPr>
              <w:t>48</w:t>
            </w:r>
            <w:r>
              <w:t>.</w:t>
            </w:r>
          </w:p>
        </w:tc>
        <w:tc>
          <w:tcPr>
            <w:tcW w:w="4876" w:type="dxa"/>
            <w:tcBorders>
              <w:top w:val="nil"/>
              <w:left w:val="nil"/>
              <w:bottom w:val="nil"/>
              <w:right w:val="nil"/>
            </w:tcBorders>
          </w:tcPr>
          <w:p>
            <w:pPr>
              <w:pStyle w:val="Normal6a"/>
            </w:pPr>
            <w:r>
              <w:t>34.</w:t>
            </w:r>
            <w:r>
              <w:tab/>
            </w:r>
            <w:r>
              <w:t xml:space="preserve">Europaparlamentet </w:t>
            </w:r>
            <w:r>
              <w:rPr>
                <w:b/>
                <w:i/>
              </w:rPr>
              <w:t>är djupt oroat över rättsstatssituationen inom EU-institutionerna.</w:t>
            </w:r>
            <w:r>
              <w:t xml:space="preserve"> </w:t>
            </w:r>
            <w:r>
              <w:rPr>
                <w:b/>
                <w:i/>
              </w:rPr>
              <w:t>Parlamentet uppmanar</w:t>
            </w:r>
            <w:r>
              <w:t xml:space="preserve"> kommissionen att </w:t>
            </w:r>
            <w:r>
              <w:rPr>
                <w:b/>
                <w:i/>
              </w:rPr>
              <w:t>utreda de ökande kränkningarna av rättsstatens principer inom dessa institutioner.</w:t>
            </w:r>
            <w:r>
              <w:t xml:space="preserve"> </w:t>
            </w:r>
            <w:r>
              <w:rPr>
                <w:b/>
                <w:i/>
              </w:rPr>
              <w:t>Parlamentet noterar med djup oro att Didier Reynders, före detta kommissionsledamot med ansvar för rättsliga frågor, påstås vara inblandad i ett penningtvättsupplägg.</w:t>
            </w:r>
            <w:r>
              <w:t xml:space="preserve"> </w:t>
            </w:r>
            <w:r>
              <w:rPr>
                <w:b/>
                <w:i/>
              </w:rPr>
              <w:t>Parlamentet är ytterst oroat över att en kommissionsledamot med ansvar för rättsliga frågor som påstås ha tvättat mer än en miljon euro genom att köpa lottsedlar var ansvarig för att upprätthålla rättsstaten i Europeiska unionen.</w:t>
            </w:r>
            <w:r>
              <w:t xml:space="preserve"> </w:t>
            </w:r>
            <w:r>
              <w:rPr>
                <w:b/>
                <w:i/>
              </w:rPr>
              <w:t>Redan 2019, när Didier Reynders var nominerad kommissionsledamot, var han anklagad för penningtvätt och korruption av de belgiska myndigheterna.</w:t>
            </w:r>
            <w:r>
              <w:t xml:space="preserve"> </w:t>
            </w:r>
            <w:r>
              <w:rPr>
                <w:b/>
                <w:i/>
              </w:rPr>
              <w:t>Parlamentet uppmanar kommissionen att förklara hur Didier Reynders kunde få ansvaret för rättsliga frågor under den nionde valperioden trots dessa allvarliga anklagelser.</w:t>
            </w:r>
            <w:r>
              <w:t xml:space="preserve"> </w:t>
            </w:r>
            <w:r>
              <w:rPr>
                <w:b/>
                <w:i/>
              </w:rPr>
              <w:t>Parlamentet upprepar att denna rapport inte kan ligga till grund för ytterligare EU-mekanismer och EU-förfaranden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Ungerns Helsingforskommitté,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w:t>
            </w:r>
            <w:r>
              <w:rPr>
                <w:b/>
                <w:i/>
              </w:rPr>
              <w:t>upprepar sin uppmaning till kommissionen</w:t>
            </w:r>
            <w:r>
              <w:t xml:space="preserve"> att ytterligare integrera reaktiva verktyg i rättsstatsrapporten, såsom förfarandena i artikel 7 i EU-fördraget, den generella villkorlighetsordningen och överträdelseförfaranden</w:t>
            </w:r>
            <w:r>
              <w:rPr>
                <w:vertAlign w:val="superscript"/>
              </w:rPr>
              <w:t>48</w:t>
            </w:r>
            <w:r>
              <w:t>.</w:t>
            </w:r>
          </w:p>
        </w:tc>
        <w:tc>
          <w:tcPr>
            <w:tcW w:w="4876" w:type="dxa"/>
            <w:tcBorders>
              <w:top w:val="nil"/>
              <w:left w:val="nil"/>
              <w:bottom w:val="nil"/>
              <w:right w:val="nil"/>
            </w:tcBorders>
          </w:tcPr>
          <w:p>
            <w:pPr>
              <w:pStyle w:val="Normal6a"/>
            </w:pPr>
            <w:r>
              <w:t>34.</w:t>
            </w:r>
            <w:r>
              <w:tab/>
            </w:r>
            <w:r>
              <w:t xml:space="preserve">Europaparlamentet </w:t>
            </w:r>
            <w:r>
              <w:rPr>
                <w:b/>
                <w:i/>
              </w:rPr>
              <w:t>uppmanar kommissionen att utvärdera om det är lämpligt</w:t>
            </w:r>
            <w:r>
              <w:t xml:space="preserve"> att ytterligare integrera reaktiva verktyg i rättsstatsrapporten, såsom förfarandena i artikel 7 i EU-fördraget, den generella villkorlighetsordningen och överträdelseförfaranden</w:t>
            </w:r>
            <w:r>
              <w:rPr>
                <w:vertAlign w:val="superscript"/>
              </w:rPr>
              <w:t>48</w:t>
            </w:r>
            <w:r>
              <w:rPr>
                <w:b/>
                <w:i/>
              </w:rPr>
              <w:t>, med tanke på att den har politiserats på ett skandalöst sätt, vilket Polen är det bästa exemplet på, då all kritik har övergivits och förfarandet enligt artikel 7 i EU-fördraget har övergetts efter bytet till en regering som är vänligt inställd till Bryssel och Berlin, utan att någon lagändring genomförts och trots det öppna åsidosättandet av statens konstitutionella grundvalar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Europaparlamentet upprepar sin uppmaning till kommissionen att ytterligare integrera reaktiva verktyg i rättsstatsrapporten, såsom förfarandena i artikel 7 i EU-fördraget, den generella villkorlighetsordningen och överträdelseförfaranden</w:t>
            </w:r>
            <w:r>
              <w:rPr>
                <w:vertAlign w:val="superscript"/>
              </w:rPr>
              <w:t>48</w:t>
            </w:r>
            <w:r>
              <w:t>.</w:t>
            </w:r>
          </w:p>
        </w:tc>
        <w:tc>
          <w:tcPr>
            <w:tcW w:w="4876" w:type="dxa"/>
            <w:tcBorders>
              <w:top w:val="nil"/>
              <w:left w:val="nil"/>
              <w:bottom w:val="nil"/>
              <w:right w:val="nil"/>
            </w:tcBorders>
          </w:tcPr>
          <w:p>
            <w:pPr>
              <w:pStyle w:val="Normal6a"/>
            </w:pPr>
            <w:r>
              <w:t>34.</w:t>
            </w:r>
            <w:r>
              <w:tab/>
            </w:r>
            <w:r>
              <w:t>Europaparlamentet upprepar sin uppmaning till kommissionen att ytterligare integrera reaktiva verktyg i rättsstatsrapporten, såsom förfarandena i artikel 7 i EU-fördraget, den generella villkorlighetsordningen och överträdelseförfaranden</w:t>
            </w:r>
            <w:r>
              <w:rPr>
                <w:vertAlign w:val="superscript"/>
              </w:rPr>
              <w:t>48</w:t>
            </w:r>
            <w:r>
              <w:t xml:space="preserve">. </w:t>
            </w:r>
            <w:r>
              <w:rPr>
                <w:b/>
                <w:i/>
              </w:rPr>
              <w:t>Parlamentet uppmanar kommissionen att årligen rapportera om tillämpningen av och ändamålsenligheten hos de verktyg som används mot överträdelser av rättsstatens principer i medlemsstaterna.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upprepar sin uppmaning till kommissionen att </w:t>
            </w:r>
            <w:r>
              <w:rPr>
                <w:b/>
                <w:i/>
              </w:rPr>
              <w:t>ytterligare integrera reaktiva verktyg</w:t>
            </w:r>
            <w:r>
              <w:t xml:space="preserve"> i rättsstatsrapporten, </w:t>
            </w:r>
            <w:r>
              <w:rPr>
                <w:b/>
                <w:i/>
              </w:rPr>
              <w:t>såsom förfarandena i</w:t>
            </w:r>
            <w:r>
              <w:t xml:space="preserve"> artikel 7 i EU-fördraget, </w:t>
            </w:r>
            <w:r>
              <w:rPr>
                <w:b/>
                <w:i/>
              </w:rPr>
              <w:t>den generella villkorlighetsordningen och</w:t>
            </w:r>
            <w:r>
              <w:t xml:space="preserve"> överträdelseförfaranden</w:t>
            </w:r>
            <w:r>
              <w:rPr>
                <w:vertAlign w:val="superscript"/>
              </w:rPr>
              <w:t>48</w:t>
            </w:r>
            <w:r>
              <w:t>.</w:t>
            </w:r>
          </w:p>
        </w:tc>
        <w:tc>
          <w:tcPr>
            <w:tcW w:w="4876" w:type="dxa"/>
            <w:tcBorders>
              <w:top w:val="nil"/>
              <w:left w:val="nil"/>
              <w:bottom w:val="nil"/>
              <w:right w:val="nil"/>
            </w:tcBorders>
          </w:tcPr>
          <w:p>
            <w:pPr>
              <w:pStyle w:val="Normal6a"/>
            </w:pPr>
            <w:r>
              <w:t>34.</w:t>
            </w:r>
            <w:r>
              <w:tab/>
            </w:r>
            <w:r>
              <w:t xml:space="preserve">Europaparlamentet upprepar sin uppmaning till kommissionen att </w:t>
            </w:r>
            <w:r>
              <w:rPr>
                <w:b/>
                <w:i/>
              </w:rPr>
              <w:t>låta de olika instrumenten i verktygslådan för rättsstaten återspeglas på ett bättre sätt</w:t>
            </w:r>
            <w:r>
              <w:t xml:space="preserve"> i rättsstatsrapporten, </w:t>
            </w:r>
            <w:r>
              <w:rPr>
                <w:b/>
                <w:i/>
              </w:rPr>
              <w:t>i synnerhet pågående förfaranden enligt</w:t>
            </w:r>
            <w:r>
              <w:t xml:space="preserve"> artikel 7 i EU-fördraget, </w:t>
            </w:r>
            <w:r>
              <w:rPr>
                <w:b/>
                <w:i/>
              </w:rPr>
              <w:t>mekanismen för villkorlighet kopplad till rättsstaten samt</w:t>
            </w:r>
            <w:r>
              <w:t xml:space="preserve"> överträdelseförfaranden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upprepar sin uppmaning till kommissionen att </w:t>
            </w:r>
            <w:r>
              <w:rPr>
                <w:b/>
                <w:i/>
              </w:rPr>
              <w:t>ytterligare integrera reaktiva verktyg i rättsstatsrapporten, såsom förfarandena i artikel 7 i EU-fördraget, den generella villkorlighetsordningen och överträdelseförfaranden</w:t>
            </w:r>
            <w:r>
              <w:rPr>
                <w:b/>
                <w:i/>
                <w:vertAlign w:val="superscript"/>
              </w:rPr>
              <w:t>48</w:t>
            </w:r>
            <w:r>
              <w:t>.</w:t>
            </w:r>
          </w:p>
        </w:tc>
        <w:tc>
          <w:tcPr>
            <w:tcW w:w="4876" w:type="dxa"/>
            <w:tcBorders>
              <w:top w:val="nil"/>
              <w:left w:val="nil"/>
              <w:bottom w:val="nil"/>
              <w:right w:val="nil"/>
            </w:tcBorders>
          </w:tcPr>
          <w:p>
            <w:pPr>
              <w:pStyle w:val="Normal6a"/>
            </w:pPr>
            <w:r>
              <w:t>34.</w:t>
            </w:r>
            <w:r>
              <w:tab/>
            </w:r>
            <w:r>
              <w:t xml:space="preserve">Europaparlamentet upprepar sin uppmaning till kommissionen att </w:t>
            </w:r>
            <w:r>
              <w:rPr>
                <w:b/>
                <w:i/>
              </w:rPr>
              <w:t>avstå från att skapa nya mekanismer och verktyg för att skydda rättsstaten, eftersom befintliga mekanismer och instrument är tillräckliga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Ungerns Helsingforskommitté,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upprepar sin uppmaning till kommissionen att ytterligare integrera </w:t>
            </w:r>
            <w:r>
              <w:rPr>
                <w:b/>
                <w:i/>
              </w:rPr>
              <w:t>reaktiva verktyg</w:t>
            </w:r>
            <w:r>
              <w:t xml:space="preserve"> i rättsstatsrapporten, såsom förfarandena i artikel 7 i EU-fördraget, den generella villkorlighetsordningen och överträdelseförfaranden</w:t>
            </w:r>
            <w:r>
              <w:rPr>
                <w:vertAlign w:val="superscript"/>
              </w:rPr>
              <w:t>48</w:t>
            </w:r>
            <w:r>
              <w:t>.</w:t>
            </w:r>
          </w:p>
        </w:tc>
        <w:tc>
          <w:tcPr>
            <w:tcW w:w="4876" w:type="dxa"/>
            <w:tcBorders>
              <w:top w:val="nil"/>
              <w:left w:val="nil"/>
              <w:bottom w:val="nil"/>
              <w:right w:val="nil"/>
            </w:tcBorders>
          </w:tcPr>
          <w:p>
            <w:pPr>
              <w:pStyle w:val="Normal6a"/>
            </w:pPr>
            <w:r>
              <w:t>34.</w:t>
            </w:r>
            <w:r>
              <w:tab/>
            </w:r>
            <w:r>
              <w:t xml:space="preserve">Europaparlamentet upprepar sin uppmaning till kommissionen att ytterligare integrera </w:t>
            </w:r>
            <w:r>
              <w:rPr>
                <w:b/>
                <w:i/>
              </w:rPr>
              <w:t>verkställighetsåtgärder</w:t>
            </w:r>
            <w:r>
              <w:t> i rättsstatsrapporten, såsom förfarandena i artikel 7 i EU-fördraget, den generella villkorlighetsordningen och överträdelseförfaranden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Ungerns Helsingforskommitté,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Europaparlamentet beklagar djupt att den ungerska regeringen inte har vidtagit några meningsfulla åtgärder för att genomföra rekommendationerna i 2024 års rättsstatsrapport.</w:t>
            </w:r>
            <w:r>
              <w:t xml:space="preserve"> </w:t>
            </w:r>
            <w:r>
              <w:rPr>
                <w:b/>
                <w:i/>
              </w:rPr>
              <w:t>Parlamentet betonar att situationen när det gäller mediefriheten, kontroller och motvikter, korruption på hög nivå och utrymmet för organisationer i det civila samhället har försämrats ytterligare sedan rapporten offentliggjordes.</w:t>
            </w:r>
            <w:r>
              <w:t xml:space="preserve"> </w:t>
            </w:r>
            <w:r>
              <w:rPr>
                <w:b/>
                <w:i/>
              </w:rPr>
              <w:t>Parlamentet framhåller att reformen av domstolsväsendet 2023 inte ledde till någon betydande förbättring när det gäller domstolsväsendets oberoende, och fördömer regeringens senaste tilltag att koppla den sedan länge försenade korrigeringen av domarnas arvoden till att de måste godta ytterligare politisk inblandning, på bekostnad av domstolsväsendets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Europaparlamentet uppmanar kommissionen och medlemsstaterna att bekämpa diskriminering på grund av ras eller etniskt ursprung, religion eller övertygelse, nationalitet, politisk åskådning, språk, funktionsnedsättning, ålder, kön, inbegripet könsidentitet och könsuttryck, samt sexuell läggning.</w:t>
            </w:r>
            <w:r>
              <w:t xml:space="preserve"> </w:t>
            </w:r>
            <w:r>
              <w:rPr>
                <w:b/>
                <w:i/>
              </w:rPr>
              <w:t>Rådet uppmanas kraftfullt att nå en överenskommelse om direktiv 2008/140/EG.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Europaparlamentet beklagar djupt att den ungerska regeringen inte har vidtagit några meningsfulla åtgärder för att genomföra rekommendationerna i 2024 års rättsstatsrapport, och att Ungern är den enda medlemsstat som fortfarande omfattas av förfarandet enligt artikel 7.1 i EU-fördraget.</w:t>
            </w:r>
            <w:r>
              <w:t xml:space="preserve"> </w:t>
            </w:r>
            <w:r>
              <w:rPr>
                <w:b/>
                <w:i/>
              </w:rPr>
              <w:t>Parlamentet betonar att respekten för rättsstaten stadigt har försämrats.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Europaparlamentet uppmanar kommissionen att uttryckligen ta med överväganden om rättvisa oavsett ras i framtida rättsstatsrapporter och att kräva att medlemsstaterna samlar in jämförbara och robusta disaggregerade uppgifter om likabehandling för att fullt ut bedöma den strukturella diskrimineringens inverkan på rättsstatssituationen.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Europaparlamentet uppmanar kommissionen och medlemsstaterna att säkerställa att hbtqia+-personers rättigheter respekteras fullt ut på hela EU:s territorium och att hbtqia+-personer kan leva i säkerhet, utöva sina rättigheter och fullt ut förverkliga sin potential.</w:t>
            </w:r>
            <w:r>
              <w:t xml:space="preserve"> </w:t>
            </w:r>
            <w:r>
              <w:rPr>
                <w:b/>
                <w:i/>
              </w:rPr>
              <w:t>Parlamentet uppmanar kommissionen och rådet att göra skyddet av hbtqia+-rättigheter till en övergripande prioritering inom alla politikområden.</w:t>
            </w:r>
            <w:r>
              <w:t xml:space="preserve"> </w:t>
            </w:r>
            <w:r>
              <w:rPr>
                <w:b/>
                <w:i/>
              </w:rPr>
              <w:t>Parlamentet uppmanar kommissionen att lägga fram lämpliga lagstiftningsåtgärder för att säkerställa respekten för dessa principer och att använda sig av överträdelseförfaranden mot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Europaparlamentet upprepar sin uppmaning till kommissionen att bekämpa all diskriminerande praxis och att skydda principerna i EU-stadgan om de grundläggande rättigheterna.</w:t>
            </w:r>
            <w:r>
              <w:t xml:space="preserve"> </w:t>
            </w:r>
            <w:r>
              <w:rPr>
                <w:b/>
                <w:i/>
              </w:rPr>
              <w:t>Kommissionen uppmanas kraftfullt att säkerställa att den fria rörligheten för personer inom EU, rätten att fritt uppehålla sig och rätten till familjeåterförening respekteras fullt ut på EU:s territorium och att varje medborgare kan åtnjuta lika rättigheter och fullt ut utöva sina rättigheter.</w:t>
            </w:r>
            <w:r>
              <w:t xml:space="preserve"> </w:t>
            </w:r>
            <w:r>
              <w:rPr>
                <w:b/>
                <w:i/>
              </w:rPr>
              <w:t>Parlamentet uppmanar kommissionen att omarbeta direktiv 2004/38/EG för att inkludera gränsöverskridande erkännande av familjerättigheter, inbegripet föräldraskap för föräldrar av samma kön, mot bakgrund av EU-domstolens senaste avgöranden.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Europaparlamentet betonar hur viktigt det är att integrera delmål för rättsstaten i finansieringsinstrument som faciliteten för återhämtning och resiliens.</w:t>
            </w:r>
            <w:r>
              <w:t xml:space="preserve"> </w:t>
            </w:r>
            <w:r>
              <w:rPr>
                <w:b/>
                <w:i/>
              </w:rPr>
              <w:t>Parlamentet beklagar att EU-medel har frigjorts till Ungern trots brister i domstolsväsendets oberoende och regelverken för korruptionsbekämpning.</w:t>
            </w:r>
            <w:r>
              <w:t xml:space="preserve"> </w:t>
            </w:r>
            <w:r>
              <w:rPr>
                <w:b/>
                <w:i/>
              </w:rPr>
              <w:t>Parlamentet rekommenderar att utbetalningarna avbryts fram till dess att alla riktmärken för rättsstaten har uppnåtts.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Europaparlamentet betonar hur viktigt det är att integrera delmål för rättsstaten i finansieringsinstrument som faciliteten för återhämtning och resiliens.</w:t>
            </w:r>
            <w:r>
              <w:t xml:space="preserve"> </w:t>
            </w:r>
            <w:r>
              <w:rPr>
                <w:b/>
                <w:i/>
              </w:rPr>
              <w:t>Parlamentet beklagar att EU-medel har frigjorts till Ungern trots brister i domstolsväsendets oberoende och regelverken för korruptionsbekämpning.</w:t>
            </w:r>
            <w:r>
              <w:t xml:space="preserve"> </w:t>
            </w:r>
            <w:r>
              <w:rPr>
                <w:b/>
                <w:i/>
              </w:rPr>
              <w:t>Parlamentet rekommenderar att utbetalningarna avbryts fram till dess att alla riktmärken för rättsstaten har uppnåtts.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Europaparlamentet betonar hur viktigt det är att integrera delmål för rättsstaten i finansieringsinstrument som faciliteten för återhämtning och resiliens.</w:t>
            </w:r>
            <w:r>
              <w:t xml:space="preserve"> </w:t>
            </w:r>
            <w:r>
              <w:rPr>
                <w:b/>
                <w:i/>
              </w:rPr>
              <w:t>Parlamentet beklagar att EU-medel har frigjorts till Ungern trots brister i domstolsväsendets oberoende och regelverken för korruptionsbekämpning.</w:t>
            </w:r>
            <w:r>
              <w:t xml:space="preserve"> </w:t>
            </w:r>
            <w:r>
              <w:rPr>
                <w:b/>
                <w:i/>
              </w:rPr>
              <w:t>Parlamentet rekommenderar att utbetalningarna avbryts fram till dess att alla riktmärken för rättsstaten har uppnåtts.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beklagar att EU-medel har frigjorts till </w:t>
            </w:r>
            <w:r>
              <w:rPr>
                <w:b/>
                <w:i/>
              </w:rPr>
              <w:t>Ungern</w:t>
            </w:r>
            <w:r>
              <w:t xml:space="preserve"> trots brister i domstolsväsendets oberoende och regelverken för korruptionsbekämpning. Parlamentet rekommenderar att utbetalningarna avbryts fram till dess att alla riktmärken för rättsstaten har uppnåtts.</w:t>
            </w:r>
          </w:p>
        </w:tc>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beklagar att EU-medel har frigjorts till </w:t>
            </w:r>
            <w:r>
              <w:rPr>
                <w:b/>
                <w:i/>
              </w:rPr>
              <w:t>den ungerska regeringen</w:t>
            </w:r>
            <w:r>
              <w:t xml:space="preserve"> trots </w:t>
            </w:r>
            <w:r>
              <w:rPr>
                <w:b/>
                <w:i/>
              </w:rPr>
              <w:t>pågående och allvarliga</w:t>
            </w:r>
            <w:r>
              <w:t xml:space="preserve"> brister i domstolsväsendets oberoende och regelverken för korruptionsbekämpning. Parlamentet rekommenderar att utbetalningarna avbryts fram till dess att alla riktmärken för rättsstaten har uppnåtts. </w:t>
            </w:r>
            <w:r>
              <w:rPr>
                <w:b/>
                <w:i/>
              </w:rPr>
              <w:t>Rådet uppmanas kraftfullt att häva blockeringen av nästa steg i artikel 7-förfarandet mot Ungern, med tanke på de ihållande kränkningarna av EU:s värden, inbegripet angreppen på rättsväsendets oberoende, mediefriheten och det civila samhället, vilka kräver omedelbara och beslutsamma åtgärder för att skydda rättsstaten inom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w:t>
            </w:r>
            <w:r>
              <w:rPr>
                <w:b/>
                <w:i/>
              </w:rPr>
              <w:t>betonar hur viktigt det är att integrera delmål</w:t>
            </w:r>
            <w:r>
              <w:t xml:space="preserve"> för rättsstaten </w:t>
            </w:r>
            <w:r>
              <w:rPr>
                <w:b/>
                <w:i/>
              </w:rPr>
              <w:t>i finansieringsinstrument som faciliteten för återhämtning och resiliens</w:t>
            </w:r>
            <w:r>
              <w:t xml:space="preserve">. Parlamentet </w:t>
            </w:r>
            <w:r>
              <w:rPr>
                <w:b/>
                <w:i/>
              </w:rPr>
              <w:t>beklagar att EU-medel har frigjorts till Ungern trots brister i domstolsväsendets oberoende och regelverken för korruptionsbekämpning</w:t>
            </w:r>
            <w:r>
              <w:t xml:space="preserve">. Parlamentet </w:t>
            </w:r>
            <w:r>
              <w:rPr>
                <w:b/>
                <w:i/>
              </w:rPr>
              <w:t>rekommenderar att utbetalningarna avbryts fram till dess att alla riktmärken för rättsstaten har uppnåtts</w:t>
            </w:r>
            <w:r>
              <w:t>.</w:t>
            </w:r>
          </w:p>
        </w:tc>
        <w:tc>
          <w:tcPr>
            <w:tcW w:w="4876" w:type="dxa"/>
            <w:tcBorders>
              <w:top w:val="nil"/>
              <w:left w:val="nil"/>
              <w:bottom w:val="nil"/>
              <w:right w:val="nil"/>
            </w:tcBorders>
          </w:tcPr>
          <w:p>
            <w:pPr>
              <w:pStyle w:val="Normal6a"/>
            </w:pPr>
            <w:r>
              <w:t>35.</w:t>
            </w:r>
            <w:r>
              <w:tab/>
            </w:r>
            <w:r>
              <w:t xml:space="preserve">Europaparlamentet </w:t>
            </w:r>
            <w:r>
              <w:rPr>
                <w:b/>
                <w:i/>
              </w:rPr>
              <w:t>noterar med oro kommissionens politiskt vinklade övervakning av riktmärken</w:t>
            </w:r>
            <w:r>
              <w:t xml:space="preserve"> för rättsstaten </w:t>
            </w:r>
            <w:r>
              <w:rPr>
                <w:b/>
                <w:i/>
              </w:rPr>
              <w:t>genom verktygslådan för rättsstaten.</w:t>
            </w:r>
            <w:r>
              <w:t xml:space="preserve"> </w:t>
            </w:r>
            <w:r>
              <w:rPr>
                <w:b/>
                <w:i/>
              </w:rPr>
              <w:t>Parlamentet uppmanar kommissionen att upphöra med sina politiska angrepp mot konservativa högerregeringar</w:t>
            </w:r>
            <w:r>
              <w:t xml:space="preserve">. Parlamentet </w:t>
            </w:r>
            <w:r>
              <w:rPr>
                <w:b/>
                <w:i/>
              </w:rPr>
              <w:t>betonar att Ungern utsätts för ekonomisk och politisk utpressning av kommissionen på grund av sin lag om skydd av barn, sin lag om skydd av den nationella suveräniteten och sin kraftfulla hållning i migrationspolitiken</w:t>
            </w:r>
            <w:r>
              <w:t xml:space="preserve">. Parlamentet </w:t>
            </w:r>
            <w:r>
              <w:rPr>
                <w:b/>
                <w:i/>
              </w:rPr>
              <w:t>påminner om att Ungern har rätt till alla EU-medel som olagligt hållits inne av kommissionen.</w:t>
            </w:r>
            <w:r>
              <w:t xml:space="preserve"> </w:t>
            </w:r>
            <w:r>
              <w:rPr>
                <w:b/>
                <w:i/>
              </w:rPr>
              <w:t>Parlamentet uppmanar kommissionen att frigöra de återstående 20 miljarder euro i EU-medel som Ungern har rätt till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w:t>
            </w:r>
            <w:r>
              <w:rPr>
                <w:b/>
                <w:i/>
              </w:rPr>
              <w:t>betonar hur viktigt det är att integrera</w:t>
            </w:r>
            <w:r>
              <w:t xml:space="preserve"> delmål för rättsstaten i finansieringsinstrument som faciliteten för återhämtning och resiliens. </w:t>
            </w:r>
            <w:r>
              <w:rPr>
                <w:b/>
                <w:i/>
              </w:rPr>
              <w:t>Parlamentet beklagar att EU-medel har frigjorts till Ungern trots brister i domstolsväsendets oberoende och regelverken för korruptionsbekämpning.</w:t>
            </w:r>
            <w:r>
              <w:t xml:space="preserve"> </w:t>
            </w:r>
            <w:r>
              <w:rPr>
                <w:b/>
                <w:i/>
              </w:rPr>
              <w:t>Parlamentet rekommenderar att utbetalningarna avbryts fram till dess att alla riktmärken för rättsstaten har uppnåtts.</w:t>
            </w:r>
          </w:p>
        </w:tc>
        <w:tc>
          <w:tcPr>
            <w:tcW w:w="4876" w:type="dxa"/>
            <w:tcBorders>
              <w:top w:val="nil"/>
              <w:left w:val="nil"/>
              <w:bottom w:val="nil"/>
              <w:right w:val="nil"/>
            </w:tcBorders>
          </w:tcPr>
          <w:p>
            <w:pPr>
              <w:pStyle w:val="Normal6a"/>
            </w:pPr>
            <w:r>
              <w:t>35.</w:t>
            </w:r>
            <w:r>
              <w:tab/>
            </w:r>
            <w:r>
              <w:t xml:space="preserve">Europaparlamentet </w:t>
            </w:r>
            <w:r>
              <w:rPr>
                <w:b/>
                <w:i/>
              </w:rPr>
              <w:t>noterar att</w:t>
            </w:r>
            <w:r>
              <w:t xml:space="preserve"> delmål för rättsstaten </w:t>
            </w:r>
            <w:r>
              <w:rPr>
                <w:b/>
                <w:i/>
              </w:rPr>
              <w:t>integrerats</w:t>
            </w:r>
            <w:r>
              <w:t xml:space="preserve"> i finansieringsinstrument som faciliteten för återhämtning och resiliens.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beklagar att EU-medel har frigjorts till </w:t>
            </w:r>
            <w:r>
              <w:rPr>
                <w:b/>
                <w:i/>
              </w:rPr>
              <w:t>Ungern</w:t>
            </w:r>
            <w:r>
              <w:t xml:space="preserve"> trots brister i domstolsväsendets oberoende och regelverken för korruptionsbekämpning. Parlamentet rekommenderar att utbetalningarna avbryts fram till dess att alla riktmärken för rättsstaten </w:t>
            </w:r>
            <w:r>
              <w:rPr>
                <w:b/>
                <w:i/>
              </w:rPr>
              <w:t>har uppnåtts</w:t>
            </w:r>
            <w:r>
              <w:t>.</w:t>
            </w:r>
          </w:p>
        </w:tc>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beklagar att EU-medel har frigjorts till </w:t>
            </w:r>
            <w:r>
              <w:rPr>
                <w:b/>
                <w:i/>
              </w:rPr>
              <w:t>den ungerska regeringen</w:t>
            </w:r>
            <w:r>
              <w:t xml:space="preserve"> trots brister i domstolsväsendets oberoende och regelverken för korruptionsbekämpning. Parlamentet rekommenderar att utbetalningarna </w:t>
            </w:r>
            <w:r>
              <w:rPr>
                <w:b/>
                <w:i/>
              </w:rPr>
              <w:t>till den ungerska regeringen</w:t>
            </w:r>
            <w:r>
              <w:t xml:space="preserve"> avbryts fram till dess att </w:t>
            </w:r>
            <w:r>
              <w:rPr>
                <w:b/>
                <w:i/>
              </w:rPr>
              <w:t>den uppfyller</w:t>
            </w:r>
            <w:r>
              <w:t xml:space="preserve"> alla riktmärken för rättsstaten</w:t>
            </w:r>
            <w:r>
              <w:rPr>
                <w:b/>
                <w:i/>
              </w:rPr>
              <w:t>.</w:t>
            </w:r>
            <w:r>
              <w:t xml:space="preserve"> </w:t>
            </w:r>
            <w:r>
              <w:rPr>
                <w:b/>
                <w:i/>
              </w:rPr>
              <w:t>Kommissionen uppmanas kraftfullt att se till att EU-medel når den ungerska befolkningen, bland annat genom direkt eller indirekt finansiering till slutmottagare som är oberoende av den ungerska regeringen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betonar </w:t>
            </w:r>
            <w:r>
              <w:rPr>
                <w:b/>
                <w:i/>
              </w:rPr>
              <w:t>hur viktigt det är att integrera</w:t>
            </w:r>
            <w:r>
              <w:t xml:space="preserve"> delmål för rättsstaten i finansieringsinstrument som faciliteten för återhämtning och resiliens. Parlamentet </w:t>
            </w:r>
            <w:r>
              <w:rPr>
                <w:b/>
                <w:i/>
              </w:rPr>
              <w:t>beklagar</w:t>
            </w:r>
            <w:r>
              <w:t xml:space="preserve"> att EU-medel har frigjorts till Ungern </w:t>
            </w:r>
            <w:r>
              <w:rPr>
                <w:b/>
                <w:i/>
              </w:rPr>
              <w:t>trots</w:t>
            </w:r>
            <w:r>
              <w:t xml:space="preserve"> brister i domstolsväsendets oberoende och regelverken för korruptionsbekämpning. Parlamentet </w:t>
            </w:r>
            <w:r>
              <w:rPr>
                <w:b/>
                <w:i/>
              </w:rPr>
              <w:t>rekommenderar att utbetalningarna avbryts fram till dess att alla riktmärken</w:t>
            </w:r>
            <w:r>
              <w:t xml:space="preserve"> för rättsstaten </w:t>
            </w:r>
            <w:r>
              <w:rPr>
                <w:b/>
                <w:i/>
              </w:rPr>
              <w:t>har uppnåtts</w:t>
            </w:r>
            <w:r>
              <w:t>.</w:t>
            </w:r>
          </w:p>
        </w:tc>
        <w:tc>
          <w:tcPr>
            <w:tcW w:w="4876" w:type="dxa"/>
            <w:tcBorders>
              <w:top w:val="nil"/>
              <w:left w:val="nil"/>
              <w:bottom w:val="nil"/>
              <w:right w:val="nil"/>
            </w:tcBorders>
          </w:tcPr>
          <w:p>
            <w:pPr>
              <w:pStyle w:val="Normal6a"/>
            </w:pPr>
            <w:r>
              <w:t>35.</w:t>
            </w:r>
            <w:r>
              <w:tab/>
            </w:r>
            <w:r>
              <w:t xml:space="preserve">Europaparlamentet betonar </w:t>
            </w:r>
            <w:r>
              <w:rPr>
                <w:b/>
                <w:i/>
              </w:rPr>
              <w:t>att tillämpningen av</w:t>
            </w:r>
            <w:r>
              <w:t xml:space="preserve"> delmål för rättsstaten i finansieringsinstrument som faciliteten för återhämtning och resiliens </w:t>
            </w:r>
            <w:r>
              <w:rPr>
                <w:b/>
                <w:i/>
              </w:rPr>
              <w:t>står i strid med skyldigheten att respektera fördragen och följa en strategi som bygger på objektiva kriterier</w:t>
            </w:r>
            <w:r>
              <w:t xml:space="preserve">. Parlamentet </w:t>
            </w:r>
            <w:r>
              <w:rPr>
                <w:b/>
                <w:i/>
              </w:rPr>
              <w:t>noterar</w:t>
            </w:r>
            <w:r>
              <w:t xml:space="preserve"> att EU-medel har frigjorts till Ungern</w:t>
            </w:r>
            <w:r>
              <w:rPr>
                <w:b/>
                <w:i/>
              </w:rPr>
              <w:t>, vilket inte strider mot fördragen, och att påstådda</w:t>
            </w:r>
            <w:r>
              <w:t xml:space="preserve"> brister i domstolsväsendets oberoende och regelverken för korruptionsbekämpning </w:t>
            </w:r>
            <w:r>
              <w:rPr>
                <w:b/>
                <w:i/>
              </w:rPr>
              <w:t>bör åtgärdas i förfaranden som är förenliga med fördragen</w:t>
            </w:r>
            <w:r>
              <w:t xml:space="preserve">. Parlamentet </w:t>
            </w:r>
            <w:r>
              <w:rPr>
                <w:b/>
                <w:i/>
              </w:rPr>
              <w:t>betonar att utbetalningar från EU-medel inte är kopplade till godtyckliga kriterier</w:t>
            </w:r>
            <w:r>
              <w:t xml:space="preserve"> för rättsstaten.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beklagar att EU-medel har frigjorts till </w:t>
            </w:r>
            <w:r>
              <w:rPr>
                <w:b/>
                <w:i/>
              </w:rPr>
              <w:t>Ungern</w:t>
            </w:r>
            <w:r>
              <w:t xml:space="preserve"> trots brister i domstolsväsendets oberoende och regelverken för korruptionsbekämpning. Parlamentet rekommenderar att utbetalningarna avbryts fram till dess att alla riktmärken för rättsstaten </w:t>
            </w:r>
            <w:r>
              <w:rPr>
                <w:b/>
                <w:i/>
              </w:rPr>
              <w:t>har uppnåtts</w:t>
            </w:r>
            <w:r>
              <w:t>.</w:t>
            </w:r>
          </w:p>
        </w:tc>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beklagar att EU-medel har frigjorts till </w:t>
            </w:r>
            <w:r>
              <w:rPr>
                <w:b/>
                <w:i/>
              </w:rPr>
              <w:t>den ungerska regeringen</w:t>
            </w:r>
            <w:r>
              <w:t xml:space="preserve"> trots brister i domstolsväsendets oberoende och regelverken för korruptionsbekämpning. Parlamentet rekommenderar att utbetalningarna </w:t>
            </w:r>
            <w:r>
              <w:rPr>
                <w:b/>
                <w:i/>
              </w:rPr>
              <w:t>till den ungerska regeringen</w:t>
            </w:r>
            <w:r>
              <w:t xml:space="preserve"> avbryts fram till dess att </w:t>
            </w:r>
            <w:r>
              <w:rPr>
                <w:b/>
                <w:i/>
              </w:rPr>
              <w:t>den uppfyller</w:t>
            </w:r>
            <w:r>
              <w:t xml:space="preserve"> alla riktmärken för rättsstaten</w:t>
            </w:r>
            <w:r>
              <w:rPr>
                <w:b/>
                <w:i/>
              </w:rPr>
              <w:t>.</w:t>
            </w:r>
            <w:r>
              <w:t xml:space="preserve"> </w:t>
            </w:r>
            <w:r>
              <w:rPr>
                <w:b/>
                <w:i/>
              </w:rPr>
              <w:t>Kommissionen uppmanas kraftfullt att se till att EU-medel når den ungerska befolkningen, samtidigt som de vidtagna åtgärdernas fulla verkan bibehålls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Europaparlamentet betonar hur viktigt det är att integrera delmål för rättsstaten i finansieringsinstrument som faciliteten för återhämtning och resiliens. Parlamentet beklagar att EU-medel har frigjorts till Ungern trots brister i domstolsväsendets oberoende och regelverken för korruptionsbekämpning. Parlamentet rekommenderar att utbetalningarna avbryts fram till dess att alla riktmärken för rättsstaten har uppnåtts.</w:t>
            </w:r>
          </w:p>
        </w:tc>
        <w:tc>
          <w:tcPr>
            <w:tcW w:w="4876" w:type="dxa"/>
            <w:tcBorders>
              <w:top w:val="nil"/>
              <w:left w:val="nil"/>
              <w:bottom w:val="nil"/>
              <w:right w:val="nil"/>
            </w:tcBorders>
          </w:tcPr>
          <w:p>
            <w:pPr>
              <w:pStyle w:val="Normal6a"/>
            </w:pPr>
            <w:r>
              <w:t>35.</w:t>
            </w:r>
            <w:r>
              <w:tab/>
            </w:r>
            <w:r>
              <w:t xml:space="preserve">Europaparlamentet betonar hur viktigt det är att integrera delmål för rättsstaten i finansieringsinstrument som faciliteten för återhämtning och resiliens. Parlamentet </w:t>
            </w:r>
            <w:r>
              <w:rPr>
                <w:b/>
                <w:i/>
              </w:rPr>
              <w:t>begär att den framtida fleråriga budgetramen ska innehålla robusta skyddsåtgärder för rättsstaten som är tillämpliga på alla EU-medel.</w:t>
            </w:r>
            <w:r>
              <w:t xml:space="preserve"> </w:t>
            </w:r>
            <w:r>
              <w:rPr>
                <w:b/>
                <w:i/>
              </w:rPr>
              <w:t>Parlamentet</w:t>
            </w:r>
            <w:r>
              <w:t xml:space="preserve"> beklagar att EU-medel har frigjorts till Ungern trots brister i domstolsväsendets oberoende och regelverken för korruptionsbekämpning. Parlamentet rekommenderar att utbetalningarna avbryts fram till dess att alla riktmärken för rättsstaten har uppnåtts.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uttrycker djup oro över ökningen av högerextremism och dess nedbrytande inverkan på demokratiska normer och rättsstaten i flera medlemsstater.</w:t>
            </w:r>
            <w:r>
              <w:t xml:space="preserve"> </w:t>
            </w:r>
            <w:r>
              <w:rPr>
                <w:b/>
                <w:i/>
              </w:rPr>
              <w:t>Parlamentet efterlyser samordnade EU-åtgärder för att stävja detta hot, bland annat genom utbildning, program för social delaktighet och vid behov rättsliga åtgärder.</w:t>
            </w:r>
            <w:r>
              <w:t xml:space="preserve"> </w:t>
            </w:r>
            <w:r>
              <w:rPr>
                <w:b/>
                <w:i/>
              </w:rPr>
              <w:t>Parlamentet noterar med oro att dessa grupper aktivt siktar in sig på minoriteter, däribland hbtqi+-personer, och bidrar till ett klimat av rädsla och diskriminering.</w:t>
            </w:r>
            <w:r>
              <w:t xml:space="preserve"> </w:t>
            </w:r>
            <w:r>
              <w:rPr>
                <w:b/>
                <w:i/>
              </w:rPr>
              <w:t>Parlamentet uppmanar kommissionen att uttryckligen peka ut sådana grupper som ett hot mot demokratin, de mänskliga rättigheterna och de grundläggande friheterna, inbegripet akademiskt oberoende och mediernas oberoende, i sin årliga rättsstatsrapport.</w:t>
            </w:r>
            <w:r>
              <w:t xml:space="preserve"> </w:t>
            </w:r>
            <w:r>
              <w:rPr>
                <w:b/>
                <w:i/>
              </w:rPr>
              <w:t>Medlemsstaterna uppmanas kraftfullt att vidta beslutsamma åtgärder för att motverka deras inflytande genom robusta rättsliga ramar, utbildning som främjar demokratiska värden och stöd till organisationer i det civila samhället som bekämpar extremism.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begär att det ska införas ett resultatbaserat instrument på grundval av respekten för människans värdighet, frihet, demokrati, jämlikhet, rättsstaten och mänskliga rättigheter i förordningen om den fleråriga budgetramen, för en starkare koppling mellan respekten för dessa principer och beviljandet av EU-medel.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insisterar på att det införs en närmare koppling mellan slutsatserna i rättsstatsrapporten och tilldelningen av ekonomiskt stöd inom ramen för unionens budget, enligt samma logik som milstolparna, för att säkerställa att EU-medel kopplas till uppnåendet av nödvändiga reformer.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Europaparlamentet är oroat över att datumet för offentliggörandet av den årliga rättsstatsrapporten inte bidrar till att skapa tillräcklig synlighet och går stick i stäv med rapportens avsedda syfte att skapa en verklig offentlig debatt om dess resultat.</w:t>
            </w:r>
            <w:r>
              <w:t xml:space="preserve"> </w:t>
            </w:r>
            <w:r>
              <w:rPr>
                <w:b/>
                <w:i/>
              </w:rPr>
              <w:t>Parlamentet uppmanar eftertryckligen kommissionen att se över datumet för offentliggörandet och göra ytterligare ansträngningar för att göra sina slutsatser allmänt kända i alla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Europaparlamentet förväntar sig att det i kommissionens rättsstatsrapport för 2025 fastställs tidsfrister för genomförandet av de landsspecifika rekommendationerna.</w:t>
            </w:r>
            <w:r>
              <w:t xml:space="preserve"> </w:t>
            </w:r>
            <w:r>
              <w:rPr>
                <w:b/>
                <w:i/>
              </w:rPr>
              <w:t>Parlamentet vidhåller att frysta EU-medel bör frigöras först när meningsfulla reformer har genomförts fullt ut och efterlevnaden av rättsstatens principer har uppnåtts på ett kontrollerbart sätt i praktiken.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Europaparlamentet uppmuntrar medlemsstaterna att stärka miljödemokratin genom att säkerställa ett fullständigt genomförande av Århuskonventionen, särskilt när det gäller tillgång till rättslig prövning i miljöfrågor och skydd av miljöaktivister och miljöorganisationer.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Europaparlamentet anser att den interinstitutionella dialogen och det interinstitutionella samarbetet om rättsstaten bör stärkas på EU-nivå.</w:t>
            </w:r>
            <w:r>
              <w:t xml:space="preserve"> </w:t>
            </w:r>
            <w:r>
              <w:rPr>
                <w:b/>
                <w:i/>
              </w:rPr>
              <w:t>Parlamentet efterlyser en permanent interinstitutionell dialog om rättsstaten med bland annat Europaparlamentet, rådet och kommissionen.</w:t>
            </w:r>
            <w:r>
              <w:t xml:space="preserve"> </w:t>
            </w:r>
            <w:r>
              <w:rPr>
                <w:b/>
                <w:i/>
              </w:rPr>
              <w:t>Parlamentet uppmanar rådet att göra sin dialog om rättsstaten mer inkluderande genom att bjuda in andra institutioner, såsom Venedigkommissionen, Europarådets kommissarie för mänskliga rättigheter och parlamentsföreträdare, till sina sammanträden.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Europaparlamentet anser att den interinstitutionella dialogen och det interinstitutionella samarbetet om rättsstaten bör stärkas på EU-nivå.</w:t>
            </w:r>
            <w:r>
              <w:t xml:space="preserve"> </w:t>
            </w:r>
            <w:r>
              <w:rPr>
                <w:b/>
                <w:i/>
              </w:rPr>
              <w:t>Parlamentet efterlyser en permanent interinstitutionell dialog om rättsstaten med bland annat Europaparlamentet, rådet och kommissionen.</w:t>
            </w:r>
            <w:r>
              <w:t xml:space="preserve"> </w:t>
            </w:r>
            <w:r>
              <w:rPr>
                <w:b/>
                <w:i/>
              </w:rPr>
              <w:t>Parlamentet uppmanar rådet att göra sin dialog om rättsstaten mer inkluderande genom att bjuda in andra institutioner, såsom Venedigkommissionen, Europarådets kommissarie för mänskliga rättigheter och parlamentsföreträdare, till sina sammanträden.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Europaparlamentet anser att den interinstitutionella dialogen och det interinstitutionella samarbetet om rättsstaten bör stärkas på EU-nivå.</w:t>
            </w:r>
            <w:r>
              <w:t xml:space="preserve"> </w:t>
            </w:r>
            <w:r>
              <w:rPr>
                <w:b/>
                <w:i/>
              </w:rPr>
              <w:t>Parlamentet efterlyser en permanent interinstitutionell dialog om rättsstaten med bland annat Europaparlamentet, rådet och kommissionen.</w:t>
            </w:r>
            <w:r>
              <w:t xml:space="preserve"> </w:t>
            </w:r>
            <w:r>
              <w:rPr>
                <w:b/>
                <w:i/>
              </w:rPr>
              <w:t>Parlamentet uppmanar rådet att göra sin dialog om rättsstaten mer inkluderande genom att bjuda in andra institutioner, såsom Venedigkommissionen, Europarådets kommissarie för mänskliga rättigheter och parlamentsföreträdare, till sina sammanträden.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w:t>
            </w:r>
            <w:r>
              <w:rPr>
                <w:b/>
                <w:i/>
              </w:rPr>
              <w:t>efterlyser en permanent interinstitutionell dialog om rättsstaten med bland annat Europaparlamentet, rådet och kommissionen</w:t>
            </w:r>
            <w:r>
              <w:t>. Parlamentet uppmanar rådet att göra sin dialog om rättsstaten mer inkluderande genom att bjuda in andra institutioner, såsom Venedigkommissionen, Europarådets kommissarie för mänskliga rättigheter och parlamentsföreträdare, till sina sammanträden.</w:t>
            </w:r>
          </w:p>
        </w:tc>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w:t>
            </w:r>
            <w:r>
              <w:rPr>
                <w:b/>
                <w:i/>
              </w:rPr>
              <w:t>beklagar att kommissionen och rådet hittills har avvisat parlamentets erbjudande om att ingå ett interinstitutionellt avtal om demokrati, rättsstatlighet och grundläggande rättigheter.</w:t>
            </w:r>
            <w:r>
              <w:t xml:space="preserve"> </w:t>
            </w:r>
            <w:r>
              <w:rPr>
                <w:b/>
                <w:i/>
              </w:rPr>
              <w:t>Parlamentet bekräftar på nytt sin vilja att återuppta samtalen om detta avtal.</w:t>
            </w:r>
            <w:r>
              <w:t xml:space="preserve"> </w:t>
            </w:r>
            <w:r>
              <w:rPr>
                <w:b/>
                <w:i/>
              </w:rPr>
              <w:t>Parlamentet uppmanar de övriga institutionerna att under tiden åtminstone undersöka ytterligare samarbete inom ramen för det föreslagna interinstitutionella pilotprojektet om demokrati, rättsstatlighet och grundläggande rättigheter, vilket skulle bidra till att bygga upp förtroendet mellan institutionerna på ett praktiskt sätt, särskilt genom att dela övervaknings-, dialog- och mötespraxis</w:t>
            </w:r>
            <w:r>
              <w:t xml:space="preserve">. Parlamentet uppmanar rådet att göra sin dialog om rättsstaten mer inkluderande genom att bjuda in andra institutioner, såsom Venedigkommissionen, Europarådets kommissarie för mänskliga rättigheter och parlamentsföreträdare, till sina sammanträden. </w:t>
            </w:r>
            <w:r>
              <w:rPr>
                <w:b/>
                <w:i/>
              </w:rPr>
              <w:t>Parlamentet anser att rådets rättsstatsdialog bör bli mer interaktiv och omfattande, och uppmanar därför medlemsstaterna att satsa på lämpliga förberedelser inför denna dialog.</w:t>
            </w:r>
            <w:r>
              <w:t xml:space="preserve"> </w:t>
            </w:r>
            <w:r>
              <w:rPr>
                <w:b/>
                <w:i/>
              </w:rPr>
              <w:t>Parlamentet betonar att ökad transparens skulle stärka dialogen om rättsstaten inom unionen, och uppmanar därför rådet att offentliggöra dessa landsspecifika diskussioner, inklusive detaljerade offentliga slutsatser.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w:t>
            </w:r>
            <w:r>
              <w:rPr>
                <w:b/>
                <w:i/>
              </w:rPr>
              <w:t>bör stärkas på EU-nivå.</w:t>
            </w:r>
            <w:r>
              <w:t xml:space="preserve"> </w:t>
            </w:r>
            <w:r>
              <w:rPr>
                <w:b/>
                <w:i/>
              </w:rPr>
              <w:t>Parlamentet efterlyser en permanent interinstitutionell dialog om rättsstaten med bland annat Europaparlamentet, rådet och kommissionen.</w:t>
            </w:r>
            <w:r>
              <w:t xml:space="preserve"> </w:t>
            </w:r>
            <w:r>
              <w:rPr>
                <w:b/>
                <w:i/>
              </w:rPr>
              <w:t>Parlamentet uppmanar rådet att göra sin dialog om rättsstaten mer inkluderande</w:t>
            </w:r>
            <w:r>
              <w:t xml:space="preserve"> genom att </w:t>
            </w:r>
            <w:r>
              <w:rPr>
                <w:b/>
                <w:i/>
              </w:rPr>
              <w:t>bjuda in andra institutioner, såsom Venedigkommissionen, Europarådets kommissarie för mänskliga rättigheter och parlamentsföreträdare, till sina sammanträden</w:t>
            </w:r>
            <w:r>
              <w:t>.</w:t>
            </w:r>
          </w:p>
        </w:tc>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w:t>
            </w:r>
            <w:r>
              <w:rPr>
                <w:b/>
                <w:i/>
              </w:rPr>
              <w:t>och kampen mot korruption bör stärkas</w:t>
            </w:r>
            <w:r>
              <w:t xml:space="preserve"> genom att </w:t>
            </w:r>
            <w:r>
              <w:rPr>
                <w:b/>
                <w:i/>
              </w:rPr>
              <w:t>EU-institutionerna inkluderas i granskningen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efterlyser en permanent interinstitutionell dialog om rättsstaten med </w:t>
            </w:r>
            <w:r>
              <w:rPr>
                <w:b/>
                <w:i/>
              </w:rPr>
              <w:t>bland annat</w:t>
            </w:r>
            <w:r>
              <w:t xml:space="preserve"> Europaparlamentet, rådet och kommissionen. Parlamentet uppmanar rådet att göra sin dialog om rättsstaten mer inkluderande genom att bjuda in andra institutioner, såsom Venedigkommissionen, Europarådets kommissarie för mänskliga rättigheter och parlamentsföreträdare, till sina sammanträden.</w:t>
            </w:r>
          </w:p>
        </w:tc>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efterlyser en permanent interinstitutionell dialog </w:t>
            </w:r>
            <w:r>
              <w:rPr>
                <w:b/>
                <w:i/>
              </w:rPr>
              <w:t>genom att det ingås ett interinstitutionellt avtal</w:t>
            </w:r>
            <w:r>
              <w:t xml:space="preserve"> om rättsstaten med Europaparlamentet, rådet och kommissionen. Parlamentet uppmanar rådet att göra sin dialog om rättsstaten mer inkluderande genom att bjuda in andra institutioner, såsom Venedigkommissionen, Europarådets kommissarie för mänskliga rättigheter och parlamentsföreträdare, till sina sammanträden </w:t>
            </w:r>
            <w:r>
              <w:rPr>
                <w:b/>
                <w:i/>
              </w:rPr>
              <w:t>eller åtminstone ge Europaparlamentet systematisk återkoppling från mötena i rättsstatsdialogen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Europaparlamentet anser att den interinstitutionella dialogen och det interinstitutionella samarbetet om rättsstaten bör stärkas på EU-nivå. Parlamentet efterlyser en permanent interinstitutionell dialog om rättsstaten med bland annat Europaparlamentet, rådet och kommissionen. Parlamentet uppmanar rådet att göra sin dialog om rättsstaten mer inkluderande genom att bjuda in andra institutioner, såsom Venedigkommissionen, Europarådets kommissarie för mänskliga rättigheter och parlamentsföreträdare, till sina sammanträden.</w:t>
            </w:r>
          </w:p>
        </w:tc>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efterlyser en permanent interinstitutionell dialog om rättsstaten med bland annat Europaparlamentet, rådet och kommissionen. Parlamentet uppmanar rådet att göra sin dialog om rättsstaten mer inkluderande genom att bjuda in andra institutioner, såsom Venedigkommissionen, Europarådets kommissarie för mänskliga rättigheter och parlamentsföreträdare, till sina sammanträden. </w:t>
            </w:r>
            <w:r>
              <w:rPr>
                <w:b/>
                <w:i/>
              </w:rPr>
              <w:t>Rådet uppmanas kraftfullt att samarbeta med de nationella parlamenten för att stärka den demokratiska kontrollen av medlemsstaternas efterlevnad av EU:s rättsstatsnormer.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w:t>
            </w:r>
            <w:r>
              <w:rPr>
                <w:b/>
                <w:i/>
              </w:rPr>
              <w:t>anser att</w:t>
            </w:r>
            <w:r>
              <w:t xml:space="preserve"> den interinstitutionella dialogen och det interinstitutionella samarbetet om rättsstaten </w:t>
            </w:r>
            <w:r>
              <w:rPr>
                <w:b/>
                <w:i/>
              </w:rPr>
              <w:t>bör stärkas</w:t>
            </w:r>
            <w:r>
              <w:t xml:space="preserve"> på EU-nivå</w:t>
            </w:r>
            <w:r>
              <w:rPr>
                <w:b/>
                <w:i/>
              </w:rPr>
              <w:t>.</w:t>
            </w:r>
            <w:r>
              <w:t xml:space="preserve"> </w:t>
            </w:r>
            <w:r>
              <w:rPr>
                <w:b/>
                <w:i/>
              </w:rPr>
              <w:t>Parlamentet efterlyser en permanent interinstitutionell dialog om rättsstaten med bland annat Europaparlamentet, rådet och kommissionen</w:t>
            </w:r>
            <w:r>
              <w:t xml:space="preserve">. Parlamentet </w:t>
            </w:r>
            <w:r>
              <w:rPr>
                <w:b/>
                <w:i/>
              </w:rPr>
              <w:t>uppmanar rådet att göra sin dialog om rättsstaten mer inkluderande genom att bjuda in andra institutioner, såsom Venedigkommissionen, Europarådets kommissarie för mänskliga rättigheter och parlamentsföreträdare, till sina sammanträden</w:t>
            </w:r>
            <w:r>
              <w:t>.</w:t>
            </w:r>
          </w:p>
        </w:tc>
        <w:tc>
          <w:tcPr>
            <w:tcW w:w="4876" w:type="dxa"/>
            <w:tcBorders>
              <w:top w:val="nil"/>
              <w:left w:val="nil"/>
              <w:bottom w:val="nil"/>
              <w:right w:val="nil"/>
            </w:tcBorders>
          </w:tcPr>
          <w:p>
            <w:pPr>
              <w:pStyle w:val="Normal6a"/>
            </w:pPr>
            <w:r>
              <w:t>36.</w:t>
            </w:r>
            <w:r>
              <w:tab/>
            </w:r>
            <w:r>
              <w:t xml:space="preserve">Europaparlamentet </w:t>
            </w:r>
            <w:r>
              <w:rPr>
                <w:b/>
                <w:i/>
              </w:rPr>
              <w:t>noterar att det finns uppmaningar om att stärka</w:t>
            </w:r>
            <w:r>
              <w:t xml:space="preserve"> den interinstitutionella dialogen och det interinstitutionella samarbetet om rättsstaten på EU-nivå</w:t>
            </w:r>
            <w:r>
              <w:rPr>
                <w:b/>
                <w:i/>
              </w:rPr>
              <w:t>, även om detta inte är i linje med ordalydelsen i fördragen</w:t>
            </w:r>
            <w:r>
              <w:t xml:space="preserve">. Parlamentet </w:t>
            </w:r>
            <w:r>
              <w:rPr>
                <w:b/>
                <w:i/>
              </w:rPr>
              <w:t>noterar samtidigt att dess egna ställningstaganden särskilt ofta påverkas av partipolitiska intressen hos enskilda grupper, vilket bara förstärker snedvridningen och den politiska dimensionen av den så kallade dialogen om rättsstaten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efterlyser </w:t>
            </w:r>
            <w:r>
              <w:rPr>
                <w:b/>
                <w:i/>
              </w:rPr>
              <w:t>en permanent interinstitutionell dialog om rättsstaten med bland annat Europaparlamentet,</w:t>
            </w:r>
            <w:r>
              <w:t xml:space="preserve"> rådet och </w:t>
            </w:r>
            <w:r>
              <w:rPr>
                <w:b/>
                <w:i/>
              </w:rPr>
              <w:t>kommissionen.</w:t>
            </w:r>
            <w:r>
              <w:t xml:space="preserve"> </w:t>
            </w:r>
            <w:r>
              <w:rPr>
                <w:b/>
                <w:i/>
              </w:rPr>
              <w:t>Parlamentet uppmanar rådet att göra sin dialog om rättsstaten mer inkluderande genom att bjuda in andra institutioner, såsom Venedigkommissionen, Europarådets kommissarie för mänskliga rättigheter och parlamentsföreträdare, till sina sammanträden</w:t>
            </w:r>
            <w:r>
              <w:t>.</w:t>
            </w:r>
          </w:p>
        </w:tc>
        <w:tc>
          <w:tcPr>
            <w:tcW w:w="4876" w:type="dxa"/>
            <w:tcBorders>
              <w:top w:val="nil"/>
              <w:left w:val="nil"/>
              <w:bottom w:val="nil"/>
              <w:right w:val="nil"/>
            </w:tcBorders>
          </w:tcPr>
          <w:p>
            <w:pPr>
              <w:pStyle w:val="Normal6a"/>
            </w:pPr>
            <w:r>
              <w:t>36.</w:t>
            </w:r>
            <w:r>
              <w:tab/>
            </w:r>
            <w:r>
              <w:t xml:space="preserve">Europaparlamentet anser att den interinstitutionella dialogen och det interinstitutionella samarbetet om rättsstaten bör stärkas på EU-nivå. Parlamentet efterlyser </w:t>
            </w:r>
            <w:r>
              <w:rPr>
                <w:b/>
                <w:i/>
              </w:rPr>
              <w:t>inrättandet av en europeisk planeringstermin för rättsstaten, för att skapa ett ramverk där</w:t>
            </w:r>
            <w:r>
              <w:t xml:space="preserve"> rådet och </w:t>
            </w:r>
            <w:r>
              <w:rPr>
                <w:b/>
                <w:i/>
              </w:rPr>
              <w:t>Europaparlamentet har en nyckelroll, med stöd av kommissionens befogenhet att driva igenom efterlevnad.</w:t>
            </w:r>
            <w:r>
              <w:t xml:space="preserve"> </w:t>
            </w:r>
            <w:r>
              <w:rPr>
                <w:b/>
                <w:i/>
              </w:rPr>
              <w:t>Parlamentet konstaterar att detta ramverk skulle ta itu med det demokratiska underskottet och säkerställa efterlevnad av rättsstatens principer i alla medlemsstater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beklagar starkt rådets oförmåga att göra meningsfulla framsteg med pågående förfaranden enligt artikel 7.1 i EU-fördraget.</w:t>
            </w:r>
            <w:r>
              <w:t xml:space="preserve"> </w:t>
            </w:r>
            <w:r>
              <w:rPr>
                <w:b/>
                <w:i/>
              </w:rPr>
              <w:t>Parlamentet uppmanar rådet att se till att utfrågningar äger rum minst en gång per ordförandeskap under pågående artikel 7-förfaranden och att även ta upp ny händelseutveckling som påverkar rättsstaten, demokratin och de grundläggande rättigheterna.</w:t>
            </w:r>
            <w:r>
              <w:t xml:space="preserve"> </w:t>
            </w:r>
            <w:r>
              <w:rPr>
                <w:b/>
                <w:i/>
              </w:rPr>
              <w:t>Parlamentet betonar att det inte krävs enhällighet i rådet för att slå fast att det finns en klar risk för ett allvarligt åsidosättande av unionens värden enligt artikel 7.1 i EU-fördraget, och inte heller för att framföra konkreta rekommendationer till de berörda medlemsstaterna och ange tidsfrister för när dessa rekommendationer ska ha genomförts.</w:t>
            </w:r>
            <w:r>
              <w:t xml:space="preserve"> </w:t>
            </w:r>
            <w:r>
              <w:rPr>
                <w:b/>
                <w:i/>
              </w:rPr>
              <w:t>Parlamentet upprepar sin uppmaning till rådet att göra detta och understryker att varje ytterligare försening av sådana åtgärder skulle innebära att rådet självt bryter mot rättsstatens principer.</w:t>
            </w:r>
            <w:r>
              <w:t xml:space="preserve"> </w:t>
            </w:r>
            <w:r>
              <w:rPr>
                <w:b/>
                <w:i/>
              </w:rPr>
              <w:t>Parlamentet insisterar på att dess roll och befogenheter respekteras.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påminner om sitt långvariga krav på inrättandet av en EU-mekanism eller pakt för demokrati, rättsstatlighet och grundläggande rättigheter i form av ett interinstitutionellt avtal, och uppmanar kommissionen och rådet att ingå ett sådant interinstitutionellt avtal.</w:t>
            </w:r>
            <w:r>
              <w:t xml:space="preserve"> </w:t>
            </w:r>
            <w:r>
              <w:rPr>
                <w:b/>
                <w:i/>
              </w:rPr>
              <w:t>Parlamentet påminner om att den nya mekanismen bör integreras med och komplettera befintliga mekanismer, däribland rättsstatsrapporten, att den bör vara evidensbaserad, objektiv, riktad till medlemsstaterna och EU-institutionerna, inbegripet förebyggande och korrigerande åtgärder, och att den bör bistås av en panel av oberoende experter.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uppmanar medlemsstaterna att se till att alla lagstiftningsreformer som påverkar maktdelningen är helt förenliga med europeiska rättsliga principer.</w:t>
            </w:r>
            <w:r>
              <w:t xml:space="preserve"> </w:t>
            </w:r>
            <w:r>
              <w:rPr>
                <w:b/>
                <w:i/>
              </w:rPr>
              <w:t>Kommissionen uppmanas kraftfullt att bedöma huruvida lagstiftningsåtgärder som påverkar domstolsväsendet, rättsliga förmåner eller verkställande kontroll över rättsliga institutioner är förenliga med artikel 2 i EU-fördraget och huruvida de kan motivera att ett förfarande inleds enligt artikel 7 i EU-fördraget.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anser att samarbete mellan EU och internationella organisationer såsom Europarådet, OSSE och FN för att främja och försvara demokratin, rättsstaten, grundläggande friheter och mänskliga rättigheter, inbegripet minoriteters rättigheter, bör stärkas ytterligare.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anser att samarbete mellan medlemsstaterna är av särskild betydelse för att främja demokrati, rättsstatlighet och grundläggande rättigheter inom EU.</w:t>
            </w:r>
            <w:r>
              <w:t xml:space="preserve"> </w:t>
            </w:r>
            <w:r>
              <w:rPr>
                <w:b/>
                <w:i/>
              </w:rPr>
              <w:t>Kommissionen uppmanas kraftfullt att upprätthålla sina egna regler på områdena transparens, korruptionsbekämpning och rättvisa.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uppmanar medlemsstaterna att se till att nödåtgärder som antas som svar på kriser (såsom pandemier eller säkerhetshot) är föremål för regelbunden parlamentarisk granskning och domstolskontroll och att de är strikt tidsbegränsade och proportionerliga.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beklagar djupt att kommissionen inte har tagit till sig många av parlamentets upprepade krav avseende sina rättsstatsrapporter.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Europaparlamentet begär att kommissionen senast den 31 december 2025 lägger fram ett meddelande om vilka begäranden som parlamentet antagit i samband med kommissionens rättsstatsrapporter sedan 2021 som kommissionen kommer att genomföra, vilka den inte kommer att genomföra, och de specifika skälen till eventuella avslag.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Europaparlamentet betonar att medlemsstaterna måste ta itu med könsklyftan inom domstolsväsendet och andra viktiga demokratiska institutioner.</w:t>
            </w:r>
            <w:r>
              <w:t xml:space="preserve"> </w:t>
            </w:r>
            <w:r>
              <w:rPr>
                <w:b/>
                <w:i/>
              </w:rPr>
              <w:t>Parlamentet rekommenderar att riktade åtgärder genomförs för att öka kvinnors representation i högre befattningar inom domstolsväsendet och den offentliga förvaltningen.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Europaparlamentet uppmanar kommissionen att inte använda skyddet av rättsstaten och de grundläggande rättigheterna som en förevändning för att utöva politiska påtryckningar på vissa medlemsstater att ändra politik som omfattas av medlemsstaternas behörighetsområde.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Europaparlamentet uttrycker sin djupa oro över att åtgärder enligt förordningen om villkorlighet kopplad till rättsstaten, precis som förfarandena enligt artikel 7, kommer att genomföras för att föra fram politiska ideal och försvaga vissa medlemsstaters legitimitet.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Europaparlamentet rekommenderar kommissionen och medlemsstaterna att övervaka utländsk inblandning, särskilt användningen av sociala medier för manipulation och skadliga syften, eftersom enskilda personer som Elon Musk använder dem för att påverka den allmänna opinionen och sprida desinformation i Europa.</w:t>
            </w:r>
            <w:r>
              <w:t xml:space="preserve"> </w:t>
            </w:r>
            <w:r>
              <w:rPr>
                <w:b/>
                <w:i/>
              </w:rPr>
              <w:t>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w:t>
            </w:r>
            <w:r>
              <w:rPr>
                <w:b/>
                <w:i/>
              </w:rPr>
              <w:t>rekommenderar kommissionen och medlemsstaterna att övervaka utländsk inblandning, särskilt användningen av</w:t>
            </w:r>
            <w:r>
              <w:t xml:space="preserve"> sociala medier </w:t>
            </w:r>
            <w:r>
              <w:rPr>
                <w:b/>
                <w:i/>
              </w:rPr>
              <w:t>för manipulation och skadliga syften, eftersom enskilda personer som Elon Musk använder dem</w:t>
            </w:r>
            <w:r>
              <w:t xml:space="preserve"> för att </w:t>
            </w:r>
            <w:r>
              <w:rPr>
                <w:b/>
                <w:i/>
              </w:rPr>
              <w:t>påverka den allmänna opinionen och sprida desinformation i Europa</w:t>
            </w:r>
            <w:r>
              <w:t>.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w:t>
            </w:r>
            <w:r>
              <w:rPr>
                <w:b/>
                <w:i/>
              </w:rPr>
              <w:t>är oroat över Europaparlamentets och kommissionens inblandning i medlemsstaternas inhemska frågor.</w:t>
            </w:r>
            <w:r>
              <w:t xml:space="preserve"> </w:t>
            </w:r>
            <w:r>
              <w:rPr>
                <w:b/>
                <w:i/>
              </w:rPr>
              <w:t>Parlamentet påminner om att Metas vd, Mark Zuckerberg, den 7 januari 2025 medgav att Facebook hade censurerat innehåll på politisk grund.</w:t>
            </w:r>
            <w:r>
              <w:t xml:space="preserve"> </w:t>
            </w:r>
            <w:r>
              <w:rPr>
                <w:b/>
                <w:i/>
              </w:rPr>
              <w:t>Parlamentet välkomnar Metas insatser för att främja yttrandefriheten på sina</w:t>
            </w:r>
            <w:r>
              <w:t xml:space="preserve"> sociala medier</w:t>
            </w:r>
            <w:r>
              <w:rPr>
                <w:b/>
                <w:i/>
              </w:rPr>
              <w:t>.</w:t>
            </w:r>
            <w:r>
              <w:t xml:space="preserve"> </w:t>
            </w:r>
            <w:r>
              <w:rPr>
                <w:b/>
                <w:i/>
              </w:rPr>
              <w:t>Parlamentet beklagar djupt att politiskt vinklad faktagranskning på plattformar för sociala medier fortfarande tillämpas i Europa.</w:t>
            </w:r>
            <w:r>
              <w:t xml:space="preserve"> </w:t>
            </w:r>
            <w:r>
              <w:rPr>
                <w:b/>
                <w:i/>
              </w:rPr>
              <w:t>Parlamentet uppmanar kommissionen att upphöra med sina ansträngningar</w:t>
            </w:r>
            <w:r>
              <w:t xml:space="preserve"> för att </w:t>
            </w:r>
            <w:r>
              <w:rPr>
                <w:b/>
                <w:i/>
              </w:rPr>
              <w:t>censurera konservativa högerröster på sociala medier.</w:t>
            </w:r>
            <w:r>
              <w:t xml:space="preserve"> </w:t>
            </w:r>
            <w:r>
              <w:rPr>
                <w:b/>
                <w:i/>
              </w:rPr>
              <w:t>Europaparlamentet uppmanas att tillsätta en undersökningskommitté om censur på Facebook.</w:t>
            </w:r>
            <w:r>
              <w:t xml:space="preserve"> </w:t>
            </w:r>
            <w:r>
              <w:rPr>
                <w:b/>
                <w:i/>
              </w:rPr>
              <w:t>Parlamentet välkomnar Elon Musks insatser i kampen för yttrandefrihet</w:t>
            </w:r>
            <w:r>
              <w:t>.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w:t>
            </w:r>
            <w:r>
              <w:rPr>
                <w:b/>
                <w:i/>
              </w:rPr>
              <w:t>, särskilt användningen av sociala medier för manipulation och skadliga syften, eftersom enskilda personer som Elon Musk använder dem för att påverka den allmänna opinionen och sprida desinformation i Europa.</w:t>
            </w:r>
            <w:r>
              <w:t xml:space="preserve"> </w:t>
            </w:r>
            <w:r>
              <w:rPr>
                <w:b/>
                <w:i/>
              </w:rPr>
              <w:t>Parlamentet understryker att kommissionen måste se till att rättsstatens principer genomförs korrekt inom EU:s institutioner, och anser att EU-institutionerna bör omfattas av dess årliga utvärdering för rättsstatsrapporten</w:t>
            </w:r>
            <w:r>
              <w:t>.</w:t>
            </w:r>
          </w:p>
        </w:tc>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rekommenderar </w:t>
            </w:r>
            <w:r>
              <w:rPr>
                <w:b/>
                <w:i/>
              </w:rPr>
              <w:t>kommissionen och medlemsstaterna att övervaka utländsk inblandning, särskilt användningen av sociala medier för manipulation och skadliga syften, eftersom enskilda personer som Elon Musk använder dem för att påverka den allmänna opinionen och sprida desinformation i Europa.</w:t>
            </w:r>
            <w:r>
              <w:t xml:space="preserve"> </w:t>
            </w:r>
            <w:r>
              <w:rPr>
                <w:b/>
                <w:i/>
              </w:rPr>
              <w:t>Parlamentet understryker</w:t>
            </w:r>
            <w:r>
              <w:t xml:space="preserve">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Europaparlamentet rekommenderar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särskilt användningen av sociala medier för manipulation och skadliga syften, </w:t>
            </w:r>
            <w:r>
              <w:rPr>
                <w:b/>
                <w:i/>
              </w:rPr>
              <w:t>eftersom enskilda personer som Elon Musk använder dem för</w:t>
            </w:r>
            <w:r>
              <w:t xml:space="preserve"> att påverka den allmänna opinionen och sprida desinformation i Europa.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särskilt användningen av sociala medier för manipulation och skadliga syften, </w:t>
            </w:r>
            <w:r>
              <w:rPr>
                <w:b/>
                <w:i/>
              </w:rPr>
              <w:t>med målet</w:t>
            </w:r>
            <w:r>
              <w:t xml:space="preserve"> att påverka den allmänna opinionen och sprida desinformation i Europa</w:t>
            </w:r>
            <w:r>
              <w:rPr>
                <w:b/>
                <w:i/>
              </w:rPr>
              <w:t>.</w:t>
            </w:r>
            <w:r>
              <w:t xml:space="preserve"> </w:t>
            </w:r>
            <w:r>
              <w:rPr>
                <w:b/>
                <w:i/>
              </w:rPr>
              <w:t>Parlamentet noterar att kommissionen i åratal har underlåtit att erkänna den vänsterliberala dominansen på sociala medier, inbegripet införandet av en sådan agenda av vissa huvudstäder, internationella stiftelser och EU-institutioner</w:t>
            </w:r>
            <w:r>
              <w:t>.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särskilt användningen av sociala medier för manipulation och skadliga syften, eftersom enskilda personer som Elon Musk använder dem för att påverka den allmänna opinionen och sprida desinformation i Europa. </w:t>
            </w:r>
            <w:r>
              <w:rPr>
                <w:b/>
                <w:i/>
              </w:rPr>
              <w:t>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särskilt användningen av sociala medier för manipulation och skadliga syften, eftersom enskilda personer som Elon Musk använder dem för att påverka den allmänna opinionen och sprida desinformation i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w:t>
            </w:r>
            <w:r>
              <w:rPr>
                <w:b/>
                <w:i/>
              </w:rPr>
              <w:t>, särskilt användningen av sociala medier för manipulation och skadliga syften, eftersom enskilda personer som Elon Musk använder dem för att påverka den allmänna opinionen och sprida desinformation i Europa</w:t>
            </w:r>
            <w:r>
              <w:t>.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w:t>
            </w:r>
            <w:r>
              <w:rPr>
                <w:b/>
                <w:i/>
              </w:rPr>
              <w:t>särskilt</w:t>
            </w:r>
            <w:r>
              <w:t xml:space="preserve"> användningen av sociala medier för manipulation och skadliga syften</w:t>
            </w:r>
            <w:r>
              <w:rPr>
                <w:b/>
                <w:i/>
              </w:rPr>
              <w:t>, eftersom enskilda personer som Elon Musk använder dem för att påverka den allmänna opinionen och sprida desinformation i Europa</w:t>
            </w:r>
            <w:r>
              <w:t>.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w:t>
            </w:r>
            <w:r>
              <w:rPr>
                <w:b/>
                <w:i/>
              </w:rPr>
              <w:t>inbegripet</w:t>
            </w:r>
            <w:r>
              <w:t xml:space="preserve"> användningen av sociala medier för manipulation och skadliga syften.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w:t>
            </w:r>
            <w:r>
              <w:rPr>
                <w:b/>
                <w:i/>
              </w:rPr>
              <w:t>, särskilt användningen av sociala medier för manipulation och skadliga syften, eftersom enskilda personer som Elon Musk använder dem för att påverka den allmänna opinionen och sprida desinformation i Europa</w:t>
            </w:r>
            <w:r>
              <w:t>.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w:t>
            </w:r>
            <w:r>
              <w:rPr>
                <w:b/>
                <w:i/>
              </w:rPr>
              <w:t>och vidta verkningsfulla åtgärder för att skydda våra gemensamma intressen.</w:t>
            </w:r>
            <w:r>
              <w:t xml:space="preserve"> </w:t>
            </w:r>
            <w:r>
              <w:rPr>
                <w:b/>
                <w:i/>
              </w:rPr>
              <w:t>Parlamentet betonar att utländsk propagandaverksamhet kan motverkas utan att yttrandefriheten angrips, nämligen genom korrekt märkning av utlandsfinansierade organisationer eller genom neutrala initiativ såsom användaranmärkningar (community notes)</w:t>
            </w:r>
            <w:r>
              <w:t>.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särskilt användningen av sociala medier för manipulation och skadliga syften</w:t>
            </w:r>
            <w:r>
              <w:rPr>
                <w:b/>
                <w:i/>
              </w:rPr>
              <w:t>, eftersom enskilda personer som Elon Musk använder dem för att påverka den allmänna opinionen och sprida desinformation i Europa</w:t>
            </w:r>
            <w:r>
              <w:t>.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särskilt användningen av sociala medier för manipulation och skadliga syften.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särskilt användningen av sociala medier för manipulation och skadliga syften</w:t>
            </w:r>
            <w:r>
              <w:rPr>
                <w:b/>
                <w:i/>
              </w:rPr>
              <w:t>, eftersom enskilda personer som Elon Musk använder dem för att påverka den allmänna opinionen och sprida desinformation i Europa</w:t>
            </w:r>
            <w:r>
              <w:t>.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särskilt användningen av sociala medier för manipulation och skadliga syften.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w:t>
            </w:r>
            <w:r>
              <w:rPr>
                <w:b/>
                <w:i/>
              </w:rPr>
              <w:t>särskilt</w:t>
            </w:r>
            <w:r>
              <w:t xml:space="preserve"> användningen av sociala medier för manipulation </w:t>
            </w:r>
            <w:r>
              <w:rPr>
                <w:b/>
                <w:i/>
              </w:rPr>
              <w:t>och</w:t>
            </w:r>
            <w:r>
              <w:t xml:space="preserve"> skadliga syften</w:t>
            </w:r>
            <w:r>
              <w:rPr>
                <w:b/>
                <w:i/>
              </w:rPr>
              <w:t>, eftersom enskilda personer som Elon Musk använder dem för att påverka den allmänna opinionen och sprida</w:t>
            </w:r>
            <w:r>
              <w:t xml:space="preserve"> desinformation i Europa.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rekommenderar kommissionen och medlemsstaterna att övervaka </w:t>
            </w:r>
            <w:r>
              <w:rPr>
                <w:b/>
                <w:i/>
              </w:rPr>
              <w:t>och snabbt ta itu med</w:t>
            </w:r>
            <w:r>
              <w:t xml:space="preserve"> utländsk inblandning, </w:t>
            </w:r>
            <w:r>
              <w:rPr>
                <w:b/>
                <w:i/>
              </w:rPr>
              <w:t>inbegripet</w:t>
            </w:r>
            <w:r>
              <w:t xml:space="preserve"> användningen av sociala medier för manipulation</w:t>
            </w:r>
            <w:r>
              <w:rPr>
                <w:b/>
                <w:i/>
              </w:rPr>
              <w:t>,</w:t>
            </w:r>
            <w:r>
              <w:t xml:space="preserve"> skadliga syften </w:t>
            </w:r>
            <w:r>
              <w:rPr>
                <w:b/>
                <w:i/>
              </w:rPr>
              <w:t>och spridning av</w:t>
            </w:r>
            <w:r>
              <w:t xml:space="preserve"> desinformation i Europa.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rekommenderar kommissionen och medlemsstaterna att övervaka utländsk inblandning, särskilt användningen av sociala medier för manipulation och skadliga syften, eftersom enskilda personer som Elon Musk använder dem för att påverka den allmänna opinionen och sprida desinformation i Europa.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särskilt användningen av sociala medier för manipulation och skadliga syften, eftersom enskilda personer som Elon Musk </w:t>
            </w:r>
            <w:r>
              <w:rPr>
                <w:b/>
                <w:i/>
              </w:rPr>
              <w:t>och Meta</w:t>
            </w:r>
            <w:r>
              <w:t xml:space="preserve"> använder dem för att påverka den allmänna opinionen och sprida desinformation i Europa.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särskilt </w:t>
            </w:r>
            <w:r>
              <w:rPr>
                <w:b/>
                <w:i/>
              </w:rPr>
              <w:t>användningen av sociala medier</w:t>
            </w:r>
            <w:r>
              <w:t xml:space="preserve"> för manipulation och skadliga syften, eftersom </w:t>
            </w:r>
            <w:r>
              <w:rPr>
                <w:b/>
                <w:i/>
              </w:rPr>
              <w:t>enskilda personer som Elon Musk använder dem</w:t>
            </w:r>
            <w:r>
              <w:t xml:space="preserve"> för att påverka den allmänna opinionen och sprida desinformation i Europa. Parlamentet understryker att kommissionen måste se till att rättsstatens principer genomförs korrekt inom EU:s institutioner, och anser att EU-institutionerna bör omfattas av dess årliga utvärdering för rättsstatsrapporten.</w:t>
            </w:r>
          </w:p>
        </w:tc>
        <w:tc>
          <w:tcPr>
            <w:tcW w:w="4876" w:type="dxa"/>
            <w:tcBorders>
              <w:top w:val="nil"/>
              <w:left w:val="nil"/>
              <w:bottom w:val="nil"/>
              <w:right w:val="nil"/>
            </w:tcBorders>
          </w:tcPr>
          <w:p>
            <w:pPr>
              <w:pStyle w:val="Normal6a"/>
            </w:pPr>
            <w:r>
              <w:t>37.</w:t>
            </w:r>
            <w:r>
              <w:tab/>
            </w:r>
            <w:r>
              <w:t xml:space="preserve">Europaparlamentet rekommenderar kommissionen och medlemsstaterna att övervaka utländsk inblandning, särskilt </w:t>
            </w:r>
            <w:r>
              <w:rPr>
                <w:b/>
                <w:i/>
              </w:rPr>
              <w:t>från icke-statliga organisationer</w:t>
            </w:r>
            <w:r>
              <w:t xml:space="preserve"> för manipulation och skadliga syften, eftersom </w:t>
            </w:r>
            <w:r>
              <w:rPr>
                <w:b/>
                <w:i/>
              </w:rPr>
              <w:t>icke-statliga organisationer används</w:t>
            </w:r>
            <w:r>
              <w:t xml:space="preserve"> för att påverka den allmänna opinionen och sprida desinformation i Europa. 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uppmanar eftertryckligen kommissionen att fullt ut kontrollera att de behöriga nationella myndigheternas förteckningar över säkra ursprungsländer alltid är förenliga med de demokratiska principerna, och därmed följer rättsstatens principer, uppfyller de kriterier som fastställs i EU-lagstiftningen, respekterar EU-domstolens domar och följer internationell rätt.</w:t>
            </w:r>
            <w:r>
              <w:t xml:space="preserve"> </w:t>
            </w:r>
            <w:r>
              <w:rPr>
                <w:b/>
                <w:i/>
              </w:rPr>
              <w:t>Parlamentet understryker skyldigheten enligt EU-rätten och internationell rätt att bevilja internationellt skydd till personer som förföljs och/eller utsätts för allvarlig skada på grund av ras eller etniskt ursprung, religion eller övertygelse, nationalitet, politisk åskådning, språk, funktionsnedsättning, ålder, kön, inbegripet könsidentitet och könsuttryck, samt sexuell läggning.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betonar vikten av att skydda den grundläggande rätten till yttrandefrihet, som är en hörnsten i våra demokratiska samhällen.</w:t>
            </w:r>
            <w:r>
              <w:t xml:space="preserve"> </w:t>
            </w:r>
            <w:r>
              <w:rPr>
                <w:b/>
                <w:i/>
              </w:rPr>
              <w:t>Kommissionen måste se till att EU:s regelverk tillämpas korrekt på sociala medier till skydd för denna rättighet, snarare än att främja politiska påtryckningar som skulle kunna begränsa en öppen och uppriktig debatt.</w:t>
            </w:r>
            <w:r>
              <w:t xml:space="preserve"> </w:t>
            </w:r>
            <w:r>
              <w:rPr>
                <w:b/>
                <w:i/>
              </w:rPr>
              <w:t>Plattformar för sociala medier måste visserligen agera ansvarsfullt, med respekt för gällande regler, men det är mycket viktigt att metoderna för innehållsmoderering inte blir ett verktyg för kontroll, censur eller politisk manipulering.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uppmanar medlemsstaterna att öka transparensen och ansvarsskyldigheten när det gäller lobbyverksamhet, bland annat genom att inrätta eller förbättra obligatoriska lobbyregister och mekanismer för ”lagstiftningsfotavtryck” för att spåra påverkan på lagstiftningsprocesserna.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understryker att kommissionen måste se till att rättsstatens principer genomförs korrekt inom EU:s institutioner, och anser att EU-institutionerna bör omfattas av dess årliga utvärdering för rättsstatsrapporten.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uppmanar rådet att anta ett beslut om att inkludera hatpropaganda och hatbrott bland brotten i förteckningen i artikel 83.1 i EUF-fördraget.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Europaparlamentet är bekymrat över den tilltagande tendensen att bestämmelser, såsom förordningen om digitala tjänster, utnyttjas för att föra fram politiska ståndpunkter och visioner som riskerar att äventyra yttrandefriheten.</w:t>
            </w:r>
            <w:r>
              <w:t xml:space="preserve"> </w:t>
            </w:r>
            <w:r>
              <w:rPr>
                <w:b/>
                <w:i/>
              </w:rPr>
              <w:t>Plattformar för sociala medier bör förbli platser där idéer kan utbytas fritt, utan rädsla för politiskt motiverad censur.</w:t>
            </w:r>
            <w:r>
              <w:t xml:space="preserve"> </w:t>
            </w:r>
            <w:r>
              <w:rPr>
                <w:b/>
                <w:i/>
              </w:rPr>
              <w:t>EU måste förbli vaksamt och motsätta sig alla försök att utnyttja innehållsmoderering för politiska ändamål och säkerställa skyddet av yttrandefriheten.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Europaparlamentet uppmanar eftertryckligen kommissionen att lägga fram en förnyad jämlikhetsstrategi för hbtqia+-personer efter 2025 som fullt ut tar itu med de nuvarande utmaningarna i hela Europa och gör hbtqia+-rättigheter till en övergripande prioritering inom alla politikområden.</w:t>
            </w:r>
            <w:r>
              <w:t xml:space="preserve"> </w:t>
            </w:r>
            <w:r>
              <w:rPr>
                <w:b/>
                <w:i/>
              </w:rPr>
              <w:t>Parlamentet betonar vikten av självbestämmande för hbtqia+-personer och erkännande av deras identiteter och rättigheter, utan åldersbegränsningar.</w:t>
            </w:r>
            <w:r>
              <w:t xml:space="preserve"> </w:t>
            </w:r>
            <w:r>
              <w:rPr>
                <w:b/>
                <w:i/>
              </w:rPr>
              <w:t>Parlamentet manar till skydd och främjande av hbtqia+-personers fysiska och psykiska hälsa.</w:t>
            </w:r>
            <w:r>
              <w:t xml:space="preserve"> </w:t>
            </w:r>
            <w:r>
              <w:rPr>
                <w:b/>
                <w:i/>
              </w:rPr>
              <w:t>Kommissionen uppmanas kraftfullt att lägga fram lagstiftningsförslag för att bekämpa hatbrott och hatpropaganda på grund av könsidentitet och sexuell läggning, och att garantera lika rättigheter för samkönade par.</w:t>
            </w:r>
            <w:r>
              <w:t xml:space="preserve"> </w:t>
            </w:r>
            <w:r>
              <w:rPr>
                <w:b/>
                <w:i/>
              </w:rPr>
              <w:t>Kommissionen uppmanas eftertryckligen att lägga fram ett förslag om ett bindande EU-förbud mot omvändelsemetoder i alla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Europaparlamentet uppmanar kommissionen och medlemsstaterna att bekämpa diskriminering på grund av ras eller etniskt ursprung, religion eller övertygelse, nationalitet, politisk åskådning, språk, funktionsnedsättning, ålder, kön, inbegripet könsidentitet och könsuttryck, samt sexuell läggning.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Europaparlamentet välkomnar kommissionens initiativ att ta med Albanien, Montenegro, Nordmakedonien och Serbien i sin årliga rättsstatsrapport och efterlyser en noggrann utvärdering av rättsstaten i dessa anslutningsländer.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Europaparlamentet välkomnar kommissionens initiativ att ta med Albanien, Montenegro, Nordmakedonien och Serbien i sin årliga rättsstatsrapport och efterlyser en noggrann utvärdering av rättsstaten i dessa anslutningsländer.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Europaparlamentet välkomnar kommissionens initiativ att ta med Albanien, Montenegro, Nordmakedonien och Serbien i sin årliga rättsstatsrapport och efterlyser en noggrann utvärdering av rättsstaten i dessa anslutningsländer.</w:t>
            </w:r>
          </w:p>
        </w:tc>
        <w:tc>
          <w:tcPr>
            <w:tcW w:w="4876" w:type="dxa"/>
            <w:tcBorders>
              <w:top w:val="nil"/>
              <w:left w:val="nil"/>
              <w:bottom w:val="nil"/>
              <w:right w:val="nil"/>
            </w:tcBorders>
          </w:tcPr>
          <w:p>
            <w:pPr>
              <w:pStyle w:val="Normal6a"/>
            </w:pPr>
            <w:r>
              <w:t>38.</w:t>
            </w:r>
            <w:r>
              <w:tab/>
            </w:r>
            <w:r>
              <w:t xml:space="preserve">Europaparlamentet välkomnar </w:t>
            </w:r>
            <w:r>
              <w:rPr>
                <w:b/>
                <w:i/>
              </w:rPr>
              <w:t>utvidgningen av kommissionens rättsstatsrapport till kandidatländer, vilket inskärper att EU:s grundläggande värden måste respekteras inte bara av de nuvarande medlemsstaterna utan även av framtida medlemmar under anslutningsprocesserna.</w:t>
            </w:r>
            <w:r>
              <w:t xml:space="preserve"> </w:t>
            </w:r>
            <w:r>
              <w:rPr>
                <w:b/>
                <w:i/>
              </w:rPr>
              <w:t>Parlamentet välkomnar</w:t>
            </w:r>
            <w:r>
              <w:t xml:space="preserve"> kommissionens initiativ att ta med Albanien, Montenegro, Nordmakedonien och Serbien i sin årliga rättsstatsrapport och efterlyser en noggrann utvärdering av rättsstaten i dessa anslutningsländer. </w:t>
            </w:r>
            <w:r>
              <w:rPr>
                <w:b/>
                <w:i/>
              </w:rPr>
              <w:t>Parlamentet förväntar sig att kommissionen inkluderar alla kandidatländer i sin rättsstatsrapport för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för utskottet för medborgerliga fri- och rättigheter samt rättsliga och inrikes frågor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Europaparlamentet välkomnar kommissionens initiativ att ta med Albanien, Montenegro, Nordmakedonien och Serbien i sin årliga rättsstatsrapport och efterlyser en noggrann utvärdering av rättsstaten i </w:t>
            </w:r>
            <w:r>
              <w:rPr>
                <w:b/>
                <w:i/>
              </w:rPr>
              <w:t>dessa anslutningsländer</w:t>
            </w:r>
            <w:r>
              <w:t>.</w:t>
            </w:r>
          </w:p>
        </w:tc>
        <w:tc>
          <w:tcPr>
            <w:tcW w:w="4876" w:type="dxa"/>
            <w:tcBorders>
              <w:top w:val="nil"/>
              <w:left w:val="nil"/>
              <w:bottom w:val="nil"/>
              <w:right w:val="nil"/>
            </w:tcBorders>
          </w:tcPr>
          <w:p>
            <w:pPr>
              <w:pStyle w:val="Normal6a"/>
            </w:pPr>
            <w:r>
              <w:t>38.</w:t>
            </w:r>
            <w:r>
              <w:tab/>
            </w:r>
            <w:r>
              <w:t xml:space="preserve">Europaparlamentet välkomnar kommissionens initiativ att ta med Albanien, Montenegro, Nordmakedonien och Serbien i sin årliga rättsstatsrapport och efterlyser en noggrann utvärdering av rättsstaten i </w:t>
            </w:r>
            <w:r>
              <w:rPr>
                <w:b/>
                <w:i/>
              </w:rPr>
              <w:t>alla länder som befinner sig i en anslutningsprocess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Europaparlamentet </w:t>
            </w:r>
            <w:r>
              <w:rPr>
                <w:b/>
                <w:i/>
              </w:rPr>
              <w:t>välkomnar</w:t>
            </w:r>
            <w:r>
              <w:t xml:space="preserve"> kommissionens initiativ att ta med Albanien, Montenegro, Nordmakedonien och Serbien i sin årliga rättsstatsrapport och efterlyser en noggrann utvärdering av rättsstaten i dessa anslutningsländer.</w:t>
            </w:r>
          </w:p>
        </w:tc>
        <w:tc>
          <w:tcPr>
            <w:tcW w:w="4876" w:type="dxa"/>
            <w:tcBorders>
              <w:top w:val="nil"/>
              <w:left w:val="nil"/>
              <w:bottom w:val="nil"/>
              <w:right w:val="nil"/>
            </w:tcBorders>
          </w:tcPr>
          <w:p>
            <w:pPr>
              <w:pStyle w:val="Normal6a"/>
            </w:pPr>
            <w:r>
              <w:t>38.</w:t>
            </w:r>
            <w:r>
              <w:tab/>
            </w:r>
            <w:r>
              <w:t xml:space="preserve">Europaparlamentet </w:t>
            </w:r>
            <w:r>
              <w:rPr>
                <w:b/>
                <w:i/>
              </w:rPr>
              <w:t>noterar</w:t>
            </w:r>
            <w:r>
              <w:t xml:space="preserve"> kommissionens initiativ att ta med Albanien, Montenegro, Nordmakedonien och Serbien i sin årliga rättsstatsrapport och efterlyser en noggrann utvärdering av rättsstaten i dessa anslutningsländer.</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Europaparlamentet välkomnar kommissionens initiativ att ta med Albanien, Montenegro, Nordmakedonien och Serbien i sin årliga rättsstatsrapport och efterlyser en noggrann utvärdering av rättsstaten i </w:t>
            </w:r>
            <w:r>
              <w:rPr>
                <w:b/>
                <w:i/>
              </w:rPr>
              <w:t>dessa anslutningsländer</w:t>
            </w:r>
            <w:r>
              <w:t>.</w:t>
            </w:r>
          </w:p>
        </w:tc>
        <w:tc>
          <w:tcPr>
            <w:tcW w:w="4876" w:type="dxa"/>
            <w:tcBorders>
              <w:top w:val="nil"/>
              <w:left w:val="nil"/>
              <w:bottom w:val="nil"/>
              <w:right w:val="nil"/>
            </w:tcBorders>
          </w:tcPr>
          <w:p>
            <w:pPr>
              <w:pStyle w:val="Normal6a"/>
            </w:pPr>
            <w:r>
              <w:t>38.</w:t>
            </w:r>
            <w:r>
              <w:tab/>
            </w:r>
            <w:r>
              <w:t xml:space="preserve">Europaparlamentet välkomnar kommissionens initiativ att ta med Albanien, Montenegro, Nordmakedonien och Serbien i sin årliga rättsstatsrapport och efterlyser en noggrann utvärdering av rättsstaten i </w:t>
            </w:r>
            <w:r>
              <w:rPr>
                <w:b/>
                <w:i/>
              </w:rPr>
              <w:t>alla länder på västra Balkan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Europaparlamentet välkomnar kommissionens initiativ att ta med Albanien, Montenegro, </w:t>
            </w:r>
            <w:r>
              <w:rPr>
                <w:b/>
                <w:i/>
              </w:rPr>
              <w:t>Nordmakedonien</w:t>
            </w:r>
            <w:r>
              <w:t xml:space="preserve"> och Serbien i sin årliga rättsstatsrapport och efterlyser en noggrann utvärdering av rättsstaten i dessa </w:t>
            </w:r>
            <w:r>
              <w:rPr>
                <w:b/>
                <w:i/>
              </w:rPr>
              <w:t>anslutningsländer</w:t>
            </w:r>
            <w:r>
              <w:t>.</w:t>
            </w:r>
          </w:p>
        </w:tc>
        <w:tc>
          <w:tcPr>
            <w:tcW w:w="4876" w:type="dxa"/>
            <w:tcBorders>
              <w:top w:val="nil"/>
              <w:left w:val="nil"/>
              <w:bottom w:val="nil"/>
              <w:right w:val="nil"/>
            </w:tcBorders>
          </w:tcPr>
          <w:p>
            <w:pPr>
              <w:pStyle w:val="Normal6a"/>
            </w:pPr>
            <w:r>
              <w:t>38.</w:t>
            </w:r>
            <w:r>
              <w:tab/>
            </w:r>
            <w:r>
              <w:t xml:space="preserve">Europaparlamentet välkomnar kommissionens initiativ att ta med Albanien, Montenegro, </w:t>
            </w:r>
            <w:r>
              <w:rPr>
                <w:b/>
                <w:i/>
              </w:rPr>
              <w:t>Skopje</w:t>
            </w:r>
            <w:r>
              <w:t xml:space="preserve"> och Serbien i sin årliga rättsstatsrapport och efterlyser en noggrann utvärdering av rättsstaten i dessa </w:t>
            </w:r>
            <w:r>
              <w:rPr>
                <w:b/>
                <w:i/>
              </w:rPr>
              <w:t>länder under övervägande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Europaparlamentet uppdrar åt talmannen att översända denna resolution till rådet </w:t>
            </w:r>
            <w:r>
              <w:rPr>
                <w:b/>
                <w:i/>
              </w:rPr>
              <w:t>och kommissionen</w:t>
            </w:r>
            <w:r>
              <w:t>.</w:t>
            </w:r>
          </w:p>
        </w:tc>
        <w:tc>
          <w:tcPr>
            <w:tcW w:w="4876" w:type="dxa"/>
            <w:tcBorders>
              <w:top w:val="nil"/>
              <w:left w:val="nil"/>
              <w:bottom w:val="nil"/>
              <w:right w:val="nil"/>
            </w:tcBorders>
          </w:tcPr>
          <w:p>
            <w:pPr>
              <w:pStyle w:val="Normal6a"/>
            </w:pPr>
            <w:r>
              <w:t>39.</w:t>
            </w:r>
            <w:r>
              <w:tab/>
            </w:r>
            <w:r>
              <w:t>Europaparlamentet uppdrar åt talmannen att översända denna resolution till rådet</w:t>
            </w:r>
            <w:r>
              <w:rPr>
                <w:b/>
                <w:i/>
              </w:rPr>
              <w:t>, kommissionen, Europeiska unionens byrå för grundläggande rättigheter och Europarådet samt till medlemsstaternas regeringar och parlament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Europaparlamentet uppdrar åt talmannen att översända denna resolution till rådet </w:t>
            </w:r>
            <w:r>
              <w:rPr>
                <w:b/>
                <w:i/>
              </w:rPr>
              <w:t>och kommissionen</w:t>
            </w:r>
            <w:r>
              <w:t>.</w:t>
            </w:r>
          </w:p>
        </w:tc>
        <w:tc>
          <w:tcPr>
            <w:tcW w:w="4876" w:type="dxa"/>
            <w:tcBorders>
              <w:top w:val="nil"/>
              <w:left w:val="nil"/>
              <w:bottom w:val="nil"/>
              <w:right w:val="nil"/>
            </w:tcBorders>
          </w:tcPr>
          <w:p>
            <w:pPr>
              <w:pStyle w:val="Normal6a"/>
            </w:pPr>
            <w:r>
              <w:t>39.</w:t>
            </w:r>
            <w:r>
              <w:tab/>
            </w:r>
            <w:r>
              <w:t>Europaparlamentet uppdrar åt talmannen att översända denna resolution till rådet</w:t>
            </w:r>
            <w:r>
              <w:rPr>
                <w:b/>
                <w:i/>
              </w:rPr>
              <w:t>, kommissionen och medlemsstaterna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51</w:t>
    </w:r>
    <w:r>
      <w:fldChar w:fldCharType="end"/>
    </w:r>
    <w:r>
      <w:tab/>
    </w:r>
    <w:r>
      <w:rPr>
        <w:rStyle w:val="HideTWBExt"/>
      </w:rPr>
      <w:t>&lt;PathFdR&gt;</w:t>
    </w:r>
    <w:r>
      <w:t>AM\1315576SV.docx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AM\1315576SV.docx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51</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AM\1315576SV.docx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9490</Words>
  <Characters>66557</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149249</vt:lpwstr>
  </property>
  <property fmtid="{D5CDD505-2E9C-101B-9397-08002B2CF9AE}" pid="7" name="dmxml.render.traceId">
    <vt:lpwstr>67dd2c83b295c4d70793d8c5a25e48a4</vt:lpwstr>
  </property>
  <property fmtid="{D5CDD505-2E9C-101B-9397-08002B2CF9AE}" pid="8" name="FooterPath">
    <vt:lpwstr>AM\1315576SV.docx</vt:lpwstr>
  </property>
  <property fmtid="{D5CDD505-2E9C-101B-9397-08002B2CF9AE}" pid="9" name="PE Number">
    <vt:lpwstr>769.959</vt:lpwstr>
  </property>
  <property fmtid="{D5CDD505-2E9C-101B-9397-08002B2CF9AE}" pid="10" name="UID">
    <vt:lpwstr>eu.europa.europarl-DIN1-2025-0000027564_02.00-sv-01.00_text-xml</vt:lpwstr>
  </property>
</Properties>
</file>