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Commissie burgerlijke vrijheden, justitie en binnenlandse zaken</w:t>
      </w:r>
      <w:r>
        <w:rPr>
          <w:rStyle w:val="HideTWBExt"/>
        </w:rPr>
        <w:t>&lt;/Commission&gt;</w:t>
      </w:r>
    </w:p>
    <w:p>
      <w:pPr>
        <w:pStyle w:val="LineBottom"/>
      </w:pPr>
      <w:r>
        <w:t xml:space="preserve"> </w:t>
      </w:r>
    </w:p>
    <w:p>
      <w:pPr>
        <w:pStyle w:val="CoverReference"/>
      </w:pPr>
      <w:r>
        <w:rPr>
          <w:rStyle w:val="HideTWBExt"/>
        </w:rPr>
        <w:t>&lt;RefProc&gt;</w:t>
      </w:r>
      <w:r>
        <w:t>2023/0438</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{20/03/2025}</w:t>
      </w:r>
      <w:r>
        <w:t>20.3.2025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50</w:t>
      </w:r>
      <w:r>
        <w:t xml:space="preserve"> - </w:t>
      </w:r>
      <w:r>
        <w:t>326</w:t>
      </w:r>
      <w:r>
        <w:rPr>
          <w:rStyle w:val="HideTWBExt"/>
        </w:rPr>
        <w:t>&lt;/RangeAM&gt;</w:t>
      </w:r>
    </w:p>
    <w:p>
      <w:pPr>
        <w:pStyle w:val="CoverBold"/>
      </w:pPr>
      <w:r>
        <w:rPr>
          <w:rStyle w:val="HideTWBExt"/>
        </w:rPr>
        <w:t>&lt;TitreType&gt;</w:t>
      </w:r>
      <w:r>
        <w:t>Ontwerpverslag</w:t>
      </w:r>
      <w:r>
        <w:rPr>
          <w:rStyle w:val="HideTWBExt"/>
        </w:rPr>
        <w:t>&lt;/TitreType&gt;</w:t>
      </w:r>
    </w:p>
    <w:p>
      <w:pPr>
        <w:pStyle w:val="CoverBold"/>
      </w:pPr>
      <w:r>
        <w:rPr>
          <w:rStyle w:val="HideTWBExt"/>
        </w:rPr>
        <w:t>&lt;Rapporteur&gt;</w:t>
      </w:r>
      <w:r>
        <w:t>Jeroen Lenaers</w:t>
      </w:r>
      <w:r>
        <w:rPr>
          <w:rStyle w:val="HideTWBExt"/>
        </w:rPr>
        <w:t>&lt;/Rapporteur&gt;</w:t>
      </w:r>
    </w:p>
    <w:p>
      <w:pPr>
        <w:pStyle w:val="CoverNormal24a"/>
      </w:pPr>
      <w:r>
        <w:rPr>
          <w:rStyle w:val="HideTWBExt"/>
        </w:rPr>
        <w:t>&lt;DocRefPE&gt;</w:t>
      </w:r>
      <w:r>
        <w:t>(PE768.042v01-00)</w:t>
      </w:r>
      <w:r>
        <w:rPr>
          <w:rStyle w:val="HideTWBExt"/>
        </w:rPr>
        <w:t>&lt;/DocRefPE&gt;</w:t>
      </w:r>
    </w:p>
    <w:p>
      <w:pPr>
        <w:pStyle w:val="CoverNormal24a"/>
      </w:pPr>
      <w:r>
        <w:rPr>
          <w:rStyle w:val="HideTWBExt"/>
        </w:rPr>
        <w:t>&lt;Titre&gt;</w:t>
      </w:r>
      <w:r>
        <w:t>Versterking van de politiële samenwerking met het oog op het voorkomen, opsporen en onderzoeken van migrantensmokkel en mensenhandel, en betreffende de versterking van de ondersteuning door Europol van de voorkoming en bestrijding van die strafbare feiten, en tot wijziging van Verordening (EU) 2016/794</w:t>
      </w:r>
      <w:r>
        <w:rPr>
          <w:rStyle w:val="HideTWBExt"/>
        </w:rPr>
        <w:t>&lt;/Titre&gt;</w:t>
      </w:r>
    </w:p>
    <w:p>
      <w:pPr>
        <w:pStyle w:val="CoverNormal"/>
      </w:pPr>
      <w:r>
        <w:rPr>
          <w:rStyle w:val="HideTWBExt"/>
        </w:rPr>
        <w:t>&lt;DocAmend&gt;</w:t>
      </w:r>
      <w:r>
        <w:t>Voorstel voor een verordening</w:t>
      </w:r>
      <w:r>
        <w:rPr>
          <w:rStyle w:val="HideTWBExt"/>
        </w:rPr>
        <w:t>&lt;/DocAmend&gt;</w:t>
      </w:r>
    </w:p>
    <w:p>
      <w:pPr>
        <w:pStyle w:val="CoverNormal24a"/>
      </w:pPr>
      <w:r>
        <w:rPr>
          <w:rStyle w:val="HideTWBExt"/>
        </w:rPr>
        <w:t>&lt;DocRef&gt;</w:t>
      </w:r>
      <w:r>
        <w:t>(COM(2023)0754 – C9-0431/2023 – 2023/0438(COD))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Voorstel tot verwerping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Het Europees Parlement verwerpt [het voorstel van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p>
        </w:tc>
        <w:tc>
          <w:tcPr>
            <w:tcW w:w="4876" w:type="dxa"/>
            <w:tcBorders>
              <w:top w:val="nil"/>
              <w:left w:val="nil"/>
              <w:bottom w:val="nil"/>
              <w:right w:val="nil"/>
            </w:tcBorders>
          </w:tcPr>
          <w:p>
            <w:pPr>
              <w:pStyle w:val="AmColumnHeading"/>
            </w:pPr>
            <w:r>
              <w:t>Voorstel tot verwerping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Het Europees Parlement verwerpt [het voorstel van de Commissie].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Voorstel voor een</w:t>
            </w:r>
            <w:r>
              <w:t>VERORDENING VAN HET EUROPEES PARLEMENT EN DE RAAD</w:t>
            </w:r>
            <w:r>
              <w:rPr>
                <w:b/>
                <w:i/>
              </w:rPr>
              <w:t>betreffende de versterking van de politiële samenwerking met het oog op het voorkomen, opsporen en onderzoeken van migrantensmokkel en mensenhandel, en betreffende de versterking van de ondersteuning door Europol van de voorkoming en bestrijding van die strafbare feiten, en tot wijziging</w:t>
            </w:r>
            <w:r>
              <w:t xml:space="preserve"> van Verordening (EU) 2016/794</w:t>
            </w:r>
          </w:p>
        </w:tc>
        <w:tc>
          <w:tcPr>
            <w:tcW w:w="4876" w:type="dxa"/>
            <w:tcBorders>
              <w:top w:val="nil"/>
              <w:left w:val="nil"/>
              <w:bottom w:val="nil"/>
              <w:right w:val="nil"/>
            </w:tcBorders>
          </w:tcPr>
          <w:p>
            <w:pPr>
              <w:pStyle w:val="Normal6a"/>
            </w:pPr>
            <w:r>
              <w:t>Voorstel voor een</w:t>
            </w:r>
            <w:r>
              <w:t>VERORDENING VAN HET EUROPEES PARLEMENT EN DE RAAD</w:t>
            </w:r>
            <w:r>
              <w:rPr>
                <w:b/>
                <w:i/>
              </w:rPr>
              <w:t>tot wĳziging</w:t>
            </w:r>
            <w:r>
              <w:t xml:space="preserve">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Voorstel voor een</w:t>
            </w:r>
            <w:r>
              <w:t>VERORDENING VAN HET EUROPEES PARLEMENT EN DE RAAD</w:t>
            </w:r>
            <w:r>
              <w:rPr>
                <w:b/>
                <w:i/>
              </w:rPr>
              <w:t>betreffende de versterking van de politiële samenwerking met het oog op het voorkomen, opsporen en onderzoeken van migrantensmokkel en mensenhandel, en betreffende de versterking van</w:t>
            </w:r>
            <w:r>
              <w:t xml:space="preserve"> de ondersteuning door Europol van de voorkoming en bestrijding van </w:t>
            </w:r>
            <w:r>
              <w:rPr>
                <w:b/>
                <w:i/>
              </w:rPr>
              <w:t>die strafbare feiten, en tot wijziging van Verordening (EU) 2016/794</w:t>
            </w:r>
          </w:p>
        </w:tc>
        <w:tc>
          <w:tcPr>
            <w:tcW w:w="4876" w:type="dxa"/>
            <w:tcBorders>
              <w:top w:val="nil"/>
              <w:left w:val="nil"/>
              <w:bottom w:val="nil"/>
              <w:right w:val="nil"/>
            </w:tcBorders>
          </w:tcPr>
          <w:p>
            <w:pPr>
              <w:pStyle w:val="Normal6a"/>
            </w:pPr>
            <w:r>
              <w:t>Voorstel voor een</w:t>
            </w:r>
            <w:r>
              <w:t>VERORDENING VAN HET EUROPEES PARLEMENT EN DE RAAD</w:t>
            </w:r>
            <w:r>
              <w:rPr>
                <w:b/>
                <w:i/>
              </w:rPr>
              <w:t>tot wijziging van Verordening (EU) 2016/794, wat betreft</w:t>
            </w:r>
            <w:r>
              <w:t xml:space="preserve"> de ondersteuning door Europol van de voorkoming en bestrijding van </w:t>
            </w:r>
            <w:r>
              <w:rPr>
                <w:b/>
                <w:i/>
              </w:rPr>
              <w:t>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Voorstel voor een</w:t>
            </w:r>
            <w:r>
              <w:t>VERORDENING VAN HET EUROPEES PARLEMENT EN DE RAAD</w:t>
            </w:r>
            <w:r>
              <w:rPr>
                <w:b/>
                <w:i/>
              </w:rPr>
              <w:t>betreffende de</w:t>
            </w:r>
            <w:r>
              <w:t xml:space="preserve"> versterking van de </w:t>
            </w:r>
            <w:r>
              <w:rPr>
                <w:b/>
                <w:i/>
              </w:rPr>
              <w:t>politiële samenwerking met het oog op</w:t>
            </w:r>
            <w:r>
              <w:t xml:space="preserve"> het voorkomen, opsporen en onderzoeken van migrantensmokkel en mensenhandel</w:t>
            </w:r>
            <w:r>
              <w:rPr>
                <w:b/>
                <w:i/>
              </w:rPr>
              <w:t>, en betreffende de versterking van de ondersteuning door Europol van de voorkoming en bestrijding van die strafbare feiten, en tot wijziging van Verordening (EU) 2016/794</w:t>
            </w:r>
          </w:p>
        </w:tc>
        <w:tc>
          <w:tcPr>
            <w:tcW w:w="4876" w:type="dxa"/>
            <w:tcBorders>
              <w:top w:val="nil"/>
              <w:left w:val="nil"/>
              <w:bottom w:val="nil"/>
              <w:right w:val="nil"/>
            </w:tcBorders>
          </w:tcPr>
          <w:p>
            <w:pPr>
              <w:pStyle w:val="Normal6a"/>
            </w:pPr>
            <w:r>
              <w:t>Voorstel voor een</w:t>
            </w:r>
            <w:r>
              <w:t>VERORDENING VAN HET EUROPEES PARLEMENT EN DE RAAD</w:t>
            </w:r>
            <w:r>
              <w:rPr>
                <w:b/>
                <w:i/>
              </w:rPr>
              <w:t>tot wijziging van Verordening (EU) 2016/794 ter</w:t>
            </w:r>
            <w:r>
              <w:t xml:space="preserve"> versterking van de </w:t>
            </w:r>
            <w:r>
              <w:rPr>
                <w:b/>
                <w:i/>
              </w:rPr>
              <w:t>steun van Europol voor</w:t>
            </w:r>
            <w:r>
              <w:t xml:space="preserve"> het voorkomen, opsporen en onderzoeken van migrantensmokkel en mensenhandel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Voorstel voor een</w:t>
            </w:r>
            <w:r>
              <w:t>VERORDENING VAN HET EUROPEES PARLEMENT EN DE RAAD</w:t>
            </w:r>
            <w:r>
              <w:rPr>
                <w:b/>
                <w:i/>
              </w:rPr>
              <w:t>betreffende de versterking van de politiële samenwerking met het oog op het voorkomen, opsporen en onderzoeken van migrantensmokkel en mensenhandel, en betreffende de versterking van</w:t>
            </w:r>
            <w:r>
              <w:t xml:space="preserve"> de ondersteuning door Europol van </w:t>
            </w:r>
            <w:r>
              <w:rPr>
                <w:b/>
                <w:i/>
              </w:rPr>
              <w:t>de voorkoming en bestrijding van die strafbare feiten</w:t>
            </w:r>
            <w:r>
              <w:t xml:space="preserve">, </w:t>
            </w:r>
            <w:r>
              <w:rPr>
                <w:b/>
                <w:i/>
              </w:rPr>
              <w:t>en tot wijziging van Verordening (EU) 2016/794</w:t>
            </w:r>
          </w:p>
        </w:tc>
        <w:tc>
          <w:tcPr>
            <w:tcW w:w="4876" w:type="dxa"/>
            <w:tcBorders>
              <w:top w:val="nil"/>
              <w:left w:val="nil"/>
              <w:bottom w:val="nil"/>
              <w:right w:val="nil"/>
            </w:tcBorders>
          </w:tcPr>
          <w:p>
            <w:pPr>
              <w:pStyle w:val="Normal6a"/>
            </w:pPr>
            <w:r>
              <w:t>Voorstel voor een</w:t>
            </w:r>
            <w:r>
              <w:t>VERORDENING VAN HET EUROPEES PARLEMENT EN DE RAAD</w:t>
            </w:r>
            <w:r>
              <w:rPr>
                <w:b/>
                <w:i/>
              </w:rPr>
              <w:t>tot wijziging van Verordening (EU) 2016/794, wat betreft</w:t>
            </w:r>
            <w:r>
              <w:t xml:space="preserve"> de ondersteuning door Europol van </w:t>
            </w:r>
            <w:r>
              <w:rPr>
                <w:b/>
                <w:i/>
              </w:rPr>
              <w:t>het voorkomen</w:t>
            </w:r>
            <w:r>
              <w:t xml:space="preserve">, </w:t>
            </w:r>
            <w:r>
              <w:rPr>
                <w:b/>
                <w:i/>
              </w:rPr>
              <w:t>opsporen en onderzoeken van 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Titel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Voorstel voor een</w:t>
            </w:r>
            <w:r>
              <w:t>VERORDENING VAN HET EUROPEES PARLEMENT EN DE RAAD</w:t>
            </w:r>
            <w:r>
              <w:t>betreffende de versterking van de politiële samenwerking met het oog op het voorkomen, opsporen en onderzoeken van migrantensmokkel en mensenhandel, en betreffende de versterking van de ondersteuning door Europol van de voorkoming en bestrijding van die strafbare feiten, en tot wijziging van Verordening (EU) 2016/794</w:t>
            </w:r>
          </w:p>
        </w:tc>
        <w:tc>
          <w:tcPr>
            <w:tcW w:w="4876" w:type="dxa"/>
            <w:tcBorders>
              <w:top w:val="nil"/>
              <w:left w:val="nil"/>
              <w:bottom w:val="nil"/>
              <w:right w:val="nil"/>
            </w:tcBorders>
          </w:tcPr>
          <w:p>
            <w:pPr>
              <w:pStyle w:val="Normal6a"/>
            </w:pPr>
            <w:r>
              <w:t>Voorstel voor een</w:t>
            </w:r>
            <w:r>
              <w:t>VERORDENING VAN HET EUROPEES PARLEMENT EN DE RAAD</w:t>
            </w:r>
            <w:r>
              <w:t xml:space="preserve">betreffende de versterking van de politiële samenwerking met het oog op het voorkomen, opsporen en onderzoeken van </w:t>
            </w:r>
            <w:r>
              <w:rPr>
                <w:b/>
                <w:i/>
              </w:rPr>
              <w:t>uitbuitende vormen van</w:t>
            </w:r>
            <w:r>
              <w:t xml:space="preserve"> migrantensmokkel en mensenhandel, en betreffende de versterking van de ondersteuning door Europol van de voorkoming en bestrijding van die strafbare feiten, en tot wijziging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Het Agentschap van de Europese Unie voor samenwerking op het gebied van rechtshandhaving (Europol) is opgericht bij Verordening (EU) 2016/794 van het Europees Parlement en de Raad</w:t>
            </w:r>
            <w:r>
              <w:rPr>
                <w:vertAlign w:val="superscript"/>
              </w:rPr>
              <w:t>1</w:t>
            </w:r>
            <w:r>
              <w:rPr>
                <w:b/>
                <w:i/>
              </w:rPr>
              <w:t>ter ondersteuning en versterking van het optreden van de bevoegde autoriteiten van de lidstaten en hun wederzijdse samenwerking bij de voorkoming en bestrijding van zware criminaliteit waardoor twee of meer lidstaten worden getroffen, van terrorisme en van vormen van criminaliteit die een schending inhouden van een gemeenschappelijk belang dat tot het beleid van de Unie behoort</w:t>
            </w:r>
            <w:r>
              <w:t>.</w:t>
            </w:r>
          </w:p>
        </w:tc>
        <w:tc>
          <w:tcPr>
            <w:tcW w:w="4876" w:type="dxa"/>
            <w:tcBorders>
              <w:top w:val="nil"/>
              <w:left w:val="nil"/>
              <w:bottom w:val="nil"/>
              <w:right w:val="nil"/>
            </w:tcBorders>
          </w:tcPr>
          <w:p>
            <w:pPr>
              <w:pStyle w:val="Normal6a"/>
            </w:pPr>
            <w:r>
              <w:t>(1)</w:t>
            </w:r>
            <w:r>
              <w:tab/>
            </w:r>
            <w:r>
              <w:t>Het Agentschap van de Europese Unie voor samenwerking op het gebied van rechtshandhaving (Europol) is opgericht bij Verordening (EU) 2016/794 van het Europees Parlement en de Raad</w:t>
            </w:r>
            <w:r>
              <w:rPr>
                <w:vertAlign w:val="superscript"/>
              </w:rPr>
              <w:t>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 ELI: https://eur-lex.europa.eu/eli/reg/2016/794/oj).</w:t>
            </w:r>
          </w:p>
        </w:tc>
        <w:tc>
          <w:tcPr>
            <w:tcW w:w="4876" w:type="dxa"/>
            <w:tcBorders>
              <w:top w:val="nil"/>
              <w:left w:val="nil"/>
              <w:bottom w:val="nil"/>
              <w:right w:val="nil"/>
            </w:tcBorders>
          </w:tcPr>
          <w:p>
            <w:pPr>
              <w:pStyle w:val="Normal6a"/>
            </w:pPr>
            <w:r>
              <w:rPr>
                <w:vertAlign w:val="superscript"/>
              </w:rPr>
              <w:t>1</w:t>
            </w:r>
            <w:r>
              <w:t xml:space="preserve"> </w:t>
            </w:r>
            <w:r>
              <w:t>Verordening (EU) 2016/794 van het Europees Parlement en de Raad van 11 mei 2016 betreffende het Agentschap van de Europese Unie voor samenwerking op het gebied van rechtshandhaving (Europol) en tot vervanging en intrekking van de Besluiten 2009/371/JBZ, 2009/934/JBZ, 2009/935/JBZ, 2009/936/JBZ en 2009/968/JBZ van de Raad (PB L 135 van 24.5.2016, blz. 53, ELI: https://eur-lex.europa.eu/eli/reg/2016/794/oj).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De capaciteit van Europol moet zodanig worden ontwikkeld dat ook situaties aangepakt kunnen worden waarbij de binnenkomst van migranten als drukmiddel is ingezet, en waarbij mogelijk niet-overheidsactoren betrokken zijn, zoals de georganiseerde misdaad.</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Migrantensmokkel is een </w:t>
            </w:r>
            <w:r>
              <w:rPr>
                <w:b/>
                <w:i/>
              </w:rPr>
              <w:t>criminele</w:t>
            </w:r>
            <w:r>
              <w:t xml:space="preserve"> activiteit waarbij het menselijk leven en de menselijke waardigheid worden miskend bij het nastreven van winst, en waarbij de grondrechten van de betrokkenen </w:t>
            </w:r>
            <w:r>
              <w:rPr>
                <w:b/>
                <w:i/>
              </w:rPr>
              <w:t>en de doelstellingen van de Unie op het gebied van migratiebeheer</w:t>
            </w:r>
            <w:r>
              <w:t xml:space="preserve"> worden ondermijnd. </w:t>
            </w:r>
            <w:r>
              <w:rPr>
                <w:b/>
                <w:i/>
              </w:rPr>
              <w:t>De 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w:t>
            </w:r>
            <w:r>
              <w:t xml:space="preserve"> Daartoe is het </w:t>
            </w:r>
            <w:r>
              <w:rPr>
                <w:b/>
                <w:i/>
              </w:rPr>
              <w:t>ook</w:t>
            </w:r>
            <w:r>
              <w:t xml:space="preserve"> belangrijk de respons van de rechtshandhavingsinstanties op </w:t>
            </w:r>
            <w:r>
              <w:rPr>
                <w:b/>
                <w:i/>
              </w:rPr>
              <w:t>migrantensmokkel en mensenhandel</w:t>
            </w:r>
            <w:r>
              <w:t xml:space="preserve"> te versterken door de </w:t>
            </w:r>
            <w:r>
              <w:rPr>
                <w:b/>
                <w:i/>
              </w:rPr>
              <w:t>capaciteiten van</w:t>
            </w:r>
            <w:r>
              <w:t xml:space="preserve"> Europol</w:t>
            </w:r>
            <w:r>
              <w:rPr>
                <w:b/>
                <w:i/>
              </w:rPr>
              <w:t>, en met name zijn gespecialiseerd kenniscentrum van de Unie voor de bestrijding van migrantensmokkel en mensenhandel</w:t>
            </w:r>
            <w:r>
              <w:t xml:space="preserve"> te versterken.</w:t>
            </w:r>
          </w:p>
        </w:tc>
        <w:tc>
          <w:tcPr>
            <w:tcW w:w="4876" w:type="dxa"/>
            <w:tcBorders>
              <w:top w:val="nil"/>
              <w:left w:val="nil"/>
              <w:bottom w:val="nil"/>
              <w:right w:val="nil"/>
            </w:tcBorders>
          </w:tcPr>
          <w:p>
            <w:pPr>
              <w:pStyle w:val="Normal6a"/>
            </w:pPr>
            <w:r>
              <w:t>(2)</w:t>
            </w:r>
            <w:r>
              <w:tab/>
            </w:r>
            <w:r>
              <w:t xml:space="preserve">Migrantensmokkel is een </w:t>
            </w:r>
            <w:r>
              <w:rPr>
                <w:b/>
                <w:i/>
              </w:rPr>
              <w:t>gecriminaliseerde</w:t>
            </w:r>
            <w:r>
              <w:t xml:space="preserve"> activiteit waarbij het menselijk leven en de menselijke waardigheid </w:t>
            </w:r>
            <w:r>
              <w:rPr>
                <w:b/>
                <w:i/>
              </w:rPr>
              <w:t>kunnen</w:t>
            </w:r>
            <w:r>
              <w:t xml:space="preserve"> worden miskend bij het nastreven van winst, en waarbij de grondrechten van de betrokkenen worden ondermijnd. Daartoe is het belangrijk de respons van de rechtshandhavingsinstanties op </w:t>
            </w:r>
            <w:r>
              <w:rPr>
                <w:b/>
                <w:i/>
              </w:rPr>
              <w:t>uitbuitende vormen van migrantensmokkel</w:t>
            </w:r>
            <w:r>
              <w:t xml:space="preserve"> te versterken door de </w:t>
            </w:r>
            <w:r>
              <w:rPr>
                <w:b/>
                <w:i/>
              </w:rPr>
              <w:t>samenwerking tussen</w:t>
            </w:r>
            <w:r>
              <w:t xml:space="preserve"> Europol </w:t>
            </w:r>
            <w:r>
              <w:rPr>
                <w:b/>
                <w:i/>
              </w:rPr>
              <w:t>en de nationale autoriteiten</w:t>
            </w:r>
            <w:r>
              <w:t xml:space="preserve">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Migrantensmokkel is een criminele activiteit waarbij het menselijk leven en de menselijke waardigheid worden miskend bij het nastreven van winst, en waarbij de grondrechten van de betrokkenen </w:t>
            </w:r>
            <w:r>
              <w:rPr>
                <w:b/>
                <w:i/>
              </w:rPr>
              <w:t>en de doelstellingen van de Unie op het gebied van migratiebeheer</w:t>
            </w:r>
            <w:r>
              <w:t xml:space="preserve"> worden ondermijnd. De </w:t>
            </w:r>
            <w:r>
              <w:rPr>
                <w:b/>
                <w:i/>
              </w:rPr>
              <w:t>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w:t>
            </w:r>
            <w:r>
              <w:t xml:space="preserve"> </w:t>
            </w:r>
            <w:r>
              <w:rPr>
                <w:b/>
                <w:i/>
              </w:rPr>
              <w:t>Daartoe is het ook belangrijk de respons van de rechtshandhavingsinstanties op migrantensmokkel en mensenhandel te versterken door de capaciteiten van Europol, en met name zijn gespecialiseerd kenniscentrum van de Unie voor de bestrijding van migrantensmokkel en mensenhandel te versterken</w:t>
            </w:r>
            <w:r>
              <w:t>.</w:t>
            </w:r>
          </w:p>
        </w:tc>
        <w:tc>
          <w:tcPr>
            <w:tcW w:w="4876" w:type="dxa"/>
            <w:tcBorders>
              <w:top w:val="nil"/>
              <w:left w:val="nil"/>
              <w:bottom w:val="nil"/>
              <w:right w:val="nil"/>
            </w:tcBorders>
          </w:tcPr>
          <w:p>
            <w:pPr>
              <w:pStyle w:val="Normal6a"/>
            </w:pPr>
            <w:r>
              <w:t>(2)</w:t>
            </w:r>
            <w:r>
              <w:tab/>
            </w:r>
            <w:r>
              <w:t xml:space="preserve">Migrantensmokkel is een criminele activiteit waarbij het menselijk leven en de menselijke waardigheid worden miskend bij het nastreven van winst, en waarbij de grondrechten van de betrokkenen worden ondermijnd. De </w:t>
            </w:r>
            <w:r>
              <w:rPr>
                <w:b/>
                <w:i/>
              </w:rPr>
              <w:t>criminelen die erachter zitten, grijpen de kans aan die wordt geboden door het feit dat mensen gedwongen worden of de wens hebben te ontsnappen, niet alleen aan armoede en een gebrek aan arbeidskansen, maar ook aan natuurrampen, conflicten of vervolging.</w:t>
            </w:r>
            <w:r>
              <w:t xml:space="preserve"> </w:t>
            </w:r>
            <w:r>
              <w:rPr>
                <w:b/>
                <w:i/>
              </w:rPr>
              <w:t>Kwetsbare personen, waaronder asielzoekers en vluchtelingen, worden vaak beschuldigd van migrantensmokkel vanwege de ruime contouren van dit misdrijf</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Migrantensmokkel is een criminele activiteit waarbij het menselijk leven en de menselijke waardigheid worden miskend bij het nastreven van winst, en waarbij de grondrechten van de betrokkenen en de doelstellingen van de Unie op het gebied van migratiebeheer worden ondermijnd. De 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 Daartoe is het ook belangrijk de respons van de rechtshandhavingsinstanties op migrantensmokkel en mensenhandel te versterken door de capaciteiten van Europol, en met name zijn gespecialiseerd kenniscentrum van de Unie voor de bestrijding van migrantensmokkel en mensenhandel te versterken.</w:t>
            </w:r>
          </w:p>
        </w:tc>
        <w:tc>
          <w:tcPr>
            <w:tcW w:w="4876" w:type="dxa"/>
            <w:tcBorders>
              <w:top w:val="nil"/>
              <w:left w:val="nil"/>
              <w:bottom w:val="nil"/>
              <w:right w:val="nil"/>
            </w:tcBorders>
          </w:tcPr>
          <w:p>
            <w:pPr>
              <w:pStyle w:val="Normal6a"/>
            </w:pPr>
            <w:r>
              <w:t>(2)</w:t>
            </w:r>
            <w:r>
              <w:tab/>
            </w:r>
            <w:r>
              <w:t xml:space="preserve">Migrantensmokkel is een criminele activiteit waarbij het menselijk leven en de menselijke waardigheid worden miskend bij het nastreven van winst, en waarbij de grondrechten van de betrokkenen </w:t>
            </w:r>
            <w:r>
              <w:rPr>
                <w:b/>
                <w:i/>
              </w:rPr>
              <w:t>worden geschonden, de illegale binnenkomst op het grondgebied van de Unie wordt bevorderd</w:t>
            </w:r>
            <w:r>
              <w:t xml:space="preserve"> en de doelstellingen van de Unie op het gebied van migratiebeheer worden ondermijnd. De 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 Daartoe is het ook belangrijk de respons van de rechtshandhavingsinstanties op migrantensmokkel en mensenhandel te versterken door de capaciteiten van Europol, en met name zijn gespecialiseerd kenniscentrum van de Unie voor de bestrijding van migrantensmokkel en mensenhandel te versterken.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Migrantensmokkel is een criminele activiteit waarbij het menselijk leven en de menselijke waardigheid worden miskend bij het nastreven van winst, en waarbij de grondrechten van de betrokkenen en de doelstellingen van de Unie op het gebied van </w:t>
            </w:r>
            <w:r>
              <w:rPr>
                <w:b/>
                <w:i/>
              </w:rPr>
              <w:t>migratiebeheer</w:t>
            </w:r>
            <w:r>
              <w:t xml:space="preserve"> worden ondermijnd. De 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 Daartoe is het ook belangrijk de respons van de rechtshandhavingsinstanties op migrantensmokkel en mensenhandel te versterken door de capaciteiten van Europol, en met name zijn gespecialiseerd kenniscentrum van de Unie voor de bestrijding van migrantensmokkel en mensenhandel te versterken.</w:t>
            </w:r>
          </w:p>
        </w:tc>
        <w:tc>
          <w:tcPr>
            <w:tcW w:w="4876" w:type="dxa"/>
            <w:tcBorders>
              <w:top w:val="nil"/>
              <w:left w:val="nil"/>
              <w:bottom w:val="nil"/>
              <w:right w:val="nil"/>
            </w:tcBorders>
          </w:tcPr>
          <w:p>
            <w:pPr>
              <w:pStyle w:val="Normal6a"/>
            </w:pPr>
            <w:r>
              <w:t>(2)</w:t>
            </w:r>
            <w:r>
              <w:tab/>
            </w:r>
            <w:r>
              <w:t xml:space="preserve">Migrantensmokkel is een criminele activiteit waarbij het menselijk leven en de menselijke waardigheid worden miskend bij het nastreven van winst, en waarbij de grondrechten van de betrokkenen en de doelstellingen van de Unie op het gebied van </w:t>
            </w:r>
            <w:r>
              <w:rPr>
                <w:b/>
                <w:i/>
              </w:rPr>
              <w:t>de bestrijding van illegale migratie</w:t>
            </w:r>
            <w:r>
              <w:t xml:space="preserve"> worden ondermijnd. De Europese Raad heeft in zijn conclusies van 9 februari 2023 het belang van de strijd tegen mensensmokkelaars bevestigd en zich bereid verklaard de maatregelen om irregulier vertrek en verlies van mensenlevens te voorkomen, op te voeren, onder meer door de samenwerking met landen van herkomst en doorreis te intensiveren. Daartoe is het ook belangrijk de respons van de rechtshandhavingsinstanties op migrantensmokkel en mensenhandel te versterken door de capaciteiten van Europol, en met name zijn gespecialiseerd kenniscentrum van de Unie voor de bestrijding van migrantensmokkel en mensenhandel te versterken.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Migrantensmokkel en mensenhandel zijn onderscheiden misdrijven.</w:t>
            </w:r>
            <w:r>
              <w:t xml:space="preserve"> </w:t>
            </w:r>
            <w:r>
              <w:rPr>
                <w:b/>
                <w:i/>
              </w:rPr>
              <w:t>In het internationaal recht verwijst migrantensmokkel naar de bewerkstelliging van de illegale binnenkomst en/of het illegale verblijf van een persoon in een land waarvan deze geen onderdaan of ingezetene is, om een financieel of ander materieel voordeel te verkrijgen (artikel 3 van het VN-protocol inzake mensensmokkel).</w:t>
            </w:r>
            <w:r>
              <w:t xml:space="preserve"> </w:t>
            </w:r>
            <w:r>
              <w:rPr>
                <w:b/>
                <w:i/>
              </w:rPr>
              <w:t>Migrantensmokkel wordt gewoonlijk beschouwd als een misdrijf tegen de staat omdat hiermee de immigratiewetgeving wordt geschonden, in plaats van een misdrijf rechtstreeks tegen de individuele migrant, hoewel migranten erdoor kunnen worden blootgesteld aan gevaarlijke of onmenselijke omstandigheden.</w:t>
            </w:r>
            <w:r>
              <w:t xml:space="preserve"> </w:t>
            </w:r>
            <w:r>
              <w:rPr>
                <w:b/>
                <w:i/>
              </w:rPr>
              <w:t>Mensenhandel omvat dan weer het rekruteren, vervoeren, overbrengen, onderbrengen of ontvangen van personen met geweld, dwang, fraude, misleiding of misbruik van macht of een kwetsbare positie met het oog op uitbuiting (artikel 3 van het VN-protocol inzake mensenhandel).</w:t>
            </w:r>
            <w:r>
              <w:t xml:space="preserve"> </w:t>
            </w:r>
            <w:r>
              <w:rPr>
                <w:b/>
                <w:i/>
              </w:rPr>
              <w:t>Mensenhandel wordt beschouwd als een misdrijf tegen personen en kan ook plaatsvinden zonder dat er een grens wordt overschreden.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Mensenhandel is een ernstig, vaak in het kader van georganiseerde misdaad gepleegd misdrijf, is een grove schending van de grondrechten en is uitdrukkelijk verboden bij het Handvest van de grondrechten van de Europese Unie (het ‘Handvest’).</w:t>
            </w:r>
            <w:r>
              <w:t xml:space="preserve"> </w:t>
            </w:r>
            <w:r>
              <w:rPr>
                <w:b/>
                <w:i/>
              </w:rPr>
              <w:t>Het voorkomen en bestrijden van mensenhandel en het ondersteunen van de slachtoffers van mensenhandel, ongeacht hun land van herkomst, blijft een prioriteit voor de Unie en de lidstaten.</w:t>
            </w:r>
            <w:r>
              <w:t xml:space="preserve"> </w:t>
            </w:r>
            <w:r>
              <w:rPr>
                <w:b/>
                <w:i/>
              </w:rPr>
              <w:t>Daartoe is het ook belangrijk de respons van de rechtshandhavingsinstanties op mensenhandel te versterken door de samenwerking tussen Europol en de nationale autoriteiten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Kwetsbare personen zijn vaak de belangrijkste slachtoffers van migrantensmokkel en mensenhandel.</w:t>
            </w:r>
            <w:r>
              <w:t xml:space="preserve"> </w:t>
            </w:r>
            <w:r>
              <w:rPr>
                <w:b/>
                <w:i/>
              </w:rPr>
              <w:t>De versterking van de rechtshandhavingsinspanningen om migrantensmokkel en mensenhandel te voorkomen, op te sporen en te onderzoeken, moet hand in hand gaan met het waarborgen van de bescherming van slachtoffers en de eerbiediging van hun grondrechten.</w:t>
            </w:r>
            <w:r>
              <w:t xml:space="preserve"> </w:t>
            </w:r>
            <w:r>
              <w:rPr>
                <w:b/>
                <w:i/>
              </w:rPr>
              <w:t>Het is met name belangrijk ervoor te zorgen dat het slachtoffer niet verward wordt met of behandeld wordt als de misdadiger.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In 2016 heeft de raad van bestuur van Europol overeenkomstig artikel 11, lid 1, punt s), van Verordening (EU) 2016/794 een “Europees Centrum tegen migrantensmokkel” opgericht als een dergelijk gespecialiseerd kenniscentrum van de Unie.</w:t>
            </w:r>
            <w:r>
              <w:t xml:space="preserve"> </w:t>
            </w:r>
            <w:r>
              <w:rPr>
                <w:b/>
                <w:i/>
              </w:rPr>
              <w:t>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w:t>
            </w:r>
            <w:r>
              <w:t xml:space="preserve"> </w:t>
            </w:r>
            <w:r>
              <w:rPr>
                <w:b/>
                <w:i/>
              </w:rPr>
              <w:t>De toename van irreguliere aankomsten in de Unie en van niet-toegestane verplaatsingen binnen de Unie,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xml:space="preserve"> s)</w:t>
            </w:r>
            <w:r>
              <w:t xml:space="preserve">, van Verordening (EU) 2016/794 een “Europees Centrum tegen migrantensmokkel” opgericht als een dergelijk gespecialiseerd kenniscentrum van de Unie. </w:t>
            </w:r>
            <w:r>
              <w:rPr>
                <w:b/>
                <w:i/>
              </w:rPr>
              <w:t>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w:t>
            </w:r>
            <w:r>
              <w:t xml:space="preserve"> </w:t>
            </w:r>
            <w:r>
              <w:rPr>
                <w:b/>
                <w:i/>
              </w:rPr>
              <w:t>De toename van irreguliere aankomsten in de Unie en van niet-toegestane verplaatsingen binnen de Unie,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s)</w:t>
            </w:r>
            <w:r>
              <w:t>, van Verordening (EU) 2016/794 een “Europees Centrum tegen migrantensmokkel” opgericht als een dergelijk gespecialiseerd kenniscentrum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xml:space="preserve"> s)</w:t>
            </w:r>
            <w:r>
              <w:t xml:space="preserve">,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irreguliere aankomsten in de Unie en van niet-toegestane verplaatsingen binnen de Unie, het snelle aanpassingsvermogen van criminele georganiseerde groepen, de ontwikkeling van nieuwe werkwijzen en geavanceerde methoden vereisen </w:t>
            </w:r>
            <w:r>
              <w:rPr>
                <w:b/>
                <w:i/>
              </w:rPr>
              <w:t>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w:t>
            </w:r>
            <w:r>
              <w:t xml:space="preserve"> bij de voorkoming en bestrijding van migrantensmokkel en mensenhandel </w:t>
            </w:r>
            <w:r>
              <w:rPr>
                <w:b/>
                <w:i/>
              </w:rPr>
              <w:t>te versterken. Die structuur moet de naam “Europees Centrum tegen migrantensmokkel” dragen</w:t>
            </w:r>
            <w:r>
              <w:t>.</w:t>
            </w:r>
          </w:p>
        </w:tc>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s)</w:t>
            </w:r>
            <w:r>
              <w:t xml:space="preserve">,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irreguliere aankomsten in de Unie en van niet-toegestane verplaatsingen binnen de Unie, het snelle aanpassingsvermogen van criminele georganiseerde groepen, de ontwikkeling van nieuwe werkwijzen en geavanceerde methoden vereisen </w:t>
            </w:r>
            <w:r>
              <w:rPr>
                <w:b/>
                <w:i/>
              </w:rPr>
              <w:t>een hoge mate van flexibiliteit van dit instrument, zodat het breder kan worden ingezet om de lidstaten te ondersteunen</w:t>
            </w:r>
            <w:r>
              <w:t xml:space="preserve"> bij de voorkoming en bestrijding van migrantensmokkel en mensenhandel.</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xml:space="preserve"> s)</w:t>
            </w:r>
            <w:r>
              <w:t xml:space="preserve">,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w:t>
            </w:r>
            <w:r>
              <w:rPr>
                <w:b/>
                <w:i/>
              </w:rPr>
              <w:t>De toename van irreguliere aankomsten in de Unie en van niet-toegestane verplaatsingen binnen de Unie,</w:t>
            </w:r>
            <w:r>
              <w:t xml:space="preserv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s)</w:t>
            </w:r>
            <w:r>
              <w:t>,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Migratieniveaus verantwoorden geen strafrechtelijk onderzoek.</w:t>
      </w:r>
      <w:r>
        <w:t xml:space="preserve"> </w:t>
      </w:r>
      <w:r>
        <w:t>Meer bevoegdheden voor Europol zijn verantwoord om de criminele netwerken aan te pakken die zich inlaten met het smokkelen van mensen voor het gewin.</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xml:space="preserve"> s)</w:t>
            </w:r>
            <w:r>
              <w:t>,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irreguliere aankomsten in de Unie en van niet-toegestane verplaatsingen binnen de Unie,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c>
          <w:tcPr>
            <w:tcW w:w="4876" w:type="dxa"/>
            <w:tcBorders>
              <w:top w:val="nil"/>
              <w:left w:val="nil"/>
              <w:bottom w:val="nil"/>
              <w:right w:val="nil"/>
            </w:tcBorders>
          </w:tcPr>
          <w:p>
            <w:pPr>
              <w:pStyle w:val="Normal6a"/>
            </w:pPr>
            <w:r>
              <w:t>(3)</w:t>
            </w:r>
            <w:r>
              <w:tab/>
            </w:r>
            <w:r>
              <w:t>In 2016 heeft de raad van bestuur van Europol overeenkomstig artikel 11, lid 1, punt</w:t>
            </w:r>
            <w:r>
              <w:rPr>
                <w:b/>
                <w:i/>
              </w:rPr>
              <w:t> s)</w:t>
            </w:r>
            <w:r>
              <w:t>,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irreguliere aankomsten in de Unie en van niet-toegestane verplaatsingen binnen de Unie, het snelle aanpassingsvermogen van criminele georganiseerde groepen</w:t>
            </w:r>
            <w:r>
              <w:rPr>
                <w:b/>
                <w:i/>
              </w:rPr>
              <w:t>, de toenemende instrumentalisering van migranten</w:t>
            </w:r>
            <w:r>
              <w:t>,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In 2016 heeft de raad van bestuur van Europol overeenkomstig artikel 11, lid 1, punt s),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w:t>
            </w:r>
            <w:r>
              <w:rPr>
                <w:b/>
                <w:i/>
              </w:rPr>
              <w:t>irreguliere</w:t>
            </w:r>
            <w:r>
              <w:t xml:space="preserve"> aankomsten in de Unie en van niet-toegestane verplaatsingen binnen de Unie,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c>
          <w:tcPr>
            <w:tcW w:w="4876" w:type="dxa"/>
            <w:tcBorders>
              <w:top w:val="nil"/>
              <w:left w:val="nil"/>
              <w:bottom w:val="nil"/>
              <w:right w:val="nil"/>
            </w:tcBorders>
          </w:tcPr>
          <w:p>
            <w:pPr>
              <w:pStyle w:val="Normal6a"/>
            </w:pPr>
            <w:r>
              <w:t>(3)</w:t>
            </w:r>
            <w:r>
              <w:tab/>
            </w:r>
            <w:r>
              <w:t xml:space="preserve">In 2016 heeft de raad van bestuur van Europol overeenkomstig artikel 11, lid 1, punt s), van Verordening (EU) 2016/794 een “Europees Centrum tegen migrantensmokkel” opgericht als een dergelijk gespecialiseerd kenniscentrum van de Unie. Het heeft zich sinds zijn oprichting voortdurend ontwikkeld en heeft zijn reeks activiteiten uitgebreid om de lidstaten de beste ondersteuning te bieden als dynamisch platform voor operationele samenwerking, informatie-uitwisseling en coördinatie tussen de lidstaten en partners die betrokken zijn bij de bestrijding van migrantensmokkel en mensenhandel. De toename van </w:t>
            </w:r>
            <w:r>
              <w:rPr>
                <w:b/>
                <w:i/>
              </w:rPr>
              <w:t>illegale</w:t>
            </w:r>
            <w:r>
              <w:t xml:space="preserve"> aankomsten in de Unie en van niet-toegestane verplaatsingen binnen de Unie, het snelle aanpassingsvermogen van criminele georganiseerde groepen, de ontwikkeling van nieuwe werkwijzen en geavanceerde methoden vereisen dringend een aanzienlijke versterking van de rol van het gespecialiseerde kenniscentrum van de Unie van Europol voor de bestrijding van migrantensmokkel en mensenhandel, door het tot een permanente structuur binnen Europol om te vormen en zijn betrokkenheid bij de ondersteuning van de lidstaten bij de voorkoming en bestrijding van migrantensmokkel en mensenhandel te versterken. Die structuur moet de naam “Europees Centrum tegen migrantensmokkel” dragen.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Het Europees Centrum tegen migrantensmokkel moet de lidstaten strategische, operationele en technische ondersteuning bieden om migrantensmokkel en mensenhandel te voorkomen en te bestrijden.</w:t>
            </w:r>
            <w:r>
              <w:t xml:space="preserve"> </w:t>
            </w:r>
            <w:r>
              <w:rPr>
                <w:b/>
                <w:i/>
              </w:rPr>
              <w:t>Als onderdeel van zijn strategische taken moet het een kader bieden voor de uitvoering van strategische en operationele prioriteiten van de Unie door toezicht te houden op trends op het gebied van migrantensmokkel en mensenhandel.</w:t>
            </w:r>
            <w:r>
              <w:t xml:space="preserve"> </w:t>
            </w:r>
            <w:r>
              <w:rPr>
                <w:b/>
                <w:i/>
              </w:rPr>
              <w:t>Daartoe moet het jaarverslagen, strategische analyses, dreigingsevaluaties en situatieupdates over migratieroutes en werkwijzen verstrekken, met inbegrip van aanwijzingen dat mogelijk particuliere partijen worden gebruikt voor migrantensmokkel en mensenhandel.</w:t>
            </w:r>
            <w:r>
              <w:t xml:space="preserve"> </w:t>
            </w:r>
            <w:r>
              <w:rPr>
                <w:b/>
                <w:i/>
              </w:rPr>
              <w:t>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Het Europees Centrum tegen migrantensmokkel moet de lidstaten strategische, operationele en technische ondersteuning bieden om migrantensmokkel en mensenhandel te voorkomen en te bestrijden.</w:t>
            </w:r>
            <w:r>
              <w:t xml:space="preserve"> </w:t>
            </w:r>
            <w:r>
              <w:rPr>
                <w:b/>
                <w:i/>
              </w:rPr>
              <w:t>Als onderdeel van zijn strategische taken moet het een kader bieden voor de uitvoering van strategische en operationele prioriteiten van de Unie door toezicht te houden op trends op het gebied van migrantensmokkel en mensenhandel.</w:t>
            </w:r>
            <w:r>
              <w:t xml:space="preserve"> </w:t>
            </w:r>
            <w:r>
              <w:rPr>
                <w:b/>
                <w:i/>
              </w:rPr>
              <w:t>Daartoe moet het jaarverslagen, strategische analyses, dreigingsevaluaties en situatieupdates over migratieroutes en werkwijzen verstrekken, met inbegrip van aanwijzingen dat mogelijk particuliere partijen worden gebruikt voor migrantensmokkel en mensenhandel.</w:t>
            </w:r>
            <w:r>
              <w:t xml:space="preserve"> </w:t>
            </w:r>
            <w:r>
              <w:rPr>
                <w:b/>
                <w:i/>
              </w:rPr>
              <w:t>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volgende schrappingen van de overwegingen 4 tot en met 16 hebben betrekking op de schrapping van de artikelen over de op zichzelf staande verordening en de governance van het centrum.</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 Nikola Minchev, 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Het Europees Centrum tegen migrantensmokkel moet de lidstaten strategische, operationele en technische ondersteuning bieden om migrantensmokkel en mensenhandel te voorkomen en te bestrijden. Als onderdeel van zijn strategische taken moet het een kader bieden voor de uitvoering van strategische en operationele prioriteiten van de Unie door toezicht te houden op trends op het gebied van migrantensmokkel en mensenhandel. Daartoe moet het jaarverslagen, strategische analyses, dreigingsevaluaties en situatieupdates over migratieroutes en werkwijzen verstrekken, met inbegrip van aanwijzingen dat mogelijk particuliere partijen worden gebruikt voor migrantensmokkel en mensenhandel. 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c>
          <w:tcPr>
            <w:tcW w:w="4876" w:type="dxa"/>
            <w:tcBorders>
              <w:top w:val="nil"/>
              <w:left w:val="nil"/>
              <w:bottom w:val="nil"/>
              <w:right w:val="nil"/>
            </w:tcBorders>
          </w:tcPr>
          <w:p>
            <w:pPr>
              <w:pStyle w:val="Normal6a"/>
            </w:pPr>
            <w:r>
              <w:t>(4)</w:t>
            </w:r>
            <w:r>
              <w:tab/>
            </w:r>
            <w:r>
              <w:t>Het Europees Centrum tegen migrantensmokkel moet de lidstaten strategische, operationele en technische ondersteuning bieden om migrantensmokkel en mensenhandel te voorkomen en te bestrijden. Als onderdeel van zijn strategische taken moet het een kader bieden voor de uitvoering van strategische en operationele prioriteiten van de Unie door toezicht te houden op trends op het gebied van migrantensmokkel en mensenhandel. Daartoe moet het jaarverslagen, strategische analyses, dreigingsevaluaties en situatieupdates over migratieroutes en werkwijzen verstrekken, met inbegrip van aanwijzingen dat mogelijk particuliere partijen worden gebruikt voor migrantensmokkel en mensenhandel</w:t>
            </w:r>
            <w:r>
              <w:rPr>
                <w:b/>
                <w:i/>
              </w:rPr>
              <w:t>, rekening houdend met reeds bestaande gegevens van EU-agentschappen zoals het Europees Grens- en kustwachtagentschap of het Asielagentschap van de Europese Unie</w:t>
            </w:r>
            <w:r>
              <w:t>. 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Het Europees Centrum tegen migrantensmokkel moet de lidstaten strategische, operationele en technische ondersteuning bieden om migrantensmokkel en mensenhandel te voorkomen en te bestrijden. Als onderdeel van zijn strategische taken moet het een kader bieden voor de uitvoering van strategische en operationele prioriteiten van de Unie door toezicht te houden op trends op het gebied van migrantensmokkel en mensenhandel. Daartoe moet het jaarverslagen, strategische analyses, </w:t>
            </w:r>
            <w:r>
              <w:rPr>
                <w:b/>
                <w:i/>
              </w:rPr>
              <w:t>dreigingsevaluaties</w:t>
            </w:r>
            <w:r>
              <w:t xml:space="preserve"> en situatieupdates over migratieroutes en werkwijzen verstrekken, met inbegrip van aanwijzingen dat mogelijk particuliere partijen worden gebruikt voor migrantensmokkel en mensenhandel. 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c>
          <w:tcPr>
            <w:tcW w:w="4876" w:type="dxa"/>
            <w:tcBorders>
              <w:top w:val="nil"/>
              <w:left w:val="nil"/>
              <w:bottom w:val="nil"/>
              <w:right w:val="nil"/>
            </w:tcBorders>
          </w:tcPr>
          <w:p>
            <w:pPr>
              <w:pStyle w:val="Normal6a"/>
            </w:pPr>
            <w:r>
              <w:t>(4)</w:t>
            </w:r>
            <w:r>
              <w:tab/>
            </w:r>
            <w:r>
              <w:t xml:space="preserve">Het Europees Centrum tegen migrantensmokkel moet de lidstaten strategische, </w:t>
            </w:r>
            <w:r>
              <w:rPr>
                <w:b/>
                <w:i/>
              </w:rPr>
              <w:t>interdisciplinaire,</w:t>
            </w:r>
            <w:r>
              <w:t xml:space="preserve"> operationele en technische ondersteuning bieden om migrantensmokkel en mensenhandel te voorkomen en te bestrijden. Als onderdeel van zijn strategische taken moet het een kader bieden voor de uitvoering van strategische en operationele prioriteiten van de Unie door toezicht te houden op trends </w:t>
            </w:r>
            <w:r>
              <w:rPr>
                <w:b/>
                <w:i/>
              </w:rPr>
              <w:t>en ontwikkelingen</w:t>
            </w:r>
            <w:r>
              <w:t xml:space="preserve"> op het gebied van migrantensmokkel en mensenhandel. Daartoe moet het jaarverslagen, strategische analyses, </w:t>
            </w:r>
            <w:r>
              <w:rPr>
                <w:b/>
                <w:i/>
              </w:rPr>
              <w:t>dreigings- en risico-evaluaties</w:t>
            </w:r>
            <w:r>
              <w:t xml:space="preserve"> en situatieupdates over migratieroutes en werkwijzen verstrekken, met inbegrip van aanwijzingen dat mogelijk particuliere partijen worden gebruikt voor migrantensmokkel en mensenhandel. In het kader van de uitvoering van zijn strategische en operationele taken moet het Europees Centrum tegen migrantensmokkel samenwerken met de Europese Dienst voor extern optreden en missies en operaties in het kader van het gemeenschappelijk veiligheids- en defensiebeleid, waar passend en relevant, in overeenstemming met hun respectieve mandaten en bevoegdheden en overeenkomstig het mandaat van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 en het Europees Grens- en kustwachtagentschap, te verbeteren, in overeenstemming met hun respectieve rechtskaders, onder meer door middel van werkafspraken tussen de agentschappen van de Unie.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 en het Europees Grens- en kustwachtagentschap, te verbeteren, in overeenstemming met hun respectieve rechtskaders</w:t>
            </w:r>
            <w:r>
              <w:rPr>
                <w:b/>
                <w:i/>
              </w:rPr>
              <w:t>, onder meer door middel van werkafspraken tussen de agentschappen van de Unie</w:t>
            </w:r>
            <w:r>
              <w:t>.</w:t>
            </w:r>
          </w:p>
        </w:tc>
        <w:tc>
          <w:tcPr>
            <w:tcW w:w="4876" w:type="dxa"/>
            <w:tcBorders>
              <w:top w:val="nil"/>
              <w:left w:val="nil"/>
              <w:bottom w:val="nil"/>
              <w:right w:val="nil"/>
            </w:tcBorders>
          </w:tcPr>
          <w:p>
            <w:pPr>
              <w:pStyle w:val="Normal6a"/>
            </w:pPr>
            <w:r>
              <w:t>(5)</w:t>
            </w:r>
            <w:r>
              <w:tab/>
            </w:r>
            <w:r>
              <w:t xml:space="preserve">Om de samenwerking tussen agentschappen op het gebied van </w:t>
            </w:r>
            <w:r>
              <w:rPr>
                <w:b/>
                <w:i/>
              </w:rPr>
              <w:t>de bestrijding van criminele organisaties en netwerken die betrokken zijn bij</w:t>
            </w:r>
            <w:r>
              <w:t xml:space="preserve"> migrantensmokkel en mensenhandel te versterken, moet het Europees Centrum tegen migrantensmokkel voorzien in een middel om de </w:t>
            </w:r>
            <w:r>
              <w:rPr>
                <w:b/>
                <w:i/>
              </w:rPr>
              <w:t>doeltreffende en transparante</w:t>
            </w:r>
            <w:r>
              <w:t xml:space="preserve"> samenwerking en coördinatie tussen Europol en andere agentschappen van de Unie, met name Eurojust en het Europees Grens- en kustwachtagentschap, te verbeteren, in overeenstemming met hun respectieve rechtskaders</w:t>
            </w:r>
            <w:r>
              <w:rPr>
                <w:b/>
                <w:i/>
              </w:rPr>
              <w:t>.</w:t>
            </w:r>
            <w:r>
              <w:t xml:space="preserve"> </w:t>
            </w:r>
            <w:r>
              <w:rPr>
                <w:b/>
                <w:i/>
              </w:rPr>
              <w:t>In geen geval mag de samenwerking tussen Europol en het Europees Grens- en kustwachtagentschap verder gaan dan Verordening (EU) 2019/1896.</w:t>
            </w:r>
            <w:r>
              <w:t xml:space="preserve"> </w:t>
            </w:r>
            <w:r>
              <w:rPr>
                <w:b/>
                <w:i/>
              </w:rPr>
              <w:t>In dit verband moet een duidelijk en transparant governancekader worden opgezet met duidelijk omschreven rollen, taken, verantwoordelijkheden en verantwoordingsplicht van alle betrokken belanghebbenden, met name wat de uitwisseling van persoonsgegevens betreft, en moet de GPC worden geïnformeerd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toevoeging van “bestrijding van criminele organisaties en netwerken” is van toepassing op de gehele tekst.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 en het Europees Grens- en kustwachtagentschap, te verbeteren, in overeenstemming met hun respectieve rechtskaders, onder meer door middel van werkafspraken tussen de agentschappen van de Unie.</w:t>
            </w:r>
          </w:p>
        </w:tc>
        <w:tc>
          <w:tcPr>
            <w:tcW w:w="4876" w:type="dxa"/>
            <w:tcBorders>
              <w:top w:val="nil"/>
              <w:left w:val="nil"/>
              <w:bottom w:val="nil"/>
              <w:right w:val="nil"/>
            </w:tcBorders>
          </w:tcPr>
          <w:p>
            <w:pPr>
              <w:pStyle w:val="Normal6a"/>
            </w:pPr>
            <w:r>
              <w:t>(5)</w:t>
            </w:r>
            <w:r>
              <w:tab/>
            </w:r>
            <w:r>
              <w:t xml:space="preserve">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 en het Europees Grens- en kustwachtagentschap, te verbeteren, in overeenstemming met hun respectieve rechtskaders, onder meer door middel van werkafspraken tussen de agentschappen van de Unie. </w:t>
            </w:r>
            <w:r>
              <w:rPr>
                <w:b/>
                <w:i/>
              </w:rPr>
              <w:t>Om deze samenwerking te versterken, moeten de rollen van elke partij worden verduidelijkt, zodat elk agentschap opereert binnen zijn eigen rechtskader en alleen optreedt wanneer dat nodig is, d.w.z. wanneer gezamenlijk optreden toegevoegde waarde biedt.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 en het Europees Grens- en kustwachtagentschap, te verbeteren, in overeenstemming met hun respectieve rechtskaders, onder meer door middel van werkafspraken tussen de agentschappen van de Unie.</w:t>
            </w:r>
          </w:p>
        </w:tc>
        <w:tc>
          <w:tcPr>
            <w:tcW w:w="4876" w:type="dxa"/>
            <w:tcBorders>
              <w:top w:val="nil"/>
              <w:left w:val="nil"/>
              <w:bottom w:val="nil"/>
              <w:right w:val="nil"/>
            </w:tcBorders>
          </w:tcPr>
          <w:p>
            <w:pPr>
              <w:pStyle w:val="Normal6a"/>
            </w:pPr>
            <w:r>
              <w:t>(5)</w:t>
            </w:r>
            <w:r>
              <w:tab/>
            </w:r>
            <w:r>
              <w:t>Om de samenwerking tussen agentschappen op het gebied van migrantensmokkel en mensenhandel te versterken, moet het Europees Centrum tegen migrantensmokkel voorzien in een middel om de samenwerking en coördinatie tussen Europol en andere agentschappen van de Unie, met name Eurojust</w:t>
            </w:r>
            <w:r>
              <w:rPr>
                <w:b/>
                <w:i/>
              </w:rPr>
              <w:t>, het EU-Asielagentschap</w:t>
            </w:r>
            <w:r>
              <w:t xml:space="preserve"> en het Europees Grens- en kustwachtagentschap, te verbeteren, in overeenstemming met hun respectieve rechtskaders, onder meer door middel van werkafspraken tussen de agentschappen van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 en het Europees Grens- en kustwachtagentschap betrekken.</w:t>
            </w:r>
            <w:r>
              <w:t xml:space="preserve"> </w:t>
            </w:r>
            <w:r>
              <w:rPr>
                <w:b/>
                <w:i/>
              </w:rPr>
              <w:t>Het Europees Centrum tegen migrantensmokkel moet ten minste tweemaal per jaar een vergadering houden van de in het centrum vertegenwoordigde entiteiten om doeltreffende sturing en coördinatie op het niveau van de Unie te waarborgen.</w:t>
            </w:r>
            <w:r>
              <w:t xml:space="preserve"> </w:t>
            </w:r>
            <w:r>
              <w:rPr>
                <w:b/>
                <w:i/>
              </w:rPr>
              <w:t>Om het centrum in staat te stellen zijn taken te vervullen, moeten andere relevante interne structuren van Europol het alle nodige ondersteuning bieden.</w:t>
            </w:r>
            <w:r>
              <w:t xml:space="preserve"> </w:t>
            </w:r>
            <w:r>
              <w:rPr>
                <w:b/>
                <w:i/>
              </w:rPr>
              <w:t>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Om instrumenten als dit centrum flexibeler, sneller en efficiënter te maken, moeten organisatorische aspecten niet in de wetgeving worden opgenomen. Deze moeten aan het oordeel van de raad van bestuur worden overgelaten.</w:t>
      </w:r>
      <w:r>
        <w:t xml:space="preserve"> </w:t>
      </w:r>
      <w:r>
        <w:t xml:space="preserve">Deze motivering is eveneens van toepassing op soortgelijke amendementen. </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 en het Europees Grens- en kustwachtagentschap betrekken.</w:t>
            </w:r>
            <w:r>
              <w:t xml:space="preserve"> </w:t>
            </w:r>
            <w:r>
              <w:rPr>
                <w:b/>
                <w:i/>
              </w:rPr>
              <w:t>Het Europees Centrum tegen migrantensmokkel moet ten minste tweemaal per jaar een vergadering houden van de in het centrum vertegenwoordigde entiteiten om doeltreffende sturing en coördinatie op het niveau van de Unie te waarborgen.</w:t>
            </w:r>
            <w:r>
              <w:t xml:space="preserve"> </w:t>
            </w:r>
            <w:r>
              <w:rPr>
                <w:b/>
                <w:i/>
              </w:rPr>
              <w:t>Om het centrum in staat te stellen zijn taken te vervullen, moeten andere relevante interne structuren van Europol het alle nodige ondersteuning bieden.</w:t>
            </w:r>
            <w:r>
              <w:t xml:space="preserve"> </w:t>
            </w:r>
            <w:r>
              <w:rPr>
                <w:b/>
                <w:i/>
              </w:rPr>
              <w:t>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 en het Europees Grens- en kustwachtagentschap betrekken. Het Europees Centrum tegen migrantensmokkel moet ten minste tweemaal per jaar een vergadering houden van de in het centrum vertegenwoordigde entiteiten om doeltreffende sturing en coördinatie op het niveau van de Unie te waarborgen. Om het centrum in staat te stellen zijn taken te vervullen, moeten andere relevante interne structuren van Europol het alle nodige ondersteuning bieden. 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w:t>
            </w:r>
          </w:p>
        </w:tc>
        <w:tc>
          <w:tcPr>
            <w:tcW w:w="4876" w:type="dxa"/>
            <w:tcBorders>
              <w:top w:val="nil"/>
              <w:left w:val="nil"/>
              <w:bottom w:val="nil"/>
              <w:right w:val="nil"/>
            </w:tcBorders>
          </w:tcPr>
          <w:p>
            <w:pPr>
              <w:pStyle w:val="Normal6a"/>
            </w:pPr>
            <w:r>
              <w:t>(6)</w:t>
            </w:r>
            <w:r>
              <w:tab/>
            </w:r>
            <w:r>
              <w:t xml:space="preserve">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 en het Europees Grens- en kustwachtagentschap betrekken. Het Europees Centrum tegen migrantensmokkel moet ten minste tweemaal per jaar een vergadering houden van de in het centrum vertegenwoordigde entiteiten om doeltreffende sturing en coördinatie op het niveau van de Unie te waarborgen. Om het centrum in staat te stellen zijn taken te vervullen, moeten andere relevante interne structuren van Europol het alle nodige ondersteuning bieden. 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 </w:t>
            </w:r>
            <w:r>
              <w:rPr>
                <w:b/>
                <w:i/>
              </w:rPr>
              <w:t>Om een uniforme samenwerking van hoge kwaliteit te waarborgen, moet Europol ten minste om de twee jaar met eigen financiële middelen opleiding aanbieden aan vertegenwoordigers van de gespecialiseerde diensten van de lidstaten die met het Europees Centrum tegen migrantensmokkel samenwerken.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 en het Europees Grens- en kustwachtagentschap betrekken. Het Europees Centrum tegen migrantensmokkel moet ten minste tweemaal per jaar een vergadering houden van de in het centrum vertegenwoordigde entiteiten om doeltreffende sturing en coördinatie op het niveau van de Unie te waarborgen. Om het centrum in staat te stellen zijn taken te vervullen, moeten andere relevante interne structuren van Europol het alle nodige ondersteuning bieden. 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w:t>
            </w:r>
          </w:p>
        </w:tc>
        <w:tc>
          <w:tcPr>
            <w:tcW w:w="4876" w:type="dxa"/>
            <w:tcBorders>
              <w:top w:val="nil"/>
              <w:left w:val="nil"/>
              <w:bottom w:val="nil"/>
              <w:right w:val="nil"/>
            </w:tcBorders>
          </w:tcPr>
          <w:p>
            <w:pPr>
              <w:pStyle w:val="Normal6a"/>
            </w:pPr>
            <w:r>
              <w:t>(6)</w:t>
            </w:r>
            <w:r>
              <w:tab/>
            </w:r>
            <w:r>
              <w:t>Ter ondersteuning van zijn strategische analyse bij de voorkoming en bestrijding van migrantensmokkel en mensenhandel moet het Europees Centrum tegen migrantensmokkel voor strategische taken worden ondersteund door een samenwerkingskader dat bestaat uit personeelsleden van Europol en moet het daarbij vertegenwoordigers van de Commissie, de gespecialiseerde diensten van de lidstaten, het Agentschap van de Europese Unie voor justitiële samenwerking in strafzaken (Eurojust)</w:t>
            </w:r>
            <w:r>
              <w:rPr>
                <w:b/>
                <w:i/>
              </w:rPr>
              <w:t>, het Asielagentschap van de Europese Unie</w:t>
            </w:r>
            <w:r>
              <w:t xml:space="preserve"> en het Europees Grens- en kustwachtagentschap betrekken. Het Europees Centrum tegen migrantensmokkel moet ten minste tweemaal per jaar een vergadering houden van de in het centrum vertegenwoordigde entiteiten om doeltreffende sturing en coördinatie op het niveau van de Unie te waarborgen. Om het centrum in staat te stellen zijn taken te vervullen, moeten andere relevante interne structuren van Europol het alle nodige ondersteuning bieden. Om de doeltreffendheid van het Europees Centrum tegen migrantensmokkel te maximaliseren, moet Europol met name de belangrijkste actoren van het Europees multidisciplinair platform tegen criminaliteitsdreiging (Empact) en, indien nodig, andere relevante organen of agentschappen van de Unie kunnen uitnodigen.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Als onderdeel van de operationele en technische ondersteuning van de lidstaten moet het Europees Centrum tegen migrantensmokkel zorgen voor de coördinatie van de onderzoeks- en operationele acties van de lidstaten, met inbegrip van het ondersteunen van grensoverschrijdende informatie-uitwisseling, operaties en onderzoeken van de lidstaten, met name in het kader van Empact, onder meer door operationele, technische, forensische en financiële steun te verlenen.</w:t>
            </w:r>
            <w:r>
              <w:t xml:space="preserve"> </w:t>
            </w:r>
            <w:r>
              <w:rPr>
                <w:b/>
                <w:i/>
              </w:rPr>
              <w:t>Voorts moet Europol de lidstaten ondersteunen bij het identificeren van gevallen van migrantensmokkel en mensenhandel waarbij onderzoeken moeten worden ingesteld, indien nodig in samenwerking met Eurojust, in gevallen waarin operationele taskforces of de inzet van Europol voor operationele ondersteuning nodig zijn, en in gevallen waarin samenwerking met derde landen nodig kan zijn, onder meer door de uitwisseling van persoonsgegevens.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Als onderdeel van de operationele en technische ondersteuning van de lidstaten moet het Europees Centrum tegen migrantensmokkel zorgen voor de coördinatie van de onderzoeks- en operationele acties van de lidstaten, met inbegrip van het ondersteunen van grensoverschrijdende informatie-uitwisseling, operaties en onderzoeken van de lidstaten, met name in het kader van Empact, onder meer door operationele, technische, forensische en financiële steun te verlenen. Voorts moet Europol de lidstaten ondersteunen bij het identificeren van gevallen van migrantensmokkel en mensenhandel waarbij onderzoeken moeten worden ingesteld, indien nodig in samenwerking met Eurojust, in gevallen waarin operationele taskforces of de inzet van Europol voor operationele ondersteuning nodig zijn, en in gevallen waarin samenwerking met derde landen nodig kan zijn, onder meer door de uitwisseling van persoonsgegevens.</w:t>
            </w:r>
          </w:p>
        </w:tc>
        <w:tc>
          <w:tcPr>
            <w:tcW w:w="4876" w:type="dxa"/>
            <w:tcBorders>
              <w:top w:val="nil"/>
              <w:left w:val="nil"/>
              <w:bottom w:val="nil"/>
              <w:right w:val="nil"/>
            </w:tcBorders>
          </w:tcPr>
          <w:p>
            <w:pPr>
              <w:pStyle w:val="Normal6a"/>
            </w:pPr>
            <w:r>
              <w:t>(7)</w:t>
            </w:r>
            <w:r>
              <w:tab/>
            </w:r>
            <w:r>
              <w:t xml:space="preserve">Als onderdeel van de operationele en technische ondersteuning van de lidstaten moet het Europees Centrum tegen migrantensmokkel zorgen voor de coördinatie van de onderzoeks- en operationele acties van de lidstaten, met inbegrip van het ondersteunen van grensoverschrijdende informatie-uitwisseling, operaties en onderzoeken van de lidstaten, met name in het kader van Empact, onder meer door operationele, technische, forensische en financiële steun te verlenen. Voorts moet Europol de lidstaten ondersteunen bij het identificeren van gevallen van </w:t>
            </w:r>
            <w:r>
              <w:rPr>
                <w:b/>
                <w:i/>
              </w:rPr>
              <w:t>criminele organisaties en netwerken die betrokken zijn bij</w:t>
            </w:r>
            <w:r>
              <w:t xml:space="preserve"> migrantensmokkel en mensenhandel waarbij onderzoeken moeten worden ingesteld, indien nodig in samenwerking met Eurojust, in gevallen waarin operationele taskforces of de inzet van Europol voor operationele ondersteuning nodig zijn, en in gevallen waarin samenwerking met derde landen nodig kan zijn, onder meer door de uitwisseling van persoonsgegevens.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De verzameling van persoonsgegevens in het kader van het voorkomen, opsporen en onderzoeken van migrantensmokkel en mensenhandel moet door Europol worden uitgevoerd in overeenstemming met het doelbindingsbeginsel en de beginselen van noodzakelijkheid en evenredigheid, overeenkomstig de regels waarin is voorzien in Verordening (EU) 2016/794.</w:t>
            </w:r>
            <w:r>
              <w:t xml:space="preserve"> </w:t>
            </w:r>
            <w:r>
              <w:rPr>
                <w:b/>
                <w:i/>
              </w:rPr>
              <w:t>Bij het verzamelen en verder verwerken van persoonsgegevens moeten ter bescherming van de grondrechten de toepasselijke gegevensbeschermingsnormen in acht worden 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 overdracht van persoonsgegevens door Europol aan derde landen kan, bij ontstentenis van een adequaatheidsbesluit of van adequate of passende waarborgen inzake gegevensbescherming, worden uitgevoerd overeenkomstig artikel 25, lid 5, van Verordening (EU) 2016/794.</w:t>
            </w:r>
            <w:r>
              <w:t xml:space="preserve"> </w:t>
            </w:r>
            <w:r>
              <w:rPr>
                <w:b/>
                <w:i/>
              </w:rPr>
              <w:t>Met name kan het bij door het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 overdracht van persoonsgegevens door Europol aan derde landen kan, bij ontstentenis van een adequaatheidsbesluit of van adequate of passende waarborgen inzake gegevensbescherming, worden uitgevoerd overeenkomstig artikel 25, lid 5, van Verordening (EU) 2016/794.</w:t>
            </w:r>
            <w:r>
              <w:t xml:space="preserve"> </w:t>
            </w:r>
            <w:r>
              <w:rPr>
                <w:b/>
                <w:i/>
              </w:rPr>
              <w:t>Met name kan het bij door het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 overdracht van persoonsgegevens door Europol aan derde landen kan, bij ontstentenis van een adequaatheidsbesluit of van adequate of passende waarborgen inzake gegevensbescherming, worden uitgevoerd overeenkomstig artikel 25, lid 5, van Verordening (EU) 2016/794. Met name kan het bij door het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w:t>
            </w:r>
          </w:p>
        </w:tc>
        <w:tc>
          <w:tcPr>
            <w:tcW w:w="4876" w:type="dxa"/>
            <w:tcBorders>
              <w:top w:val="nil"/>
              <w:left w:val="nil"/>
              <w:bottom w:val="nil"/>
              <w:right w:val="nil"/>
            </w:tcBorders>
          </w:tcPr>
          <w:p>
            <w:pPr>
              <w:pStyle w:val="Normal6a"/>
            </w:pPr>
            <w:r>
              <w:t>(8)</w:t>
            </w:r>
            <w:r>
              <w:tab/>
            </w:r>
            <w:r>
              <w:t xml:space="preserve">De overdracht van persoonsgegevens door Europol aan derde landen kan, bij ontstentenis van een adequaatheidsbesluit of van adequate of passende waarborgen inzake gegevensbescherming, worden uitgevoerd overeenkomstig artikel 25, lid 5, van Verordening (EU) 2016/794. Met name kan het bij door het </w:t>
            </w:r>
            <w:r>
              <w:rPr>
                <w:b/>
                <w:i/>
              </w:rPr>
              <w:t>Europees</w:t>
            </w:r>
            <w:r>
              <w:t xml:space="preserve">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 </w:t>
            </w:r>
            <w:r>
              <w:rPr>
                <w:b/>
                <w:i/>
              </w:rPr>
              <w:t>Wanneer eerder door een lidstaat verstrekte informatie aan een derde partij moet worden doorgegeven, moet het Europees Centrum tegen migrantensmokkel die lidstaat hierover raadplegen.</w:t>
            </w:r>
            <w:r>
              <w:t xml:space="preserve"> </w:t>
            </w:r>
            <w:r>
              <w:rPr>
                <w:b/>
                <w:i/>
              </w:rPr>
              <w:t>Eenmaal per maand moet Europol de procedure voor de overdracht van gegevens aan derden evalueren en daarbij nagaan of de gegevens door de ontvangers voor het beoogde doel worden gebruikt.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 overdracht van persoonsgegevens door Europol aan derde landen </w:t>
            </w:r>
            <w:r>
              <w:rPr>
                <w:b/>
                <w:i/>
              </w:rPr>
              <w:t>kan, bij ontstentenis van een adequaatheidsbesluit of van adequate of passende waarborgen inzake gegevensbescherming,</w:t>
            </w:r>
            <w:r>
              <w:t xml:space="preserve"> worden </w:t>
            </w:r>
            <w:r>
              <w:rPr>
                <w:b/>
                <w:i/>
              </w:rPr>
              <w:t>uitgevoerd overeenkomstig artikel 25, lid 5, van Verordening (EU) 2016/794.</w:t>
            </w:r>
            <w:r>
              <w:t xml:space="preserve"> </w:t>
            </w:r>
            <w:r>
              <w:rPr>
                <w:b/>
                <w:i/>
              </w:rPr>
              <w:t>Met name kan het bij door het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w:t>
            </w:r>
            <w:r>
              <w:t>.</w:t>
            </w:r>
          </w:p>
        </w:tc>
        <w:tc>
          <w:tcPr>
            <w:tcW w:w="4876" w:type="dxa"/>
            <w:tcBorders>
              <w:top w:val="nil"/>
              <w:left w:val="nil"/>
              <w:bottom w:val="nil"/>
              <w:right w:val="nil"/>
            </w:tcBorders>
          </w:tcPr>
          <w:p>
            <w:pPr>
              <w:pStyle w:val="Normal6a"/>
            </w:pPr>
            <w:r>
              <w:t>(8)</w:t>
            </w:r>
            <w:r>
              <w:tab/>
            </w:r>
            <w:r>
              <w:t xml:space="preserve">De overdracht van persoonsgegevens door Europol aan derde landen </w:t>
            </w:r>
            <w:r>
              <w:rPr>
                <w:b/>
                <w:i/>
              </w:rPr>
              <w:t>mag nog steeds alleen in uitzonderlijke gevallen plaatsvinden en moet</w:t>
            </w:r>
            <w:r>
              <w:t xml:space="preserve"> worden </w:t>
            </w:r>
            <w:r>
              <w:rPr>
                <w:b/>
                <w:i/>
              </w:rPr>
              <w:t>onderworpen aan strikte noodzakelijkheids- en evenredigheidsbeoordelingen, overeenkomstig de regels die zijn vastgesteld in artikel 25 van Verordening (EU) 2016/794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De overdracht van persoonsgegevens door Europol aan derde landen kan, bij ontstentenis van een adequaatheidsbesluit of van adequate of passende waarborgen inzake gegevensbescherming, worden uitgevoerd overeenkomstig artikel 25, lid 5,</w:t>
            </w:r>
            <w:r>
              <w:t xml:space="preserve"> van Verordening (EU) </w:t>
            </w:r>
            <w:r>
              <w:rPr>
                <w:b/>
                <w:i/>
              </w:rPr>
              <w:t>2016/794.</w:t>
            </w:r>
            <w:r>
              <w:t xml:space="preserve"> </w:t>
            </w:r>
            <w:r>
              <w:rPr>
                <w:b/>
                <w:i/>
              </w:rPr>
              <w:t>Met name kan het bij door het Centrum tegen migrantensmokkel geïdentificeerde gevallen van migrantensmokkel die samenwerking met derde landen vereisen in individuele gevallen nodig zijn persoonsgegevens over te dragen met het oog op het voorkomen, onderzoeken, opsporen of vervolgen van strafbare feiten of het ten uitvoer leggen van strafrechtelijke sancties</w:t>
            </w:r>
            <w:r>
              <w:t>.</w:t>
            </w:r>
          </w:p>
        </w:tc>
        <w:tc>
          <w:tcPr>
            <w:tcW w:w="4876" w:type="dxa"/>
            <w:tcBorders>
              <w:top w:val="nil"/>
              <w:left w:val="nil"/>
              <w:bottom w:val="nil"/>
              <w:right w:val="nil"/>
            </w:tcBorders>
          </w:tcPr>
          <w:p>
            <w:pPr>
              <w:pStyle w:val="Normal6a"/>
            </w:pPr>
            <w:r>
              <w:t>(8)</w:t>
            </w:r>
            <w:r>
              <w:tab/>
            </w:r>
            <w:r>
              <w:rPr>
                <w:b/>
                <w:i/>
              </w:rPr>
              <w:t>Elke verwerking van biometrische gegevens moet strikt noodzakelijk en evenredig zijn en er moet volledige naleving</w:t>
            </w:r>
            <w:r>
              <w:t xml:space="preserve"> van Verordening (EU) </w:t>
            </w:r>
            <w:r>
              <w:rPr>
                <w:b/>
                <w:i/>
              </w:rPr>
              <w:t>2018/1725</w:t>
            </w:r>
            <w:r>
              <w:rPr>
                <w:b/>
                <w:i/>
                <w:vertAlign w:val="superscript"/>
              </w:rPr>
              <w:t>1 bis</w:t>
            </w:r>
            <w:r>
              <w:rPr>
                <w:b/>
                <w:i/>
              </w:rPr>
              <w:t> bij worden gewaarborgd.</w:t>
            </w:r>
            <w:r>
              <w:t xml:space="preserve"> </w:t>
            </w:r>
            <w:r>
              <w:rPr>
                <w:b/>
                <w:i/>
              </w:rPr>
              <w:t>Europol voert specifieke waarborgen in, met inbegrip van mechanismen voor onafhankelijk toezicht en periodieke toetsing, om ongeoorloofde toegang tot en misbruik van biometrische gegevens te voorkomen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Verordening (EU) 2018/1725 van het Europees Parlement en de Raad van 23 oktober 2018 betreffende de bescherming van natuurlijke personen in verband met de verwerking van persoonsgegevens door de instellingen, organen en instanties van de Unie en betreffende het vrije verkeer van die gegevens, en tot intrekking van Verordening (EG) nr. 45/2001 en Besluit nr. 1247/2002/EG.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De overdracht van persoonsgegevens door Europol aan derde landen </w:t>
            </w:r>
            <w:r>
              <w:rPr>
                <w:b/>
                <w:i/>
              </w:rPr>
              <w:t>kan, bij ontstentenis van een adequaatheidsbesluit of van adequate of passende waarborgen inzake gegevensbescherming,</w:t>
            </w:r>
            <w:r>
              <w:t xml:space="preserve"> worden uitgevoerd overeenkomstig artikel 25, lid 5, van Verordening (EU) 2016/794. </w:t>
            </w:r>
            <w:r>
              <w:rPr>
                <w:b/>
                <w:i/>
              </w:rPr>
              <w:t>Met name kan het bij door het Centrum tegen migrantensmokkel geïdentificeerde gevallen van migrantensmokkel die samenwerking met derde landen vereisen in individuele gevallen nodig zijn</w:t>
            </w:r>
            <w:r>
              <w:t xml:space="preserve"> persoonsgegevens </w:t>
            </w:r>
            <w:r>
              <w:rPr>
                <w:b/>
                <w:i/>
              </w:rPr>
              <w:t>over te dragen met het oog op het voorkomen, onderzoeken, opsporen of vervolgen van strafbare feiten</w:t>
            </w:r>
            <w:r>
              <w:t xml:space="preserve"> of het </w:t>
            </w:r>
            <w:r>
              <w:rPr>
                <w:b/>
                <w:i/>
              </w:rPr>
              <w:t>ten uitvoer leggen van strafrechtelijke sancties</w:t>
            </w:r>
            <w:r>
              <w:t>.</w:t>
            </w:r>
          </w:p>
        </w:tc>
        <w:tc>
          <w:tcPr>
            <w:tcW w:w="4876" w:type="dxa"/>
            <w:tcBorders>
              <w:top w:val="nil"/>
              <w:left w:val="nil"/>
              <w:bottom w:val="nil"/>
              <w:right w:val="nil"/>
            </w:tcBorders>
          </w:tcPr>
          <w:p>
            <w:pPr>
              <w:pStyle w:val="Normal6a"/>
            </w:pPr>
            <w:r>
              <w:t>(8)</w:t>
            </w:r>
            <w:r>
              <w:tab/>
            </w:r>
            <w:r>
              <w:t xml:space="preserve">De overdracht van persoonsgegevens door Europol aan derde landen </w:t>
            </w:r>
            <w:r>
              <w:rPr>
                <w:b/>
                <w:i/>
              </w:rPr>
              <w:t>moet</w:t>
            </w:r>
            <w:r>
              <w:t xml:space="preserve"> worden uitgevoerd overeenkomstig artikel 25, lid 5, van Verordening (EU) 2016/794. </w:t>
            </w:r>
            <w:r>
              <w:rPr>
                <w:b/>
                <w:i/>
              </w:rPr>
              <w:t>Afwijkingen gelden niet voor systematische, massale of structurele gegevensoverdrachten.</w:t>
            </w:r>
            <w:r>
              <w:t xml:space="preserve"> </w:t>
            </w:r>
            <w:r>
              <w:rPr>
                <w:b/>
                <w:i/>
              </w:rPr>
              <w:t>Wanneer Europol, de EDPS of de GPC tot de conclusie komen dat er voorlopige aanwijzingen zijn dat de overdracht van</w:t>
            </w:r>
            <w:r>
              <w:t xml:space="preserve"> persoonsgegevens </w:t>
            </w:r>
            <w:r>
              <w:rPr>
                <w:b/>
                <w:i/>
              </w:rPr>
              <w:t>onevenredig is of niet noodzakelijk is voor het strafrechtelijk onderzoek in de lidstaat of dat de gegevens worden verzameld met schending van de grondrechten</w:t>
            </w:r>
            <w:r>
              <w:t xml:space="preserve"> of het </w:t>
            </w:r>
            <w:r>
              <w:rPr>
                <w:b/>
                <w:i/>
              </w:rPr>
              <w:t>internationaal recht, dient Europol deze gegevens te verwijderen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Aangezien het een bijzondere categorie persoonsgegevens betreft, is de verwerking van biometrische gegevens bijzonder gevoelig en zijn hiervoor strikte waarborgen nodig om de bescherming van de grondrechten en persoonsgegevens te waarborgen.</w:t>
            </w:r>
            <w:r>
              <w:t xml:space="preserve"> </w:t>
            </w:r>
            <w:r>
              <w:rPr>
                <w:b/>
                <w:i/>
              </w:rPr>
              <w:t>In het kader van het voorkomen, opsporen en onderzoeken van migrantensmokkel en mensenhandel moeten biometrische gegevens worden verzameld en verwerkt met volledige inachtneming van de normen van Richtlijn (EU) 2016/680 van het Europees Parlement en de Raad</w:t>
            </w:r>
            <w:r>
              <w:rPr>
                <w:b/>
                <w:i/>
                <w:vertAlign w:val="superscript"/>
              </w:rPr>
              <w:t>1 bis</w:t>
            </w:r>
            <w:r>
              <w:rPr>
                <w:b/>
                <w:i/>
              </w:rPr>
              <w:t>.</w:t>
            </w:r>
            <w:r>
              <w:t xml:space="preserve"> </w:t>
            </w:r>
            <w:r>
              <w:rPr>
                <w:b/>
                <w:i/>
              </w:rPr>
              <w:t>Elke verwerking van biometrische gegevens moet strikt noodzakelijk zijn en in verhouding staan tot het nagestreefde doel en moet aan streng toezicht worden onderworpen, waarbij ervoor wordt gezorgd dat de gegevens worden behandeld met het hoogste beveiligingsniveau en in overeenstemming met de vereisten inzake de grondrechten.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 (PB L 119 van 4.5.2016, blz.</w:t>
            </w:r>
            <w:r>
              <w:t xml:space="preserve"> </w:t>
            </w:r>
            <w:r>
              <w:rPr>
                <w:b/>
                <w:i/>
              </w:rPr>
              <w:t>89, ELI: http://data.europa.eu/eli/dir/2016/680/oj).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w:t>
            </w:r>
            <w:r>
              <w:t xml:space="preserve"> </w:t>
            </w:r>
            <w:r>
              <w:rPr>
                <w:b/>
                <w:i/>
              </w:rPr>
              <w:t>Andere relevante interne structuren van Europol moeten ook alle nodige ondersteuning bieden.</w:t>
            </w:r>
            <w:r>
              <w:t xml:space="preserve"> </w:t>
            </w:r>
            <w:r>
              <w:rPr>
                <w:b/>
                <w:i/>
              </w:rPr>
              <w:t>Daartoe moeten verbindingsofficieren van Eurojust en verbindingsofficieren van het Europees Grens- en kustwachtagentschap als permanente vertegenwoordigers bij Europol worden gedetacheerd.</w:t>
            </w:r>
            <w:r>
              <w:t xml:space="preserve"> </w:t>
            </w:r>
            <w:r>
              <w:rPr>
                <w:b/>
                <w:i/>
              </w:rPr>
              <w:t>Europol moet in voorkomend geval andere relevante organen of agentschappen van de Unie kunnen betrekken om gebruik te maken van de deskundigheid die binnen hun bevoegdheden valt.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Zie motivering bij overweging 6.</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w:t>
            </w:r>
            <w:r>
              <w:t xml:space="preserve"> </w:t>
            </w:r>
            <w:r>
              <w:rPr>
                <w:b/>
                <w:i/>
              </w:rPr>
              <w:t>Andere relevante interne structuren van Europol moeten ook alle nodige ondersteuning bieden.</w:t>
            </w:r>
            <w:r>
              <w:t xml:space="preserve"> </w:t>
            </w:r>
            <w:r>
              <w:rPr>
                <w:b/>
                <w:i/>
              </w:rPr>
              <w:t>Daartoe moeten verbindingsofficieren van Eurojust en verbindingsofficieren van het Europees Grens- en kustwachtagentschap als permanente vertegenwoordigers bij Europol worden gedetacheerd.</w:t>
            </w:r>
            <w:r>
              <w:t xml:space="preserve"> </w:t>
            </w:r>
            <w:r>
              <w:rPr>
                <w:b/>
                <w:i/>
              </w:rPr>
              <w:t>Europol moet in voorkomend geval andere relevante organen of agentschappen van de Unie kunnen betrekken om gebruik te maken van de deskundigheid die binnen hun bevoegdheden valt.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rPr>
                <w:b/>
                <w:i/>
              </w:rPr>
              <w:t>Ter versterking van de operationele en technische ondersteuning bij het voorkomen en bestrijden van migrantensmokkel en mensenhandel moet</w:t>
            </w:r>
            <w:r>
              <w:t xml:space="preserve">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w:t>
            </w:r>
            <w:r>
              <w:rPr>
                <w:b/>
                <w:i/>
              </w:rPr>
              <w:t>sterkere</w:t>
            </w:r>
            <w:r>
              <w:t xml:space="preserve"> samenwerking tussen agentschappen binnen hun respectieve </w:t>
            </w:r>
            <w:r>
              <w:rPr>
                <w:b/>
                <w:i/>
              </w:rPr>
              <w:t>bevoegdheden en</w:t>
            </w:r>
            <w:r>
              <w:t xml:space="preserve"> met de lidstaten</w:t>
            </w:r>
            <w:r>
              <w:rPr>
                <w:b/>
                <w:i/>
              </w:rPr>
              <w:t>.</w:t>
            </w:r>
            <w:r>
              <w:t xml:space="preserve"> Andere </w:t>
            </w:r>
            <w:r>
              <w:rPr>
                <w:b/>
                <w:i/>
              </w:rPr>
              <w:t>relevante interne structuren van Europol moeten ook alle nodige ondersteuning bieden.</w:t>
            </w:r>
            <w:r>
              <w:t xml:space="preserve"> </w:t>
            </w:r>
            <w:r>
              <w:rPr>
                <w:b/>
                <w:i/>
              </w:rPr>
              <w:t>Daartoe moeten verbindingsofficieren van Eurojust en verbindingsofficieren van het Europees Grens- en kustwachtagentschap als permanente vertegenwoordigers bij Europol worden gedetacheerd.</w:t>
            </w:r>
            <w:r>
              <w:t xml:space="preserve"> </w:t>
            </w:r>
            <w:r>
              <w:rPr>
                <w:b/>
                <w:i/>
              </w:rPr>
              <w:t>Europol moet</w:t>
            </w:r>
            <w:r>
              <w:t xml:space="preserve"> in voorkomend geval andere relevante organen of agentschappen van de Unie </w:t>
            </w:r>
            <w:r>
              <w:rPr>
                <w:b/>
                <w:i/>
              </w:rPr>
              <w:t>kunnen</w:t>
            </w:r>
            <w:r>
              <w:t xml:space="preserve"> betrekken om gebruik te maken van de deskundigheid die binnen hun bevoegdheden valt.</w:t>
            </w:r>
          </w:p>
        </w:tc>
        <w:tc>
          <w:tcPr>
            <w:tcW w:w="4876" w:type="dxa"/>
            <w:tcBorders>
              <w:top w:val="nil"/>
              <w:left w:val="nil"/>
              <w:bottom w:val="nil"/>
              <w:right w:val="nil"/>
            </w:tcBorders>
          </w:tcPr>
          <w:p>
            <w:pPr>
              <w:pStyle w:val="Normal6a"/>
            </w:pPr>
            <w:r>
              <w:t>(9)</w:t>
            </w:r>
            <w:r>
              <w:tab/>
            </w:r>
            <w:r>
              <w:t xml:space="preserve">Het Europees Centrum tegen migrantensmokkel </w:t>
            </w:r>
            <w:r>
              <w:rPr>
                <w:b/>
                <w:i/>
              </w:rPr>
              <w:t>kan</w:t>
            </w:r>
            <w:r>
              <w:t xml:space="preserve"> voor operationele taken verbindingsofficieren van de lidstaten, Eurojust en het Europees Grens- en kustwachtagentschap betrekken om te zorgen voor een doeltreffende, tijdige en systematische coördinatie en uitwisseling van informatie over de bestrijding van </w:t>
            </w:r>
            <w:r>
              <w:rPr>
                <w:b/>
                <w:i/>
              </w:rPr>
              <w:t>criminele organisaties en netwerken die betrokken zijn bij</w:t>
            </w:r>
            <w:r>
              <w:t xml:space="preserve"> migrantensmokkel en mensenhandel op het niveau van de Unie, en te zorgen voor een </w:t>
            </w:r>
            <w:r>
              <w:rPr>
                <w:b/>
                <w:i/>
              </w:rPr>
              <w:t>efficiëntere en transparantere</w:t>
            </w:r>
            <w:r>
              <w:t xml:space="preserve"> samenwerking tussen agentschappen binnen hun respectieve </w:t>
            </w:r>
            <w:r>
              <w:rPr>
                <w:b/>
                <w:i/>
              </w:rPr>
              <w:t>rechtskaders, en voor samenwerking</w:t>
            </w:r>
            <w:r>
              <w:t xml:space="preserve"> met de lidstaten </w:t>
            </w:r>
            <w:r>
              <w:rPr>
                <w:b/>
                <w:i/>
              </w:rPr>
              <w:t>en</w:t>
            </w:r>
            <w:r>
              <w:t xml:space="preserve"> andere </w:t>
            </w:r>
            <w:r>
              <w:rPr>
                <w:b/>
                <w:i/>
              </w:rPr>
              <w:t>belanghebbenden overeenkomstig Verordening (EU) 2016/794.</w:t>
            </w:r>
            <w:r>
              <w:t xml:space="preserve"> </w:t>
            </w:r>
            <w:r>
              <w:rPr>
                <w:b/>
                <w:i/>
              </w:rPr>
              <w:t>Deze samenwerking moet in overeenstemming zijn met de grondrechten en fundamentele vrijheden die zijn verankerd in het Handvest en het EU-kader voor gegevensbescherming.</w:t>
            </w:r>
            <w:r>
              <w:t xml:space="preserve"> In voorkomend geval </w:t>
            </w:r>
            <w:r>
              <w:rPr>
                <w:b/>
                <w:i/>
              </w:rPr>
              <w:t>kan Europol</w:t>
            </w:r>
            <w:r>
              <w:t xml:space="preserve"> andere relevante organen of agentschappen van de Unie betrekken om gebruik te maken van de deskundigheid die binnen hun bevoegdheden valt </w:t>
            </w:r>
            <w:r>
              <w:rPr>
                <w:b/>
                <w:i/>
              </w:rPr>
              <w:t>en met het oog op het voorkomen en bestrijden van criminele organisaties en netwerken die betrokken zijn bij migrantensmokkel en mensenhandel.</w:t>
            </w:r>
            <w:r>
              <w:t xml:space="preserve"> </w:t>
            </w:r>
            <w:r>
              <w:rPr>
                <w:b/>
                <w:i/>
              </w:rPr>
              <w:t>De interne structuren van elk van de gespecialiseerde centra van Europol, met name het Europees Centrum tegen migrantensmokkel, en de belanghebbenden die er deel van uitmaken, moeten openbaar worden gemaakt en de GPC moet worden geïnformeerd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Nikola Minchev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 Andere relevante interne structuren van Europol moeten ook alle nodige ondersteuning bieden. Daartoe moeten verbindingsofficieren van Eurojust en verbindingsofficieren van het Europees Grens- en kustwachtagentschap als permanente vertegenwoordigers bij Europol worden gedetacheerd. Europol moet in voorkomend geval andere relevante organen of agentschappen van de Unie kunnen betrekken om gebruik te maken van de deskundigheid die binnen hun bevoegdheden valt.</w:t>
            </w:r>
          </w:p>
        </w:tc>
        <w:tc>
          <w:tcPr>
            <w:tcW w:w="4876" w:type="dxa"/>
            <w:tcBorders>
              <w:top w:val="nil"/>
              <w:left w:val="nil"/>
              <w:bottom w:val="nil"/>
              <w:right w:val="nil"/>
            </w:tcBorders>
          </w:tcPr>
          <w:p>
            <w:pPr>
              <w:pStyle w:val="Normal6a"/>
            </w:pPr>
            <w:r>
              <w:t>(9)</w:t>
            </w:r>
            <w:r>
              <w:tab/>
            </w:r>
            <w:r>
              <w:t xml:space="preserve">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 Andere relevante interne structuren van Europol moeten ook alle nodige ondersteuning bieden. Daartoe moeten verbindingsofficieren van Eurojust en verbindingsofficieren van het Europees Grens- en kustwachtagentschap als permanente vertegenwoordigers bij Europol worden gedetacheerd. </w:t>
            </w:r>
            <w:r>
              <w:rPr>
                <w:b/>
                <w:i/>
              </w:rPr>
              <w:t>Gezien de beperkte middelen waarover Eurojust momenteel voor de bestrijding van illegale migratie en mensenhandel beschikt, moet de inzet van verbindingsofficieren van Eurojust worden gefinancierd uit de algemene begroting van de Europese Unie.</w:t>
            </w:r>
            <w:r>
              <w:t xml:space="preserve"> Europol moet in voorkomend geval andere relevante organen of agentschappen van de Unie kunnen betrekken om gebruik te maken van de deskundigheid die binnen hun bevoegdheden valt.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 Andere relevante interne structuren van Europol moeten ook alle nodige ondersteuning bieden. Daartoe moeten verbindingsofficieren van Eurojust en verbindingsofficieren van het Europees Grens- en kustwachtagentschap als permanente vertegenwoordigers bij Europol worden gedetacheerd. Europol moet in voorkomend geval andere relevante organen of agentschappen van de Unie kunnen betrekken om gebruik te maken van de deskundigheid die binnen hun bevoegdheden valt.</w:t>
            </w:r>
          </w:p>
        </w:tc>
        <w:tc>
          <w:tcPr>
            <w:tcW w:w="4876" w:type="dxa"/>
            <w:tcBorders>
              <w:top w:val="nil"/>
              <w:left w:val="nil"/>
              <w:bottom w:val="nil"/>
              <w:right w:val="nil"/>
            </w:tcBorders>
          </w:tcPr>
          <w:p>
            <w:pPr>
              <w:pStyle w:val="Normal6a"/>
            </w:pPr>
            <w:r>
              <w:t>(9)</w:t>
            </w:r>
            <w:r>
              <w:tab/>
            </w:r>
            <w:r>
              <w:t>Ter versterking van de operationele en technische ondersteuning bij het voorkomen en bestrijden van migrantensmokkel en mensenhandel moet het Europees Centrum tegen migrantensmokkel voor operationele taken verbindingsofficieren van de lidstaten, Eurojust en het Europees Grens- en kustwachtagentschap betrekken om te zorgen voor een doeltreffende, tijdige en systematische coördinatie en uitwisseling van informatie over de bestrijding van migrantensmokkel en mensenhandel op het niveau van de Unie, en te zorgen voor een sterkere samenwerking tussen agentschappen binnen hun respectieve bevoegdheden en met de lidstaten</w:t>
            </w:r>
            <w:r>
              <w:rPr>
                <w:b/>
                <w:i/>
              </w:rPr>
              <w:t>, waarbij ieders respectieve rol en functie duidelijk moet worden omschreven, ter voorkoming van overlappingen</w:t>
            </w:r>
            <w:r>
              <w:t>. Andere relevante interne structuren van Europol moeten ook alle nodige ondersteuning bieden. Daartoe moeten verbindingsofficieren van Eurojust en verbindingsofficieren van het Europees Grens- en kustwachtagentschap als permanente vertegenwoordigers bij Europol worden gedetacheerd. Europol moet in voorkomend geval andere relevante organen of agentschappen van de Unie kunnen betrekken om gebruik te maken van de deskundigheid die binnen hun bevoegdheden valt.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 versterking van het rechtskader van Europol biedt de gelegenheid juridische duidelijkheid te verschaffen over de bevoegdheden, rollen, taken, verantwoordelijkheden en verantwoordingsplicht met betrekking tot de samenwerking, zowel tussen instanties onderling als met belanghebbenden, bij de bestrijding van criminele organisaties en netwerken die betrokken zijn bij migrantensmokkel en mensenhandel, met name wat de manier betreft waarop de taken verdeeld zijn wanneer het gaat om migratiebeheer en strafrecht.</w:t>
            </w:r>
            <w:r>
              <w:t xml:space="preserve"> </w:t>
            </w:r>
            <w:r>
              <w:rPr>
                <w:b/>
                <w:i/>
              </w:rPr>
              <w:t>In dit verband moeten duidelijke en transparante bindende regels ten uitvoer worden gelegd, die beschikbaar moeten zijn voor het publiek, en moet de GPC op de hoogte worden gebracht.</w:t>
            </w:r>
            <w:r>
              <w:t xml:space="preserve"> </w:t>
            </w:r>
            <w:r>
              <w:rPr>
                <w:b/>
                <w:i/>
              </w:rPr>
              <w:t>Gezien de bevoegdheden en de aard van Frontex mag dit agentschap geen informatie verzamelen over verdachten van grensoverschrijdende misdrijven, waaronder migrantensmokkel en mensenhandel.</w:t>
            </w:r>
            <w:r>
              <w:t xml:space="preserve"> </w:t>
            </w:r>
            <w:r>
              <w:rPr>
                <w:b/>
                <w:i/>
              </w:rPr>
              <w:t>De verzameling hiervan moet strikt de bevoegdheid blijven van Europol, Eurojust en de bevoegde autoriteiten van de lidstaten, overeenkomstig hun respectieve rechtskaders, en er mag uitsluitend informatie worden verzameld over verdachten van grensoverschrijdende misdrijven voor wie Europol, Eurojust en de bevoegde autoriteiten van de lidstaten ter uitvoering van hun taken het recht hebben persoonsgegevens te verwerken.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bis)</w:t>
            </w:r>
            <w:r>
              <w:tab/>
            </w:r>
            <w:r>
              <w:rPr>
                <w:b/>
                <w:i/>
              </w:rPr>
              <w:t>De systematische uitwisseling van persoonsgegevens in verband met potentiële verdachten van misdrijven, overeenkomstig de respectieve mandaten van Frontex en Europol, is van essentieel belang voor de identificatie en opname van de betrokkenen in de operationele producten van Europol, en vormt een onmisbare voorwaarde voor een doeltreffend optreden van de lidstaten ter voorkoming en bestrijding van migrantensmokkel en andere relevante vormen van ernstige internationale criminaliteit en terrorisme.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9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 ter)</w:t>
            </w:r>
            <w:r>
              <w:tab/>
            </w:r>
            <w:r>
              <w:rPr>
                <w:b/>
                <w:i/>
              </w:rPr>
              <w:t>De samenwerking tussen Europol en Frontex moet beperkt blijven tot de uitwisseling van informatie overeenkomstig hun respectieve rechtskaders en de overdracht van persoonsgegevens tussen deze agentschappen moet in overeenstemming zijn met Verordening (EU) 2018/1725.</w:t>
            </w:r>
            <w:r>
              <w:t xml:space="preserve"> </w:t>
            </w:r>
            <w:r>
              <w:rPr>
                <w:b/>
                <w:i/>
              </w:rPr>
              <w:t>Dergelijke overdrachten moeten verantwoord zijn en zij moeten relevant zijn voor de doelstelling van Europol om criminele organisaties en netwerken die betrokken zijn bij migrantensmokkel en mensenhandel tegen te gaan.</w:t>
            </w:r>
            <w:r>
              <w:t xml:space="preserve"> </w:t>
            </w:r>
            <w:r>
              <w:rPr>
                <w:b/>
                <w:i/>
              </w:rPr>
              <w:t>Wanneer persoonsgegevens tussen Europol en Frontex worden overgedragen, moet elk agentschap verantwoordelijk zijn voor het verifiëren van de noodzaak en evenredigheid van de persoonsgegevens voor de bestrijding van criminele organisaties en netwerken die betrokken zijn bij migrantensmokkel en mensenhandel.</w:t>
            </w:r>
            <w:r>
              <w:t xml:space="preserve"> </w:t>
            </w:r>
            <w:r>
              <w:rPr>
                <w:b/>
                <w:i/>
              </w:rPr>
              <w:t>In geen geval mag de samenwerking tussen Europol en het Europees Grens- en kustwachtagentschap verder gaan dan Verordening (EU) 2019/1896.</w:t>
            </w:r>
            <w:r>
              <w:t xml:space="preserve"> </w:t>
            </w:r>
            <w:r>
              <w:rPr>
                <w:b/>
                <w:i/>
              </w:rPr>
              <w:t>Werkafspraken tussen Europol en Frontex moeten in overeenstemming zijn met de respectieve rechtskaders van de agentschappen en voldoen aan het EU-kader voor gegevensbescherming.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Empact brengt een breed scala aan bevoegde autoriteiten samen in het kader van een partnerschapsaanpak en vormt zowel het kader voor een gecoördineerde aanpak van georganiseerde en zware internationale criminaliteit als een katalysator voor de operationalisering van het veiligheidsbeleid en de veiligheidsstrategieën van de Unie.</w:t>
            </w:r>
            <w:r>
              <w:t xml:space="preserve"> </w:t>
            </w:r>
            <w:r>
              <w:rPr>
                <w:b/>
                <w:i/>
              </w:rPr>
              <w:t>Om een multidisciplinaire, holistische en consistente respons te bevorderen ter voorkoming en bestrijding van migrantensmokkel en mensenhandel, alsook daarmee verband houdende strafbare feiten en faciliterende factoren, moeten Europol en alle belangrijke belanghebbenden hun banden binnen Empact en de operationele ondersteuning van de door dat platform ontwikkelde activiteiten versterken.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Empact brengt een breed scala aan bevoegde autoriteiten samen in het kader van een partnerschapsaanpak en vormt zowel het kader voor een gecoördineerde aanpak van georganiseerde en zware internationale criminaliteit als een katalysator voor de operationalisering van het veiligheidsbeleid en de veiligheidsstrategieën van de Unie. Om een multidisciplinaire, holistische en consistente respons te bevorderen ter voorkoming en bestrijding van migrantensmokkel </w:t>
            </w:r>
            <w:r>
              <w:rPr>
                <w:b/>
                <w:i/>
              </w:rPr>
              <w:t>en mensenhandel</w:t>
            </w:r>
            <w:r>
              <w:t>, alsook daarmee verband houdende strafbare feiten en faciliterende factoren, moeten Europol en alle belangrijke belanghebbenden hun banden binnen Empact en de operationele ondersteuning van de door dat platform ontwikkelde activiteiten versterken.</w:t>
            </w:r>
          </w:p>
        </w:tc>
        <w:tc>
          <w:tcPr>
            <w:tcW w:w="4876" w:type="dxa"/>
            <w:tcBorders>
              <w:top w:val="nil"/>
              <w:left w:val="nil"/>
              <w:bottom w:val="nil"/>
              <w:right w:val="nil"/>
            </w:tcBorders>
          </w:tcPr>
          <w:p>
            <w:pPr>
              <w:pStyle w:val="Normal6a"/>
            </w:pPr>
            <w:r>
              <w:t>(10)</w:t>
            </w:r>
            <w:r>
              <w:tab/>
            </w:r>
            <w:r>
              <w:t>Empact brengt een breed scala aan bevoegde autoriteiten samen in het kader van een partnerschapsaanpak en vormt zowel het kader voor een gecoördineerde aanpak van georganiseerde en zware internationale criminaliteit als een katalysator voor de operationalisering van het veiligheidsbeleid en de veiligheidsstrategieën van de Unie. Om een multidisciplinaire, holistische en consistente respons te bevorderen ter voorkoming en bestrijding van migrantensmokkel</w:t>
            </w:r>
            <w:r>
              <w:rPr>
                <w:b/>
                <w:i/>
              </w:rPr>
              <w:t>, mensenhandel en illegale migratie</w:t>
            </w:r>
            <w:r>
              <w:t>, alsook daarmee verband houdende strafbare feiten en faciliterende factoren, moeten Europol en alle belangrijke belanghebbenden hun banden binnen Empact en de operationele ondersteuning van de door dat platform ontwikkelde activiteiten versterken.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10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 bis)</w:t>
            </w:r>
            <w:r>
              <w:tab/>
            </w:r>
            <w:r>
              <w:rPr>
                <w:b/>
                <w:i/>
              </w:rPr>
              <w:t>In overeenstemming met het vermoeden van onschuld moeten natuurlijke personen in de Unie altijd worden beoordeeld op hun feitelijke gedrag.</w:t>
            </w:r>
            <w:r>
              <w:t xml:space="preserve"> </w:t>
            </w:r>
            <w:r>
              <w:rPr>
                <w:b/>
                <w:i/>
              </w:rPr>
              <w:t>Natuurlijke personen mogen nooit worden beoordeeld op basis van gedrag dat uitsluitend gebaseerd is op hun profilering, persoonlijkheidskenmerken of kenmerken, zoals nationaliteit, geboorteplaats, verblijfplaats, aantal kinderen, schuldniveau of type auto, zonder een redelijk vermoeden dat die persoon betrokken is bij een criminele activiteit op basis van objectieve, verifieerbare feiten en zonder menselijke beoordeling daarvan.</w:t>
            </w:r>
            <w:r>
              <w:t xml:space="preserve"> </w:t>
            </w:r>
            <w:r>
              <w:rPr>
                <w:b/>
                <w:i/>
              </w:rPr>
              <w:t>Daarom moeten risicobeoordelingen die met betrekking tot natuurlijke personen worden uitgevoerd, uitsluitend op basis van profilering of beoordeling van hun persoonlijkheidskenmerken en kenmerken, om de waarschijnlijkheid dat zij strafbare feiten plegen, te beoordelen, of om te voorspellen dat er een feitelijk of potentieel strafbaar feit zal plaatsvinden, worden verboden.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Om ervoor te zorgen dat de justitiële autoriteiten op passende wijze worden betrokken bij strafrechtelijke onderzoeken naar strafbare feiten in verband met migrantensmokkel en mensenhandel, moet de noodzaak om het mandaat van Eurojust te versterken met betrekking tot migrantensmokkel en met betrekking tot de wijzigingen in het mandaat van Europol, worden geëvalueerd in het kader van de evaluatie overeenkomstig artikel 69, lid 1, van Verordening (EU) 2018/1727.</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Om ervoor te zorgen dat de justitiële autoriteiten op passende wijze worden betrokken bij strafrechtelijke onderzoeken naar strafbare feiten in verband met migrantensmokkel en mensenhandel, moet de noodzaak om het mandaat van Eurojust te versterken met betrekking tot migrantensmokkel en met betrekking tot de wijzigingen in het mandaat van Europol, worden geëvalueerd in het kader van de evaluatie overeenkomstig artikel 69, lid 1, van Verordening (EU) 2018/1727.</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Deze analyse kan steek houden, maar in de Europol-verordening wordt niet bepaald hoe de Eurojust-verordening er moet uitzien.</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Om ervoor te zorgen dat de justitiële autoriteiten op passende wijze worden betrokken bij strafrechtelijke onderzoeken naar strafbare feiten in verband met migrantensmokkel en mensenhandel, moet de noodzaak om het mandaat van Eurojust te versterken met betrekking tot migrantensmokkel en met betrekking tot de wijzigingen in het mandaat van Europol, worden geëvalueerd in het kader van de evaluatie overeenkomstig artikel 69, lid 1, van Verordening (EU) 2018/1727.</w:t>
            </w:r>
          </w:p>
        </w:tc>
        <w:tc>
          <w:tcPr>
            <w:tcW w:w="4876" w:type="dxa"/>
            <w:tcBorders>
              <w:top w:val="nil"/>
              <w:left w:val="nil"/>
              <w:bottom w:val="nil"/>
              <w:right w:val="nil"/>
            </w:tcBorders>
          </w:tcPr>
          <w:p>
            <w:pPr>
              <w:pStyle w:val="Normal6a"/>
            </w:pPr>
            <w:r>
              <w:t>(11)</w:t>
            </w:r>
            <w:r>
              <w:tab/>
            </w:r>
            <w:r>
              <w:t xml:space="preserve">Om </w:t>
            </w:r>
            <w:r>
              <w:rPr>
                <w:b/>
                <w:i/>
              </w:rPr>
              <w:t>het recht te waarborgen op een eerlijk proces, overeenkomstig het Handvest, moet altijd de toegang worden gegarandeerd tot gerechtelijke autoriteiten en advocaten.</w:t>
            </w:r>
            <w:r>
              <w:t xml:space="preserve"> </w:t>
            </w:r>
            <w:r>
              <w:rPr>
                <w:b/>
                <w:i/>
              </w:rPr>
              <w:t>Om</w:t>
            </w:r>
            <w:r>
              <w:t xml:space="preserve"> ervoor te zorgen dat de justitiële autoriteiten op passende wijze worden betrokken bij strafrechtelijke onderzoeken naar strafbare feiten in verband met </w:t>
            </w:r>
            <w:r>
              <w:rPr>
                <w:b/>
                <w:i/>
              </w:rPr>
              <w:t>de bestrijding van criminele organisaties en netwerken die betrokken zijn bij</w:t>
            </w:r>
            <w:r>
              <w:t xml:space="preserve"> migrantensmokkel en mensenhandel, moet de noodzaak om het mandaat van Eurojust te versterken met betrekking tot </w:t>
            </w:r>
            <w:r>
              <w:rPr>
                <w:b/>
                <w:i/>
              </w:rPr>
              <w:t>de strijd tegen criminele organisaties en netwerken die betrokken zijn bij</w:t>
            </w:r>
            <w:r>
              <w:t xml:space="preserve"> migrantensmokkel en met betrekking tot de wijzigingen in het mandaat van Europol, worden geëvalueerd in het kader van de evaluatie overeenkomstig artikel 69, lid 1, van Verordening (EU) 2018/1727.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Europol moet het EU-informatiecentrum over criminaliteit zijn en optreden als dienstverlener, met name als aanbieder van een beveiligd netwerk voor informatie-uitwisseling, zoals de applicatie voor veilige informatie-uitwisseling (Siena), dat informatie-uitwisseling tussen de lidstaten, Europol, andere organen van de Unie, derde landen en internationale organisaties faciliteert.</w:t>
            </w:r>
            <w:r>
              <w:t xml:space="preserve"> </w:t>
            </w:r>
            <w:r>
              <w:rPr>
                <w:b/>
                <w:i/>
              </w:rPr>
              <w:t>Siena moet snelle, veilige en gebruikersvriendelijke communicatie en uitwisseling van operationele en strategische informatie en inlichtingen over criminaliteit mogelijk maken en sterk gericht zijn op interoperabiliteit met andere systemen bij Europol en andere samenwerkende staten en organisaties.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Europol moet het EU-informatiecentrum over criminaliteit zijn en optreden als dienstverlener, met name als aanbieder van een beveiligd netwerk voor informatie-uitwisseling, zoals de applicatie voor veilige informatie-uitwisseling (Siena), dat informatie-uitwisseling tussen de lidstaten</w:t>
            </w:r>
            <w:r>
              <w:rPr>
                <w:b/>
                <w:i/>
              </w:rPr>
              <w:t>, Europol, andere organen van de Unie, derde landen en internationale organisaties faciliteert</w:t>
            </w:r>
            <w:r>
              <w:t xml:space="preserve">. Siena moet snelle, veilige en gebruikersvriendelijke communicatie en uitwisseling van operationele en strategische informatie en inlichtingen over criminaliteit mogelijk maken </w:t>
            </w:r>
            <w:r>
              <w:rPr>
                <w:b/>
                <w:i/>
              </w:rPr>
              <w:t>en sterk gericht zijn op interoperabiliteit met andere systemen bij Europol en andere samenwerkende staten en organisaties</w:t>
            </w:r>
            <w:r>
              <w:t>.</w:t>
            </w:r>
          </w:p>
        </w:tc>
        <w:tc>
          <w:tcPr>
            <w:tcW w:w="4876" w:type="dxa"/>
            <w:tcBorders>
              <w:top w:val="nil"/>
              <w:left w:val="nil"/>
              <w:bottom w:val="nil"/>
              <w:right w:val="nil"/>
            </w:tcBorders>
          </w:tcPr>
          <w:p>
            <w:pPr>
              <w:pStyle w:val="Normal6a"/>
            </w:pPr>
            <w:r>
              <w:t>(12)</w:t>
            </w:r>
            <w:r>
              <w:tab/>
            </w:r>
            <w:r>
              <w:t xml:space="preserve">Europol moet het EU-informatiecentrum over criminaliteit zijn en optreden als dienstverlener, met </w:t>
            </w:r>
            <w:r>
              <w:rPr>
                <w:b/>
                <w:i/>
              </w:rPr>
              <w:t>strikte inachtneming van de grondrechten en fundamentele vrijheden zoals verankerd in het Handvest en het toepasselijke EU-kader voor gegevensbescherming, met</w:t>
            </w:r>
            <w:r>
              <w:t xml:space="preserve"> name als aanbieder van een beveiligd netwerk voor informatie-uitwisseling, zoals de applicatie voor veilige informatie-uitwisseling (Siena), dat informatie-uitwisseling tussen de lidstaten. Siena moet snelle, veilige en gebruikersvriendelijke communicatie en uitwisseling van operationele en strategische informatie en inlichtingen over criminaliteit mogelijk maken </w:t>
            </w:r>
            <w:r>
              <w:rPr>
                <w:b/>
                <w:i/>
              </w:rPr>
              <w:t>met betrekking tot misdrijven binnen het mandaat van Europol.</w:t>
            </w:r>
            <w:r>
              <w:t xml:space="preserve"> </w:t>
            </w:r>
            <w:r>
              <w:rPr>
                <w:b/>
                <w:i/>
              </w:rPr>
              <w:t>Gegevensuitwisseling via Siena behelst duidelijke verantwoordelijkheden op het gebied van gegevensverwerking.</w:t>
            </w:r>
            <w:r>
              <w:t xml:space="preserve"> </w:t>
            </w:r>
            <w:r>
              <w:rPr>
                <w:b/>
                <w:i/>
              </w:rPr>
              <w:t>Om een hoog niveau van gegevensbescherming te waarborgen, dienen het doel van verwerkingen en toegangsrechten, alsmede de specifieke aanvullende waarborgen te worden vastgelegd.</w:t>
            </w:r>
            <w:r>
              <w:t xml:space="preserve"> </w:t>
            </w:r>
            <w:r>
              <w:rPr>
                <w:b/>
                <w:i/>
              </w:rPr>
              <w:t>Met name de beginselen van noodzakelijkheid en van evenredigheid moeten bij de verwerking van persoonsgegevens in acht worden genomen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Actieve betrokkenheid van de lidstaten en uitwisseling van informatie met Europol zijn van cruciaal belang voor een alomvattende en gecoördineerde aanpak van de Unie ter bestrijding van migrantensmokkel.</w:t>
            </w:r>
            <w:r>
              <w:t xml:space="preserve"> </w:t>
            </w:r>
            <w:r>
              <w:rPr>
                <w:b/>
                <w:i/>
              </w:rPr>
              <w:t>Met het oog op de versterking van de capaciteiten van de lidstaten moeten de lidstaten gespecialiseerde diensten voor de bestrijding van migrantensmokkel aanwijzen en ervoor zorgen dat zij over voldoende middelen beschikken om migrantensmokkel te voorkomen en te bestrijden, en informatie over strafrechtelijke onderzoeken efficiënt en doeltreffend kunnen uitwisselen met Europol.</w:t>
            </w:r>
            <w:r>
              <w:t xml:space="preserve"> </w:t>
            </w:r>
            <w:r>
              <w:rPr>
                <w:b/>
                <w:i/>
              </w:rPr>
              <w:t>Om de uitwisseling van informatie over migrantensmokkel tussen de lidstaten en Europol te harmoniseren, moeten de lidstaten ervoor zorgen dat hun aangewezen diensten voor de bestrijding van migrantensmokkel rechtstreeks verbonden zijn met Siena teneinde de informatie-uitwisseling te vergemakkelijken.</w:t>
            </w:r>
            <w:r>
              <w:t xml:space="preserve"> </w:t>
            </w:r>
            <w:r>
              <w:rPr>
                <w:b/>
                <w:i/>
              </w:rPr>
              <w:t>Dit is in overeenstemming met Richtlijn (EU) 2023/977 van het Europees Parlement en de Raad van 10 mei 2023 betreffende de uitwisseling van informatie tussen de rechtshandhavingsinstanties van de lidstaten en tot intrekking van Kaderbesluit 2006/960/JBZ van de Raad.</w:t>
            </w:r>
            <w:r>
              <w:t xml:space="preserve"> </w:t>
            </w:r>
            <w:r>
              <w:rPr>
                <w:b/>
                <w:i/>
              </w:rPr>
              <w:t>De immigratieverbindingsofficieren van de lidstaten die in derde landen zijn gedetacheerd, moeten ook informatie uitwisselen met Europol;</w:t>
            </w:r>
            <w:r>
              <w:t xml:space="preserve"> </w:t>
            </w:r>
            <w:r>
              <w:rPr>
                <w:b/>
                <w:i/>
              </w:rPr>
              <w:t>daartoe moeten zij ook worden aangesloten op Siena om ervoor te zorgen dat zij de in het eerste lid bedoelde uitwisseling van informatie op efficiënte en doeltreffende wijze kunnen uitvoeren.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Actieve betrokkenheid van de lidstaten en uitwisseling van informatie met Europol zijn van cruciaal belang voor een alomvattende en gecoördineerde aanpak van de Unie ter bestrijding van migrantensmokkel. </w:t>
            </w:r>
            <w:r>
              <w:rPr>
                <w:b/>
                <w:i/>
              </w:rPr>
              <w:t>Met het oog op de versterking van de capaciteiten van de lidstaten moeten de lidstaten gespecialiseerde diensten voor de bestrijding van migrantensmokkel aanwijzen en ervoor zorgen dat zij over voldoende middelen beschikken om migrantensmokkel te voorkomen en te bestrijden, en informatie over strafrechtelijke onderzoeken efficiënt en doeltreffend kunnen uitwisselen met Europol.</w:t>
            </w:r>
            <w:r>
              <w:t xml:space="preserve"> </w:t>
            </w:r>
            <w:r>
              <w:rPr>
                <w:b/>
                <w:i/>
              </w:rPr>
              <w:t>Om de uitwisseling van informatie over migrantensmokkel tussen de lidstaten en Europol te harmoniseren, moeten de lidstaten ervoor zorgen dat hun aangewezen diensten voor de bestrijding van migrantensmokkel rechtstreeks verbonden zijn met Siena teneinde de informatie-uitwisseling te vergemakkelijken.</w:t>
            </w:r>
            <w:r>
              <w:t xml:space="preserve"> </w:t>
            </w:r>
            <w:r>
              <w:rPr>
                <w:b/>
                <w:i/>
              </w:rPr>
              <w:t>Dit is in overeenstemming met Richtlijn (EU) 2023/977 van het Europees Parlement en de Raad van 10 mei 2023 betreffende de uitwisseling van informatie tussen de rechtshandhavingsinstanties van de lidstaten en tot intrekking van Kaderbesluit 2006/960/JBZ van de Raad.</w:t>
            </w:r>
            <w:r>
              <w:t xml:space="preserve"> </w:t>
            </w:r>
            <w:r>
              <w:rPr>
                <w:b/>
                <w:i/>
              </w:rPr>
              <w:t>De immigratieverbindingsofficieren van de lidstaten die in derde landen zijn gedetacheerd, moeten ook informatie uitwisselen met Europol;</w:t>
            </w:r>
            <w:r>
              <w:t xml:space="preserve"> </w:t>
            </w:r>
            <w:r>
              <w:rPr>
                <w:b/>
                <w:i/>
              </w:rPr>
              <w:t>daartoe moeten zij ook worden aangesloten op Siena om ervoor te zorgen dat zij de in het eerste lid bedoelde uitwisseling van informatie op efficiënte en doeltreffende wijze kunnen uitvoeren.</w:t>
            </w:r>
          </w:p>
        </w:tc>
        <w:tc>
          <w:tcPr>
            <w:tcW w:w="4876" w:type="dxa"/>
            <w:tcBorders>
              <w:top w:val="nil"/>
              <w:left w:val="nil"/>
              <w:bottom w:val="nil"/>
              <w:right w:val="nil"/>
            </w:tcBorders>
          </w:tcPr>
          <w:p>
            <w:pPr>
              <w:pStyle w:val="Normal6a"/>
            </w:pPr>
            <w:r>
              <w:t>(13)</w:t>
            </w:r>
            <w:r>
              <w:tab/>
            </w:r>
            <w:r>
              <w:t>Actieve betrokkenheid van de lidstaten en uitwisseling van informatie met Europol zijn van cruciaal belang voor een alomvattende en gecoördineerde aanpak van de Unie ter bestrijding van migrantensmokkel.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Gevolg van de schrapping van artikel 7.</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Actieve betrokkenheid van de lidstaten en uitwisseling van informatie met Europol zijn van cruciaal belang voor een alomvattende en gecoördineerde aanpak van de Unie ter bestrijding van migrantensmokkel. Met het oog op de versterking van de capaciteiten van de lidstaten moeten </w:t>
            </w:r>
            <w:r>
              <w:rPr>
                <w:b/>
                <w:i/>
              </w:rPr>
              <w:t>de lidstaten</w:t>
            </w:r>
            <w:r>
              <w:t xml:space="preserve"> gespecialiseerde diensten voor de bestrijding van migrantensmokkel aanwijzen </w:t>
            </w:r>
            <w:r>
              <w:rPr>
                <w:b/>
                <w:i/>
              </w:rPr>
              <w:t>en ervoor zorgen dat zij over voldoende middelen beschikken om migrantensmokkel te voorkomen en te bestrijden, en</w:t>
            </w:r>
            <w:r>
              <w:t xml:space="preserve"> informatie over strafrechtelijke onderzoeken efficiënt en doeltreffend kunnen uitwisselen met Europol. Om de uitwisseling van informatie over migrantensmokkel tussen de lidstaten en Europol te harmoniseren, moeten de lidstaten ervoor zorgen dat hun aangewezen diensten voor de bestrijding van migrantensmokkel rechtstreeks verbonden zijn met Siena teneinde de informatie-uitwisseling te vergemakkelijken. Dit is in overeenstemming met Richtlijn (EU) 2023/977 van het Europees Parlement en de Raad van 10 mei 2023 betreffende de uitwisseling van informatie tussen de rechtshandhavingsinstanties van de lidstaten en tot intrekking van Kaderbesluit 2006/960/JBZ van de Raad. De immigratieverbindingsofficieren van de lidstaten die in derde landen zijn gedetacheerd, moeten ook informatie uitwisselen met Europol; daartoe moeten zij ook worden aangesloten op Siena om ervoor te zorgen dat zij de in het eerste lid bedoelde uitwisseling van informatie op efficiënte en doeltreffende wijze kunnen uitvoeren.</w:t>
            </w:r>
          </w:p>
        </w:tc>
        <w:tc>
          <w:tcPr>
            <w:tcW w:w="4876" w:type="dxa"/>
            <w:tcBorders>
              <w:top w:val="nil"/>
              <w:left w:val="nil"/>
              <w:bottom w:val="nil"/>
              <w:right w:val="nil"/>
            </w:tcBorders>
          </w:tcPr>
          <w:p>
            <w:pPr>
              <w:pStyle w:val="Normal6a"/>
            </w:pPr>
            <w:r>
              <w:t>(13)</w:t>
            </w:r>
            <w:r>
              <w:tab/>
            </w:r>
            <w:r>
              <w:t xml:space="preserve">Actieve betrokkenheid van de lidstaten en uitwisseling van informatie met Europol zijn van cruciaal belang voor een alomvattende en gecoördineerde aanpak van de Unie ter bestrijding van migrantensmokkel. Met het oog op de versterking van de capaciteiten van de lidstaten moeten </w:t>
            </w:r>
            <w:r>
              <w:rPr>
                <w:b/>
                <w:i/>
              </w:rPr>
              <w:t>zij, eventueel onder reeds bestaande structuren,</w:t>
            </w:r>
            <w:r>
              <w:t xml:space="preserve"> gespecialiseerde diensten voor de bestrijding van migrantensmokkel aanwijzen</w:t>
            </w:r>
            <w:r>
              <w:rPr>
                <w:b/>
                <w:i/>
              </w:rPr>
              <w:t>, die</w:t>
            </w:r>
            <w:r>
              <w:t xml:space="preserve"> informatie over strafrechtelijke onderzoeken efficiënt en doeltreffend kunnen uitwisselen met Europol. Om de uitwisseling van informatie over migrantensmokkel tussen de lidstaten en Europol te harmoniseren, moeten de lidstaten ervoor zorgen dat hun aangewezen diensten voor de bestrijding van migrantensmokkel rechtstreeks verbonden zijn met Siena teneinde de informatie-uitwisseling te vergemakkelijken. Dit is in overeenstemming met Richtlijn (EU) 2023/977 van het Europees Parlement en de Raad van 10 mei 2023 betreffende de uitwisseling van informatie tussen de rechtshandhavingsinstanties van de lidstaten en tot intrekking van Kaderbesluit 2006/960/JBZ van de Raad. De immigratieverbindingsofficieren van de lidstaten die in derde landen zijn gedetacheerd, moeten ook informatie uitwisselen met Europol; daartoe moeten zij ook worden aangesloten op Siena om ervoor te zorgen dat zij de in het eerste lid bedoelde uitwisseling van informatie op efficiënte en doeltreffende wijze kunnen uitvoeren.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Hoewel voor de oprichting van dergelijke diensten uiteraard de nodige middelen moeten worden uitgetrokken, is het beter de lidstaten enige speelruimte te laten, aangezien de meeste al grote moeite hebben om de bestaande taken op dit gebied uit te voeren.</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Actieve betrokkenheid van de lidstaten </w:t>
            </w:r>
            <w:r>
              <w:rPr>
                <w:b/>
                <w:i/>
              </w:rPr>
              <w:t>en uitwisseling van informatie</w:t>
            </w:r>
            <w:r>
              <w:t xml:space="preserve"> met Europol </w:t>
            </w:r>
            <w:r>
              <w:rPr>
                <w:b/>
                <w:i/>
              </w:rPr>
              <w:t>zijn</w:t>
            </w:r>
            <w:r>
              <w:t xml:space="preserve"> van cruciaal belang voor een </w:t>
            </w:r>
            <w:r>
              <w:rPr>
                <w:b/>
                <w:i/>
              </w:rPr>
              <w:t>alomvattende en gecoördineerde aanpak van de Unie ter bestrijding van migrantensmokkel</w:t>
            </w:r>
            <w:r>
              <w:t xml:space="preserve">. Met het oog op de versterking van de capaciteiten van de lidstaten </w:t>
            </w:r>
            <w:r>
              <w:rPr>
                <w:b/>
                <w:i/>
              </w:rPr>
              <w:t>moeten</w:t>
            </w:r>
            <w:r>
              <w:t xml:space="preserve"> de lidstaten gespecialiseerde diensten </w:t>
            </w:r>
            <w:r>
              <w:rPr>
                <w:b/>
                <w:i/>
              </w:rPr>
              <w:t>voor de bestrijding van migrantensmokkel aanwijzen en ervoor zorgen dat zij over voldoende middelen beschikken om migrantensmokkel te voorkomen en te bestrijden, en informatie over strafrechtelijke onderzoeken efficiënt en doeltreffend kunnen uitwisselen met Europol.</w:t>
            </w:r>
            <w:r>
              <w:t xml:space="preserve"> </w:t>
            </w:r>
            <w:r>
              <w:rPr>
                <w:b/>
                <w:i/>
              </w:rPr>
              <w:t>Om de uitwisseling van informatie over migrantensmokkel tussen de lidstaten en Europol te harmoniseren, moeten de lidstaten</w:t>
            </w:r>
            <w:r>
              <w:t xml:space="preserve"> ervoor zorgen dat </w:t>
            </w:r>
            <w:r>
              <w:rPr>
                <w:b/>
                <w:i/>
              </w:rPr>
              <w:t>hun aangewezen diensten voor de bestrijding van migrantensmokkel rechtstreeks verbonden zijn met Siena teneinde de informatie-uitwisseling te vergemakkelijken.</w:t>
            </w:r>
            <w:r>
              <w:t xml:space="preserve"> </w:t>
            </w:r>
            <w:r>
              <w:rPr>
                <w:b/>
                <w:i/>
              </w:rPr>
              <w:t>Dit is in overeenstemming met Richtlijn (EU) 2023/977 van het Europees Parlement en de Raad van 10 mei 2023 betreffende de</w:t>
            </w:r>
            <w:r>
              <w:t xml:space="preserve"> uitwisseling van informatie tussen de </w:t>
            </w:r>
            <w:r>
              <w:rPr>
                <w:b/>
                <w:i/>
              </w:rPr>
              <w:t>rechtshandhavingsinstanties van de lidstaten en tot intrekking van Kaderbesluit 2006/960/JBZ van de Raad.</w:t>
            </w:r>
            <w:r>
              <w:t xml:space="preserve"> </w:t>
            </w:r>
            <w:r>
              <w:rPr>
                <w:b/>
                <w:i/>
              </w:rPr>
              <w:t>De immigratieverbindingsofficieren van</w:t>
            </w:r>
            <w:r>
              <w:t xml:space="preserve"> de lidstaten </w:t>
            </w:r>
            <w:r>
              <w:rPr>
                <w:b/>
                <w:i/>
              </w:rPr>
              <w:t>die in derde landen zijn gedetacheerd, moeten ook informatie uitwisselen met Europol;</w:t>
            </w:r>
            <w:r>
              <w:t xml:space="preserve"> </w:t>
            </w:r>
            <w:r>
              <w:rPr>
                <w:b/>
                <w:i/>
              </w:rPr>
              <w:t>daartoe moeten zij ook worden aangesloten op Siena om ervoor te zorgen dat zij de in het eerste lid bedoelde uitwisseling van</w:t>
            </w:r>
            <w:r>
              <w:t xml:space="preserve"> informatie </w:t>
            </w:r>
            <w:r>
              <w:rPr>
                <w:b/>
                <w:i/>
              </w:rPr>
              <w:t>op efficiënte en doeltreffende wijze kunnen uitvoeren</w:t>
            </w:r>
            <w:r>
              <w:t>.</w:t>
            </w:r>
          </w:p>
        </w:tc>
        <w:tc>
          <w:tcPr>
            <w:tcW w:w="4876" w:type="dxa"/>
            <w:tcBorders>
              <w:top w:val="nil"/>
              <w:left w:val="nil"/>
              <w:bottom w:val="nil"/>
              <w:right w:val="nil"/>
            </w:tcBorders>
          </w:tcPr>
          <w:p>
            <w:pPr>
              <w:pStyle w:val="Normal6a"/>
            </w:pPr>
            <w:r>
              <w:t>(13)</w:t>
            </w:r>
            <w:r>
              <w:tab/>
            </w:r>
            <w:r>
              <w:t xml:space="preserve">Actieve betrokkenheid van de lidstaten </w:t>
            </w:r>
            <w:r>
              <w:rPr>
                <w:b/>
                <w:i/>
              </w:rPr>
              <w:t>bij het delen van noodzakelijke en evenredige gegevens en informatie van hoge kwaliteit</w:t>
            </w:r>
            <w:r>
              <w:t xml:space="preserve"> met Europol </w:t>
            </w:r>
            <w:r>
              <w:rPr>
                <w:b/>
                <w:i/>
              </w:rPr>
              <w:t>is</w:t>
            </w:r>
            <w:r>
              <w:t xml:space="preserve"> van cruciaal belang voor een </w:t>
            </w:r>
            <w:r>
              <w:rPr>
                <w:b/>
                <w:i/>
              </w:rPr>
              <w:t>doeltreffende samenwerking op het gebied van rechtshandhaving</w:t>
            </w:r>
            <w:r>
              <w:t xml:space="preserve">. Met het oog op de versterking van de </w:t>
            </w:r>
            <w:r>
              <w:rPr>
                <w:b/>
                <w:i/>
              </w:rPr>
              <w:t>kwaliteit van de samenwerking en de</w:t>
            </w:r>
            <w:r>
              <w:t xml:space="preserve"> capaciteiten van de lidstaten </w:t>
            </w:r>
            <w:r>
              <w:rPr>
                <w:b/>
                <w:i/>
              </w:rPr>
              <w:t>kunnen</w:t>
            </w:r>
            <w:r>
              <w:t xml:space="preserve"> de lidstaten gespecialiseerde diensten </w:t>
            </w:r>
            <w:r>
              <w:rPr>
                <w:b/>
                <w:i/>
              </w:rPr>
              <w:t>in overeenstemming met Richtlijn (EU) 2023/977 van het Europees Parlement en de Raad van 10 mei 2023 betreffende de uitwisseling van informatie tussen de rechtshandhavingsinstanties van de lidstaten en tot intrekking van Kaderbesluit 2006/960/JBZ van de Raad aanwijzen voor de bestrijding van criminele organisaties en netwerken die betrokken zijn bij migrantensmokkel, waarbij zij</w:t>
            </w:r>
            <w:r>
              <w:t xml:space="preserve"> ervoor zorgen dat </w:t>
            </w:r>
            <w:r>
              <w:rPr>
                <w:b/>
                <w:i/>
              </w:rPr>
              <w:t>deze over voldoende middelen beschikken om criminele organisaties en netwerken die betrokken zijn bij migrantensmokkel te voorkomen en te bestrijden, en noodzakelijke en evenredige gegevens en informatie van hoge kwaliteit over strafrechtelijke onderzoeken efficiënt en doeltreffend kunnen uitwisselen met Europol.</w:t>
            </w:r>
            <w:r>
              <w:t xml:space="preserve"> </w:t>
            </w:r>
            <w:r>
              <w:rPr>
                <w:b/>
                <w:i/>
              </w:rPr>
              <w:t>Om deze</w:t>
            </w:r>
            <w:r>
              <w:t xml:space="preserve"> uitwisseling van informatie tussen de </w:t>
            </w:r>
            <w:r>
              <w:rPr>
                <w:b/>
                <w:i/>
              </w:rPr>
              <w:t>lidstaten en Europol over criminele organisaties en netwerken die betrokken zijn bij migrantensmokkel te harmoniseren, moeten</w:t>
            </w:r>
            <w:r>
              <w:t xml:space="preserve"> de lidstaten </w:t>
            </w:r>
            <w:r>
              <w:rPr>
                <w:b/>
                <w:i/>
              </w:rPr>
              <w:t>ervoor zorgen dat hun aangewezen diensten voor de bestrijding van criminele organisaties en netwerken die betrokken zijn bij migrantensmokkel rechtstreeks verbonden zijn met Siena om de uitwisseling van noodzakelijke en evenredige gegevens en</w:t>
            </w:r>
            <w:r>
              <w:t xml:space="preserve"> informatie </w:t>
            </w:r>
            <w:r>
              <w:rPr>
                <w:b/>
                <w:i/>
              </w:rPr>
              <w:t>van hoge kwaliteit te vergemakkelijken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bis)</w:t>
            </w:r>
            <w:r>
              <w:tab/>
            </w:r>
            <w:r>
              <w:rPr>
                <w:b/>
                <w:i/>
              </w:rPr>
              <w:t>Onverminderd de verplichtingen van de lidstaten uit hoofde van het internationaal recht en het recht van de Unie, met inbegrip van het Handvest van de grondrechten van de Europese Unie, worden handelingen van humanitaire bijstand voor humanitaire doeleinden niet strafbaar gesteld door deze verordening;</w:t>
            </w:r>
            <w:r>
              <w:t xml:space="preserve"> </w:t>
            </w:r>
            <w:r>
              <w:rPr>
                <w:b/>
                <w:i/>
              </w:rPr>
              <w:t>het verstrekken van voedsel, onderdak, rechtsbijstand of medische ondersteuning aan personen in nood, wanneer er geen sprake is van financieel gewin of andere materiële voordelen, vormt geen hulp bij illegale binnenkomst, illegale doorreis of illegaal verblijf in de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13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 ter)</w:t>
            </w:r>
            <w:r>
              <w:tab/>
            </w:r>
            <w:r>
              <w:rPr>
                <w:b/>
                <w:i/>
              </w:rPr>
              <w:t>Gezien de mogelijke grotere risico’s die voortvloeien uit de uitgebreide verwerking van biometrische gegevens, worden mitigatiemechanismen ingesteld, waaronder de vaststelling van duidelijke bindende regels die voorzien in passende waarborgen, met name met betrekking tot de strikte noodzaak en evenredigheid van de verwerking van dergelijke biometrische gegevens door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Om te zorgen voor een efficiënte uitwisseling van informatie over migrantensmokkel tussen de lidstaten en met Europol, met name in het geval van grote criminele netwerken waarbij talrijke verdachten betrokken zijn, moeten de lidstaten gebruikmaken van de meest geschikte ondersteunende instrumenten van Europol, zoals specifieke gegevensladers.</w:t>
            </w:r>
            <w:r>
              <w:t xml:space="preserve"> </w:t>
            </w:r>
            <w:r>
              <w:rPr>
                <w:b/>
                <w:i/>
              </w:rPr>
              <w:t>Om daarentegen toegang te krijgen tot en optimaal gebruik te maken van alle informatie en inlichtingen die op het niveau van de Unie over de desbetreffende zaken beschikbaar zijn, en met volledige inachtneming van de passende waarborgen inzake gegevensbescherming, moeten de lidstaten en de agentschappen van de Unie de Europol-informatie systematisch raadplegen in het kader van lopende onderzoeken in verband met migrantensmokkel, onder meer door gebruik te maken van de door Europol verstrekte “hit/no hit” -instrumenten, zoals de technische systeeminterface “Querying Europol Systems” (QUEST +).</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Om te zorgen voor een efficiënte uitwisseling van informatie over migrantensmokkel tussen de lidstaten en met Europol, met name in het geval van grote criminele netwerken waarbij talrijke verdachten betrokken zijn, moeten de lidstaten gebruikmaken van de meest geschikte ondersteunende instrumenten van Europol, zoals specifieke gegevensladers.</w:t>
            </w:r>
            <w:r>
              <w:t xml:space="preserve"> </w:t>
            </w:r>
            <w:r>
              <w:rPr>
                <w:b/>
                <w:i/>
              </w:rPr>
              <w:t>Om daarentegen toegang te krijgen tot en optimaal gebruik te maken van alle informatie en inlichtingen die op het niveau van de Unie over de desbetreffende zaken beschikbaar zijn, en met volledige inachtneming van de passende waarborgen inzake gegevensbescherming, moeten de lidstaten en de agentschappen van de Unie de Europol-informatie systematisch raadplegen in het kader van lopende onderzoeken in verband met migrantensmokkel, onder meer door gebruik te maken van de door Europol verstrekte “hit/no hit” -instrumenten, zoals de technische systeeminterface “Querying Europol Systems” (QUEST +).</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Een doeltreffende en efficiënte uitwisseling, vergelijking en analyse van biometrische gegevens zal de opsporing van identiteitsfraude en de voorkoming en bestrijding van strafbare feiten verbeteren.</w:t>
            </w:r>
            <w:r>
              <w:t xml:space="preserve"> </w:t>
            </w:r>
            <w:r>
              <w:rPr>
                <w:b/>
                <w:i/>
              </w:rPr>
              <w:t>Daarom moet ervoor worden gezorgd dat het duidelijker is dat de verwerking van biometrische gegevens deel uitmaakt van de taken van Europol ter ondersteuning van de lidstaten.</w:t>
            </w:r>
            <w:r>
              <w:t xml:space="preserve"> </w:t>
            </w:r>
            <w:r>
              <w:rPr>
                <w:b/>
                <w:i/>
              </w:rPr>
              <w:t>Bijzondere aandacht moet worden besteed aan de vaststelling van passende kwaliteitsnormen voor de verwerking en opslag van biometrische gegevens.</w:t>
            </w:r>
            <w:r>
              <w:t xml:space="preserve"> </w:t>
            </w:r>
            <w:r>
              <w:rPr>
                <w:b/>
                <w:i/>
              </w:rPr>
              <w:t>Deze kwaliteitsnormen moeten in overeenstemming zijn met de relevante minimumkwaliteitsnormen die zijn vastgesteld in het EU-recht inzake vergelijkbare verwerking van dergelijke gegevens om een gelijkwaardig kwaliteitsniveau te waarborgen, met inbegrip van met name de minimumkwaliteitsnormen die de Commissie heeft vastgesteld overeenkomstig de artikelen 8, 13 en 22 van Verordening (EU) 2024/982</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Verordening (EU) 2024/982 van het Europees Parlement en de Raad van 13 maart 2024 betreffende de geautomatiseerde gegevensbevraging en -uitwisseling ten behoeve van politiële samenwerking en tot wijziging van de Besluiten 2008/615/JBZ en 2008/616/JBZ van de Raad en de Verordeningen (EU) 2018/1726, (EU) 2019/817 en (EU) 2019/818 van het Europees Parlement en de Raad (de Prüm II-verordening).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Om grensoverschrijdende zware georganiseerde criminaliteit en terrorisme te voorkomen, op te sporen en te onderzoeken, zijn coördinatie en gecoördineerde actie noodzakelijk.</w:t>
            </w:r>
            <w:r>
              <w:t xml:space="preserve"> </w:t>
            </w:r>
            <w:r>
              <w:rPr>
                <w:b/>
                <w:i/>
              </w:rPr>
              <w:t>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w:t>
            </w:r>
            <w:r>
              <w:t xml:space="preserve"> </w:t>
            </w:r>
            <w:r>
              <w:rPr>
                <w:b/>
                <w:i/>
              </w:rPr>
              <w:t>Dit coördinatiemechanisme tussen de politieautoriteiten en andere rechtshandhavingsdiensten van de lidstaten moet deze autoriteiten en diensten, met de steun van Europol, in staat stellen gezamenlijke, gecoördineerde en geprioriteerde criminele inlichtingenactiviteiten en onderzoeken uit te voeren, met name met betrekking tot criminele netwerken en groepen en individuele criminele actoren, met inbegrip van personen van wie de criminele activiteiten behoren tot de vormen van criminaliteit waarvoor Europol bevoegd is en die een hoog veiligheidsrisico vormen.</w:t>
            </w:r>
            <w:r>
              <w:t xml:space="preserve"> </w:t>
            </w:r>
            <w:r>
              <w:rPr>
                <w:b/>
                <w:i/>
              </w:rPr>
              <w:t>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 en moet Europol zijn geavanceerde analytische, operationele, technische, forensische en financiële steun ter beschikking van die lidstaten kunnen stellen.</w:t>
            </w:r>
            <w:r>
              <w:t xml:space="preserve"> </w:t>
            </w:r>
            <w:r>
              <w:rPr>
                <w:b/>
                <w:i/>
              </w:rPr>
              <w:t>Derde landen moeten kunnen deelnemen aan of steun verlenen aan een operationele taskforce.</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w:t>
            </w:r>
            <w:r>
              <w:rPr>
                <w:b/>
                <w:i/>
              </w:rPr>
              <w:t>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w:t>
            </w:r>
            <w:r>
              <w:t xml:space="preserve"> </w:t>
            </w:r>
            <w:r>
              <w:rPr>
                <w:b/>
                <w:i/>
              </w:rPr>
              <w:t>Dit coördinatiemechanisme tussen de politieautoriteiten en andere rechtshandhavingsdiensten van de lidstaten moet deze autoriteiten en diensten, met de steun van Europol, in staat</w:t>
            </w:r>
            <w:r>
              <w:t xml:space="preserve"> stellen </w:t>
            </w:r>
            <w:r>
              <w:rPr>
                <w:b/>
                <w:i/>
              </w:rPr>
              <w:t>gezamenlijke</w:t>
            </w:r>
            <w:r>
              <w:t xml:space="preserve">, </w:t>
            </w:r>
            <w:r>
              <w:rPr>
                <w:b/>
                <w:i/>
              </w:rPr>
              <w:t>gecoördineerde en geprioriteerde criminele inlichtingenactiviteiten en onderzoeken uit te voeren,</w:t>
            </w:r>
            <w:r>
              <w:t xml:space="preserve"> met name </w:t>
            </w:r>
            <w:r>
              <w:rPr>
                <w:b/>
                <w:i/>
              </w:rPr>
              <w:t>met betrekking tot criminele netwerken en groepen en individuele criminele actoren, met inbegrip van personen van wie de criminele activiteiten behoren tot de vormen van criminaliteit waarvoor Europol bevoegd is en die een hoog veiligheidsrisico vormen.</w:t>
            </w:r>
            <w:r>
              <w:t xml:space="preserve"> </w:t>
            </w:r>
            <w:r>
              <w:rPr>
                <w:b/>
                <w:i/>
              </w:rPr>
              <w:t>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w:t>
            </w:r>
            <w:r>
              <w:t xml:space="preserve"> Europol</w:t>
            </w:r>
            <w:r>
              <w:rPr>
                <w:b/>
                <w:i/>
              </w:rPr>
              <w:t>, en moet Europol zijn geavanceerde analytische, operationele, technische, forensische en financiële steun ter beschikking van die lidstaten kunnen stellen.</w:t>
            </w:r>
            <w:r>
              <w:t xml:space="preserve"> </w:t>
            </w:r>
            <w:r>
              <w:rPr>
                <w:b/>
                <w:i/>
              </w:rPr>
              <w:t>Derde landen moeten kunnen deelnemen aan of steun verlenen aan een operationele taskforce</w:t>
            </w:r>
            <w:r>
              <w:t>.</w:t>
            </w:r>
          </w:p>
        </w:tc>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w:t>
            </w:r>
            <w:r>
              <w:rPr>
                <w:b/>
                <w:i/>
              </w:rPr>
              <w:t>Daarom is het zaak ruchtbaarheid te geven aan de mogelijkheid van de lidstaten om overeenkomstig het kaderbesluit van de Raad van 13 juni 2002 gemeenschappelijke onderzoeksteams in te</w:t>
            </w:r>
            <w:r>
              <w:t xml:space="preserve"> stellen, </w:t>
            </w:r>
            <w:r>
              <w:rPr>
                <w:b/>
                <w:i/>
              </w:rPr>
              <w:t>en</w:t>
            </w:r>
            <w:r>
              <w:t xml:space="preserve"> met name </w:t>
            </w:r>
            <w:r>
              <w:rPr>
                <w:b/>
                <w:i/>
              </w:rPr>
              <w:t>de steun die</w:t>
            </w:r>
            <w:r>
              <w:t xml:space="preserve"> Europol </w:t>
            </w:r>
            <w:r>
              <w:rPr>
                <w:b/>
                <w:i/>
              </w:rPr>
              <w:t>daarbij kan bieden, uit te breiden</w:t>
            </w:r>
            <w:r>
              <w:t>.</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verdient de voorkeur om bestaande instrumenten te versterken in plaats van nieuwe te creëren.</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 </w:t>
            </w:r>
            <w:r>
              <w:rPr>
                <w:b/>
                <w:i/>
              </w:rPr>
              <w:t>Dit coördinatiemechanisme tussen de politieautoriteiten en andere rechtshandhavingsdiensten</w:t>
            </w:r>
            <w:r>
              <w:t xml:space="preserve"> van de </w:t>
            </w:r>
            <w:r>
              <w:rPr>
                <w:b/>
                <w:i/>
              </w:rPr>
              <w:t>lidstaten moet deze autoriteiten en diensten, met de steun van Europol, in staat stellen gezamenlijke, gecoördineerde en geprioriteerde criminele inlichtingenactiviteiten en onderzoeken uit te voeren, met name met betrekking tot criminele netwerken en groepen en individuele criminele actoren, met inbegrip van personen van wie de criminele activiteiten behoren tot de vormen van criminaliteit waarvoor Europol bevoegd is en die een hoog veiligheidsrisico vormen.</w:t>
            </w:r>
            <w:r>
              <w:t xml:space="preserve"> </w:t>
            </w:r>
            <w:r>
              <w:rPr>
                <w:b/>
                <w:i/>
              </w:rPr>
              <w:t>Om de goede werking en doeltreffendheid van dat mechanisme te waarborgen,</w:t>
            </w:r>
            <w:r>
              <w:t xml:space="preserve"> moeten </w:t>
            </w:r>
            <w:r>
              <w:rPr>
                <w:b/>
                <w:i/>
              </w:rPr>
              <w:t>de lidstaten die een operationele taskforce oprichten, eraan deelnemen of ondersteunen, kunnen zorgen voor een reeks minimumvereisten met betrekking tot hun actieve en tijdige betrokkenheid, zoals het verstrekken van alle relevante informatie aan Europol, en moet</w:t>
            </w:r>
            <w:r>
              <w:t xml:space="preserve"> Europol </w:t>
            </w:r>
            <w:r>
              <w:rPr>
                <w:b/>
                <w:i/>
              </w:rPr>
              <w:t>zijn geavanceerde analytische, operationele, technische, forensische en financiële steun ter beschikking van die lidstaten kunnen stellen.</w:t>
            </w:r>
            <w:r>
              <w:t xml:space="preserve"> </w:t>
            </w:r>
            <w:r>
              <w:rPr>
                <w:b/>
                <w:i/>
              </w:rPr>
              <w:t>Derde landen moeten kunnen deelnemen aan of steun verlenen aan een operationele taskforce</w:t>
            </w:r>
            <w:r>
              <w:t>.</w:t>
            </w:r>
          </w:p>
        </w:tc>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 </w:t>
            </w:r>
            <w:r>
              <w:rPr>
                <w:b/>
                <w:i/>
              </w:rPr>
              <w:t>De activiteiten</w:t>
            </w:r>
            <w:r>
              <w:t xml:space="preserve"> van de </w:t>
            </w:r>
            <w:r>
              <w:rPr>
                <w:b/>
                <w:i/>
              </w:rPr>
              <w:t>operationele taskforces moeten niet in detail in deze verordening worden geregeld en zij</w:t>
            </w:r>
            <w:r>
              <w:t xml:space="preserve"> moeten </w:t>
            </w:r>
            <w:r>
              <w:rPr>
                <w:b/>
                <w:i/>
              </w:rPr>
              <w:t>worden beschouwd als flexibele instrumenten waarover</w:t>
            </w:r>
            <w:r>
              <w:t xml:space="preserve"> Europol </w:t>
            </w:r>
            <w:r>
              <w:rPr>
                <w:b/>
                <w:i/>
              </w:rPr>
              <w:t>kan beschikken</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Om grensoverschrijdende zware georganiseerde criminaliteit en terrorisme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 Dit coördinatiemechanisme tussen de politieautoriteiten en andere rechtshandhavingsdiensten van de lidstaten moet deze autoriteiten en diensten, met de steun van Europol, in staat stellen gezamenlijke, gecoördineerde en geprioriteerde criminele inlichtingenactiviteiten en onderzoeken uit te voeren, met name met betrekking tot criminele netwerken en groepen en individuele criminele actoren, met inbegrip van personen van wie de criminele activiteiten behoren tot de vormen van criminaliteit waarvoor Europol bevoegd is en die een hoog veiligheidsrisico vormen.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w:t>
            </w:r>
            <w:r>
              <w:rPr>
                <w:b/>
                <w:i/>
              </w:rPr>
              <w:t>, en moet</w:t>
            </w:r>
            <w:r>
              <w:t xml:space="preserve"> Europol zijn geavanceerde analytische, operationele, technische, forensische en financiële steun ter beschikking van die lidstaten kunnen stellen. Derde landen moeten kunnen deelnemen aan of steun verlenen aan een operationele taskforce.</w:t>
            </w:r>
          </w:p>
        </w:tc>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 Dit coördinatiemechanisme tussen de politieautoriteiten en andere rechtshandhavingsdiensten van de lidstaten moet deze autoriteiten en diensten, met de steun van Europol, in staat stellen gezamenlijke, gecoördineerde en geprioriteerde criminele inlichtingenactiviteiten en onderzoeken uit te voeren, met name met betrekking tot criminele netwerken en groepen en individuele criminele actoren, met inbegrip van personen van wie de criminele activiteiten behoren tot de vormen van criminaliteit waarvoor Europol bevoegd is en die een hoog veiligheidsrisico vormen. </w:t>
            </w:r>
            <w:r>
              <w:rPr>
                <w:b/>
                <w:i/>
              </w:rPr>
              <w:t>Het is belangrijk ervoor te zorgen dat de operationele taskforce een flexibel en doeltreffend operationeel mechanisme is.</w:t>
            </w:r>
            <w:r>
              <w:t xml:space="preserve"> </w:t>
            </w:r>
            <w:r>
              <w:rPr>
                <w:b/>
                <w:i/>
              </w:rPr>
              <w:t>Daarom moeten gedetailleerde regels voor de uitvoering ervan worden vastgesteld door de raad van bestuur, op basis van een voorstel van de uitvoerend directeur.</w:t>
            </w:r>
            <w:r>
              <w:t xml:space="preserve"> </w:t>
            </w:r>
            <w:r>
              <w:rPr>
                <w:b/>
                <w:i/>
              </w:rPr>
              <w:t>Die operationele taskforces initiëren overeenkomstig het nationale recht en het Unierecht bepaalde specifieke criminele inlichtingenactiviteiten en -onderzoeken, ook parallelle financiële onderzoeken, om criminele vermogensbestanddelen te identificeren en in beslag te nemen.</w:t>
            </w:r>
            <w:r>
              <w:t xml:space="preserve">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 </w:t>
            </w:r>
            <w:r>
              <w:rPr>
                <w:b/>
                <w:i/>
              </w:rPr>
              <w:t>en andere deelnemende lidstaten.</w:t>
            </w:r>
            <w:r>
              <w:t xml:space="preserve"> Europol </w:t>
            </w:r>
            <w:r>
              <w:rPr>
                <w:b/>
                <w:i/>
              </w:rPr>
              <w:t>moet</w:t>
            </w:r>
            <w:r>
              <w:t xml:space="preserve"> zijn geavanceerde analytische, operationele, technische, forensische en financiële steun ter beschikking van die lidstaten kunnen stellen. Derde landen moeten kunnen deelnemen aan of steun verlenen aan een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Naast de mogelijkheid voor de lidstaat om </w:t>
            </w:r>
            <w:r>
              <w:rPr>
                <w:b/>
                <w:i/>
              </w:rPr>
              <w:t>overeenkomstig het kaderbesluit van de Raad van 13 juni 2002</w:t>
            </w:r>
            <w:r>
              <w:t xml:space="preserve"> een gemeenschappelijk onderzoeksteam in te stellen, moeten de lidstaten met steun van Europol </w:t>
            </w:r>
            <w:r>
              <w:rPr>
                <w:b/>
                <w:i/>
              </w:rPr>
              <w:t>een</w:t>
            </w:r>
            <w:r>
              <w:t xml:space="preserve"> operationele taskforce kunnen oprichten </w:t>
            </w:r>
            <w:r>
              <w:rPr>
                <w:b/>
                <w:i/>
              </w:rPr>
              <w:t>om de samenwerking op het gebied van rechtshandhaving te versterken.</w:t>
            </w:r>
            <w:r>
              <w:t xml:space="preserve"> </w:t>
            </w:r>
            <w:r>
              <w:rPr>
                <w:b/>
                <w:i/>
              </w:rPr>
              <w:t>Dit</w:t>
            </w:r>
            <w:r>
              <w:t xml:space="preserve"> coördinatiemechanisme tussen de </w:t>
            </w:r>
            <w:r>
              <w:rPr>
                <w:b/>
                <w:i/>
              </w:rPr>
              <w:t>politieautoriteiten en andere rechtshandhavingsdiensten</w:t>
            </w:r>
            <w:r>
              <w:t xml:space="preserve"> van de lidstaten moet deze autoriteiten </w:t>
            </w:r>
            <w:r>
              <w:rPr>
                <w:b/>
                <w:i/>
              </w:rPr>
              <w:t>en diensten</w:t>
            </w:r>
            <w:r>
              <w:t xml:space="preserve">, met de steun van Europol, in staat stellen gezamenlijke, gecoördineerde en geprioriteerde criminele </w:t>
            </w:r>
            <w:r>
              <w:rPr>
                <w:b/>
                <w:i/>
              </w:rPr>
              <w:t>inlichtingenactiviteiten en</w:t>
            </w:r>
            <w:r>
              <w:t xml:space="preserve"> onderzoeken uit te voeren, met name met betrekking tot criminele netwerken en groepen en individuele criminele actoren</w:t>
            </w:r>
            <w:r>
              <w:rPr>
                <w:b/>
                <w:i/>
              </w:rPr>
              <w:t>, met inbegrip van personen</w:t>
            </w:r>
            <w:r>
              <w:t xml:space="preserve"> van wie de criminele activiteiten behoren tot de vormen van criminaliteit waarvoor Europol bevoegd is en die een hoog veiligheidsrisico vormen.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 en moet Europol zijn geavanceerde analytische, operationele, technische, forensische en financiële steun ter beschikking van die lidstaten kunnen stellen. Derde landen </w:t>
            </w:r>
            <w:r>
              <w:rPr>
                <w:b/>
                <w:i/>
              </w:rPr>
              <w:t>moeten</w:t>
            </w:r>
            <w:r>
              <w:t xml:space="preserve"> kunnen deelnemen aan of steun verlenen aan een operationele taskforce.</w:t>
            </w:r>
          </w:p>
        </w:tc>
        <w:tc>
          <w:tcPr>
            <w:tcW w:w="4876" w:type="dxa"/>
            <w:tcBorders>
              <w:top w:val="nil"/>
              <w:left w:val="nil"/>
              <w:bottom w:val="nil"/>
              <w:right w:val="nil"/>
            </w:tcBorders>
          </w:tcPr>
          <w:p>
            <w:pPr>
              <w:pStyle w:val="Normal6a"/>
            </w:pPr>
            <w:r>
              <w:t>(15)</w:t>
            </w:r>
            <w:r>
              <w:tab/>
            </w:r>
            <w:r>
              <w:t xml:space="preserve">Om grensoverschrijdende zware georganiseerde criminaliteit en terrorisme te voorkomen, op te sporen en te onderzoeken, zijn coördinatie en gecoördineerde actie noodzakelijk. Naast de mogelijkheid voor de lidstaat om een gemeenschappelijk onderzoeksteam in te stellen, moeten de lidstaten met steun van Europol </w:t>
            </w:r>
            <w:r>
              <w:rPr>
                <w:b/>
                <w:i/>
              </w:rPr>
              <w:t>en Eurojust een tijdelijke</w:t>
            </w:r>
            <w:r>
              <w:t xml:space="preserve"> operationele taskforce kunnen oprichten </w:t>
            </w:r>
            <w:r>
              <w:rPr>
                <w:b/>
                <w:i/>
              </w:rPr>
              <w:t>voor strafrechtelijke onderzoeken die onder de doelstellingen van Europol overeenkomstig artikel 3 van Verordening (EU) 2016/794 vallen en waarvoor een gecoördineerd optreden vereist is.</w:t>
            </w:r>
            <w:r>
              <w:t xml:space="preserve"> </w:t>
            </w:r>
            <w:r>
              <w:rPr>
                <w:b/>
                <w:i/>
              </w:rPr>
              <w:t>Dit tijdelijke</w:t>
            </w:r>
            <w:r>
              <w:t xml:space="preserve"> coördinatiemechanisme tussen de </w:t>
            </w:r>
            <w:r>
              <w:rPr>
                <w:b/>
                <w:i/>
              </w:rPr>
              <w:t>politie- en gerechtelijke autoriteiten</w:t>
            </w:r>
            <w:r>
              <w:t xml:space="preserve"> van de lidstaten moet deze autoriteiten, met de steun van Europol </w:t>
            </w:r>
            <w:r>
              <w:rPr>
                <w:b/>
                <w:i/>
              </w:rPr>
              <w:t>en Eurojust</w:t>
            </w:r>
            <w:r>
              <w:t xml:space="preserve">, in staat stellen gezamenlijke, gecoördineerde en geprioriteerde criminele onderzoeken uit te voeren, met name met betrekking tot criminele netwerken en groepen en individuele criminele actoren van wie de criminele activiteiten behoren tot de vormen van criminaliteit waarvoor Europol bevoegd is en die een hoog veiligheidsrisico vormen.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w:t>
            </w:r>
            <w:r>
              <w:rPr>
                <w:b/>
                <w:i/>
              </w:rPr>
              <w:t>noodzakelijke, evenredige</w:t>
            </w:r>
            <w:r>
              <w:t xml:space="preserve"> informatie </w:t>
            </w:r>
            <w:r>
              <w:rPr>
                <w:b/>
                <w:i/>
              </w:rPr>
              <w:t>van hoge kwaliteit</w:t>
            </w:r>
            <w:r>
              <w:t xml:space="preserve"> aan Europol, </w:t>
            </w:r>
            <w:r>
              <w:rPr>
                <w:b/>
                <w:i/>
              </w:rPr>
              <w:t>alsmede aan Eurojust, zodra er gerechtelijke autoriteiten bij de zaak betrokken zijn,</w:t>
            </w:r>
            <w:r>
              <w:t xml:space="preserve"> en moet Europol zijn geavanceerde analytische, operationele, technische, forensische en financiële steun ter beschikking van die lidstaten kunnen stellen. </w:t>
            </w:r>
            <w:r>
              <w:rPr>
                <w:b/>
                <w:i/>
              </w:rPr>
              <w:t>Verbindingsofficieren van Europol die worden ingezet in</w:t>
            </w:r>
            <w:r>
              <w:t xml:space="preserve"> derde landen </w:t>
            </w:r>
            <w:r>
              <w:rPr>
                <w:b/>
                <w:i/>
              </w:rPr>
              <w:t>waar criminele activiteiten die vallen onder de doelstellingen van Europol overeenkomstig artikel 3 van Verordening (EU) 2016/794,</w:t>
            </w:r>
            <w:r>
              <w:t xml:space="preserve"> kunnen deelnemen aan of steun verlenen aan een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Om </w:t>
            </w:r>
            <w:r>
              <w:rPr>
                <w:b/>
                <w:i/>
              </w:rPr>
              <w:t>grensoverschrijdende zware georganiseerde criminaliteit en terrorisme</w:t>
            </w:r>
            <w:r>
              <w:t xml:space="preserv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 Dit coördinatiemechanisme tussen de politieautoriteiten en andere rechtshandhavingsdiensten van de lidstaten moet deze autoriteiten en diensten, met de steun van Europol, in staat stellen gezamenlijke, gecoördineerde en geprioriteerde criminele inlichtingenactiviteiten en onderzoeken uit te voeren, met name met betrekking tot criminele netwerken en groepen </w:t>
            </w:r>
            <w:r>
              <w:rPr>
                <w:b/>
                <w:i/>
              </w:rPr>
              <w:t>en individuele criminele actoren, met inbegrip van personen van wie de criminele activiteiten behoren tot de vormen van criminaliteit waarvoor Europol bevoegd is en die een hoog veiligheidsrisico vormen</w:t>
            </w:r>
            <w:r>
              <w:t>.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 en moet Europol zijn geavanceerde analytische, operationele, technische, forensische en financiële steun ter beschikking van die lidstaten kunnen stellen. Derde landen moeten kunnen deelnemen aan of steun verlenen aan een operationele taskforce.</w:t>
            </w:r>
          </w:p>
        </w:tc>
        <w:tc>
          <w:tcPr>
            <w:tcW w:w="4876" w:type="dxa"/>
            <w:tcBorders>
              <w:top w:val="nil"/>
              <w:left w:val="nil"/>
              <w:bottom w:val="nil"/>
              <w:right w:val="nil"/>
            </w:tcBorders>
          </w:tcPr>
          <w:p>
            <w:pPr>
              <w:pStyle w:val="Normal6a"/>
            </w:pPr>
            <w:r>
              <w:t>(15)</w:t>
            </w:r>
            <w:r>
              <w:tab/>
            </w:r>
            <w:r>
              <w:t xml:space="preserve">Om </w:t>
            </w:r>
            <w:r>
              <w:rPr>
                <w:b/>
                <w:i/>
              </w:rPr>
              <w:t>migrantensmokkel en mensenhandel</w:t>
            </w:r>
            <w:r>
              <w:t xml:space="preserve"> te voorkomen, op te sporen en te onderzoeken, zijn coördinatie en gecoördineerde actie noodzakelijk. Naast de mogelijkheid voor de lidstaat om overeenkomstig het kaderbesluit van de Raad van 13 juni 2002 een gemeenschappelijk onderzoeksteam in te stellen, moeten de lidstaten met steun van Europol een operationele taskforce kunnen oprichten om de samenwerking op het gebied van rechtshandhaving te versterken</w:t>
            </w:r>
            <w:r>
              <w:rPr>
                <w:b/>
                <w:i/>
              </w:rPr>
              <w:t>, met als doel het voorkomen, opsporen en onderzoeken van migrantensmokkel en mensenhandel</w:t>
            </w:r>
            <w:r>
              <w:t xml:space="preserve">. Dit coördinatiemechanisme tussen de politieautoriteiten en andere rechtshandhavingsdiensten van de lidstaten moet deze autoriteiten en diensten, met de steun van Europol, in staat stellen gezamenlijke, gecoördineerde en geprioriteerde criminele inlichtingenactiviteiten en onderzoeken uit te voeren, met name met betrekking tot criminele netwerken en groepen </w:t>
            </w:r>
            <w:r>
              <w:rPr>
                <w:b/>
                <w:i/>
              </w:rPr>
              <w:t>die betrokken zijn bij migrantensmokkel en mensenhandel</w:t>
            </w:r>
            <w:r>
              <w:t>. Om de goede werking en doeltreffendheid van dat mechanisme te waarborgen, moeten de lidstaten die een operationele taskforce oprichten, eraan deelnemen of ondersteunen, kunnen zorgen voor een reeks minimumvereisten met betrekking tot hun actieve en tijdige betrokkenheid, zoals het verstrekken van alle relevante informatie aan Europol, en moet Europol zijn geavanceerde analytische, operationele, technische, forensische en financiële steun ter beschikking van die lidstaten kunnen stellen. Derde landen moeten kunnen deelnemen aan of steun verlenen aan een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Er moet met het voorstel gefocust worden op criminele netwerken die betrokken zijn bij het smokkelen van mensen voor het gewin.</w:t>
      </w:r>
      <w:r>
        <w:t xml:space="preserve"> </w:t>
      </w:r>
      <w:r>
        <w:t>Het gebruik van middelen van de lidstaten en van Europol en andere EU-agentschappen om individuele irreguliere migranten te vervolgen onder het voorwendsel dat wordt opgetreden tegen smokkel is een verspilling van middelen en help niet om de criminele netwerken aan te pakken.</w:t>
      </w:r>
    </w:p>
    <w:p>
      <w:r>
        <w:rPr>
          <w:rStyle w:val="HideTWBExt"/>
        </w:rPr>
        <w:t>&lt;/Amend&gt;</w:t>
      </w:r>
    </w:p>
    <w:p>
      <w:pPr>
        <w:pStyle w:val="AmNumberTabs"/>
      </w:pPr>
      <w:r>
        <w:rPr>
          <w:rStyle w:val="HideTWBExt"/>
        </w:rPr>
        <w:t>&lt;Amend&gt;</w:t>
      </w:r>
      <w:r>
        <w:t>Amendement</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Indien de criminele inlichtingenactiviteiten die in een operationele taskforce worden uitgevoerd, leiden tot de opening van strafrechtelijke onderzoeken in een of meer lidstaten die baat kunnen hebben bij het opzetten van een gemeenschappelijk onderzoeksteam, of 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w:t>
            </w:r>
            <w:r>
              <w:t xml:space="preserve"> </w:t>
            </w:r>
            <w:r>
              <w:rPr>
                <w:b/>
                <w:i/>
              </w:rPr>
              <w:t>In die gevallen dient Europol in voorkomend geval nauw contact te onderhouden met Eurojust.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Indien de criminele inlichtingenactiviteiten die in een operationele taskforce worden uitgevoerd, leiden tot de opening van strafrechtelijke onderzoeken in een of meer lidstaten die baat kunnen hebben bij het opzetten van een gemeenschappelijk onderzoeksteam, of 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w:t>
            </w:r>
            <w:r>
              <w:t xml:space="preserve"> </w:t>
            </w:r>
            <w:r>
              <w:rPr>
                <w:b/>
                <w:i/>
              </w:rPr>
              <w:t>In die gevallen dient Europol in voorkomend geval nauw contact te onderhouden met Eurojust.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rPr>
                <w:b/>
                <w:i/>
              </w:rPr>
              <w:t>Indien de criminele inlichtingenactiviteiten die in een operationele taskforce worden uitgevoerd, leiden tot de opening van strafrechtelijke onderzoeken in een of meer lidstaten die baat kunnen hebben bij het opzetten van een gemeenschappelijk onderzoeksteam, of</w:t>
            </w:r>
            <w:r>
              <w:t xml:space="preserve"> 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 In die gevallen dient Europol in voorkomend geval nauw contact te onderhouden met Eurojust.</w:t>
            </w:r>
          </w:p>
        </w:tc>
        <w:tc>
          <w:tcPr>
            <w:tcW w:w="4876" w:type="dxa"/>
            <w:tcBorders>
              <w:top w:val="nil"/>
              <w:left w:val="nil"/>
              <w:bottom w:val="nil"/>
              <w:right w:val="nil"/>
            </w:tcBorders>
          </w:tcPr>
          <w:p>
            <w:pPr>
              <w:pStyle w:val="Normal6a"/>
            </w:pPr>
            <w:r>
              <w:t>(16)</w:t>
            </w:r>
            <w:r>
              <w:tab/>
            </w:r>
            <w:r>
              <w:t>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 In die gevallen dient Europol in voorkomend geval nauw contact te onderhouden met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Indien de criminele inlichtingenactiviteiten die in een operationele taskforce worden uitgevoerd, leiden tot de opening van strafrechtelijke onderzoeken in een of meer lidstaten die baat kunnen hebben bij het opzetten van een gemeenschappelijk onderzoeksteam, of 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 In die gevallen dient Europol in voorkomend geval nauw contact te onderhouden met Eurojust.</w:t>
            </w:r>
          </w:p>
        </w:tc>
        <w:tc>
          <w:tcPr>
            <w:tcW w:w="4876" w:type="dxa"/>
            <w:tcBorders>
              <w:top w:val="nil"/>
              <w:left w:val="nil"/>
              <w:bottom w:val="nil"/>
              <w:right w:val="nil"/>
            </w:tcBorders>
          </w:tcPr>
          <w:p>
            <w:pPr>
              <w:pStyle w:val="Normal6a"/>
            </w:pPr>
            <w:r>
              <w:t>(16)</w:t>
            </w:r>
            <w:r>
              <w:tab/>
            </w:r>
            <w:r>
              <w:t xml:space="preserve">Indien de criminele inlichtingenactiviteiten die in een operationele taskforce worden uitgevoerd </w:t>
            </w:r>
            <w:r>
              <w:rPr>
                <w:b/>
                <w:i/>
              </w:rPr>
              <w:t>voor het voorkomen, opsporen en onderzoeken van migrantensmokkel en mensenhandel</w:t>
            </w:r>
            <w:r>
              <w:t>, leiden tot de opening van strafrechtelijke onderzoeken in een of meer lidstaten die baat kunnen hebben bij het opzetten van een gemeenschappelijk onderzoeksteam, of wanneer de door een operationele taskforce ondersteunde strafrechtelijke onderzoeken baat kunnen hebben bij het opzetten van een gemeenschappelijk onderzoeksteam, moet Europol de betrokken lidstaten voorstellen een gemeenschappelijk onderzoeksteam op te richten en maatregelen nemen om ze bij te staan overeenkomstig artikel 5 van Verordening (EU) 2016/794. In die gevallen dient Europol in voorkomend geval nauw contact te onderhouden met Eurojust.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Rekening houdend met de aard, de reikwijdte, de context en de doeleinden van de verwerking van persoonsgegevens door Europol, alsook met de risico’s voor de rechten en vrijheden van natuurlijke personen, moet Europol passende maatregelen nemen om ervoor te zorgen en te kunnen aantonen dat de verwerking plaatsvindt overeenkomstig deze verordening.</w:t>
            </w:r>
            <w:r>
              <w:t xml:space="preserve"> </w:t>
            </w:r>
            <w:r>
              <w:rPr>
                <w:b/>
                <w:i/>
              </w:rPr>
              <w:t>Deze maatregelen moeten worden getoetst en indien nodig geactualiseerd.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ter)</w:t>
            </w:r>
            <w:r>
              <w:tab/>
            </w:r>
            <w:r>
              <w:rPr>
                <w:b/>
                <w:i/>
              </w:rPr>
              <w:t>Aangezien biometrische gegevens een bijzondere categorie van persoonsgegevens vormen, levert de verwerking van biometrische gegevens een ernstig risico op voor het recht op privacy en bescherming van persoonsgegevens, alsook voor andere grondrechten, aangezien de voor een dergelijke verwerking gebruikte technologieën niet inhouden dat de personen van wie biometrische gegevens worden verwerkt, daarvan op de hoogte worden gebracht of worden verzocht daaraan hun medewerking te verlenen.</w:t>
            </w:r>
            <w:r>
              <w:t xml:space="preserve"> </w:t>
            </w:r>
            <w:r>
              <w:rPr>
                <w:b/>
                <w:i/>
              </w:rPr>
              <w:t>Het risico van vertekende resultaten en discriminerende effecten is met name relevant voor specifieke categorieën, zoals geslacht, leeftijd, haarkleur, oogkleur, tatoeages, etnische afkomst, gezondheid, mentaal vermogen, persoonlijkheidskenmerken, seksuele gerichtheid of politieke overtuiging, die worden gehanteerd om natuurlijke personen op basis van hun biometrische of op biometrie gebaseerde gegevens in te delen, teneinde de identificatie van een natuurlijke persoon al dan niet mogelijk te maken of te bevestigen.</w:t>
            </w:r>
            <w:r>
              <w:t xml:space="preserve"> </w:t>
            </w:r>
            <w:r>
              <w:rPr>
                <w:b/>
                <w:i/>
              </w:rPr>
              <w:t>In het EU-kader voor gegevensbescherming is de verwerking van biometrische gegevens in de regel verboden en is verwerking slechts toegestaan bij wijze van uitzondering.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quater)</w:t>
            </w:r>
            <w:r>
              <w:tab/>
            </w:r>
            <w:r>
              <w:rPr>
                <w:b/>
                <w:i/>
              </w:rPr>
              <w:t>Gezien de aard van biometrische gegevens en de ermee verband houdende risico’s moet voor deze gegevens worden voorzien in bijzondere bescherming.</w:t>
            </w:r>
            <w:r>
              <w:t xml:space="preserve"> </w:t>
            </w:r>
            <w:r>
              <w:rPr>
                <w:b/>
                <w:i/>
              </w:rPr>
              <w:t>Dit geldt met name voor biometrische gegevens die worden verwerkt met het oog op de identificatie van een persoon.</w:t>
            </w:r>
            <w:r>
              <w:t xml:space="preserve"> </w:t>
            </w:r>
            <w:r>
              <w:rPr>
                <w:b/>
                <w:i/>
              </w:rPr>
              <w:t>Met betrekking tot de verwerking van bijzondere categorieën van persoonsgegevens voor rechtshandhavingsdoeleinden heeft het Hof van Justitie van de EU bevestigd dat het vereiste volgens hetwelk de verwerking van dergelijke gegevens "slechts" toegelaten is "wanneer de verwerking strikt noodzakelijk is", aldus moet worden uitgelegd dat daarin strengere voorwaarden voor de rechtmatigheid van de verwerking van gevoelige gegevens worden vastgesteld.</w:t>
            </w:r>
            <w:r>
              <w:t xml:space="preserve"> </w:t>
            </w:r>
            <w:r>
              <w:rPr>
                <w:b/>
                <w:i/>
              </w:rPr>
              <w:t>Bovendien betekent het feit dat het noodzakelijke karakter van de verwerking van deze gegevens absoluut moet zijn, dat de noodzaak moet worden beoordeeld met bijzondere gestrengheid. Voorts houdt het vereiste dat de verwerking van gevoelige gegevens strikt noodzakelijk moet zijn volgens het Hof in dat bijzonder nauwgezet moet worden nagegaan of het beginsel van minimale gegevensverwerking in acht is genomen</w:t>
            </w:r>
            <w:r>
              <w:rPr>
                <w:b/>
                <w:i/>
                <w:vertAlign w:val="superscript"/>
              </w:rPr>
              <w:t>1 bis</w:t>
            </w:r>
            <w:r>
              <w:rPr>
                <w:b/>
                <w:i/>
              </w:rPr>
              <w:t>.</w:t>
            </w:r>
            <w:r>
              <w:t xml:space="preserve"> </w:t>
            </w:r>
            <w:r>
              <w:rPr>
                <w:b/>
                <w:i/>
              </w:rPr>
              <w:t>Daarom moet elke verwerking van biometrische gegevens met het oog op rechtshandhaving in overeenstemming zijn met de grondrechten en fundamentele vrijheden zoals verankerd in het Handvest en met alle vereisten die voortvloeien uit het EU-kader voor gegevensbescherming en de jurisprudentie, met inbegrip van artikel 10 van Richtlijn (EU) 2016/680, op grond waarvan een dergelijke verwerking alleen is toegestaan wanneer dat strikt noodzakelijk is, met inachtneming van passende waarborgen voor de rechten en vrijheden van de betrokkene, en indien toegestaan op grond van het Unierecht of het recht van de lidstaat.</w:t>
            </w:r>
            <w:r>
              <w:t xml:space="preserve"> </w:t>
            </w:r>
            <w:r>
              <w:rPr>
                <w:b/>
                <w:i/>
              </w:rPr>
              <w:t>Een dergelijk gebruik moet, indien toegestaan, tevens voldoen aan de beginselen van artikel 4, lid 1, van Richtlijn (EU) 2016/680</w:t>
            </w:r>
            <w:r>
              <w:rPr>
                <w:b/>
                <w:i/>
                <w:vertAlign w:val="superscript"/>
              </w:rPr>
              <w:t>2 bis</w:t>
            </w:r>
            <w:r>
              <w:rPr>
                <w:b/>
                <w:i/>
              </w:rPr>
              <w:t>, waaronder rechtmatigheid, billijkheid en transparantie, doelbinding, nauwkeurigheid en opslagbeperking.</w:t>
            </w:r>
            <w:r>
              <w:t xml:space="preserve"> </w:t>
            </w:r>
            <w:r>
              <w:rPr>
                <w:b/>
                <w:i/>
              </w:rPr>
              <w:t>Voor andere doeleinden dan rechtshandhaving verbieden artikel 9, lid 1, van Verordening (EU) 2016/679 en artikel 10, lid 1, van Verordening (EU) 2018/1725 de verwerking van biometrische gegevens, met inachtneming van beperkte uitzonderingen zoals bepaald in die artikelen.</w:t>
            </w:r>
            <w:r>
              <w:t xml:space="preserve"> </w:t>
            </w:r>
            <w:r>
              <w:rPr>
                <w:b/>
                <w:i/>
              </w:rPr>
              <w:t>Gezien het ruime mandaat van Europol in combinatie met het zeer gevoelige karakter van de gegevens die worden verwerkt, moet worden gezorgd voor nauwlettend toezicht en passende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https://eur-lex.europa.eu/legal-content/NL/TXT/?uri=celex:62023CJ0080</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Richtlijn (EU) 2016/680 van het Europees Parlement en de Raad van 27 april 2016 betreffende de bescherming van natuurlijke personen in verband met de verwerking van persoonsgegevens door bevoegde autoriteiten met het oog op de voorkoming, het onderzoek, de opsporing en de vervolging van strafbare feiten of de tenuitvoerlegging van straffen, en betreffende het vrije verkeer van die gegevens en tot intrekking van Kaderbesluit 2008/977/JBZ van de Raad.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16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quinquies)</w:t>
            </w:r>
            <w:r>
              <w:tab/>
            </w:r>
            <w:r>
              <w:rPr>
                <w:b/>
                <w:i/>
              </w:rPr>
              <w:t>Aangezien de verwerking van biometrische gegevens een beperking inhoudt van de grondrechten op privacy en bescherming van persoonsgegevens, moet elke verwerking van biometrische gegevens, net als elke andere inmenging in een grondrecht, ook voldoen aan de criteria van artikel 52, lid 1, van het Handvest van de grondrechten van de Europese Unie.</w:t>
            </w:r>
            <w:r>
              <w:t xml:space="preserve"> </w:t>
            </w:r>
            <w:r>
              <w:rPr>
                <w:b/>
                <w:i/>
              </w:rPr>
              <w:t>Beperkingen moeten niet alleen bij wet worden gesteld, maar ook de wezenlijke inhoud van het recht moet worden geëerbiedigd, de beperking moet onderworpen zijn aan het beginsel van strikte noodzakelijkheid en evenredigheid en de rechten en vrijheden van anderen moeten worden beschermd.</w:t>
            </w:r>
            <w:r>
              <w:t xml:space="preserve"> </w:t>
            </w:r>
            <w:r>
              <w:rPr>
                <w:b/>
                <w:i/>
              </w:rPr>
              <w:t>In dit verband moeten de functionaris voor gegevensbescherming en de grondrechtenfunctionaris, in samenwerking met de Europese Toezichthouder voor gegevensbescherming, worden belast met de ontwikkeling en het onderhoud van een ethisch kader en mechanisme om de procedure en normen vast te stellen voor het uitvoeren van systematische tests van de strikte noodzakelijkheid, controles van de gegevenskwaliteit en voorafgaande effectbeoordelingen op het gebied van de grondrechten, om te garanderen dat voor de verwerking van biometrische gegevens passende waarborgen gelden.</w:t>
            </w:r>
            <w:r>
              <w:t xml:space="preserve"> </w:t>
            </w:r>
            <w:r>
              <w:rPr>
                <w:b/>
                <w:i/>
              </w:rPr>
              <w:t>Een dergelijk ethisch kader en mechanisme moet minimumnormen en drempels omvatten, onder meer voor gegevenskwaliteit en kwaliteitscontroles.</w:t>
            </w:r>
            <w:r>
              <w:t xml:space="preserve"> </w:t>
            </w:r>
            <w:r>
              <w:rPr>
                <w:b/>
                <w:i/>
              </w:rPr>
              <w:t>De Commissie moet worden gemachtigd om een dergelijk ethisch kader en mechanisme te bekrachtigen door middel van gedelegeerde handelingen op grond van artikel 290 VWEU, om er bindende rechtskracht aan te geven.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moet de mogelijkheid hebben om personeelsleden, met inbegrip van overeenkomstig Verordening (EU) 2016/794 gedetacheerde nationale deskundigen, op verzoek van een lidstaat in te zetten op het grondgebied van die lidstaat om </w:t>
            </w:r>
            <w:r>
              <w:rPr>
                <w:b/>
                <w:i/>
              </w:rPr>
              <w:t>analytische,</w:t>
            </w:r>
            <w:r>
              <w:t xml:space="preserve"> operationele</w:t>
            </w:r>
            <w:r>
              <w:rPr>
                <w:b/>
                <w:i/>
              </w:rPr>
              <w:t>, technische en forensische</w:t>
            </w:r>
            <w:r>
              <w:t xml:space="preserv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of operationele taskforces. </w:t>
            </w:r>
            <w:r>
              <w:rPr>
                <w:b/>
                <w:i/>
              </w:rPr>
              <w:t>Het moet ook ondersteuning bieden voor verdere veiligheidscontroles aan de hand van Europol of nationale databanken om snelle informatie-uitwisseling ter versterking van de controles aan de buitengrenzen van de Unie (secundaire veiligheidscontroles) of ondersteuningsteams voor migratiebeheer overeenkomstig Verordening (EU) 2019/1896 van het Europees Parlement en de Raad</w:t>
            </w:r>
            <w:r>
              <w:rPr>
                <w:b/>
                <w:i/>
                <w:vertAlign w:val="superscript"/>
              </w:rPr>
              <w:t>2</w:t>
            </w:r>
            <w:r>
              <w:rPr>
                <w:b/>
                <w:i/>
              </w:rPr>
              <w:t>te vergemakkelijken.</w:t>
            </w:r>
            <w:r>
              <w:t xml:space="preserve"> </w:t>
            </w:r>
            <w:r>
              <w:rPr>
                <w:b/>
                <w:i/>
              </w:rPr>
              <w:t>Europol dient ook gebruik te maken van het inzetten van zijn personeel om de lidstaten te ondersteunen bij grote internationale evenementen.</w:t>
            </w:r>
            <w:r>
              <w:t xml:space="preserve"> </w:t>
            </w:r>
            <w:r>
              <w:rPr>
                <w:b/>
                <w:i/>
              </w:rPr>
              <w:t>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c>
          <w:tcPr>
            <w:tcW w:w="4876" w:type="dxa"/>
            <w:tcBorders>
              <w:top w:val="nil"/>
              <w:left w:val="nil"/>
              <w:bottom w:val="nil"/>
              <w:right w:val="nil"/>
            </w:tcBorders>
          </w:tcPr>
          <w:p>
            <w:pPr>
              <w:pStyle w:val="Normal6a"/>
            </w:pPr>
            <w:r>
              <w:t>(17)</w:t>
            </w:r>
            <w:r>
              <w:tab/>
            </w:r>
            <w:r>
              <w:t xml:space="preserve">Europol moet de mogelijkheid hebben om personeelsleden, met inbegrip van overeenkomstig Verordening (EU) 2016/794 gedetacheerde nationale deskundigen, op verzoek van een lidstaat in te zetten op het grondgebied van die lidstaat om operationele </w:t>
            </w:r>
            <w:r>
              <w:rPr>
                <w:b/>
                <w:i/>
              </w:rPr>
              <w:t>en technische</w:t>
            </w:r>
            <w:r>
              <w:t xml:space="preserv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of operationele taskforces.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Verordening (EU) 2019/1896 van het Europees Parlement en de Raad van 13 november 2019 betreffende de Europese grens- en kustwacht en tot intrekking van Verordening (EU) nr. 1052/2013 en Verordening (EU) 2016/1624 (PB L 295 van 14.11.2019, blz. 1, ELI: https://eur-lex.europa.eu/eli/reg/2019/1896/oj).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of operationele taskforces. </w:t>
            </w:r>
            <w:r>
              <w:rPr>
                <w:b/>
                <w:i/>
              </w:rPr>
              <w:t>Het moet ook ondersteuning bieden voor verdere veiligheidscontroles aan de hand van Europol of nationale databanken om snelle informatie-uitwisseling ter versterking van de controles aan de buitengrenzen van de Unie (secundaire veiligheidscontroles) of ondersteuningsteams voor migratiebeheer overeenkomstig Verordening (EU) 2019/1896 van het Europees Parlement en de Raad</w:t>
            </w:r>
            <w:r>
              <w:rPr>
                <w:b/>
                <w:i/>
                <w:vertAlign w:val="superscript"/>
              </w:rPr>
              <w:t>2</w:t>
            </w:r>
            <w:r>
              <w:rPr>
                <w:b/>
                <w:i/>
              </w:rPr>
              <w:t>te vergemakkelijken.</w:t>
            </w:r>
            <w:r>
              <w:t xml:space="preserve"> </w:t>
            </w:r>
            <w:r>
              <w:rPr>
                <w:b/>
                <w:i/>
              </w:rPr>
              <w:t>Europol dient ook gebruik te maken van het inzetten van zijn personeel om de lidstaten te ondersteunen bij grote internationale evenementen.</w:t>
            </w:r>
            <w:r>
              <w:t xml:space="preserve"> </w:t>
            </w:r>
            <w:r>
              <w:rPr>
                <w:b/>
                <w:i/>
              </w:rPr>
              <w:t>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c>
          <w:tcPr>
            <w:tcW w:w="4876" w:type="dxa"/>
            <w:tcBorders>
              <w:top w:val="nil"/>
              <w:left w:val="nil"/>
              <w:bottom w:val="nil"/>
              <w:right w:val="nil"/>
            </w:tcBorders>
          </w:tcPr>
          <w:p>
            <w:pPr>
              <w:pStyle w:val="Normal6a"/>
            </w:pPr>
            <w:r>
              <w:t>(17)</w:t>
            </w:r>
            <w:r>
              <w:tab/>
            </w:r>
            <w:r>
              <w:t xml:space="preserve">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w:t>
            </w:r>
            <w:r>
              <w:rPr>
                <w:b/>
                <w:i/>
              </w:rPr>
              <w:t>ter bestrijding van migrantensmokkel en mensenhandel</w:t>
            </w:r>
            <w:r>
              <w:t>, onder meer in het kader van gemeenschappelijke onderzoeksteams, in voorkomend geval in samenwerking met Eurojust, of operationele taskforces.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Verordening (EU) 2019/1896 van het Europees Parlement en de Raad van 13 november 2019 betreffende de Europese grens- en kustwacht en tot intrekking van Verordening (EU) nr. 1052/2013 en Verordening (EU) 2016/1624 (PB L 295 van 14.11.2019, blz. 1, ELI: https://eur-lex.europa.eu/eli/reg/2019/1896/oj).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maakt geen deel uit van het mandaat van Europol om de controles aan de buitengrenzen aan te scherpen. Deze wijziging van de Europol-verordening is bedoeld om het voorkomen, opsporen en onderzoeken van migrantensmokkel en mensenhandel aan te pakken.</w:t>
      </w:r>
      <w:r>
        <w:t xml:space="preserve"> </w:t>
      </w:r>
      <w:r>
        <w:t>Er wordt geen fundamentele herziening van de Europol-verordening ondernomen.</w:t>
      </w:r>
      <w:r>
        <w:t xml:space="preserve"> </w:t>
      </w:r>
      <w:r>
        <w:t>Het reguleren van de inzet van operationeel personeel in derde landen valt buiten het toepassingsgebied van deze verordening.</w:t>
      </w:r>
    </w:p>
    <w:p>
      <w:r>
        <w:rPr>
          <w:rStyle w:val="HideTWBExt"/>
        </w:rPr>
        <w:t>&lt;/Amend&gt;</w:t>
      </w:r>
    </w:p>
    <w:p>
      <w:pPr>
        <w:pStyle w:val="AmNumberTabs"/>
      </w:pPr>
      <w:r>
        <w:rPr>
          <w:rStyle w:val="HideTWBExt"/>
        </w:rPr>
        <w:t>&lt;Amend&gt;</w:t>
      </w:r>
      <w:r>
        <w:t>Amendement</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w:t>
            </w:r>
            <w:r>
              <w:rPr>
                <w:b/>
                <w:i/>
              </w:rPr>
              <w:t>moet de mogelijkheid hebben om</w:t>
            </w:r>
            <w:r>
              <w:t xml:space="preserve"> personeelsleden, met inbegrip van overeenkomstig Verordening (EU) 2016/794 gedetacheerde nationale deskundigen, </w:t>
            </w:r>
            <w:r>
              <w:rPr>
                <w:b/>
                <w:i/>
              </w:rPr>
              <w:t>op verzoek van een lidstaat in te zetten</w:t>
            </w:r>
            <w:r>
              <w:t xml:space="preserve"> op het grondgebied van die lidstaat om analytische, operationele, technische en forensische ondersteuning te bieden in samenwerking en overeenstemming met de bevoegde autoriteiten van die lidstaat. Het inzetten van Europol-personeel </w:t>
            </w:r>
            <w:r>
              <w:rPr>
                <w:b/>
                <w:i/>
              </w:rPr>
              <w:t>moet met name</w:t>
            </w:r>
            <w:r>
              <w:t xml:space="preserve"> plaatsvinden in het kader van complexe, grootschalige en prominente onderzoeken, onder meer in het kader van gemeenschappelijke onderzoeksteams</w:t>
            </w:r>
            <w:r>
              <w:rPr>
                <w:b/>
                <w:i/>
              </w:rPr>
              <w:t>, in voorkomend geval</w:t>
            </w:r>
            <w:r>
              <w:t xml:space="preserve"> in samenwerking met Eurojust</w:t>
            </w:r>
            <w:r>
              <w:rPr>
                <w:b/>
                <w:i/>
              </w:rPr>
              <w:t>, of operationele taskforces.</w:t>
            </w:r>
            <w:r>
              <w:t xml:space="preserve"> </w:t>
            </w:r>
            <w:r>
              <w:rPr>
                <w:b/>
                <w:i/>
              </w:rPr>
              <w:t>Het moet ook ondersteuning bieden voor verdere veiligheidscontroles aan de hand van Europol of nationale databanken om snelle informatie-uitwisseling ter versterking van de controles aan de buitengrenzen van de Unie (secundaire veiligheidscontroles) of ondersteuningsteams voor migratiebeheer overeenkomstig Verordening (EU) 2019/1896 van het Europees Parlement en de Raad</w:t>
            </w:r>
            <w:r>
              <w:rPr>
                <w:b/>
                <w:i/>
                <w:vertAlign w:val="superscript"/>
              </w:rPr>
              <w:t>2</w:t>
            </w:r>
            <w:r>
              <w:rPr>
                <w:b/>
                <w:i/>
              </w:rPr>
              <w:t>te vergemakkelijken.</w:t>
            </w:r>
            <w:r>
              <w:t xml:space="preserve"> </w:t>
            </w:r>
            <w:r>
              <w:rPr>
                <w:b/>
                <w:i/>
              </w:rPr>
              <w:t>Europol dient ook gebruik te maken</w:t>
            </w:r>
            <w:r>
              <w:t xml:space="preserve"> van het </w:t>
            </w:r>
            <w:r>
              <w:rPr>
                <w:b/>
                <w:i/>
              </w:rPr>
              <w:t>inzetten van zijn personeel om de lidstaten te ondersteunen bij grote internationale evenementen.</w:t>
            </w:r>
            <w:r>
              <w:t xml:space="preserve"> </w:t>
            </w:r>
            <w:r>
              <w:rPr>
                <w:b/>
                <w:i/>
              </w:rPr>
              <w:t>Europol moet ook personeel en gedetacheerde</w:t>
            </w:r>
            <w:r>
              <w:t xml:space="preserve"> nationale </w:t>
            </w:r>
            <w:r>
              <w:rPr>
                <w:b/>
                <w:i/>
              </w:rPr>
              <w:t>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r>
              <w:t>.</w:t>
            </w:r>
          </w:p>
        </w:tc>
        <w:tc>
          <w:tcPr>
            <w:tcW w:w="4876" w:type="dxa"/>
            <w:tcBorders>
              <w:top w:val="nil"/>
              <w:left w:val="nil"/>
              <w:bottom w:val="nil"/>
              <w:right w:val="nil"/>
            </w:tcBorders>
          </w:tcPr>
          <w:p>
            <w:pPr>
              <w:pStyle w:val="Normal6a"/>
            </w:pPr>
            <w:r>
              <w:t>(17)</w:t>
            </w:r>
            <w:r>
              <w:tab/>
            </w:r>
            <w:r>
              <w:t xml:space="preserve">Europol </w:t>
            </w:r>
            <w:r>
              <w:rPr>
                <w:b/>
                <w:i/>
              </w:rPr>
              <w:t>kan op verzoek van een lidstaat voor een beperkte periode</w:t>
            </w:r>
            <w:r>
              <w:t xml:space="preserve"> personeelsleden, met inbegrip van overeenkomstig Verordening (EU) 2016/794 gedetacheerde nationale deskundigen, </w:t>
            </w:r>
            <w:r>
              <w:rPr>
                <w:b/>
                <w:i/>
              </w:rPr>
              <w:t>inzetten</w:t>
            </w:r>
            <w:r>
              <w:t xml:space="preserve"> op het grondgebied van die lidstaat om analytische, operationele, technische en forensische ondersteuning te bieden </w:t>
            </w:r>
            <w:r>
              <w:rPr>
                <w:b/>
                <w:i/>
              </w:rPr>
              <w:t>ter voorkoming en bestrijding van strafbare feiten die vallen onder de doelstellingen van Europol overeenkomstig artikel 3 van Verordening (EU) 2016/794,</w:t>
            </w:r>
            <w:r>
              <w:t xml:space="preserve"> in samenwerking en overeenstemming met de bevoegde autoriteiten van die lidstaat. Het inzetten van Europol-personeel </w:t>
            </w:r>
            <w:r>
              <w:rPr>
                <w:b/>
                <w:i/>
              </w:rPr>
              <w:t>mag alleen</w:t>
            </w:r>
            <w:r>
              <w:t xml:space="preserve"> plaatsvinden in het kader van complexe, grootschalige en prominente onderzoeken, onder meer in het kader van gemeenschappelijke onderzoeksteams </w:t>
            </w:r>
            <w:r>
              <w:rPr>
                <w:b/>
                <w:i/>
              </w:rPr>
              <w:t>en</w:t>
            </w:r>
            <w:r>
              <w:t xml:space="preserve"> in samenwerking met Eurojust</w:t>
            </w:r>
            <w:r>
              <w:rPr>
                <w:b/>
                <w:i/>
              </w:rPr>
              <w:t>.</w:t>
            </w:r>
            <w:r>
              <w:t xml:space="preserve"> </w:t>
            </w:r>
            <w:r>
              <w:rPr>
                <w:b/>
                <w:i/>
              </w:rPr>
              <w:t>In geval van wangedrag</w:t>
            </w:r>
            <w:r>
              <w:t xml:space="preserve"> van het </w:t>
            </w:r>
            <w:r>
              <w:rPr>
                <w:b/>
                <w:i/>
              </w:rPr>
              <w:t>personeel van Europol tijdens de inzet moeten ook de</w:t>
            </w:r>
            <w:r>
              <w:t xml:space="preserve"> nationale </w:t>
            </w:r>
            <w:r>
              <w:rPr>
                <w:b/>
                <w:i/>
              </w:rPr>
              <w:t>rapportage- en toezichtmechanismen van toepassing zijn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Verordening (EU) 2019/1896 van het Europees Parlement en de Raad van 13 november 2019 betreffende de Europese grens- en kustwacht en tot intrekking van Verordening (EU) nr. 1052/2013 en Verordening (EU) 2016/1624 (PB L 295 van 14.11.2019, blz. 1, ELI: https://eur-lex.europa.eu/eli/reg/2019/1896/oj).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w:t>
            </w:r>
            <w:r>
              <w:rPr>
                <w:b/>
                <w:i/>
              </w:rPr>
              <w:t>, of operationele taskforces</w:t>
            </w:r>
            <w:r>
              <w:t>. Het moet ook ondersteuning bieden voor verdere veiligheidscontroles aan de hand van Europol of nationale databanken om snelle informatie-uitwisseling ter versterking van de controles aan de buitengrenzen van de Unie (secundaire veiligheidscontroles) of ondersteuningsteams voor migratiebeheer overeenkomstig Verordening (EU) 2019/1896 van het Europees Parlement en de Raad</w:t>
            </w:r>
            <w:r>
              <w:rPr>
                <w:vertAlign w:val="superscript"/>
              </w:rPr>
              <w:t>2</w:t>
            </w:r>
            <w:r>
              <w:rPr>
                <w:b/>
                <w:i/>
              </w:rPr>
              <w:t>te vergemakkelijken.</w:t>
            </w:r>
            <w:r>
              <w:t xml:space="preserve"> </w:t>
            </w:r>
            <w:r>
              <w:rPr>
                <w:b/>
                <w:i/>
              </w:rPr>
              <w:t>Europol dient ook gebruik te maken van het inzetten van zijn personeel om de lidstaten te ondersteunen bij grote internationale evenementen</w:t>
            </w:r>
            <w:r>
              <w:t>. 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c>
          <w:tcPr>
            <w:tcW w:w="4876" w:type="dxa"/>
            <w:tcBorders>
              <w:top w:val="nil"/>
              <w:left w:val="nil"/>
              <w:bottom w:val="nil"/>
              <w:right w:val="nil"/>
            </w:tcBorders>
          </w:tcPr>
          <w:p>
            <w:pPr>
              <w:pStyle w:val="Normal6a"/>
            </w:pPr>
            <w:r>
              <w:t>(17)</w:t>
            </w:r>
            <w:r>
              <w:tab/>
            </w:r>
            <w:r>
              <w:t>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Het moet ook ondersteuning bieden voor verdere veiligheidscontroles aan de hand van Europol of nationale databanken om snelle informatie-uitwisseling ter versterking van de controles aan de buitengrenzen van de Unie (secundaire veiligheidscontroles) of ondersteuningsteams voor migratiebeheer overeenkomstig Verordening (EU) 2019/1896 van het Europees Parlement en de Raad</w:t>
            </w:r>
            <w:r>
              <w:rPr>
                <w:vertAlign w:val="superscript"/>
              </w:rPr>
              <w:t>2</w:t>
            </w:r>
            <w:r>
              <w:t xml:space="preserve"> </w:t>
            </w:r>
            <w:r>
              <w:rPr>
                <w:b/>
                <w:i/>
              </w:rPr>
              <w:t>te vergemakkelijken</w:t>
            </w:r>
            <w:r>
              <w:t>. 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 xml:space="preserve">Verordening (EU) 2019/1896 van het Europees Parlement en de Raad van 13 november 2019 betreffende de Europese grens- en kustwacht en tot intrekking van Verordening (EU) nr. 1052/2013 en Verordening (EU) 2016/1624 (PB L 295 van 14.11.2019, blz. 1, ELI: </w:t>
            </w:r>
            <w:r>
              <w:rPr>
                <w:b/>
                <w:i/>
              </w:rPr>
              <w:t>https://eur-lex.europa</w:t>
            </w:r>
            <w:r>
              <w:t>.eu/eli/reg/2019/1896/oj).</w:t>
            </w:r>
          </w:p>
        </w:tc>
        <w:tc>
          <w:tcPr>
            <w:tcW w:w="4876" w:type="dxa"/>
            <w:tcBorders>
              <w:top w:val="nil"/>
              <w:left w:val="nil"/>
              <w:bottom w:val="nil"/>
              <w:right w:val="nil"/>
            </w:tcBorders>
          </w:tcPr>
          <w:p>
            <w:pPr>
              <w:pStyle w:val="Normal6a"/>
            </w:pPr>
            <w:r>
              <w:rPr>
                <w:vertAlign w:val="superscript"/>
              </w:rPr>
              <w:t>2</w:t>
            </w:r>
            <w:r>
              <w:t xml:space="preserve"> </w:t>
            </w:r>
            <w:r>
              <w:t xml:space="preserve">Verordening (EU) 2019/1896 van het Europees Parlement en de Raad van 13 november 2019 betreffende de Europese grens- en kustwacht en tot intrekking van Verordening (EU) nr. 1052/2013 en Verordening (EU) 2016/1624 (PB L 295 van 14.11.2019, blz. 1, ELI: </w:t>
            </w:r>
            <w:r>
              <w:rPr>
                <w:b/>
                <w:i/>
              </w:rPr>
              <w:t>http://data.europa</w:t>
            </w:r>
            <w:r>
              <w:t>.eu/eli/reg/2019/1896/oj).</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of operationele taskforces. Het moet ook ondersteuning bieden voor verdere veiligheidscontroles aan de hand van Europol of nationale databanken om snelle informatie-uitwisseling ter versterking van de controles aan de buitengrenzen van de Unie (secundaire veiligheidscontroles) </w:t>
            </w:r>
            <w:r>
              <w:rPr>
                <w:b/>
                <w:i/>
              </w:rPr>
              <w:t>of ondersteuningsteams voor migratiebeheer overeenkomstig Verordening (EU) 2019/1896 van het Europees Parlement en de Raad</w:t>
            </w:r>
            <w:r>
              <w:rPr>
                <w:b/>
                <w:i/>
                <w:vertAlign w:val="superscript"/>
              </w:rPr>
              <w:t>2</w:t>
            </w:r>
            <w:r>
              <w:t>te vergemakkelijken. Europol dient ook gebruik te maken van het inzetten van zijn personeel om de lidstaten te ondersteunen bij grote internationale evenementen. 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c>
          <w:tcPr>
            <w:tcW w:w="4876" w:type="dxa"/>
            <w:tcBorders>
              <w:top w:val="nil"/>
              <w:left w:val="nil"/>
              <w:bottom w:val="nil"/>
              <w:right w:val="nil"/>
            </w:tcBorders>
          </w:tcPr>
          <w:p>
            <w:pPr>
              <w:pStyle w:val="Normal6a"/>
            </w:pPr>
            <w:r>
              <w:t>(17)</w:t>
            </w:r>
            <w:r>
              <w:tab/>
            </w:r>
            <w:r>
              <w:t>Europol moet de mogelijkheid hebben om personeelsleden, met inbegrip van overeenkomstig Verordening (EU) 2016/794 gedetacheerde nationale deskundigen, op verzoek van een lidstaat in te zetten op het grondgebied van die lidstaat om analytische, operationele, technische en forensische ondersteuning te bieden in samenwerking en overeenstemming met de bevoegde autoriteiten van die lidstaat. Het inzetten van Europol-personeel moet met name plaatsvinden in het kader van complexe, grootschalige en prominente onderzoeken, onder meer in het kader van gemeenschappelijke onderzoeksteams, in voorkomend geval in samenwerking met Eurojust, of operationele taskforces. Het moet ook ondersteuning bieden voor verdere veiligheidscontroles aan de hand van Europol</w:t>
            </w:r>
            <w:r>
              <w:rPr>
                <w:b/>
                <w:i/>
              </w:rPr>
              <w:t>-</w:t>
            </w:r>
            <w:r>
              <w:t> of nationale databanken om snelle informatie-uitwisseling ter versterking van de controles aan de buitengrenzen van de Unie (secundaire veiligheidscontroles) te vergemakkelijken. Europol dient ook gebruik te maken van het inzetten van zijn personeel om de lidstaten te ondersteunen bij grote internationale evenementen. Europol moet ook personeel en gedetacheerde nationale deskundigen kunnen inzetten in derde landen waarmee het samenwerkt op basis van een adequaatheidsbesluit, een internationale overeenkomst tussen de Unie en dat derde land op grond van artikel 218 VWEU, of een vóór 1 mei 2017 gesloten samenwerkingsovereenkomst tussen Europol en dat derde land.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2</w:t>
            </w:r>
            <w:r>
              <w:t xml:space="preserve"> </w:t>
            </w:r>
            <w:r>
              <w:rPr>
                <w:b/>
                <w:i/>
              </w:rPr>
              <w:t>Verordening (EU) 2019/1896 van het Europees Parlement en de Raad van 13 november 2019 betreffende de Europese grens- en kustwacht en tot intrekking van Verordening (EU) nr. 1052/2013 en Verordening (EU) 2016/1624 (PB L 295 van 14.11.2019, blz. 1, ELI: https://eur-lex.europa.eu/eli/reg/2019/1896/oj).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Om te waarborgen dat Europol doeltreffende ondersteuning kan bieden door het inzetten van personeel, moet de gastlidstaat </w:t>
            </w:r>
            <w:r>
              <w:rPr>
                <w:b/>
                <w:i/>
              </w:rPr>
              <w:t>kunnen voldoen aan een reeks minimumvereisten, zoals het verstrekken van</w:t>
            </w:r>
            <w:r>
              <w:t xml:space="preserve"> alle relevante </w:t>
            </w:r>
            <w:r>
              <w:rPr>
                <w:b/>
                <w:i/>
              </w:rPr>
              <w:t>informatie aan Europol.</w:t>
            </w:r>
            <w:r>
              <w:t xml:space="preserve"> </w:t>
            </w:r>
            <w:r>
              <w:rPr>
                <w:b/>
                <w:i/>
              </w:rPr>
              <w:t>Europol moet snel personeelsleden en gedetacheerde nationale deskundigen kunnen inzetten, zelfs in uitzonderlijke spoedeisende gevallen.</w:t>
            </w:r>
            <w:r>
              <w:t xml:space="preserve"> </w:t>
            </w:r>
            <w:r>
              <w:rPr>
                <w:b/>
                <w:i/>
              </w:rPr>
              <w:t>De door Europol ingezette personeelsleden en gedetacheerde nationale deskundigen moeten niet-dwingende onderzoeksmaatregelen kunnen uitvoeren in verband met gegevensverwerking in samenwerking en overeenstemming met de bevoegde autoriteiten van de betrokken lidstaat, en in overeenstemming met Verordening (EU) 2016/794 en het nationale recht van de betrokken lidstaat</w:t>
            </w:r>
            <w:r>
              <w:t>.</w:t>
            </w:r>
          </w:p>
        </w:tc>
        <w:tc>
          <w:tcPr>
            <w:tcW w:w="4876" w:type="dxa"/>
            <w:tcBorders>
              <w:top w:val="nil"/>
              <w:left w:val="nil"/>
              <w:bottom w:val="nil"/>
              <w:right w:val="nil"/>
            </w:tcBorders>
          </w:tcPr>
          <w:p>
            <w:pPr>
              <w:pStyle w:val="Normal6a"/>
            </w:pPr>
            <w:r>
              <w:t>(18)</w:t>
            </w:r>
            <w:r>
              <w:tab/>
            </w:r>
            <w:r>
              <w:t>Om te waarborgen dat Europol doeltreffende ondersteuning kan bieden door het inzetten van personeel, moet de gastlidstaat alle relevante</w:t>
            </w:r>
            <w:r>
              <w:rPr>
                <w:b/>
                <w:i/>
              </w:rPr>
              <w:t>, noodzakelijke en evenredige informatie van hoge kwaliteit kunnen verstrekken aan Europol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Om te waarborgen dat Europol doeltreffende ondersteuning kan bieden door het inzetten van personeel, moet de gastlidstaat kunnen voldoen aan een reeks minimumvereisten, zoals het verstrekken van alle relevante informatie aan Europol. Europol moet snel personeelsleden en gedetacheerde nationale deskundigen kunnen inzetten, zelfs in uitzonderlijke spoedeisende gevallen. </w:t>
            </w:r>
            <w:r>
              <w:rPr>
                <w:b/>
                <w:i/>
              </w:rPr>
              <w:t>De door Europol ingezette personeelsleden en gedetacheerde nationale deskundigen moeten niet-dwingende onderzoeksmaatregelen kunnen uitvoeren in verband met gegevensverwerking in samenwerking en overeenstemming met de bevoegde autoriteiten van de betrokken lidstaat, en in overeenstemming met Verordening (EU) 2016/794 en het nationale recht van de betrokken lidstaat.</w:t>
            </w:r>
          </w:p>
        </w:tc>
        <w:tc>
          <w:tcPr>
            <w:tcW w:w="4876" w:type="dxa"/>
            <w:tcBorders>
              <w:top w:val="nil"/>
              <w:left w:val="nil"/>
              <w:bottom w:val="nil"/>
              <w:right w:val="nil"/>
            </w:tcBorders>
          </w:tcPr>
          <w:p>
            <w:pPr>
              <w:pStyle w:val="Normal6a"/>
            </w:pPr>
            <w:r>
              <w:t>(18)</w:t>
            </w:r>
            <w:r>
              <w:tab/>
            </w:r>
            <w:r>
              <w:t>Om te waarborgen dat Europol doeltreffende ondersteuning kan bieden door het inzetten van personeel, moet de gastlidstaat kunnen voldoen aan een reeks minimumvereisten, zoals het verstrekken van alle relevante informatie aan Europol. Europol moet snel personeelsleden en gedetacheerde nationale deskundigen kunnen inzetten, zelfs in uitzonderlijke spoedeisende gevallen.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Om te waarborgen dat Europol doeltreffende ondersteuning kan bieden door het inzetten van personeel, moet de gastlidstaat kunnen voldoen aan een reeks minimumvereisten, zoals het verstrekken van alle relevante informatie aan Europol. Europol moet snel personeelsleden en gedetacheerde nationale deskundigen kunnen inzetten, zelfs in uitzonderlijke spoedeisende gevallen. </w:t>
            </w:r>
            <w:r>
              <w:rPr>
                <w:b/>
                <w:i/>
              </w:rPr>
              <w:t>De door Europol ingezette personeelsleden en gedetacheerde nationale deskundigen moeten niet-dwingende onderzoeksmaatregelen kunnen uitvoeren in verband met gegevensverwerking in samenwerking en overeenstemming met de bevoegde autoriteiten van de betrokken lidstaat, en in overeenstemming met Verordening (EU) 2016/794 en het nationale recht van de betrokken lidstaat.</w:t>
            </w:r>
          </w:p>
        </w:tc>
        <w:tc>
          <w:tcPr>
            <w:tcW w:w="4876" w:type="dxa"/>
            <w:tcBorders>
              <w:top w:val="nil"/>
              <w:left w:val="nil"/>
              <w:bottom w:val="nil"/>
              <w:right w:val="nil"/>
            </w:tcBorders>
          </w:tcPr>
          <w:p>
            <w:pPr>
              <w:pStyle w:val="Normal6a"/>
            </w:pPr>
            <w:r>
              <w:t>(18)</w:t>
            </w:r>
            <w:r>
              <w:tab/>
            </w:r>
            <w:r>
              <w:t>Om te waarborgen dat Europol doeltreffende ondersteuning kan bieden door het inzetten van personeel, moet de gastlidstaat kunnen voldoen aan een reeks minimumvereisten, zoals het verstrekken van alle relevante informatie aan Europol. Europol moet snel personeelsleden en gedetacheerde nationale deskundigen kunnen inzetten, zelfs in uitzonderlijke spoedeisende gevallen.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Ter wille van de samenhang met de amendementen die zijn ingediend op artikel 9 van deze verordening (artikel 4 van de Europol-verordening).</w:t>
      </w:r>
    </w:p>
    <w:p>
      <w:r>
        <w:rPr>
          <w:rStyle w:val="HideTWBExt"/>
        </w:rPr>
        <w:t>&lt;/Amend&gt;</w:t>
      </w:r>
    </w:p>
    <w:p>
      <w:pPr>
        <w:pStyle w:val="AmNumberTabs"/>
      </w:pPr>
      <w:r>
        <w:rPr>
          <w:rStyle w:val="HideTWBExt"/>
        </w:rPr>
        <w:t>&lt;Amend&gt;</w:t>
      </w:r>
      <w:r>
        <w:t>Amendement</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w:t>
            </w:r>
            <w:r>
              <w:rPr>
                <w:b/>
                <w:i/>
              </w:rPr>
              <w:t>gespecialiseerde ondersteuning te bieden.</w:t>
            </w:r>
            <w:r>
              <w:t xml:space="preserve"> </w:t>
            </w:r>
            <w:r>
              <w:rPr>
                <w:b/>
                <w:i/>
              </w:rPr>
              <w:t>De reservepool van deskundigen moet specialisten omvatten op het gebied van onderzoek, criminaliteitsanalyse, forensisch onderzoek, talen en coördinatie.</w:t>
            </w:r>
            <w:r>
              <w:t xml:space="preserve"> </w:t>
            </w:r>
            <w:r>
              <w:rPr>
                <w:b/>
                <w:i/>
              </w:rPr>
              <w:t>De lidstaten moeten ervoor zorgen dat hun deskundigen beschikbaar zijn om op verzoek van Europol als gedetacheerde nationale deskundigen door Europol te worden ingezet voor operationele</w:t>
            </w:r>
            <w:r>
              <w:t xml:space="preserve"> ondersteuning</w:t>
            </w:r>
            <w:r>
              <w:rPr>
                <w:b/>
                <w:i/>
              </w:rPr>
              <w:t>.</w:t>
            </w:r>
            <w:r>
              <w:t xml:space="preserve"> </w:t>
            </w:r>
            <w:r>
              <w:rPr>
                <w:b/>
                <w:i/>
              </w:rPr>
              <w:t>Die verplichting mag niet gelden voor derde landen waar Europol personeel en gedetacheerde nationale deskundigen inzet voor operationele ondersteuning</w:t>
            </w:r>
            <w:r>
              <w:t>.</w:t>
            </w:r>
          </w:p>
        </w:tc>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w:t>
            </w:r>
            <w:r>
              <w:rPr>
                <w:b/>
                <w:i/>
              </w:rPr>
              <w:t>in het kader van inspanningen ter bestrijding van migrantensmokkel en mensenhandel gespecialiseerde</w:t>
            </w:r>
            <w:r>
              <w:t xml:space="preserve"> ondersteuning </w:t>
            </w:r>
            <w:r>
              <w:rPr>
                <w:b/>
                <w:i/>
              </w:rPr>
              <w:t>te bieden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Ter wille van de consistentie met de wijzigingen in artikel 5 ter, lid 6.</w:t>
      </w:r>
    </w:p>
    <w:p>
      <w:r>
        <w:rPr>
          <w:rStyle w:val="HideTWBExt"/>
        </w:rPr>
        <w:t>&lt;/Amend&gt;</w:t>
      </w:r>
    </w:p>
    <w:p>
      <w:pPr>
        <w:pStyle w:val="AmNumberTabs"/>
      </w:pPr>
      <w:r>
        <w:rPr>
          <w:rStyle w:val="HideTWBExt"/>
        </w:rPr>
        <w:t>&lt;Amend&gt;</w:t>
      </w:r>
      <w:r>
        <w:t>Amendement</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w:t>
            </w:r>
            <w:r>
              <w:rPr>
                <w:b/>
                <w:i/>
              </w:rPr>
              <w:t>Europol moet met de lidstaten afspreken hoe de kosten worden gecompenseerd voor het onderhouden van een reservepool van hooggekwalificeerde specialisten.</w:t>
            </w:r>
            <w:r>
              <w:t xml:space="preserve"> Die verplichting mag niet gelden voor derde landen waar Europol personeel en gedetacheerde nationale deskundigen inzet voor operationele ondersteuning.</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w:t>
            </w:r>
            <w:r>
              <w:rPr>
                <w:b/>
                <w:i/>
              </w:rPr>
              <w:t>onmiddellijk</w:t>
            </w:r>
            <w:r>
              <w:t xml:space="preserve">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w:t>
            </w:r>
            <w:r>
              <w:rPr>
                <w:b/>
                <w:i/>
              </w:rPr>
              <w:t>Die verplichting mag niet gelden voor derde landen waar Europol personeel en gedetacheerde nationale deskundigen inzet voor operationele ondersteuning.</w:t>
            </w:r>
          </w:p>
        </w:tc>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w:t>
            </w:r>
            <w:r>
              <w:rPr>
                <w:b/>
                <w:i/>
              </w:rPr>
              <w:t>kunnen</w:t>
            </w:r>
            <w:r>
              <w:t xml:space="preserve"> opzetten van hooggekwalificeerde rechtshandhavingsdeskundigen van de lidstaten met gespecialiseerde profielen die ter beschikking van Europol kunnen worden gesteld voor operationele inzet teneinde gespecialiseerde ondersteuning te bieden. De reservepool van deskundigen moet specialisten omvatten op het gebied van onderzoek, criminaliteitsanalyse, forensisch onderzoek, talen en coördinatie. De </w:t>
            </w:r>
            <w:r>
              <w:rPr>
                <w:b/>
                <w:i/>
              </w:rPr>
              <w:t>deelnemende</w:t>
            </w:r>
            <w:r>
              <w:t xml:space="preserve"> lidstaten moeten ervoor zorgen dat hun deskundigen beschikbaar zijn om op verzoek van Europol als gedetacheerde nationale deskundigen door Europol te worden ingezet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w:t>
            </w:r>
            <w:r>
              <w:rPr>
                <w:b/>
                <w:i/>
              </w:rPr>
              <w:t>– binnen de perken van de middelen waarover zij beschikken en rekening houdend met de binnenlandse situatie op dat moment –</w:t>
            </w:r>
            <w:r>
              <w:t xml:space="preserve"> 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c>
          <w:tcPr>
            <w:tcW w:w="4876" w:type="dxa"/>
            <w:tcBorders>
              <w:top w:val="nil"/>
              <w:left w:val="nil"/>
              <w:bottom w:val="nil"/>
              <w:right w:val="nil"/>
            </w:tcBorders>
          </w:tcPr>
          <w:p>
            <w:pPr>
              <w:pStyle w:val="Normal6a"/>
            </w:pPr>
            <w:r>
              <w:t>(19)</w:t>
            </w:r>
            <w:r>
              <w:tab/>
            </w:r>
            <w:r>
              <w:t xml:space="preserve">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w:t>
            </w:r>
            <w:r>
              <w:rPr>
                <w:b/>
                <w:i/>
              </w:rPr>
              <w:t>– binnen de perken van de middelen en capaciteiten waarover zij beschikken en rekening houdend met de operationele behoeften – </w:t>
            </w:r>
            <w:r>
              <w:t>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 waar Europol personeel en gedetacheerde nationale deskundigen inzet voor operationele ondersteuning.</w:t>
            </w:r>
          </w:p>
        </w:tc>
        <w:tc>
          <w:tcPr>
            <w:tcW w:w="4876" w:type="dxa"/>
            <w:tcBorders>
              <w:top w:val="nil"/>
              <w:left w:val="nil"/>
              <w:bottom w:val="nil"/>
              <w:right w:val="nil"/>
            </w:tcBorders>
          </w:tcPr>
          <w:p>
            <w:pPr>
              <w:pStyle w:val="Normal6a"/>
            </w:pPr>
            <w:r>
              <w:t>(19)</w:t>
            </w:r>
            <w:r>
              <w:tab/>
            </w:r>
            <w:r>
              <w:t>Bovendien moet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w:t>
            </w:r>
            <w:r>
              <w:rPr>
                <w:b/>
                <w:i/>
              </w:rPr>
              <w:t>, daarbij echter rekening houdend met specifieke nationale behoeften</w:t>
            </w:r>
            <w:r>
              <w:t>. Die verplichting mag niet gelden voor derde landen waar Europol personeel en gedetacheerde nationale deskundigen inzet voor operationele ondersteuning.</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Bovendien </w:t>
            </w:r>
            <w:r>
              <w:rPr>
                <w:b/>
                <w:i/>
              </w:rPr>
              <w:t>moet</w:t>
            </w:r>
            <w:r>
              <w:t xml:space="preserve"> Europol, in het kader van het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 </w:t>
            </w:r>
            <w:r>
              <w:rPr>
                <w:b/>
                <w:i/>
              </w:rPr>
              <w:t>waar Europol personeel en gedetacheerde nationale deskundigen inzet voor operationele ondersteuning</w:t>
            </w:r>
            <w:r>
              <w:t>.</w:t>
            </w:r>
          </w:p>
        </w:tc>
        <w:tc>
          <w:tcPr>
            <w:tcW w:w="4876" w:type="dxa"/>
            <w:tcBorders>
              <w:top w:val="nil"/>
              <w:left w:val="nil"/>
              <w:bottom w:val="nil"/>
              <w:right w:val="nil"/>
            </w:tcBorders>
          </w:tcPr>
          <w:p>
            <w:pPr>
              <w:pStyle w:val="Normal6a"/>
            </w:pPr>
            <w:r>
              <w:t>(19)</w:t>
            </w:r>
            <w:r>
              <w:tab/>
            </w:r>
            <w:r>
              <w:t xml:space="preserve">Bovendien </w:t>
            </w:r>
            <w:r>
              <w:rPr>
                <w:b/>
                <w:i/>
              </w:rPr>
              <w:t>kan</w:t>
            </w:r>
            <w:r>
              <w:t xml:space="preserve"> Europol, in het kader van het </w:t>
            </w:r>
            <w:r>
              <w:rPr>
                <w:b/>
                <w:i/>
              </w:rPr>
              <w:t>tijdelijk</w:t>
            </w:r>
            <w:r>
              <w:t xml:space="preserve"> inzetten van personeel voor operationele ondersteuning, een reservepool opzetten van hooggekwalificeerde rechtshandhavingsdeskundigen van de lidstaten met gespecialiseerde profielen die onmiddellijk ter beschikking van Europol kunnen worden gesteld voor operationele inzet teneinde gespecialiseerde ondersteuning te bieden. De reservepool van deskundigen moet specialisten omvatten op het gebied van onderzoek, criminaliteitsanalyse, forensisch onderzoek, talen en coördinatie. De lidstaten moeten ervoor zorgen dat hun deskundigen beschikbaar zijn om op verzoek van Europol als gedetacheerde nationale deskundigen door Europol te worden ingezet voor operationele ondersteuning. Die verplichting mag niet gelden voor derde landen.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(20)</w:t>
            </w:r>
            <w:r>
              <w:tab/>
            </w:r>
            <w:r>
              <w:rPr>
                <w:b/>
                <w:i/>
              </w:rPr>
              <w:t>De versterking van het rechtskader van Europol biedt de gelegenheid om te verduidelijken dat de doelstellingen van Europol ook uitdrukkelijk betrekking moeten hebben op schendingen van beperkende maatregelen van de Unie.</w:t>
            </w:r>
            <w:r>
              <w:t xml:space="preserve"> </w:t>
            </w:r>
            <w:r>
              <w:rPr>
                <w:b/>
                <w:i/>
              </w:rPr>
              <w:t>Beperkende maatregelen van de Unie zijn een essentieel instrument voor het beschermen van de waarden, de veiligheid, onafhankelijkheid en integriteit van de Unie, het consolideren en ondersteunen van de democratie, de rechtsstaat, de mensenrechten en de beginselen van het internationaal recht, het handhaven van de internationale vrede, het voorkomen van conflicten en het versterken van de internationale veiligheid overeenkomstig de doelstellingen en beginselen van het Handvest van de Verenigde Naties.</w:t>
            </w:r>
            <w:r>
              <w:t xml:space="preserve"> </w:t>
            </w:r>
            <w:r>
              <w:rPr>
                <w:b/>
                <w:i/>
              </w:rPr>
              <w:t>Schendingen van beperkende maatregelen van de Unie vormen derhalve een vorm van criminaliteit die afbreuk doet aan een gemeenschappelijk belang dat onder het beleid van de Unie valt en ten aanzien waarvan Europol de bevoegdheid moet hebben om op te treden ter ondersteuning en versterking van het optreden van de lidstaten.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overweging houdt geen verband met het onderwerp.</w:t>
      </w:r>
    </w:p>
    <w:p>
      <w:r>
        <w:rPr>
          <w:rStyle w:val="HideTWBExt"/>
        </w:rPr>
        <w:t>&lt;/Amend&gt;</w:t>
      </w:r>
    </w:p>
    <w:p>
      <w:pPr>
        <w:pStyle w:val="AmNumberTabs"/>
      </w:pPr>
      <w:r>
        <w:rPr>
          <w:rStyle w:val="HideTWBExt"/>
        </w:rPr>
        <w:t>&lt;Amend&gt;</w:t>
      </w:r>
      <w:r>
        <w:t>Amendement</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De </w:t>
            </w:r>
            <w:r>
              <w:rPr>
                <w:b/>
                <w:i/>
              </w:rPr>
              <w:t>versterking van het rechtskader</w:t>
            </w:r>
            <w:r>
              <w:t xml:space="preserve"> van Europol </w:t>
            </w:r>
            <w:r>
              <w:rPr>
                <w:b/>
                <w:i/>
              </w:rPr>
              <w:t>biedt de gelegenheid om te verduidelijken dat de doelstellingen van Europol</w:t>
            </w:r>
            <w:r>
              <w:t xml:space="preserve"> ook uitdrukkelijk betrekking </w:t>
            </w:r>
            <w:r>
              <w:rPr>
                <w:b/>
                <w:i/>
              </w:rPr>
              <w:t>moeten</w:t>
            </w:r>
            <w:r>
              <w:t xml:space="preserve"> hebben op schendingen van beperkende maatregelen van de Unie. Beperkende maatregelen van de Unie zijn een essentieel instrument voor het beschermen van de waarden, de veiligheid, onafhankelijkheid en integriteit van de Unie, het consolideren en ondersteunen van de democratie, de rechtsstaat, de mensenrechten en de beginselen van het internationaal recht, het handhaven van de internationale vrede, het voorkomen van conflicten en het versterken van de internationale veiligheid overeenkomstig de doelstellingen en beginselen van het Handvest van de Verenigde Naties. Schendingen van beperkende maatregelen van de Unie </w:t>
            </w:r>
            <w:r>
              <w:rPr>
                <w:b/>
                <w:i/>
              </w:rPr>
              <w:t>vormen derhalve een vorm van criminaliteit die afbreuk doet aan een gemeenschappelijk belang dat onder het beleid</w:t>
            </w:r>
            <w:r>
              <w:t xml:space="preserve"> van de </w:t>
            </w:r>
            <w:r>
              <w:rPr>
                <w:b/>
                <w:i/>
              </w:rPr>
              <w:t>Unie valt en ten aanzien waarvan</w:t>
            </w:r>
            <w:r>
              <w:t xml:space="preserve"> Europol </w:t>
            </w:r>
            <w:r>
              <w:rPr>
                <w:b/>
                <w:i/>
              </w:rPr>
              <w:t>de bevoegdheid moet hebben om op te treden ter ondersteuning en versterking van het optreden van de lidstaten</w:t>
            </w:r>
            <w:r>
              <w:t>.</w:t>
            </w:r>
          </w:p>
        </w:tc>
        <w:tc>
          <w:tcPr>
            <w:tcW w:w="4876" w:type="dxa"/>
            <w:tcBorders>
              <w:top w:val="nil"/>
              <w:left w:val="nil"/>
              <w:bottom w:val="nil"/>
              <w:right w:val="nil"/>
            </w:tcBorders>
          </w:tcPr>
          <w:p>
            <w:pPr>
              <w:pStyle w:val="Normal6a"/>
            </w:pPr>
            <w:r>
              <w:t>(20)</w:t>
            </w:r>
            <w:r>
              <w:tab/>
            </w:r>
            <w:r>
              <w:t xml:space="preserve">De </w:t>
            </w:r>
            <w:r>
              <w:rPr>
                <w:b/>
                <w:i/>
              </w:rPr>
              <w:t>doelstellingen</w:t>
            </w:r>
            <w:r>
              <w:t xml:space="preserve"> van Europol </w:t>
            </w:r>
            <w:r>
              <w:rPr>
                <w:b/>
                <w:i/>
              </w:rPr>
              <w:t>moeten</w:t>
            </w:r>
            <w:r>
              <w:t xml:space="preserve"> ook uitdrukkelijk betrekking hebben op schendingen van beperkende maatregelen van de Unie </w:t>
            </w:r>
            <w:r>
              <w:rPr>
                <w:b/>
                <w:i/>
              </w:rPr>
              <w:t>overeenkomstig Richtlijn (EU) 2024/1226</w:t>
            </w:r>
            <w:r>
              <w:t xml:space="preserve">. Beperkende maatregelen van de Unie zijn een essentieel instrument voor het beschermen van de waarden, de veiligheid, onafhankelijkheid en integriteit van de Unie, het consolideren en ondersteunen van de democratie, de rechtsstaat, de mensenrechten en de beginselen van het internationaal recht, het handhaven van de internationale vrede, het voorkomen van conflicten en het versterken van de internationale veiligheid overeenkomstig de doelstellingen en beginselen van het Handvest van de Verenigde Naties. </w:t>
            </w:r>
            <w:r>
              <w:rPr>
                <w:b/>
                <w:i/>
              </w:rPr>
              <w:t>Om ervoor te zorgen dat</w:t>
            </w:r>
            <w:r>
              <w:t xml:space="preserve"> schendingen van beperkende maatregelen van de Unie </w:t>
            </w:r>
            <w:r>
              <w:rPr>
                <w:b/>
                <w:i/>
              </w:rPr>
              <w:t>doeltreffend worden onderzocht en vervolgd, moeten de bevoegde autoriteiten</w:t>
            </w:r>
            <w:r>
              <w:t xml:space="preserve"> van de </w:t>
            </w:r>
            <w:r>
              <w:rPr>
                <w:b/>
                <w:i/>
              </w:rPr>
              <w:t>lidstaten met elkaar samenwerken via en met</w:t>
            </w:r>
            <w:r>
              <w:t xml:space="preserve"> Europol</w:t>
            </w:r>
            <w:r>
              <w:rPr>
                <w:b/>
                <w:i/>
              </w:rPr>
              <w:t>, Eurojust en het Europees Openbaar Ministerie, binnen hun respectieve bevoegdheden en in overeenstemming met het toepasselijke rechtskader</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Daar de doelstellingen van deze verordening, namelijk het voorkomen, opsporen en onderzoeken van migrantensmokkel en mensenhandel te versterken, gezien het grensoverschrijdende karakter van deze misdrijven niet voldoende door de lidstaten alleen kunnen worden verwezenlijkt, maar vanwege de gevolgen van samenwerking en informatie-uitwisseling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c>
          <w:tcPr>
            <w:tcW w:w="4876" w:type="dxa"/>
            <w:tcBorders>
              <w:top w:val="nil"/>
              <w:left w:val="nil"/>
              <w:bottom w:val="nil"/>
              <w:right w:val="nil"/>
            </w:tcBorders>
          </w:tcPr>
          <w:p>
            <w:pPr>
              <w:pStyle w:val="Normal6a"/>
            </w:pPr>
            <w:r>
              <w:t>(25)</w:t>
            </w:r>
            <w:r>
              <w:tab/>
            </w:r>
            <w:r>
              <w:t xml:space="preserve">Daar de doelstellingen van deze verordening, namelijk het voorkomen, opsporen en onderzoeken van </w:t>
            </w:r>
            <w:r>
              <w:rPr>
                <w:b/>
                <w:i/>
              </w:rPr>
              <w:t>uitbuitende vormen van</w:t>
            </w:r>
            <w:r>
              <w:t xml:space="preserve"> migrantensmokkel en mensenhandel te versterken, gezien het grensoverschrijdende karakter van deze misdrijven niet voldoende door de lidstaten alleen kunnen worden verwezenlijkt, maar vanwege de gevolgen van samenwerking en informatie-uitwisseling beter door de Unie kunnen worden verwezenlijkt, kan de Unie overeenkomstig het in artikel 5 van het Verdrag betreffende de Europese Unie neergelegde subsidiariteitsbeginsel maatregelen nemen. Overeenkomstig het in hetzelfde artikel neergelegde evenredigheidsbeginsel gaat deze verordening niet verder dan nodig is om deze doelstellingen te verwezenlijken.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Overweging 26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 bis)</w:t>
            </w:r>
            <w:r>
              <w:tab/>
            </w:r>
            <w:r>
              <w:rPr>
                <w:b/>
                <w:i/>
              </w:rPr>
              <w:t>Extra middelen zijn van cruciaal belang voor Europol, met name gezien de mogelijke nieuwe verantwoordelijkheden en taken, en er is extra personeel nodig om het toegenomen aantal operationele taskforces en andere onderzoeken naar georganiseerde migrantensmokkel en daarmee verband houdende misdrijven te ondersteunen. Het is van essentieel belang te voorzien in de aanwerving van 15 nieuwe tijdelijke functionarissen, 15 arbeidscontractanten en 20 gedetacheerde nationale deskundigen.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Onderwerp en toepassingsgebied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binnen Europol het Europees Centrum tegen migrantensmokkel op te richten en een governancekader vast te stellen voor de regulering en ondersteuning van zijn activiteiten;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samenwerking en coördinatie tussen de lidstaten, Europol en andere agentschappen van de Unie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 uitwisseling van informatie tussen de lidstaten onderling en met Europol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Europol te voorzien van de nodige instrumenten om het optreden van de bevoegde autoriteiten van de lidstaten en hun wederzijdse samenwerking bij het voorkomen en bestrijden van strafbare feiten die onder de doelstellingen van Europol vallen, te ondersteunen en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samenwerking tussen Europol en derde landen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Definities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Voor de toepassing van deze verordening wordt verstaan onder: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“migrantensmokkel”:</w:t>
            </w:r>
            <w:r>
              <w:rPr>
                <w:b/>
                <w:i/>
              </w:rPr>
              <w:t xml:space="preserve"> </w:t>
            </w:r>
            <w:r>
              <w:rPr>
                <w:b/>
                <w:i/>
              </w:rPr>
              <w:t>alle activiteiten als bedoeld in de artikelen 3, 4 en 5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“mensenhandel”:</w:t>
            </w:r>
            <w:r>
              <w:rPr>
                <w:b/>
                <w:i/>
              </w:rPr>
              <w:t xml:space="preserve"> </w:t>
            </w:r>
            <w:r>
              <w:rPr>
                <w:b/>
                <w:i/>
              </w:rPr>
              <w:t>alle activiteiten als bedoeld in de artikelen 2 en 3 van Richtlijn 2011/36/EU van het Europees Parlement en de Raad van 5 april 2011</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“bevoegde autoriteiten”:</w:t>
            </w:r>
            <w:r>
              <w:rPr>
                <w:b/>
                <w:i/>
              </w:rPr>
              <w:t xml:space="preserve"> </w:t>
            </w:r>
            <w:r>
              <w:rPr>
                <w:b/>
                <w:i/>
              </w:rPr>
              <w:t>de bevoegde autoriteiten van de lidstaten zoals gedefinieerd in artikel 2, punt a),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“immigratieverbindingsofficier”:</w:t>
            </w:r>
            <w:r>
              <w:rPr>
                <w:b/>
                <w:i/>
              </w:rPr>
              <w:t xml:space="preserve"> </w:t>
            </w:r>
            <w:r>
              <w:rPr>
                <w:b/>
                <w:i/>
              </w:rPr>
              <w:t>een verbindingsofficier die door de bevoegde autoriteiten van een lidstaat overeenkomstig zijn nationale recht in een derde land wordt ingezet om immigratiegerelateerde kwesties te behandelen, ook wanneer dit slechts een deel van zijn taken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[gelieve de titel en de publicatiereferentie in te voegen]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Richtlijn 2011/36/EU van het Europees Parlement en de Raad van 5 april 2011 inzake de voorkoming en bestrijding van mensenhandel en de bescherming van slachtoffers daarvan, en ter vervanging van Kaderbesluit 2002/629/JBZ van de Raad (PB L 101 van 15.4.2011, blz.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Onderwerp en toepassingsgebied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binnen Europol het Europees Centrum tegen migrantensmokkel op te richten en een governancekader vast te stellen voor de regulering en ondersteuning van zijn activiteiten;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samenwerking en coördinatie tussen de lidstaten, Europol en andere agentschappen van de Unie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 uitwisseling van informatie tussen de lidstaten onderling en met Europol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Europol te voorzien van de nodige instrumenten om het optreden van de bevoegde autoriteiten van de lidstaten en hun wederzijdse samenwerking bij het voorkomen en bestrijden van strafbare feiten die onder de doelstellingen van Europol vallen, te ondersteunen en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samenwerking tussen Europol en derde landen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Definities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Voor de toepassing van deze verordening wordt verstaan onder: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“migrantensmokkel”:</w:t>
            </w:r>
            <w:r>
              <w:rPr>
                <w:b/>
                <w:i/>
              </w:rPr>
              <w:t xml:space="preserve"> </w:t>
            </w:r>
            <w:r>
              <w:rPr>
                <w:b/>
                <w:i/>
              </w:rPr>
              <w:t>alle activiteiten als bedoeld in de artikelen 3, 4 en 5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“mensenhandel”:</w:t>
            </w:r>
            <w:r>
              <w:rPr>
                <w:b/>
                <w:i/>
              </w:rPr>
              <w:t xml:space="preserve"> </w:t>
            </w:r>
            <w:r>
              <w:rPr>
                <w:b/>
                <w:i/>
              </w:rPr>
              <w:t>alle activiteiten als bedoeld in de artikelen 2 en 3 van Richtlijn 2011/36/EU van het Europees Parlement en de Raad van 5 april 2011</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“bevoegde autoriteiten”:</w:t>
            </w:r>
            <w:r>
              <w:rPr>
                <w:b/>
                <w:i/>
              </w:rPr>
              <w:t xml:space="preserve"> </w:t>
            </w:r>
            <w:r>
              <w:rPr>
                <w:b/>
                <w:i/>
              </w:rPr>
              <w:t>de bevoegde autoriteiten van de lidstaten zoals gedefinieerd in artikel 2, punt a),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“immigratieverbindingsofficier”:</w:t>
            </w:r>
            <w:r>
              <w:rPr>
                <w:b/>
                <w:i/>
              </w:rPr>
              <w:t xml:space="preserve"> </w:t>
            </w:r>
            <w:r>
              <w:rPr>
                <w:b/>
                <w:i/>
              </w:rPr>
              <w:t>een verbindingsofficier die door de bevoegde autoriteiten van een lidstaat overeenkomstig zijn nationale recht in een derde land wordt ingezet om immigratiegerelateerde kwesties te behandelen, ook wanneer dit slechts een deel van zijn taken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[gelieve de titel en de publicatiereferentie in te voegen]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Richtlijn 2011/36/EU van het Europees Parlement en de Raad van 5 april 2011 inzake de voorkoming en bestrijding van mensenhandel en de bescherming van slachtoffers daarvan, en ter vervanging van Kaderbesluit 2002/629/JBZ van de Raad (PB L 101 van 15.4.2011, blz.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w:t>
            </w:r>
            <w:r>
              <w:tab/>
            </w: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Onderwerp en toepassingsgebied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binnen Europol het Europees Centrum tegen migrantensmokkel op te richten en een governancekader vast te stellen voor de regulering en ondersteuning van zijn activiteiten;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samenwerking en coördinatie tussen de lidstaten, Europol en andere agentschappen van de Unie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 uitwisseling van informatie tussen de lidstaten onderling en met Europol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Europol te voorzien van de nodige instrumenten om het optreden van de bevoegde autoriteiten van de lidstaten en hun wederzijdse samenwerking bij het voorkomen en bestrijden van strafbare feiten die onder de doelstellingen van Europol vallen, te ondersteunen en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samenwerking tussen Europol en derde landen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Definities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Voor de toepassing van deze verordening wordt verstaan onder: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“migrantensmokkel”:</w:t>
            </w:r>
            <w:r>
              <w:rPr>
                <w:b/>
                <w:i/>
              </w:rPr>
              <w:t xml:space="preserve"> </w:t>
            </w:r>
            <w:r>
              <w:rPr>
                <w:b/>
                <w:i/>
              </w:rPr>
              <w:t>alle activiteiten als bedoeld in de artikelen 3, 4 en 5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“mensenhandel”:</w:t>
            </w:r>
            <w:r>
              <w:rPr>
                <w:b/>
                <w:i/>
              </w:rPr>
              <w:t xml:space="preserve"> </w:t>
            </w:r>
            <w:r>
              <w:rPr>
                <w:b/>
                <w:i/>
              </w:rPr>
              <w:t>alle activiteiten als bedoeld in de artikelen 2 en 3 van Richtlijn 2011/36/EU van het Europees Parlement en de Raad van 5 april 2011</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“bevoegde autoriteiten”:</w:t>
            </w:r>
            <w:r>
              <w:rPr>
                <w:b/>
                <w:i/>
              </w:rPr>
              <w:t xml:space="preserve"> </w:t>
            </w:r>
            <w:r>
              <w:rPr>
                <w:b/>
                <w:i/>
              </w:rPr>
              <w:t>de bevoegde autoriteiten van de lidstaten zoals gedefinieerd in artikel 2, punt a),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“immigratieverbindingsofficier”:</w:t>
            </w:r>
            <w:r>
              <w:rPr>
                <w:b/>
                <w:i/>
              </w:rPr>
              <w:t xml:space="preserve"> </w:t>
            </w:r>
            <w:r>
              <w:rPr>
                <w:b/>
                <w:i/>
              </w:rPr>
              <w:t>een verbindingsofficier die door de bevoegde autoriteiten van een lidstaat overeenkomstig zijn nationale recht in een derde land wordt ingezet om immigratiegerelateerde kwesties te behandelen, ook wanneer dit slechts een deel van zijn taken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[gelieve de titel en de publicatiereferentie in te voegen]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Richtlijn 2011/36/EU van het Europees Parlement en de Raad van 5 april 2011 inzake de voorkoming en bestrijding van mensenhandel en de bescherming van slachtoffers daarvan, en ter vervanging van Kaderbesluit 2002/629/JBZ van de Raad (PB L 101 van 15.4.2011, blz.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Schrapping van de op zichzelf staande verordening.</w:t>
      </w:r>
    </w:p>
    <w:p>
      <w:r>
        <w:rPr>
          <w:rStyle w:val="HideTWBExt"/>
        </w:rPr>
        <w:t>&lt;/Amend&gt;</w:t>
      </w:r>
    </w:p>
    <w:p>
      <w:pPr>
        <w:pStyle w:val="AmNumberTabs"/>
      </w:pPr>
      <w:r>
        <w:rPr>
          <w:rStyle w:val="HideTWBExt"/>
        </w:rPr>
        <w:t>&lt;Amend&gt;</w:t>
      </w:r>
      <w:r>
        <w:t>Amendement</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1</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Onderwerp en toepassingsgebied</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binnen Europol het Europees Centrum tegen migrantensmokkel op te richten en een governancekader vast te stellen voor de regulering en ondersteuning van zijn activiteiten;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de samenwerking en coördinatie tussen de lidstaten, Europol en andere agentschappen van de Unie te verbeteren;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de uitwisseling van informatie tussen de lidstaten onderling en met Europol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 Europol te voorzien van de nodige instrumenten om het optreden van de bevoegde autoriteiten van de lidstaten en hun wederzijdse samenwerking bij het voorkomen en bestrijden van strafbare feiten die onder de doelstellingen van Europol vallen, te ondersteunen en te versterken;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 de samenwerking tussen Europol en derde landen te verbeteren.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 – inleidende formule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Bij deze verordening worden regels vastgesteld om de politiële samenwerking en de ondersteuning van het Agentschap van de Europese Unie voor samenwerking op het gebied van rechtshandhaving (Europol) bij de voorkoming en bestrijding van migrantensmokkel en mensenhandel te versterken, door:</w:t>
            </w:r>
          </w:p>
        </w:tc>
        <w:tc>
          <w:tcPr>
            <w:tcW w:w="4876" w:type="dxa"/>
            <w:tcBorders>
              <w:top w:val="nil"/>
              <w:left w:val="nil"/>
              <w:bottom w:val="nil"/>
              <w:right w:val="nil"/>
            </w:tcBorders>
          </w:tcPr>
          <w:p>
            <w:pPr>
              <w:pStyle w:val="Normal6a"/>
            </w:pPr>
            <w:r>
              <w:t xml:space="preserve">Bij deze verordening worden regels vastgesteld om de politiële samenwerking en de ondersteuning van het Agentschap van de Europese Unie voor samenwerking op het gebied van rechtshandhaving (Europol) bij de voorkoming en bestrijding van </w:t>
            </w:r>
            <w:r>
              <w:rPr>
                <w:b/>
                <w:i/>
              </w:rPr>
              <w:t>uitbuitende vormen van</w:t>
            </w:r>
            <w:r>
              <w:t xml:space="preserve"> migrantensmokkel en mensenhandel te versterken, door: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binnen Europol het Europees Centrum tegen migrantensmokkel op te richten </w:t>
            </w:r>
            <w:r>
              <w:rPr>
                <w:b/>
                <w:i/>
              </w:rPr>
              <w:t>en een governancekader vast te stellen voor de regulering en ondersteuning van zijn activiteiten</w:t>
            </w:r>
            <w:r>
              <w:t>;</w:t>
            </w:r>
          </w:p>
        </w:tc>
        <w:tc>
          <w:tcPr>
            <w:tcW w:w="4876" w:type="dxa"/>
            <w:tcBorders>
              <w:top w:val="nil"/>
              <w:left w:val="nil"/>
              <w:bottom w:val="nil"/>
              <w:right w:val="nil"/>
            </w:tcBorders>
          </w:tcPr>
          <w:p>
            <w:pPr>
              <w:pStyle w:val="Normal6a"/>
            </w:pPr>
            <w:r>
              <w:t>a)</w:t>
            </w:r>
            <w:r>
              <w:tab/>
            </w:r>
            <w:r>
              <w:t>binnen Europol het Europees Centrum tegen migrantensmokkel op te richten;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de Europol-verordening is in een governancekader voor het centrum voorzien dat toereikend is.</w:t>
      </w:r>
    </w:p>
    <w:p>
      <w:r>
        <w:rPr>
          <w:rStyle w:val="HideTWBExt"/>
        </w:rPr>
        <w:t>&lt;/Amend&gt;</w:t>
      </w:r>
    </w:p>
    <w:p>
      <w:pPr>
        <w:pStyle w:val="AmNumberTabs"/>
      </w:pPr>
      <w:r>
        <w:rPr>
          <w:rStyle w:val="HideTWBExt"/>
        </w:rPr>
        <w:t>&lt;Amend&gt;</w:t>
      </w:r>
      <w:r>
        <w:t>Amendement</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 – punt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Europol te voorzien van de nodige instrumenten om het optreden van de bevoegde autoriteiten van de lidstaten en hun wederzijdse samenwerking bij het voorkomen en bestrijden van strafbare feiten die onder de doelstellingen van Europol vallen, te ondersteunen en te versterken;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1 – lid 1 – punt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e)</w:t>
            </w:r>
            <w:r>
              <w:tab/>
            </w:r>
            <w:r>
              <w:rPr>
                <w:b/>
                <w:i/>
              </w:rPr>
              <w:t>de samenwerking tussen Europol en derde landen te verbeteren.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2</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Definities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Voor de toepassing van deze verordening wordt verstaan onder:</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 “migrantensmokkel”:</w:t>
            </w:r>
            <w:r>
              <w:rPr>
                <w:b/>
                <w:i/>
              </w:rPr>
              <w:t xml:space="preserve"> </w:t>
            </w:r>
            <w:r>
              <w:rPr>
                <w:b/>
                <w:i/>
              </w:rPr>
              <w:t>alle activiteiten als bedoeld in de artikelen 3, 4 en 5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b/>
                <w:i/>
                <w:vertAlign w:val="superscript"/>
              </w:rPr>
              <w:t>5</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 “mensenhandel”:</w:t>
            </w:r>
            <w:r>
              <w:rPr>
                <w:b/>
                <w:i/>
              </w:rPr>
              <w:t xml:space="preserve"> </w:t>
            </w:r>
            <w:r>
              <w:rPr>
                <w:b/>
                <w:i/>
              </w:rPr>
              <w:t>alle activiteiten als bedoeld in de artikelen 2 en 3 van Richtlijn 2011/36/EU van het Europees Parlement en de Raad van 5 april 2011</w:t>
            </w:r>
            <w:r>
              <w:rPr>
                <w:b/>
                <w:i/>
                <w:vertAlign w:val="superscript"/>
              </w:rPr>
              <w:t>6</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 “bevoegde autoriteiten”:</w:t>
            </w:r>
            <w:r>
              <w:rPr>
                <w:b/>
                <w:i/>
              </w:rPr>
              <w:t xml:space="preserve"> </w:t>
            </w:r>
            <w:r>
              <w:rPr>
                <w:b/>
                <w:i/>
              </w:rPr>
              <w:t>de bevoegde autoriteiten van de lidstaten zoals gedefinieerd in artikel 2, punt a),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 “immigratieverbindingsofficier”:</w:t>
            </w:r>
            <w:r>
              <w:rPr>
                <w:b/>
                <w:i/>
              </w:rPr>
              <w:t xml:space="preserve"> </w:t>
            </w:r>
            <w:r>
              <w:rPr>
                <w:b/>
                <w:i/>
              </w:rPr>
              <w:t>een verbindingsofficier die door de bevoegde autoriteiten van een lidstaat overeenkomstig zijn nationale recht in een derde land wordt ingezet om immigratiegerelateerde kwesties te behandelen, ook wanneer dit slechts een deel van zijn taken 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5</w:t>
            </w:r>
            <w:r>
              <w:t xml:space="preserve"> </w:t>
            </w:r>
            <w:r>
              <w:rPr>
                <w:b/>
                <w:i/>
              </w:rPr>
              <w:t>[gelieve de titel en de publicatiereferentie in te voegen]</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6</w:t>
            </w:r>
            <w:r>
              <w:t xml:space="preserve"> </w:t>
            </w:r>
            <w:r>
              <w:rPr>
                <w:b/>
                <w:i/>
              </w:rPr>
              <w:t>Richtlijn 2011/36/EU van het Europees Parlement en de Raad van 5 april 2011 inzake de voorkoming en bestrijding van mensenhandel en de bescherming van slachtoffers daarvan, en ter vervanging van Kaderbesluit 2002/629/JBZ van de Raad (PB L 101 van 15.4.2011, blz. 1, ELI: http://data.europa.eu/eli/dir/2011/36/oj).</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alinea 1 – punt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“migrantensmokkel”: alle activiteiten als bedoeld in de artikelen 3</w:t>
            </w:r>
            <w:r>
              <w:rPr>
                <w:b/>
                <w:i/>
              </w:rPr>
              <w:t>, 4 en 5</w:t>
            </w:r>
            <w:r>
              <w:t xml:space="preserve">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vertAlign w:val="superscript"/>
              </w:rPr>
              <w:t>5</w:t>
            </w:r>
            <w:r>
              <w:t>;</w:t>
            </w:r>
          </w:p>
        </w:tc>
        <w:tc>
          <w:tcPr>
            <w:tcW w:w="4876" w:type="dxa"/>
            <w:tcBorders>
              <w:top w:val="nil"/>
              <w:left w:val="nil"/>
              <w:bottom w:val="nil"/>
              <w:right w:val="nil"/>
            </w:tcBorders>
          </w:tcPr>
          <w:p>
            <w:pPr>
              <w:pStyle w:val="Normal6a"/>
            </w:pPr>
            <w:r>
              <w:t>(1)</w:t>
            </w:r>
            <w:r>
              <w:tab/>
            </w:r>
            <w:r>
              <w:t>“</w:t>
            </w:r>
            <w:r>
              <w:rPr>
                <w:b/>
                <w:i/>
              </w:rPr>
              <w:t>uitbuitende vormen van</w:t>
            </w:r>
            <w:r>
              <w:t xml:space="preserve"> migrantensmokkel”: alle activiteiten als bedoeld in de artikelen 3 </w:t>
            </w:r>
            <w:r>
              <w:rPr>
                <w:b/>
                <w:i/>
              </w:rPr>
              <w:t>en 4</w:t>
            </w:r>
            <w:r>
              <w:t xml:space="preserve"> van Richtlijn [XXX] [tot vaststelling van minimumvoorschriften ter voorkoming en bestrijding van hulpverlening bij illegale binnenkomst, illegale doortocht en illegaal verblijf in de Unie, en ter vervanging van Richtlijn 2002/90/EG van de Raad en Kaderbesluit 2002/946 van de Raad]</w:t>
            </w:r>
            <w:r>
              <w:rPr>
                <w:vertAlign w:val="superscript"/>
              </w:rPr>
              <w:t>5</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[gelieve de titel en de publicatiereferentie in te voegen]</w:t>
            </w:r>
          </w:p>
        </w:tc>
        <w:tc>
          <w:tcPr>
            <w:tcW w:w="4876" w:type="dxa"/>
            <w:tcBorders>
              <w:top w:val="nil"/>
              <w:left w:val="nil"/>
              <w:bottom w:val="nil"/>
              <w:right w:val="nil"/>
            </w:tcBorders>
          </w:tcPr>
          <w:p>
            <w:pPr>
              <w:pStyle w:val="Normal6a"/>
            </w:pPr>
            <w:r>
              <w:rPr>
                <w:vertAlign w:val="superscript"/>
              </w:rPr>
              <w:t>5</w:t>
            </w:r>
            <w:r>
              <w:t xml:space="preserve"> </w:t>
            </w:r>
            <w:r>
              <w:t>[gelieve de titel en de publicatiereferentie in te voegen]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alinea 1 – punt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“bevoegde autoriteiten”:</w:t>
            </w:r>
            <w:r>
              <w:t xml:space="preserve"> </w:t>
            </w:r>
            <w:r>
              <w:rPr>
                <w:b/>
                <w:i/>
              </w:rPr>
              <w:t>de bevoegde autoriteiten van de lidstaten zoals gedefinieerd in artikel 2, punt a), van Verordening (EU) 2016/794;</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Schrapping als gevolg van de schrapping van de op zichzelf staande verordening.</w:t>
      </w:r>
    </w:p>
    <w:p>
      <w:r>
        <w:rPr>
          <w:rStyle w:val="HideTWBExt"/>
        </w:rPr>
        <w:t>&lt;/Amend&gt;</w:t>
      </w:r>
    </w:p>
    <w:p>
      <w:pPr>
        <w:pStyle w:val="AmNumberTabs"/>
      </w:pPr>
      <w:r>
        <w:rPr>
          <w:rStyle w:val="HideTWBExt"/>
        </w:rPr>
        <w:t>&lt;Amend&gt;</w:t>
      </w:r>
      <w:r>
        <w:t>Amendement</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2 – alinea 1 – punt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“immigratieverbindingsofficier”:</w:t>
            </w:r>
            <w:r>
              <w:t xml:space="preserve"> </w:t>
            </w:r>
            <w:r>
              <w:rPr>
                <w:b/>
                <w:i/>
              </w:rPr>
              <w:t>een verbindingsofficier die door de bevoegde autoriteiten van een lidstaat overeenkomstig zijn nationale recht in een derde land wordt ingezet om immigratiegerelateerde kwesties te behandelen, ook wanneer dit slechts een deel van zijn taken 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Schrapping in verband met de samenwerking met derde landen.</w:t>
      </w:r>
    </w:p>
    <w:p>
      <w:r>
        <w:rPr>
          <w:rStyle w:val="HideTWBExt"/>
        </w:rPr>
        <w:t>&lt;/Amend&gt;</w:t>
      </w:r>
    </w:p>
    <w:p>
      <w:pPr>
        <w:pStyle w:val="AmNumberTabs"/>
      </w:pPr>
      <w:r>
        <w:rPr>
          <w:rStyle w:val="HideTWBExt"/>
        </w:rPr>
        <w:t>&lt;Amend&gt;</w:t>
      </w:r>
      <w:r>
        <w:t>Amendement</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Binnen Europol wordt het Europees Centrum tegen migrantensmokkel opgericht als een gespecialiseerd kenniscentrum van de Unie als bedoeld in artikel 4, lid 1, punt l), van Verordening (EU) 2016/794.</w:t>
            </w:r>
            <w: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governancestructuur voor centra binnen Europol is al voldoende geregeld in de huidige Europol-verordening.</w:t>
      </w:r>
    </w:p>
    <w:p>
      <w:r>
        <w:rPr>
          <w:rStyle w:val="HideTWBExt"/>
        </w:rPr>
        <w:t>&lt;/Amend&gt;</w:t>
      </w:r>
    </w:p>
    <w:p>
      <w:pPr>
        <w:pStyle w:val="AmNumberTabs"/>
      </w:pPr>
      <w:r>
        <w:rPr>
          <w:rStyle w:val="HideTWBExt"/>
        </w:rPr>
        <w:t>&lt;Amend&gt;</w:t>
      </w:r>
      <w:r>
        <w:t>Amendement</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GOVERNANCEKADER VAN HET EUROPEES CENTRUM TEGEN MIGRANTENSMOKKEL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Binnen Europol wordt het Europees Centrum tegen migrantensmokkel opgericht als een gespecialiseerd kenniscentrum van de Unie als bedoeld in artikel 4, lid 1, punt l), van Verordening (EU) 2016/794.</w:t>
            </w:r>
            <w: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Binnen Europol wordt het Europees Centrum tegen migrantensmokkel opgericht als een gespecialiseerd kenniscentrum van de Unie als bedoeld in artikel 4, lid 1, punt l), van Verordening (EU) 2016/794.</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Binnen Europol wordt het Europees Centrum tegen migrantensmokkel opgericht als een gespecialiseerd kenniscentrum van de Unie als bedoeld in artikel 4, lid 1, punt l), van Verordening (EU) 2016/794.</w:t>
            </w:r>
            <w:r>
              <w:rPr>
                <w:b/>
                <w:i/>
              </w:rP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Binnen Europol wordt het Europees Centrum tegen migrantensmokkel opgericht als een gespecialiseerd kenniscentrum van de Unie als bedoeld in artikel 4, lid 1, punt l), van Verordening (EU) 2016/794.</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Binnen Europol wordt het Europees Centrum tegen migrantensmokkel opgericht als een gespecialiseerd kenniscentrum van de Unie als bedoeld in artikel 4, lid 1, punt l), van Verordening (EU) 2016/794.</w:t>
            </w:r>
            <w:r>
              <w:rPr>
                <w:b/>
                <w:i/>
              </w:rP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Binnen Europol wordt het Europees Centrum tegen migrantensmokkel opgericht als een gespecialiseerd kenniscentrum van de Unie als bedoeld in artikel 4, lid 1, punt l), van Verordening (EU) 2016/794.</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Binnen Europol wordt het Europees Centrum tegen migrantensmokkel opgericht als een gespecialiseerd kenniscentrum van de Unie als bedoeld in artikel 4, lid 1, punt l), van Verordening (EU) 2016/794.</w:t>
            </w:r>
            <w:r>
              <w:rPr>
                <w:b/>
                <w:i/>
              </w:rP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3</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3 Binnen Europol wordt het Europees Centrum tegen migrantensmokkel opgericht als een gespecialiseerd kenniscentrum van de Unie als bedoeld in artikel 4, lid 1, punt l), van Verordening (EU) 2016/794.</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Binnen Europol wordt het Europees Centrum tegen migrantensmokkel opgericht als een gespecialiseerd kenniscentrum van de Unie als bedoeld in artikel 4, lid 1, punt l), van Verordening (EU) 2016/794.</w:t>
            </w:r>
            <w:r>
              <w:rPr>
                <w:b/>
                <w:i/>
              </w:rPr>
              <w:t xml:space="preserve"> </w:t>
            </w:r>
            <w:r>
              <w:rPr>
                <w:b/>
                <w:i/>
              </w:rPr>
              <w:t>Het ondersteunt de lidstaten bij de voorkoming en bestrijding van migrantensmokkel en mensenhandel en voert de in de artikelen 5 en 6 omschreven taken uit.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Samenstelling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Samenstelling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alinea 1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vertegenwoordiger van het Bureau van de Europese Unie voor de grondrechten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alinea 1 – punt c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bis)</w:t>
            </w:r>
            <w:r>
              <w:tab/>
            </w:r>
            <w:r>
              <w:rPr>
                <w:b/>
                <w:i/>
              </w:rPr>
              <w:t>een vertegenwoordiger van het Asielagentschap van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1 – alinea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Het Europees Centrum tegen migrantensmokkel houdt ten minste tweemaal per jaar een vergadering van de onder a) tot en met d) bedoelde entiteiten en de Commissie neemt daaraan deel.</w:t>
            </w:r>
          </w:p>
        </w:tc>
        <w:tc>
          <w:tcPr>
            <w:tcW w:w="4876" w:type="dxa"/>
            <w:tcBorders>
              <w:top w:val="nil"/>
              <w:left w:val="nil"/>
              <w:bottom w:val="nil"/>
              <w:right w:val="nil"/>
            </w:tcBorders>
          </w:tcPr>
          <w:p>
            <w:pPr>
              <w:pStyle w:val="Normal6a"/>
            </w:pPr>
            <w:r>
              <w:t>Het Europees Centrum tegen migrantensmokkel houdt ten minste tweemaal per jaar een vergadering van de onder a) tot en met d) bedoelde entiteiten en de Commissie neemt daaraan deel.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moet ten minste om de twee jaar opleiding aanbieden aan vertegenwoordigers van de diensten van de lidstaten die met het Europees Centrum tegen migrantensmokkel samenwerken.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2 – alinea 1 – punt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een vertegenwoordiger van het Bureau van de Europese Unie voor de grondrechten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4 – lid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Voor de toepassing van lid 2 van dit artikel en overeenkomstig artikel 4, lid 1, punt g), van Verordening (EU) 2018/1727 van het Europees Parlement en de Raad</w:t>
            </w:r>
            <w:r>
              <w:rPr>
                <w:vertAlign w:val="superscript"/>
              </w:rPr>
              <w:t>7</w:t>
            </w:r>
            <w:r>
              <w:t>zet Eurojust een overeenkomstig die verordening handelende verbindingsofficier in bij het Europees Centrum tegen migrantensmokkel.</w:t>
            </w:r>
          </w:p>
        </w:tc>
        <w:tc>
          <w:tcPr>
            <w:tcW w:w="4876" w:type="dxa"/>
            <w:tcBorders>
              <w:top w:val="nil"/>
              <w:left w:val="nil"/>
              <w:bottom w:val="nil"/>
              <w:right w:val="nil"/>
            </w:tcBorders>
          </w:tcPr>
          <w:p>
            <w:pPr>
              <w:pStyle w:val="Normal6a"/>
            </w:pPr>
            <w:r>
              <w:t>3.</w:t>
            </w:r>
            <w:r>
              <w:tab/>
            </w:r>
            <w:r>
              <w:t>Voor de toepassing van lid 2 van dit artikel en overeenkomstig artikel 4, lid 1, punt g), van Verordening (EU) 2018/1727 van het Europees Parlement en de Raad</w:t>
            </w:r>
            <w:r>
              <w:rPr>
                <w:vertAlign w:val="superscript"/>
              </w:rPr>
              <w:t>7</w:t>
            </w:r>
            <w:r>
              <w:t xml:space="preserve"> zet Eurojust een overeenkomstig die verordening handelende verbindingsofficier in bij het Europees Centrum tegen migrantensmokkel. </w:t>
            </w:r>
            <w:r>
              <w:rPr>
                <w:b/>
                <w:i/>
              </w:rPr>
              <w:t>Om te voorkomen dat deze inzet de middelen beperkt die Eurojust overeenkomstig zijn mandaat besteedt aan de bestrijding van migrantensmokkelnetwerken, komen de kosten ten laste van de algemene begroting van de Europese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Verordening (EU) 2018/1727 van het Europees Parlement en de Raad van 14 november 2018 betreffende het Agentschap van de Europese Unie voor justitiële samenwerking in strafzaken (Eurojust), en tot vervanging en intrekking van Besluit 2002/187/JBZ van de Raad (PB L 295 van 21.11.2018, blz. 138, ELI: https://eur-lex.europa.eu/eli/reg/2018/1727/oj).</w:t>
            </w:r>
          </w:p>
        </w:tc>
        <w:tc>
          <w:tcPr>
            <w:tcW w:w="4876" w:type="dxa"/>
            <w:tcBorders>
              <w:top w:val="nil"/>
              <w:left w:val="nil"/>
              <w:bottom w:val="nil"/>
              <w:right w:val="nil"/>
            </w:tcBorders>
          </w:tcPr>
          <w:p>
            <w:pPr>
              <w:pStyle w:val="Normal6a"/>
            </w:pPr>
            <w:r>
              <w:rPr>
                <w:vertAlign w:val="superscript"/>
              </w:rPr>
              <w:t>7</w:t>
            </w:r>
            <w:r>
              <w:t xml:space="preserve"> </w:t>
            </w:r>
            <w:r>
              <w:t>Verordening (EU) 2018/1727 van het Europees Parlement en de Raad van 14 november 2018 betreffende het Agentschap van de Europese Unie voor justitiële samenwerking in strafzaken (Eurojust), en tot vervanging en intrekking van Besluit 2002/187/JBZ van de Raad (PB L 295 van 21.11.2018, blz. 138, ELI: https://eur-lex.europa.eu/eli/reg/2018/1727/oj).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Strategische taken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Strategische taken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strategische analyses en dreigingsevaluaties verstrekken om de Raad en de Commissie bij te staan bij de vaststelling van de strategische en operationele prioriteiten van de Unie op het gebied van de voorkoming en bestrijding van migrantensmokkel en mensenhandel, overeenkomstig artikel 4, lid 2, van Verordening (EU) 2016/794;</w:t>
            </w:r>
          </w:p>
        </w:tc>
        <w:tc>
          <w:tcPr>
            <w:tcW w:w="4876" w:type="dxa"/>
            <w:tcBorders>
              <w:top w:val="nil"/>
              <w:left w:val="nil"/>
              <w:bottom w:val="nil"/>
              <w:right w:val="nil"/>
            </w:tcBorders>
          </w:tcPr>
          <w:p>
            <w:pPr>
              <w:pStyle w:val="Normal6a"/>
            </w:pPr>
            <w:r>
              <w:t>a)</w:t>
            </w:r>
            <w:r>
              <w:tab/>
            </w:r>
            <w:r>
              <w:t xml:space="preserve">strategische analyses en dreigingsevaluaties verstrekken om </w:t>
            </w:r>
            <w:r>
              <w:rPr>
                <w:b/>
                <w:i/>
              </w:rPr>
              <w:t>het Europees Parlement,</w:t>
            </w:r>
            <w:r>
              <w:t xml:space="preserve"> de Raad en de Commissie bij te staan bij de vaststelling van de strategische en operationele prioriteiten van de Unie op het gebied van de voorkoming en bestrijding van migrantensmokkel en mensenhandel, overeenkomstig artikel 4, lid 2, van Verordening (EU) 2016/794;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coördinatie, samenwerking en uitwisseling van informatie over migrantensmokkel en mensenhandel tussen de agentschappen van de Unie, met name met het Europees Grens- en kustwachtagentschap, Eurojust en, in voorkomend geval, andere relevante organen of agentschappen van de Unie ondersteunen, in overeenstemming met hun respectieve rechtskaders, onder meer door middel van onderlinge werkafspraken, overeenkomstig artikel 4, lid 1, punt j), van Verordening (EU) 2016/794;</w:t>
            </w:r>
          </w:p>
        </w:tc>
        <w:tc>
          <w:tcPr>
            <w:tcW w:w="4876" w:type="dxa"/>
            <w:tcBorders>
              <w:top w:val="nil"/>
              <w:left w:val="nil"/>
              <w:bottom w:val="nil"/>
              <w:right w:val="nil"/>
            </w:tcBorders>
          </w:tcPr>
          <w:p>
            <w:pPr>
              <w:pStyle w:val="Normal6a"/>
            </w:pPr>
            <w:r>
              <w:t>c)</w:t>
            </w:r>
            <w:r>
              <w:tab/>
            </w:r>
            <w:r>
              <w:t>de coördinatie, samenwerking en uitwisseling van informatie over migrantensmokkel en mensenhandel tussen de agentschappen van de Unie, met name met het Europees Grens- en kustwachtagentschap, Eurojust en, in voorkomend geval, andere relevante organen of agentschappen van de Unie ondersteunen, in overeenstemming met hun respectieve rechtskaders, onder meer door middel van onderlinge werkafspraken, overeenkomstig artikel 4, lid 1, punt j), van Verordening (EU) 2016/794</w:t>
            </w:r>
            <w:r>
              <w:rPr>
                <w:b/>
                <w:i/>
              </w:rPr>
              <w:t>, waarbij ervoor wordt gezorgd dat deze samenwerking niet leidt tot duplicatie of onduidelijkheid en dat zij een reële meerwaarde oplevert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Jan-Christoph Oetjen, Veronika Cifrová Ostrihoňová, Lucia Yar,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 – punt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de coördinatie, samenwerking en uitwisseling van informatie over migrantensmokkel en mensenhandel tussen de agentschappen van de Unie, met name met het Europees Grens- en kustwachtagentschap, Eurojust en, in voorkomend geval, andere relevante organen of agentschappen van de Unie ondersteunen, in overeenstemming met hun respectieve rechtskaders, onder meer door middel van onderlinge werkafspraken, overeenkomstig artikel 4, lid 1, punt j), van Verordening (EU) 2016/794;</w:t>
            </w:r>
          </w:p>
        </w:tc>
        <w:tc>
          <w:tcPr>
            <w:tcW w:w="4876" w:type="dxa"/>
            <w:tcBorders>
              <w:top w:val="nil"/>
              <w:left w:val="nil"/>
              <w:bottom w:val="nil"/>
              <w:right w:val="nil"/>
            </w:tcBorders>
          </w:tcPr>
          <w:p>
            <w:pPr>
              <w:pStyle w:val="Normal6a"/>
            </w:pPr>
            <w:r>
              <w:t>c)</w:t>
            </w:r>
            <w:r>
              <w:tab/>
            </w:r>
            <w:r>
              <w:t xml:space="preserve">de coördinatie, samenwerking en uitwisseling van informatie over migrantensmokkel en mensenhandel tussen de agentschappen van de Unie, met name met het Europees Grens- en kustwachtagentschap, </w:t>
            </w:r>
            <w:r>
              <w:rPr>
                <w:b/>
                <w:i/>
              </w:rPr>
              <w:t>het Asielagentschap van de Europese Unie,</w:t>
            </w:r>
            <w:r>
              <w:t xml:space="preserve"> Eurojust en, in voorkomend geval, andere relevante organen of agentschappen van de Unie ondersteunen, in overeenstemming met hun respectieve rechtskaders, onder meer door middel van onderlinge werkafspraken, overeenkomstig artikel 4, lid 1, punt j),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 – punt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strategische analyses en </w:t>
            </w:r>
            <w:r>
              <w:rPr>
                <w:b/>
                <w:i/>
              </w:rPr>
              <w:t>dreigingsevaluaties</w:t>
            </w:r>
            <w:r>
              <w:t xml:space="preserve"> verstrekken aan de lidstaten en de Commissie en, in voorkomend geval, aan relevante agentschappen of organen van de Unie, met betrekking tot de voorkoming en bestrijding van migrantensmokkel en mensenhandel, overeenkomstig artikel 4, lid 1, punt f), van Verordening (EU) 2016/794;</w:t>
            </w:r>
          </w:p>
        </w:tc>
        <w:tc>
          <w:tcPr>
            <w:tcW w:w="4876" w:type="dxa"/>
            <w:tcBorders>
              <w:top w:val="nil"/>
              <w:left w:val="nil"/>
              <w:bottom w:val="nil"/>
              <w:right w:val="nil"/>
            </w:tcBorders>
          </w:tcPr>
          <w:p>
            <w:pPr>
              <w:pStyle w:val="Normal6a"/>
            </w:pPr>
            <w:r>
              <w:t>h)</w:t>
            </w:r>
            <w:r>
              <w:tab/>
            </w:r>
            <w:r>
              <w:t xml:space="preserve">strategische analyses en </w:t>
            </w:r>
            <w:r>
              <w:rPr>
                <w:b/>
                <w:i/>
              </w:rPr>
              <w:t>dreigings- en risico-evaluaties</w:t>
            </w:r>
            <w:r>
              <w:t xml:space="preserve"> verstrekken aan de lidstaten en de Commissie en, in voorkomend geval, aan relevante agentschappen of organen van de Unie, met betrekking tot de voorkoming en bestrijding van migrantensmokkel en mensenhandel, overeenkomstig artikel 4, lid 1, punt f),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5 – lid 1 – punt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op Europees niveau en binnen de lidstaten bewustmakingsacties uitvoeren om de ontwikkeling van een ketenbenadering aan te moedigen onder alle actoren die betrokken zijn bij de bestrijding van 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Operationele taken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Operationele taken van het Europees Centrum tegen migrantensmokkel</w:t>
            </w:r>
          </w:p>
        </w:tc>
        <w:tc>
          <w:tcPr>
            <w:tcW w:w="4876" w:type="dxa"/>
            <w:tcBorders>
              <w:top w:val="nil"/>
              <w:left w:val="nil"/>
              <w:bottom w:val="nil"/>
              <w:right w:val="nil"/>
            </w:tcBorders>
          </w:tcPr>
          <w:p>
            <w:pPr>
              <w:pStyle w:val="Normal6a"/>
            </w:pPr>
            <w: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onderzoeks- en operationele acties coördineren, organiseren en uitvoeren ter ondersteuning en versterking van acties van de bevoegde autoriteiten van de lidstaten ter voorkoming en bestrijding van migrantensmokkel en mensenhandel, </w:t>
            </w:r>
            <w:r>
              <w:rPr>
                <w:b/>
                <w:i/>
              </w:rPr>
              <w:t>ook wanneer deze strafbare feiten</w:t>
            </w:r>
            <w:r>
              <w:t xml:space="preserve"> worden gefaciliteerd, bevorderd of gepleegd via internet, met inbegrip van sociale media, en ook in het kader van het inzetten van Europol voor operationele ondersteuning, overeenkomstig artikel 4, lid 1, punten c) en m), van Verordening (EU) 2016/794;</w:t>
            </w:r>
          </w:p>
        </w:tc>
        <w:tc>
          <w:tcPr>
            <w:tcW w:w="4876" w:type="dxa"/>
            <w:tcBorders>
              <w:top w:val="nil"/>
              <w:left w:val="nil"/>
              <w:bottom w:val="nil"/>
              <w:right w:val="nil"/>
            </w:tcBorders>
          </w:tcPr>
          <w:p>
            <w:pPr>
              <w:pStyle w:val="Normal6a"/>
            </w:pPr>
            <w:r>
              <w:t>a)</w:t>
            </w:r>
            <w:r>
              <w:tab/>
            </w:r>
            <w:r>
              <w:t xml:space="preserve">onderzoeks- en operationele acties coördineren, organiseren en uitvoeren ter ondersteuning en versterking van acties van de bevoegde autoriteiten van de lidstaten ter voorkoming en bestrijding van migrantensmokkel en mensenhandel, </w:t>
            </w:r>
            <w:r>
              <w:rPr>
                <w:b/>
                <w:i/>
              </w:rPr>
              <w:t>met bijzondere aandacht voor gevallen waar deze vormen van criminaliteit</w:t>
            </w:r>
            <w:r>
              <w:t xml:space="preserve"> worden gefaciliteerd, </w:t>
            </w:r>
            <w:r>
              <w:rPr>
                <w:b/>
                <w:i/>
              </w:rPr>
              <w:t>mogelijk gemaakt,</w:t>
            </w:r>
            <w:r>
              <w:t xml:space="preserve"> bevorderd of gepleegd via internet, met </w:t>
            </w:r>
            <w:r>
              <w:rPr>
                <w:b/>
                <w:i/>
              </w:rPr>
              <w:t>name op zeer grote onlineplatforms, met</w:t>
            </w:r>
            <w:r>
              <w:t xml:space="preserve"> inbegrip van sociale media, </w:t>
            </w:r>
            <w:r>
              <w:rPr>
                <w:b/>
                <w:i/>
              </w:rPr>
              <w:t>dataplatforms, dienstenplatforms, carpoolingplatforms of accommodatieplatforms;</w:t>
            </w:r>
            <w:r>
              <w:t xml:space="preserve"> en ook in het kader van het inzetten van Europol voor operationele ondersteuning, overeenkomstig artikel 4, lid 1, punten c) en m),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1 – punt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onderzoeks- en</w:t>
            </w:r>
            <w:r>
              <w:t xml:space="preserve"> operationele acties coördineren</w:t>
            </w:r>
            <w:r>
              <w:rPr>
                <w:b/>
                <w:i/>
              </w:rPr>
              <w:t>, organiseren en uitvoeren</w:t>
            </w:r>
            <w:r>
              <w:t xml:space="preserve"> ter ondersteuning en versterking van acties van de bevoegde autoriteiten van de lidstaten ter voorkoming en bestrijding van migrantensmokkel en mensenhandel, ook wanneer deze strafbare feiten worden gefaciliteerd, bevorderd of gepleegd via internet, met inbegrip van sociale media, en ook in het kader van het inzetten van Europol voor operationele ondersteuning, overeenkomstig artikel 4, lid 1, punten c) en m), van Verordening (EU) 2016/794;</w:t>
            </w:r>
          </w:p>
        </w:tc>
        <w:tc>
          <w:tcPr>
            <w:tcW w:w="4876" w:type="dxa"/>
            <w:tcBorders>
              <w:top w:val="nil"/>
              <w:left w:val="nil"/>
              <w:bottom w:val="nil"/>
              <w:right w:val="nil"/>
            </w:tcBorders>
          </w:tcPr>
          <w:p>
            <w:pPr>
              <w:pStyle w:val="Normal6a"/>
            </w:pPr>
            <w:r>
              <w:t>a)</w:t>
            </w:r>
            <w:r>
              <w:tab/>
            </w:r>
            <w:r>
              <w:t xml:space="preserve">operationele acties coördineren </w:t>
            </w:r>
            <w:r>
              <w:rPr>
                <w:b/>
                <w:i/>
              </w:rPr>
              <w:t>en organiseren</w:t>
            </w:r>
            <w:r>
              <w:t xml:space="preserve"> ter ondersteuning en versterking van acties van de bevoegde autoriteiten van de lidstaten ter voorkoming en bestrijding van migrantensmokkel en mensenhandel, ook wanneer deze strafbare feiten worden gefaciliteerd, bevorderd of gepleegd via internet, met inbegrip van sociale media, en ook in het kader van het inzetten van Europol voor operationele ondersteuning, overeenkomstig artikel 4, lid 1, punten c) en m), van Verordening (EU) 2016/794;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6 – lid 1 — punt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een Europees register van veroordeelde smokkelaars opzetten, onder het beheer van Europol, dat niet alleen veroordeelde personen, maar ook gearresteerde verdachten omvat, om de internationale samenwerking op het gebied van rechtshandhaving te verbeteren;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SAMENWERKING TUSSEN DE LIDSTATEN EN EUROPOL OP HET GEBIED VAN VOORKOMING EN BESTRIJDING VAN MIGRANTENSMOKKEL EN MENSENHANDEL</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Elke lidstaat wijst uiterlijk één jaar na de inwerkingtreding van deze verordening binnen zijn bevoegde autoriteiten overeenkomstig het nationale recht een of meer gespecialiseerde diensten aan om migrantensmokkel en mensenhandel te voorkomen en te bestrijden, onder meer door middel van strafrechtelijke onderzoeken.</w:t>
            </w:r>
            <w:r>
              <w:t xml:space="preserve"> </w:t>
            </w:r>
            <w:r>
              <w:rPr>
                <w:b/>
                <w:i/>
              </w:rPr>
              <w:t>Onmiddellijk na die aanwijzing stelt de betrokken lidstaat de Commissie daarvan in kennis.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III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gespecialiseerde diensten ter voorkoming en bestrijding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wijst uiterlijk één jaar na de inwerkingtreding van deze verordening binnen zijn bevoegde autoriteiten overeenkomstig het nationale recht een of meer gespecialiseerde diensten aan om migrantensmokkel en mensenhandel te voorkomen en te bestrijden, onder meer door middel van strafrechtelijke onderzoeken.</w:t>
            </w:r>
            <w:r>
              <w:rPr>
                <w:b/>
                <w:i/>
              </w:rPr>
              <w:t xml:space="preserve"> </w:t>
            </w:r>
            <w:r>
              <w:rPr>
                <w:b/>
                <w:i/>
              </w:rPr>
              <w:t>Onmiddellijk na die aanwijzing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verbindt uiterlijk één jaar na de inwerkingtreding van deze verordening zijn overeenkomstig lid 1 van dit artikel aangewezen gespecialiseerde diensten rechtstreeks met op de in artikel 2, punt w), van Verordening (EU) 2016/794 bedoelde applicatie voor veilige informatie-uitwisseling (Siena) van Europol.</w:t>
            </w:r>
            <w:r>
              <w:rPr>
                <w:b/>
                <w:i/>
              </w:rPr>
              <w:t xml:space="preserve"> </w:t>
            </w:r>
            <w:r>
              <w:rPr>
                <w:b/>
                <w:i/>
              </w:rPr>
              <w:t>Onmiddellijk nadat die verbinding is gemaakt,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stelt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gespecialiseerde diensten ter voorkoming en bestrijding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wijst uiterlijk één jaar na de inwerkingtreding van deze verordening binnen zijn bevoegde autoriteiten overeenkomstig het nationale recht een of meer gespecialiseerde diensten aan om migrantensmokkel en mensenhandel te voorkomen en te bestrijden, onder meer door middel van strafrechtelijke onderzoeken.</w:t>
            </w:r>
            <w:r>
              <w:rPr>
                <w:b/>
                <w:i/>
              </w:rPr>
              <w:t xml:space="preserve"> </w:t>
            </w:r>
            <w:r>
              <w:rPr>
                <w:b/>
                <w:i/>
              </w:rPr>
              <w:t>Onmiddellijk na die aanwijzing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verbindt uiterlijk één jaar na de inwerkingtreding van deze verordening zijn overeenkomstig lid 1 van dit artikel aangewezen gespecialiseerde diensten rechtstreeks met op de in artikel 2, punt w), van Verordening (EU) 2016/794 bedoelde applicatie voor veilige informatie-uitwisseling (Siena) van Europol.</w:t>
            </w:r>
            <w:r>
              <w:rPr>
                <w:b/>
                <w:i/>
              </w:rPr>
              <w:t xml:space="preserve"> </w:t>
            </w:r>
            <w:r>
              <w:rPr>
                <w:b/>
                <w:i/>
              </w:rPr>
              <w:t>Onmiddellijk nadat die verbinding is gemaakt,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stelt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artikel ondermijnt artikel 19 van de richtlijn mensenhandel, waarin reeds in gespecialiseerde diensten en nationale coördinatoren voor de bestrijding van mensenhandel is voorzien.</w:t>
      </w:r>
    </w:p>
    <w:p>
      <w:r>
        <w:rPr>
          <w:rStyle w:val="HideTWBExt"/>
        </w:rPr>
        <w:t>&lt;/Amend&gt;</w:t>
      </w:r>
    </w:p>
    <w:p>
      <w:pPr>
        <w:pStyle w:val="AmNumberTabs"/>
      </w:pPr>
      <w:r>
        <w:rPr>
          <w:rStyle w:val="HideTWBExt"/>
        </w:rPr>
        <w:t>&lt;Amend&gt;</w:t>
      </w:r>
      <w:r>
        <w:t>Amendement</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gespecialiseerde diensten ter voorkoming en bestrijding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wijst uiterlijk één jaar na de inwerkingtreding van deze verordening binnen zijn bevoegde autoriteiten overeenkomstig het nationale recht een of meer gespecialiseerde diensten aan om migrantensmokkel en mensenhandel te voorkomen en te bestrijden, onder meer door middel van strafrechtelijke onderzoeken.</w:t>
            </w:r>
            <w:r>
              <w:rPr>
                <w:b/>
                <w:i/>
              </w:rPr>
              <w:t xml:space="preserve"> </w:t>
            </w:r>
            <w:r>
              <w:rPr>
                <w:b/>
                <w:i/>
              </w:rPr>
              <w:t>Onmiddellijk na die aanwijzing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verbindt uiterlijk één jaar na de inwerkingtreding van deze verordening zijn overeenkomstig lid 1 van dit artikel aangewezen gespecialiseerde diensten rechtstreeks met op de in artikel 2, punt w), van Verordening (EU) 2016/794 bedoelde applicatie voor veilige informatie-uitwisseling (Siena) van Europol.</w:t>
            </w:r>
            <w:r>
              <w:rPr>
                <w:b/>
                <w:i/>
              </w:rPr>
              <w:t xml:space="preserve"> </w:t>
            </w:r>
            <w:r>
              <w:rPr>
                <w:b/>
                <w:i/>
              </w:rPr>
              <w:t>Onmiddellijk nadat die verbinding is gemaakt,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stelt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7</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Nationale gespecialiseerde diensten ter voorkoming en bestrijding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wijst uiterlijk één jaar na de inwerkingtreding van deze verordening binnen zijn bevoegde autoriteiten overeenkomstig het nationale recht een of meer gespecialiseerde diensten aan om migrantensmokkel en mensenhandel te voorkomen en te bestrijden, onder meer door middel van strafrechtelijke onderzoeken.</w:t>
            </w:r>
            <w:r>
              <w:rPr>
                <w:b/>
                <w:i/>
              </w:rPr>
              <w:t xml:space="preserve"> </w:t>
            </w:r>
            <w:r>
              <w:rPr>
                <w:b/>
                <w:i/>
              </w:rPr>
              <w:t>Onmiddellijk na die aanwijzing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verbindt uiterlijk één jaar na de inwerkingtreding van deze verordening zijn overeenkomstig lid 1 van dit artikel aangewezen gespecialiseerde diensten rechtstreeks met op de in artikel 2, punt w), van Verordening (EU) 2016/794 bedoelde applicatie voor veilige informatie-uitwisseling (Siena) van Europol.</w:t>
            </w:r>
            <w:r>
              <w:rPr>
                <w:b/>
                <w:i/>
              </w:rPr>
              <w:t xml:space="preserve"> </w:t>
            </w:r>
            <w:r>
              <w:rPr>
                <w:b/>
                <w:i/>
              </w:rPr>
              <w:t>Onmiddellijk nadat die verbinding is gemaakt, stelt de betrokken lidstaat de Commissie daarvan in kennis.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stelt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Elke lidstaat wijst uiterlijk één jaar na de inwerkingtreding van deze verordening binnen zijn bevoegde autoriteiten overeenkomstig het nationale recht een of meer gespecialiseerde diensten aan om migrantensmokkel en mensenhandel te voorkomen en te bestrijden</w:t>
            </w:r>
            <w:r>
              <w:rPr>
                <w:b/>
                <w:i/>
              </w:rPr>
              <w:t>, onder meer door middel van strafrechtelijke onderzoeken</w:t>
            </w:r>
            <w:r>
              <w:t>. Onmiddellijk na die aanwijzing stelt de betrokken lidstaat de Commissie daarvan in kennis.</w:t>
            </w:r>
          </w:p>
        </w:tc>
        <w:tc>
          <w:tcPr>
            <w:tcW w:w="4876" w:type="dxa"/>
            <w:tcBorders>
              <w:top w:val="nil"/>
              <w:left w:val="nil"/>
              <w:bottom w:val="nil"/>
              <w:right w:val="nil"/>
            </w:tcBorders>
          </w:tcPr>
          <w:p>
            <w:pPr>
              <w:pStyle w:val="Normal6a"/>
            </w:pPr>
            <w:r>
              <w:t>1.</w:t>
            </w:r>
            <w:r>
              <w:tab/>
            </w:r>
            <w:r>
              <w:t>Elke lidstaat wijst uiterlijk één jaar na de inwerkingtreding van deze verordening binnen zijn bevoegde autoriteiten overeenkomstig het nationale recht een of meer gespecialiseerde diensten aan om migrantensmokkel en mensenhandel te voorkomen en te bestrijden. Onmiddellijk na die aanwijzing stelt de betrokken lidstaat de Commissie daarvan in kennis.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Strafrechtelijke onderzoeken zijn een prerogatief van de rechterlijke macht, die onafhankelijk is en zeker geen extra aanwijzing vereist door de lidstaten.</w:t>
      </w:r>
    </w:p>
    <w:p>
      <w:r>
        <w:rPr>
          <w:rStyle w:val="HideTWBExt"/>
        </w:rPr>
        <w:t>&lt;/Amend&gt;</w:t>
      </w:r>
    </w:p>
    <w:p>
      <w:pPr>
        <w:pStyle w:val="AmNumberTabs"/>
      </w:pPr>
      <w:r>
        <w:rPr>
          <w:rStyle w:val="HideTWBExt"/>
        </w:rPr>
        <w:t>&lt;Amend&gt;</w:t>
      </w:r>
      <w:r>
        <w:t>Amendement</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p>
        </w:tc>
        <w:tc>
          <w:tcPr>
            <w:tcW w:w="4876" w:type="dxa"/>
            <w:tcBorders>
              <w:top w:val="nil"/>
              <w:left w:val="nil"/>
              <w:bottom w:val="nil"/>
              <w:right w:val="nil"/>
            </w:tcBorders>
          </w:tcPr>
          <w:p>
            <w:pPr>
              <w:pStyle w:val="Normal6a"/>
            </w:pPr>
            <w:r>
              <w:t>2.</w:t>
            </w:r>
            <w:r>
              <w:tab/>
            </w:r>
            <w:r>
              <w:t>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zo spoedig mogelijk delen met Europol en andere lidstaten overeenkomstig artikel 8</w:t>
            </w:r>
            <w:r>
              <w:rPr>
                <w:b/>
                <w:i/>
              </w:rPr>
              <w:t>, wanneer het strafbare feit werd gepleegd in het kader van een criminele organisatie in de zin van Kaderbesluit 2008/841/JBZ van de Raad</w:t>
            </w:r>
            <w:r>
              <w:rPr>
                <w:b/>
                <w:i/>
                <w:vertAlign w:val="superscript"/>
              </w:rPr>
              <w:t>1 bis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Kaderbesluit 2008/841/JBZ van de Raad van 24 oktober 2008 ter bestrijding van georganiseerde criminaliteit (PB L 300 van 11.11.2008, blz.</w:t>
            </w:r>
            <w:r>
              <w:t xml:space="preserve"> </w:t>
            </w:r>
            <w:r>
              <w:rPr>
                <w:b/>
                <w:i/>
              </w:rPr>
              <w:t>42, ELI: http://data.europa.eu/eli/dec_framw/2008/841/oj).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w:t>
            </w:r>
            <w:r>
              <w:rPr>
                <w:b/>
                <w:i/>
              </w:rPr>
              <w:t>zo spoedig mogelijk</w:t>
            </w:r>
            <w:r>
              <w:t xml:space="preserve"> delen met Europol en andere lidstaten overeenkomstig artikel 8.</w:t>
            </w:r>
          </w:p>
        </w:tc>
        <w:tc>
          <w:tcPr>
            <w:tcW w:w="4876" w:type="dxa"/>
            <w:tcBorders>
              <w:top w:val="nil"/>
              <w:left w:val="nil"/>
              <w:bottom w:val="nil"/>
              <w:right w:val="nil"/>
            </w:tcBorders>
          </w:tcPr>
          <w:p>
            <w:pPr>
              <w:pStyle w:val="Normal6a"/>
            </w:pPr>
            <w:r>
              <w:t>2.</w:t>
            </w:r>
            <w:r>
              <w:tab/>
            </w:r>
            <w:r>
              <w:t xml:space="preserve">Elke lidstaat zorgt ervoor dat zijn overeenkomstig lid 1 van dit artikel aangewezen gespecialiseerde diensten alle relevante informatie over strafrechtelijke onderzoeken naar migrantensmokkel en mensenhandel en alle uit die onderzoeken voortvloeiende informatie verzamelen, en deze informatie </w:t>
            </w:r>
            <w:r>
              <w:rPr>
                <w:b/>
                <w:i/>
              </w:rPr>
              <w:t>onverwijld</w:t>
            </w:r>
            <w:r>
              <w:t xml:space="preserve"> delen met Europol en andere lidstaten overeenkomstig artikel 8.</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r>
              <w:t>4.</w:t>
            </w:r>
            <w:r>
              <w:tab/>
            </w:r>
            <w: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r>
              <w:rPr>
                <w:b/>
                <w:i/>
              </w:rPr>
              <w:t>, wanneer het strafbare feit werd gepleegd in het kader van een criminele organisatie in de zin van Kaderbesluit 2008/841/JBZ van de Raad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Sophie Wilmès, Hilde Vautmans, Lucia Yar,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Elke lidstaat stelt zijn overeenkomstig lid 1 aangewezen gespecialiseerde diensten voldoende middelen ter beschikking om ervoor te zorgen dat die gespecialiseerde diensten uitgerust zijn om migrantensmokkel en mensenhandel te voorkomen en doeltreffend te bestrijden, en om informatie overeenkomstig lid 2 op doeltreffende en efficiënte wijze te verzamelen en uit te wisselen.</w:t>
            </w:r>
          </w:p>
        </w:tc>
        <w:tc>
          <w:tcPr>
            <w:tcW w:w="4876" w:type="dxa"/>
            <w:tcBorders>
              <w:top w:val="nil"/>
              <w:left w:val="nil"/>
              <w:bottom w:val="nil"/>
              <w:right w:val="nil"/>
            </w:tcBorders>
          </w:tcPr>
          <w:p>
            <w:pPr>
              <w:pStyle w:val="Normal6a"/>
            </w:pPr>
            <w:r>
              <w:t>4.</w:t>
            </w:r>
            <w:r>
              <w:tab/>
            </w:r>
            <w:r>
              <w:t xml:space="preserve">Elke lidstaat stelt zijn overeenkomstig lid 1 aangewezen gespecialiseerde diensten </w:t>
            </w:r>
            <w:r>
              <w:rPr>
                <w:b/>
                <w:i/>
              </w:rPr>
              <w:t>in de mate van het mogelijke</w:t>
            </w:r>
            <w:r>
              <w:t xml:space="preserve"> voldoende middelen ter beschikking</w:t>
            </w:r>
            <w:r>
              <w:rPr>
                <w:b/>
                <w:i/>
              </w:rPr>
              <w:t>, ook in de vorm van personeel en opleiding,</w:t>
            </w:r>
            <w:r>
              <w:t xml:space="preserve"> om ervoor te zorgen dat die gespecialiseerde diensten uitgerust zijn om migrantensmokkel en mensenhandel te voorkomen en doeltreffend te bestrijden, en om informatie overeenkomstig lid 2 op doeltreffende en efficiënte wijze te verzamelen en uit te wisselen.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Sophie Wilmès, Hilde Vautmans,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7 – lid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Elke lidstaat stelt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c>
          <w:tcPr>
            <w:tcW w:w="4876" w:type="dxa"/>
            <w:tcBorders>
              <w:top w:val="nil"/>
              <w:left w:val="nil"/>
              <w:bottom w:val="nil"/>
              <w:right w:val="nil"/>
            </w:tcBorders>
          </w:tcPr>
          <w:p>
            <w:pPr>
              <w:pStyle w:val="Normal6a"/>
            </w:pPr>
            <w:r>
              <w:t>5.</w:t>
            </w:r>
            <w:r>
              <w:tab/>
            </w:r>
            <w:r>
              <w:t xml:space="preserve">Elke lidstaat stelt </w:t>
            </w:r>
            <w:r>
              <w:rPr>
                <w:b/>
                <w:i/>
              </w:rPr>
              <w:t>– binnen de perken van de middelen en capaciteiten waarover hij beschikt en rekening houdend met de operationele behoeften –</w:t>
            </w:r>
            <w:r>
              <w:t xml:space="preserve"> een passend aantal personeelsleden van de overeenkomstig lid 1 van dit artikel aangewezen gespecialiseerde diensten beschikbaar voor de in artikel 5 ter, lid 6, van Verordening (EU) 2016/794 bedoelde reservepool, zodat die personeelsleden als gedetacheerde nationale deskundigen door Europol kunnen worden ingezet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Verstrekking van informatie over strafbare feiten op het gebied van migrantensmokkel en mensenhandel aan Europol en de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verstrekt Europol, overeenkomstig Verordening (EU) 2016/794, informatie die in het bezit is van zijn bevoegde autoriteiten en die betrekking heeft op strafbare feiten op het gebied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verstrekt de in lid 1 van dit artikel bedoelde informatie tijdig aan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verstrekt de andere lidstaten en tegelijkertijd ook Europol informatie die in het bezit is van zijn bevoegde autoriteiten en die betrekking heeft op strafbare feiten op het gebied van migrantensmokkel en mensenhandel, indien er objectieve redenen zijn om aan te nemen dat die informatie relevant kan zijn voor die andere lidstaten met het oog op het voorkomen, opsporen of onderzoeken van dergelijke strafbare feiten in die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gebruikt Siena om de in lid 3 van dit artikel bedoelde informatie aan andere lidstaten en Europol te verstrekken, overeenkomstig artikel 8, lid 4, en artikel 18, lid 2, punt d),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brengt zijn immigratieverbindingsofficieren in verbinding met Siena.</w:t>
            </w:r>
            <w:r>
              <w:rPr>
                <w:b/>
                <w:i/>
              </w:rPr>
              <w:t xml:space="preserve"> </w:t>
            </w:r>
            <w:r>
              <w:rPr>
                <w:b/>
                <w:i/>
              </w:rPr>
              <w:t>Indien het om dwingende technische redenen in verband met de situatie in het derde land van inzet niet mogelijk is een immigratieverbindingsofficier in verbinding te brengen met Siena, verstrekt die immigratieverbindingsofficier de in lid 1 bedoelde informatie via andere beveiligde kanalen aan een nationale bevoegde autoriteit.</w:t>
            </w:r>
            <w:r>
              <w:rPr>
                <w:b/>
                <w:i/>
              </w:rPr>
              <w:t xml:space="preserve"> </w:t>
            </w:r>
            <w:r>
              <w:rPr>
                <w:b/>
                <w:i/>
              </w:rPr>
              <w:t>Die bevoegde autoriteit verstrekt de informatie rechtstreeks of via de nationale Europol-eenheid aan Europol met behulp van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Verstrekking van informatie over strafbare feiten op het gebied van migrantensmokkel en mensenhandel aan Europol en de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verstrekt Europol, overeenkomstig Verordening (EU) 2016/794, informatie die in het bezit is van zijn bevoegde autoriteiten en die betrekking heeft op strafbare feiten op het gebied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verstrekt de in lid 1 van dit artikel bedoelde informatie tijdig aan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verstrekt de andere lidstaten en tegelijkertijd ook Europol informatie die in het bezit is van zijn bevoegde autoriteiten en die betrekking heeft op strafbare feiten op het gebied van migrantensmokkel en mensenhandel, indien er objectieve redenen zijn om aan te nemen dat die informatie relevant kan zijn voor die andere lidstaten met het oog op het voorkomen, opsporen of onderzoeken van dergelijke strafbare feiten in die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gebruikt Siena om de in lid 3 van dit artikel bedoelde informatie aan andere lidstaten en Europol te verstrekken, overeenkomstig artikel 8, lid 4, en artikel 18, lid 2, punt d),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brengt zijn immigratieverbindingsofficieren in verbinding met Siena.</w:t>
            </w:r>
            <w:r>
              <w:rPr>
                <w:b/>
                <w:i/>
              </w:rPr>
              <w:t xml:space="preserve"> </w:t>
            </w:r>
            <w:r>
              <w:rPr>
                <w:b/>
                <w:i/>
              </w:rPr>
              <w:t>Indien het om dwingende technische redenen in verband met de situatie in het derde land van inzet niet mogelijk is een immigratieverbindingsofficier in verbinding te brengen met Siena, verstrekt die immigratieverbindingsofficier de in lid 1 bedoelde informatie via andere beveiligde kanalen aan een nationale bevoegde autoriteit.</w:t>
            </w:r>
            <w:r>
              <w:rPr>
                <w:b/>
                <w:i/>
              </w:rPr>
              <w:t xml:space="preserve"> </w:t>
            </w:r>
            <w:r>
              <w:rPr>
                <w:b/>
                <w:i/>
              </w:rPr>
              <w:t>Die bevoegde autoriteit verstrekt de informatie rechtstreeks of via de nationale Europol-eenheid aan Europol met behulp van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Verstrekking van informatie over strafbare feiten op het gebied van migrantensmokkel en mensenhandel aan Europol en de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verstrekt Europol, overeenkomstig Verordening (EU) 2016/794, informatie die in het bezit is van zijn bevoegde autoriteiten en die betrekking heeft op strafbare feiten op het gebied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verstrekt de in lid 1 van dit artikel bedoelde informatie tijdig aan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verstrekt de andere lidstaten en tegelijkertijd ook Europol informatie die in het bezit is van zijn bevoegde autoriteiten en die betrekking heeft op strafbare feiten op het gebied van migrantensmokkel en mensenhandel, indien er objectieve redenen zijn om aan te nemen dat die informatie relevant kan zijn voor die andere lidstaten met het oog op het voorkomen, opsporen of onderzoeken van dergelijke strafbare feiten in die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gebruikt Siena om de in lid 3 van dit artikel bedoelde informatie aan andere lidstaten en Europol te verstrekken, overeenkomstig artikel 8, lid 4, en artikel 18, lid 2, punt d),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brengt zijn immigratieverbindingsofficieren in verbinding met Siena.</w:t>
            </w:r>
            <w:r>
              <w:rPr>
                <w:b/>
                <w:i/>
              </w:rPr>
              <w:t xml:space="preserve"> </w:t>
            </w:r>
            <w:r>
              <w:rPr>
                <w:b/>
                <w:i/>
              </w:rPr>
              <w:t>Indien het om dwingende technische redenen in verband met de situatie in het derde land van inzet niet mogelijk is een immigratieverbindingsofficier in verbinding te brengen met Siena, verstrekt die immigratieverbindingsofficier de in lid 1 bedoelde informatie via andere beveiligde kanalen aan een nationale bevoegde autoriteit.</w:t>
            </w:r>
            <w:r>
              <w:rPr>
                <w:b/>
                <w:i/>
              </w:rPr>
              <w:t xml:space="preserve"> </w:t>
            </w:r>
            <w:r>
              <w:rPr>
                <w:b/>
                <w:i/>
              </w:rPr>
              <w:t>Die bevoegde autoriteit verstrekt de informatie rechtstreeks of via de nationale Europol-eenheid aan Europol met behulp van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Artikel 8</w:t>
            </w:r>
            <w:r>
              <w:tab/>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Verstrekking van informatie over strafbare feiten op het gebied van migrantensmokkel en mensenhandel aan Europol en de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Elke lidstaat verstrekt Europol, overeenkomstig Verordening (EU) 2016/794, informatie die in het bezit is van zijn bevoegde autoriteiten en die betrekking heeft op strafbare feiten op het gebied van migrantensmokkel en mensenhandel.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Elke lidstaat verstrekt de in lid 1 van dit artikel bedoelde informatie tijdig aan Europol.</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Elke lidstaat verstrekt de andere lidstaten en tegelijkertijd ook Europol informatie die in het bezit is van zijn bevoegde autoriteiten en die betrekking heeft op strafbare feiten op het gebied van migrantensmokkel en mensenhandel, indien er objectieve redenen zijn om aan te nemen dat die informatie relevant kan zijn voor die andere lidstaten met het oog op het voorkomen, opsporen of onderzoeken van dergelijke strafbare feiten in die lidstaten.</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Elke lidstaat gebruikt Siena om de in lid 3 van dit artikel bedoelde informatie aan andere lidstaten en Europol te verstrekken, overeenkomstig artikel 8, lid 4, en artikel 18, lid 2, punt d), van Verordening (EU) 2016/794.</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rPr>
                <w:b/>
                <w:i/>
              </w:rPr>
              <w:t xml:space="preserve"> </w:t>
            </w:r>
            <w:r>
              <w:rPr>
                <w:b/>
                <w:i/>
              </w:rPr>
              <w:t>Elke lidstaat brengt zijn immigratieverbindingsofficieren in verbinding met Siena.</w:t>
            </w:r>
            <w:r>
              <w:rPr>
                <w:b/>
                <w:i/>
              </w:rPr>
              <w:t xml:space="preserve"> </w:t>
            </w:r>
            <w:r>
              <w:rPr>
                <w:b/>
                <w:i/>
              </w:rPr>
              <w:t>Indien het om dwingende technische redenen in verband met de situatie in het derde land van inzet niet mogelijk is een immigratieverbindingsofficier in verbinding te brengen met Siena, verstrekt die immigratieverbindingsofficier de in lid 1 bedoelde informatie via andere beveiligde kanalen aan een nationale bevoegde autoriteit.</w:t>
            </w:r>
            <w:r>
              <w:rPr>
                <w:b/>
                <w:i/>
              </w:rPr>
              <w:t xml:space="preserve"> </w:t>
            </w:r>
            <w:r>
              <w:rPr>
                <w:b/>
                <w:i/>
              </w:rPr>
              <w:t>Die bevoegde autoriteit verstrekt de informatie rechtstreeks of via de nationale Europol-eenheid aan Europol met behulp van Siena.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Elke lidstaat verstrekt Europol, overeenkomstig Verordening (EU) 2016/794, informatie die in het bezit is van zijn bevoegde autoriteiten en die betrekking heeft op strafbare feiten op het gebied van migrantensmokkel en mensenhandel.</w:t>
            </w:r>
          </w:p>
        </w:tc>
        <w:tc>
          <w:tcPr>
            <w:tcW w:w="4876" w:type="dxa"/>
            <w:tcBorders>
              <w:top w:val="nil"/>
              <w:left w:val="nil"/>
              <w:bottom w:val="nil"/>
              <w:right w:val="nil"/>
            </w:tcBorders>
          </w:tcPr>
          <w:p>
            <w:pPr>
              <w:pStyle w:val="Normal6a"/>
            </w:pPr>
            <w:r>
              <w:t>1.</w:t>
            </w:r>
            <w:r>
              <w:tab/>
            </w:r>
            <w:r>
              <w:t xml:space="preserve">Elke lidstaat verstrekt Europol, overeenkomstig Verordening (EU) 2016/794, informatie die in het bezit is van zijn bevoegde autoriteiten en die betrekking heeft op strafbare feiten op het gebied van migrantensmokkel en mensenhandel. </w:t>
            </w:r>
            <w:r>
              <w:rPr>
                <w:b/>
                <w:i/>
              </w:rPr>
              <w:t>Alvorens maatregelen ten uitvoer te leggen die betrekking hebben op het verzamelen, verwerken of uitwisselen van biometrische gegevens uit hoofde van dit artikel, voert de Commissie, in overleg met de Europese Toezichthouder voor gegevensbescherming, een volledige voorafgaande effectbeoordeling op het gebied van de grondrechten uit om ervoor te zorgen dat het Handvest van de grondrechten van de Europese Unie wordt nageleefd.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8 – lid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Elke lidstaat verstrekt de in lid 1 van dit artikel bedoelde informatie </w:t>
            </w:r>
            <w:r>
              <w:rPr>
                <w:b/>
                <w:i/>
              </w:rPr>
              <w:t>tijdig</w:t>
            </w:r>
            <w:r>
              <w:t xml:space="preserve"> aan Europol.</w:t>
            </w:r>
          </w:p>
        </w:tc>
        <w:tc>
          <w:tcPr>
            <w:tcW w:w="4876" w:type="dxa"/>
            <w:tcBorders>
              <w:top w:val="nil"/>
              <w:left w:val="nil"/>
              <w:bottom w:val="nil"/>
              <w:right w:val="nil"/>
            </w:tcBorders>
          </w:tcPr>
          <w:p>
            <w:pPr>
              <w:pStyle w:val="Normal6a"/>
            </w:pPr>
            <w:r>
              <w:t>2.</w:t>
            </w:r>
            <w:r>
              <w:tab/>
            </w:r>
            <w:r>
              <w:t xml:space="preserve">Elke lidstaat verstrekt de in lid 1 van dit artikel bedoelde informatie </w:t>
            </w:r>
            <w:r>
              <w:rPr>
                <w:b/>
                <w:i/>
              </w:rPr>
              <w:t>onverwijld</w:t>
            </w:r>
            <w:r>
              <w:t xml:space="preserve"> aan Europol.</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Hoofdstuk IV – titel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IV</w:t>
            </w:r>
            <w:r>
              <w:tab/>
            </w:r>
            <w:r>
              <w:t>VERSTERKING VAN DE ONDERSTEUNING DOOR EUROPOL VAN DE BESTRIJDING VAN MIGRANTENSMOKKEL EN MENSENHANDEL</w:t>
            </w:r>
          </w:p>
        </w:tc>
        <w:tc>
          <w:tcPr>
            <w:tcW w:w="4876" w:type="dxa"/>
            <w:tcBorders>
              <w:top w:val="nil"/>
              <w:left w:val="nil"/>
              <w:bottom w:val="nil"/>
              <w:right w:val="nil"/>
            </w:tcBorders>
          </w:tcPr>
          <w:p>
            <w:pPr>
              <w:pStyle w:val="Normal6a"/>
            </w:pPr>
            <w:r>
              <w:t>IV</w:t>
            </w:r>
            <w:r>
              <w:tab/>
            </w:r>
            <w:r>
              <w:t xml:space="preserve">VERSTERKING VAN DE ONDERSTEUNING DOOR EUROPOL VAN DE BESTRIJDING VAN </w:t>
            </w:r>
            <w:r>
              <w:rPr>
                <w:b/>
                <w:i/>
              </w:rPr>
              <w:t>UITBUITENDE VORMEN VAN</w:t>
            </w:r>
            <w:r>
              <w:t xml:space="preserve"> 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“Siena”: de beveiligde netwerkapplicatie voor informatie-uitwisseling</w:t>
            </w:r>
            <w:r>
              <w:rPr>
                <w:b/>
                <w:i/>
              </w:rPr>
              <w:t>, beheerd door Europol,</w:t>
            </w:r>
            <w:r>
              <w:t xml:space="preserve"> die tot doel heeft de uitwisseling van informatie tussen de lidstaten </w:t>
            </w:r>
            <w:r>
              <w:rPr>
                <w:b/>
                <w:i/>
              </w:rPr>
              <w:t>en Europol</w:t>
            </w:r>
            <w:r>
              <w:t xml:space="preserve"> te faciliteren;</w:t>
            </w:r>
          </w:p>
        </w:tc>
        <w:tc>
          <w:tcPr>
            <w:tcW w:w="4876" w:type="dxa"/>
            <w:tcBorders>
              <w:top w:val="nil"/>
              <w:left w:val="nil"/>
              <w:bottom w:val="nil"/>
              <w:right w:val="nil"/>
            </w:tcBorders>
          </w:tcPr>
          <w:p>
            <w:pPr>
              <w:pStyle w:val="Normal6a"/>
            </w:pPr>
            <w:r>
              <w:t>w)</w:t>
            </w:r>
            <w:r>
              <w:tab/>
            </w:r>
            <w:r>
              <w:t xml:space="preserve">“Siena”: de beveiligde netwerkapplicatie voor informatie-uitwisseling die tot doel heeft de uitwisseling van informatie tussen de lidstaten </w:t>
            </w:r>
            <w:r>
              <w:rPr>
                <w:b/>
                <w:i/>
              </w:rPr>
              <w:t>overeenkomstig deze verordening en Richtlijn (EU) 2023/977</w:t>
            </w:r>
            <w:r>
              <w:t xml:space="preserve"> te faciliteren;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“operationele taskforce”:</w:t>
            </w:r>
            <w:r>
              <w:t xml:space="preserve"> </w:t>
            </w:r>
            <w:r>
              <w:rPr>
                <w:b/>
                <w:i/>
              </w:rPr>
              <w:t>een door de lidstaten met de steun van Europol opgezet coördinatiemechanisme tussen hun bevoegde autoriteiten om gezamenlijke, gecoördineerde en geprioriteerde criminele inlichtingenactiviteiten en onderzoeken uit te voeren naar een strafbaar feit dat onder de doelstellingen van Europol valt en dat een gecoördineerd en onderling afgestemd optreden vereist;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x)</w:t>
            </w:r>
            <w:r>
              <w:tab/>
            </w:r>
            <w:r>
              <w:rPr>
                <w:b/>
                <w:i/>
              </w:rPr>
              <w:t>“operationele taskforce”:</w:t>
            </w:r>
            <w:r>
              <w:t xml:space="preserve"> </w:t>
            </w:r>
            <w:r>
              <w:rPr>
                <w:b/>
                <w:i/>
              </w:rPr>
              <w:t>een door de lidstaten met de steun van Europol opgezet coördinatiemechanisme tussen hun bevoegde autoriteiten om gezamenlijke, gecoördineerde en geprioriteerde criminele inlichtingenactiviteiten en onderzoeken uit te voeren naar een strafbaar feit dat onder de doelstellingen van Europol valt en dat een gecoördineerd en onderling afgestemd optreden vereist;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is gedekt door artikel 5 van de JIT-verordening.</w:t>
      </w:r>
      <w:r>
        <w:t xml:space="preserve"> </w:t>
      </w:r>
      <w:r>
        <w:t>Hiervoor is dus geen wijziging nodig van de Europol-verordening.</w:t>
      </w:r>
    </w:p>
    <w:p>
      <w:r>
        <w:rPr>
          <w:rStyle w:val="HideTWBExt"/>
        </w:rPr>
        <w:t>&lt;/Amend&gt;</w:t>
      </w:r>
    </w:p>
    <w:p>
      <w:pPr>
        <w:pStyle w:val="AmNumberTabs"/>
      </w:pPr>
      <w:r>
        <w:rPr>
          <w:rStyle w:val="HideTWBExt"/>
        </w:rPr>
        <w:t>&lt;Amend&gt;</w:t>
      </w:r>
      <w:r>
        <w:t>Amendement</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x</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x)</w:t>
            </w:r>
            <w:r>
              <w:tab/>
            </w:r>
            <w:r>
              <w:t xml:space="preserve">“operationele taskforce”: een door de lidstaten met de steun van Europol opgezet coördinatiemechanisme tussen hun bevoegde autoriteiten om gezamenlijke, gecoördineerde en geprioriteerde criminele </w:t>
            </w:r>
            <w:r>
              <w:rPr>
                <w:b/>
                <w:i/>
              </w:rPr>
              <w:t>inlichtingenactiviteiten en</w:t>
            </w:r>
            <w:r>
              <w:t xml:space="preserve"> onderzoeken uit te voeren naar een strafbaar feit dat onder de doelstellingen van Europol </w:t>
            </w:r>
            <w:r>
              <w:rPr>
                <w:b/>
                <w:i/>
              </w:rPr>
              <w:t>valt</w:t>
            </w:r>
            <w:r>
              <w:t xml:space="preserve"> en dat een gecoördineerd en onderling afgestemd optreden vereist;</w:t>
            </w:r>
          </w:p>
        </w:tc>
        <w:tc>
          <w:tcPr>
            <w:tcW w:w="4876" w:type="dxa"/>
            <w:tcBorders>
              <w:top w:val="nil"/>
              <w:left w:val="nil"/>
              <w:bottom w:val="nil"/>
              <w:right w:val="nil"/>
            </w:tcBorders>
          </w:tcPr>
          <w:p>
            <w:pPr>
              <w:pStyle w:val="Normal6a"/>
            </w:pPr>
            <w:r>
              <w:t>x)</w:t>
            </w:r>
            <w:r>
              <w:tab/>
            </w:r>
            <w:r>
              <w:t xml:space="preserve">“operationele taskforce”: een door de lidstaten met de steun van Europol </w:t>
            </w:r>
            <w:r>
              <w:rPr>
                <w:b/>
                <w:i/>
              </w:rPr>
              <w:t>en Eurojust</w:t>
            </w:r>
            <w:r>
              <w:t xml:space="preserve"> opgezet </w:t>
            </w:r>
            <w:r>
              <w:rPr>
                <w:b/>
                <w:i/>
              </w:rPr>
              <w:t>tijdelijk</w:t>
            </w:r>
            <w:r>
              <w:t xml:space="preserve"> coördinatiemechanisme tussen hun bevoegde autoriteiten om gezamenlijke, gecoördineerde en geprioriteerde criminele onderzoeken uit te voeren naar een strafbaar feit dat </w:t>
            </w:r>
            <w:r>
              <w:rPr>
                <w:b/>
                <w:i/>
              </w:rPr>
              <w:t>valt</w:t>
            </w:r>
            <w:r>
              <w:t xml:space="preserve"> onder de doelstellingen van Europol </w:t>
            </w:r>
            <w:r>
              <w:rPr>
                <w:b/>
                <w:i/>
              </w:rPr>
              <w:t>overeenkomstig artikel 3 van deze verordening</w:t>
            </w:r>
            <w:r>
              <w:t xml:space="preserve"> en dat een gecoördineerd en onderling afgestemd optreden vereist;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“inzet van Europol voor operationele ondersteuning”: het op verzoek van een lidstaat inzetten van personeelsleden van Europol of gedetacheerde nationale deskundigen op het grondgebied van die lidstaat om analytische, operationele, technische en forensische ondersteuning te bieden in samenwerking en overeenstemming met de bevoegde autoriteiten van die lidstaat.;</w:t>
            </w:r>
          </w:p>
        </w:tc>
        <w:tc>
          <w:tcPr>
            <w:tcW w:w="4876" w:type="dxa"/>
            <w:tcBorders>
              <w:top w:val="nil"/>
              <w:left w:val="nil"/>
              <w:bottom w:val="nil"/>
              <w:right w:val="nil"/>
            </w:tcBorders>
          </w:tcPr>
          <w:p>
            <w:pPr>
              <w:pStyle w:val="Normal6a"/>
            </w:pPr>
            <w:r>
              <w:t>y)</w:t>
            </w:r>
            <w:r>
              <w:tab/>
            </w:r>
            <w:r>
              <w:t xml:space="preserve">“inzet van Europol voor operationele ondersteuning”: het op verzoek van een lidstaat </w:t>
            </w:r>
            <w:r>
              <w:rPr>
                <w:b/>
                <w:i/>
              </w:rPr>
              <w:t>wegens specifieke omstandigheden gedurende beperkte tijd</w:t>
            </w:r>
            <w:r>
              <w:t xml:space="preserve"> inzetten van personeelsleden van Europol of gedetacheerde nationale deskundigen op het grondgebied van die lidstaat om analytische, operationele, technische en forensische ondersteuning te bieden in samenwerking en overeenstemming met de bevoegde autoriteiten van die lidstaat</w:t>
            </w:r>
            <w:r>
              <w:rPr>
                <w:b/>
                <w:i/>
              </w:rPr>
              <w:t>, met de betrokkenheid van Eurojust</w:t>
            </w:r>
            <w:r>
              <w:t>.</w:t>
            </w:r>
            <w:r>
              <w:rPr>
                <w:b/>
                <w:i/>
              </w:rPr>
              <w:t>”</w:t>
            </w:r>
            <w:r>
              <w:t xml:space="preserve">;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l</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2 – alinea 1 – punt y</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 xml:space="preserve">“inzet van Europol voor operationele ondersteuning”: het op verzoek van een lidstaat inzetten van personeelsleden van Europol of gedetacheerde nationale deskundigen op het grondgebied van die lidstaat om </w:t>
            </w:r>
            <w:r>
              <w:rPr>
                <w:b/>
                <w:i/>
              </w:rPr>
              <w:t>analytische,</w:t>
            </w:r>
            <w:r>
              <w:t xml:space="preserve"> operationele</w:t>
            </w:r>
            <w:r>
              <w:rPr>
                <w:b/>
                <w:i/>
              </w:rPr>
              <w:t>, technische en forensische</w:t>
            </w:r>
            <w:r>
              <w:t xml:space="preserve"> ondersteuning te bieden in samenwerking en overeenstemming met de bevoegde autoriteiten van die lidstaat.</w:t>
            </w:r>
            <w:r>
              <w:rPr>
                <w:b/>
                <w:i/>
              </w:rPr>
              <w:t>;</w:t>
            </w:r>
          </w:p>
        </w:tc>
        <w:tc>
          <w:tcPr>
            <w:tcW w:w="4876" w:type="dxa"/>
            <w:tcBorders>
              <w:top w:val="nil"/>
              <w:left w:val="nil"/>
              <w:bottom w:val="nil"/>
              <w:right w:val="nil"/>
            </w:tcBorders>
          </w:tcPr>
          <w:p>
            <w:pPr>
              <w:pStyle w:val="Normal6a"/>
            </w:pPr>
            <w:r>
              <w:t>y)</w:t>
            </w:r>
            <w:r>
              <w:tab/>
            </w:r>
            <w:r>
              <w:t xml:space="preserve">“inzet van Europol voor operationele ondersteuning”: het op verzoek van een lidstaat inzetten van personeelsleden van Europol of gedetacheerde nationale deskundigen op het grondgebied van die lidstaat om operationele </w:t>
            </w:r>
            <w:r>
              <w:rPr>
                <w:b/>
                <w:i/>
              </w:rPr>
              <w:t>en technische</w:t>
            </w:r>
            <w:r>
              <w:t xml:space="preserve"> ondersteuning te bieden in samenwerking en overeenstemming met de bevoegde autoriteiten van die lidstaat.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operationele ondersteuning door Europol bestaat overeenkomstig de Europol-verordening uit operationele en technische ondersteuning.</w:t>
      </w:r>
    </w:p>
    <w:p>
      <w:r>
        <w:rPr>
          <w:rStyle w:val="HideTWBExt"/>
        </w:rPr>
        <w:t>&lt;/Amend&gt;</w:t>
      </w:r>
    </w:p>
    <w:p>
      <w:pPr>
        <w:pStyle w:val="AmNumberTabs"/>
      </w:pPr>
      <w:r>
        <w:rPr>
          <w:rStyle w:val="HideTWBExt"/>
        </w:rPr>
        <w:t>&lt;Amend&gt;</w:t>
      </w:r>
      <w:r>
        <w:t>Amendement</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c – inleidende formule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coördineren, organiseren en uitvoeren van onderzoeks- en operationele activiteiten ter ondersteuning en versterking van het optreden van de bevoegde autoriteiten van de lidstaten:</w:t>
            </w:r>
          </w:p>
        </w:tc>
        <w:tc>
          <w:tcPr>
            <w:tcW w:w="4876" w:type="dxa"/>
            <w:tcBorders>
              <w:top w:val="nil"/>
              <w:left w:val="nil"/>
              <w:bottom w:val="nil"/>
              <w:right w:val="nil"/>
            </w:tcBorders>
          </w:tcPr>
          <w:p>
            <w:pPr>
              <w:pStyle w:val="Normal6a"/>
            </w:pPr>
            <w:r>
              <w:t>c)</w:t>
            </w:r>
            <w:r>
              <w:tab/>
            </w:r>
            <w:r>
              <w:t>coördineren, organiseren en uitvoeren van onderzoeks- en operationele activiteiten ter ondersteuning en versterking van het optreden van de bevoegde autoriteiten van de lidstaten</w:t>
            </w:r>
            <w:r>
              <w:rPr>
                <w:b/>
                <w:i/>
              </w:rPr>
              <w:t>, waar nodig in samenwerking met Eurojust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c – 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w:t>
            </w:r>
            <w:r>
              <w:tab/>
            </w:r>
            <w:r>
              <w:t>die overeenkomstig artikel 5 worden uitgevoerd in het kader van gemeenschappelijke onderzoeksteams</w:t>
            </w:r>
            <w:r>
              <w:rPr>
                <w:b/>
                <w:i/>
              </w:rPr>
              <w:t>, waar nodig in samenwerking met Eurojust</w:t>
            </w:r>
            <w:r>
              <w:t>;</w:t>
            </w:r>
          </w:p>
        </w:tc>
        <w:tc>
          <w:tcPr>
            <w:tcW w:w="4876" w:type="dxa"/>
            <w:tcBorders>
              <w:top w:val="nil"/>
              <w:left w:val="nil"/>
              <w:bottom w:val="nil"/>
              <w:right w:val="nil"/>
            </w:tcBorders>
          </w:tcPr>
          <w:p>
            <w:pPr>
              <w:pStyle w:val="Normal6a"/>
            </w:pPr>
            <w:r>
              <w:t>ii)</w:t>
            </w:r>
            <w:r>
              <w:tab/>
            </w:r>
            <w:r>
              <w:t>die overeenkomstig artikel 5 worden uitgevoerd in het kader van gemeenschappelijke onderzoeksteams;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c –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die overeenkomstig artikel 5 bis worden uitgevoerd in het kader van operationele taskforces;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c –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iii)</w:t>
            </w:r>
            <w:r>
              <w:tab/>
            </w:r>
            <w:r>
              <w:rPr>
                <w:b/>
                <w:i/>
              </w:rPr>
              <w:t>die overeenkomstig artikel 5 bis worden uitgevoerd in het kader van operationele taskforces;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Schrapping in verband met de operationele taskforces.</w:t>
      </w:r>
    </w:p>
    <w:p>
      <w:r>
        <w:rPr>
          <w:rStyle w:val="HideTWBExt"/>
        </w:rPr>
        <w:t>&lt;/Amend&gt;</w:t>
      </w:r>
    </w:p>
    <w:p>
      <w:pPr>
        <w:pStyle w:val="AmNumberTabs"/>
      </w:pPr>
      <w:r>
        <w:rPr>
          <w:rStyle w:val="HideTWBExt"/>
        </w:rPr>
        <w:t>&lt;Amend&gt;</w:t>
      </w:r>
      <w:r>
        <w:t>Amendement</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Georgiana Teodorescu, Alessandro Ciriani, Charlie Weimers, Assita Kanko, Jadwiga Wiśniewska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c – iii</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iii)</w:t>
            </w:r>
            <w:r>
              <w:tab/>
            </w:r>
            <w:r>
              <w:t>die overeenkomstig artikel 5 bis worden uitgevoerd in het kader van operationele taskforces;</w:t>
            </w:r>
          </w:p>
        </w:tc>
        <w:tc>
          <w:tcPr>
            <w:tcW w:w="4876" w:type="dxa"/>
            <w:tcBorders>
              <w:top w:val="nil"/>
              <w:left w:val="nil"/>
              <w:bottom w:val="nil"/>
              <w:right w:val="nil"/>
            </w:tcBorders>
          </w:tcPr>
          <w:p>
            <w:pPr>
              <w:pStyle w:val="Normal6a"/>
            </w:pPr>
            <w:r>
              <w:t>iii)</w:t>
            </w:r>
            <w:r>
              <w:tab/>
            </w:r>
            <w:r>
              <w:t xml:space="preserve">die overeenkomstig artikel 5 bis worden uitgevoerd in het kader van operationele taskforces </w:t>
            </w:r>
            <w:r>
              <w:rPr>
                <w:b/>
                <w:i/>
              </w:rPr>
              <w:t>en, indien gerechtelijke autoriteiten betrokken zijn, in samenwerking met Eurojust</w:t>
            </w:r>
            <w:r>
              <w: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Zoals blijkt uit de door het Europees Parlement uitgevoerde effectbeoordeling achteraf, is gerechtelijke follow-up van de werkzaamheden van de operationele taskforces (OTF’s) een belangrijk ontbrekend element in het huidige voorstel.</w:t>
      </w:r>
      <w:r>
        <w:t xml:space="preserve"> </w:t>
      </w:r>
      <w:r>
        <w:t>Indien nodig en zonder afbreuk te doen aan de flexibiliteit van deze instrumenten, moet Europol Eurojust betrekken om te zorgen voor coördinatie van de gerechtelijke autoriteiten.</w:t>
      </w:r>
      <w:r>
        <w:t xml:space="preserve"> </w:t>
      </w:r>
      <w:r>
        <w:t>Dit moet niet alleen gebeuren in het kader van gemeenschappelijke onderzoeksteams, maar ook in het kader van OTF’s, wanneer gerechtelijke autoriteiten betrokken zijn.</w:t>
      </w:r>
    </w:p>
    <w:p>
      <w:r>
        <w:rPr>
          <w:rStyle w:val="HideTWBExt"/>
        </w:rPr>
        <w:t>&lt;/Amend&gt;</w:t>
      </w:r>
    </w:p>
    <w:p>
      <w:pPr>
        <w:pStyle w:val="AmNumberTabs"/>
      </w:pPr>
      <w:r>
        <w:rPr>
          <w:rStyle w:val="HideTWBExt"/>
        </w:rPr>
        <w:t>&lt;Amend&gt;</w:t>
      </w:r>
      <w:r>
        <w:t>Amendement</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ii)</w:t>
            </w:r>
            <w:r>
              <w:tab/>
            </w:r>
            <w:r>
              <w:rPr>
                <w:b/>
                <w:i/>
              </w:rPr>
              <w:t>punt h) wordt vervangen door:</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h) steun bieden aan grensoverschrijdende informatie-uitwisselingsactiviteiten, operaties en onderzoeken van de lidstaten, evenals aan gemeenschappelijke onderzoeksteams en operationele taskforces, onder meer met analytische, operationele, technische, forensische en financiële steun;;</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operationele ondersteuning door Europol bestaat overeenkomstig de Europol-verordening uit operationele en technische ondersteuning.</w:t>
      </w:r>
    </w:p>
    <w:p>
      <w:r>
        <w:rPr>
          <w:rStyle w:val="HideTWBExt"/>
        </w:rPr>
        <w:t>&lt;/Amend&gt;</w:t>
      </w:r>
    </w:p>
    <w:p>
      <w:pPr>
        <w:pStyle w:val="AmNumberTabs"/>
      </w:pPr>
      <w:r>
        <w:rPr>
          <w:rStyle w:val="HideTWBExt"/>
        </w:rPr>
        <w:t>&lt;Amend&gt;</w:t>
      </w:r>
      <w:r>
        <w:t>Amendement</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h</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steun bieden aan grensoverschrijdende informatie-uitwisselingsactiviteiten, operaties en onderzoeken van de lidstaten, evenals aan gemeenschappelijke onderzoeksteams </w:t>
            </w:r>
            <w:r>
              <w:rPr>
                <w:b/>
                <w:i/>
              </w:rPr>
              <w:t>en operationele taskforces</w:t>
            </w:r>
            <w:r>
              <w:t>, onder meer met analytische, operationele, technische, forensische en financiële steun;</w:t>
            </w:r>
            <w:r>
              <w:rPr>
                <w:b/>
                <w:i/>
              </w:rPr>
              <w:t>;</w:t>
            </w:r>
          </w:p>
        </w:tc>
        <w:tc>
          <w:tcPr>
            <w:tcW w:w="4876" w:type="dxa"/>
            <w:tcBorders>
              <w:top w:val="nil"/>
              <w:left w:val="nil"/>
              <w:bottom w:val="nil"/>
              <w:right w:val="nil"/>
            </w:tcBorders>
          </w:tcPr>
          <w:p>
            <w:pPr>
              <w:pStyle w:val="Normal6a"/>
            </w:pPr>
            <w:r>
              <w:t>h)</w:t>
            </w:r>
            <w:r>
              <w:tab/>
            </w:r>
            <w:r>
              <w:t>steun bieden aan grensoverschrijdende informatie-uitwisselingsactiviteiten, operaties en onderzoeken van de lidstaten, evenals aan gemeenschappelijke onderzoeksteams, onder meer met analytische, operationele, technische, forensische en financiële steun;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gespecialiseerde kenniscentra van de Unie ontwikkelen voor de bestrijding van bepaalde soorten criminaliteit die binnen de doelstellingen van Europol vallen</w:t>
            </w:r>
            <w:r>
              <w:rPr>
                <w:b/>
                <w:i/>
              </w:rPr>
              <w:t>, met inbegrip van het Europees Centrum voor de bestrijding van cybercriminaliteit en, overeenkomstig Verordening (EU) .../... van het Europees Parlement en de Raad* [verordening betreffende de bestrijding van migrantensmokkel], het Europees Centrum tegen migrantensmokkel</w:t>
            </w:r>
            <w:r>
              <w:t>;</w:t>
            </w:r>
          </w:p>
        </w:tc>
        <w:tc>
          <w:tcPr>
            <w:tcW w:w="4876" w:type="dxa"/>
            <w:tcBorders>
              <w:top w:val="nil"/>
              <w:left w:val="nil"/>
              <w:bottom w:val="nil"/>
              <w:right w:val="nil"/>
            </w:tcBorders>
          </w:tcPr>
          <w:p>
            <w:pPr>
              <w:pStyle w:val="Normal6a"/>
            </w:pPr>
            <w:r>
              <w:t>gespecialiseerde kenniscentra van de Unie ontwikkelen voor de bestrijding van bepaalde soorten criminaliteit die binnen de doelstellingen van Europol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gespecialiseerde kenniscentra van de Unie ontwikkelen voor de bestrijding van bepaalde soorten criminaliteit die binnen de doelstellingen van Europol vallen, met inbegrip van het Europees Centrum voor de bestrijding van cybercriminaliteit </w:t>
            </w:r>
            <w:r>
              <w:rPr>
                <w:b/>
                <w:i/>
              </w:rPr>
              <w:t>en, overeenkomstig Verordening (EU) .../... van het Europees Parlement en de Raad* [verordening betreffende de bestrijding van migrantensmokkel], het Europees Centrum tegen migrantensmokkel</w:t>
            </w:r>
            <w:r>
              <w:t>;</w:t>
            </w:r>
          </w:p>
        </w:tc>
        <w:tc>
          <w:tcPr>
            <w:tcW w:w="4876" w:type="dxa"/>
            <w:tcBorders>
              <w:top w:val="nil"/>
              <w:left w:val="nil"/>
              <w:bottom w:val="nil"/>
              <w:right w:val="nil"/>
            </w:tcBorders>
          </w:tcPr>
          <w:p>
            <w:pPr>
              <w:pStyle w:val="Normal6a"/>
            </w:pPr>
            <w:r>
              <w:t>gespecialiseerde kenniscentra van de Unie ontwikkelen voor de bestrijding van bepaalde soorten criminaliteit die binnen de doelstellingen van Europol vallen, met inbegrip van het Europees Centrum voor de bestrijding van cybercriminaliteit;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gespecialiseerde kenniscentra van de Unie ontwikkelen voor de bestrijding van bepaalde soorten criminaliteit die binnen de doelstellingen van Europol vallen, met inbegrip van het Europees Centrum voor de bestrijding van cybercriminaliteit en</w:t>
            </w:r>
            <w:r>
              <w:rPr>
                <w:b/>
                <w:i/>
              </w:rPr>
              <w:t>, overeenkomstig Verordening (EU) .../... van het Europees Parlement en de Raad* [verordening betreffende de bestrijding van migrantensmokkel],</w:t>
            </w:r>
            <w:r>
              <w:t xml:space="preserve"> het Europees Centrum tegen migrantensmokkel;</w:t>
            </w:r>
          </w:p>
        </w:tc>
        <w:tc>
          <w:tcPr>
            <w:tcW w:w="4876" w:type="dxa"/>
            <w:tcBorders>
              <w:top w:val="nil"/>
              <w:left w:val="nil"/>
              <w:bottom w:val="nil"/>
              <w:right w:val="nil"/>
            </w:tcBorders>
          </w:tcPr>
          <w:p>
            <w:pPr>
              <w:pStyle w:val="Normal6a"/>
            </w:pPr>
            <w:r>
              <w:t>gespecialiseerde kenniscentra van de Unie ontwikkelen voor de bestrijding van bepaalde soorten criminaliteit die binnen de doelstellingen van Europol vallen, met inbegrip van het Europees Centrum voor de bestrijding van cybercriminaliteit en het Europees Centrum tegen migrantensmokkel;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reeds bestaande centrum moet worden gecodificeerd in de Europol-verordening in plaats van in een op zichzelf staande verordening.</w:t>
      </w:r>
    </w:p>
    <w:p>
      <w:r>
        <w:rPr>
          <w:rStyle w:val="HideTWBExt"/>
        </w:rPr>
        <w:t>&lt;/Amend&gt;</w:t>
      </w:r>
    </w:p>
    <w:p>
      <w:pPr>
        <w:pStyle w:val="AmNumberTabs"/>
      </w:pPr>
      <w:r>
        <w:rPr>
          <w:rStyle w:val="HideTWBExt"/>
        </w:rPr>
        <w:t>&lt;Amend&gt;</w:t>
      </w:r>
      <w:r>
        <w:t>Amendement</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gespecialiseerde kenniscentra van de Unie ontwikkelen voor de bestrijding van bepaalde soorten criminaliteit die binnen de doelstellingen van Europol vallen, met inbegrip van het Europees Centrum voor de bestrijding van cybercriminaliteit en, overeenkomstig </w:t>
            </w:r>
            <w:r>
              <w:rPr>
                <w:b/>
                <w:i/>
              </w:rPr>
              <w:t>Verordening (EU) .../... van het Europees Parlement en de Raad* [</w:t>
            </w:r>
            <w:r>
              <w:t xml:space="preserve">verordening </w:t>
            </w:r>
            <w:r>
              <w:rPr>
                <w:b/>
                <w:i/>
              </w:rPr>
              <w:t>betreffende de bestrijding van migrantensmokkel]</w:t>
            </w:r>
            <w:r>
              <w:t>, het Europees Centrum tegen migrantensmokkel;</w:t>
            </w:r>
          </w:p>
        </w:tc>
        <w:tc>
          <w:tcPr>
            <w:tcW w:w="4876" w:type="dxa"/>
            <w:tcBorders>
              <w:top w:val="nil"/>
              <w:left w:val="nil"/>
              <w:bottom w:val="nil"/>
              <w:right w:val="nil"/>
            </w:tcBorders>
          </w:tcPr>
          <w:p>
            <w:pPr>
              <w:pStyle w:val="Normal6a"/>
            </w:pPr>
            <w:r>
              <w:t xml:space="preserve">gespecialiseerde kenniscentra van de Unie ontwikkelen voor de bestrijding van bepaalde soorten criminaliteit die binnen de doelstellingen van Europol vallen, met inbegrip van het Europees Centrum voor de bestrijding van cybercriminaliteit en, overeenkomstig </w:t>
            </w:r>
            <w:r>
              <w:rPr>
                <w:b/>
                <w:i/>
              </w:rPr>
              <w:t>artikel 16 bis van deze</w:t>
            </w:r>
            <w:r>
              <w:t xml:space="preserve"> verordening, het Europees Centrum tegen migrantensmokkel;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Verordening (EU) .../... van het Europees Parlement en de Raad van ...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 (PB L …, ELI: …);</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Verordening (EU) .../... van het Europees Parlement en de Raad van ...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 (PB L …, ELI: …);</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iii</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Verordening (EU) .../... van het Europees Parlement en de Raad van ... betreffende de versterking van de politiële samenwerking met het oog op het voorkomen, opsporen en onderzoeken van migrantensmokkel en mensenhandel, en betreffende de versterking van de ondersteuning door Europol van de voorkoming en bestrijding van dergelijke strafbare feiten, en tot wijziging van Verordening (EU) 2016/794 (PB L …, ELI: …);</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faciliteren van gezamenlijke, gecoördineerde en geprioriteerde </w:t>
            </w:r>
            <w:r>
              <w:rPr>
                <w:b/>
                <w:i/>
              </w:rPr>
              <w:t>criminele inlichtingenactiviteiten en</w:t>
            </w:r>
            <w:r>
              <w:t xml:space="preserve"> onderzoeken, onder meer ten aanzien van de in punt r) vermelde personen, en </w:t>
            </w:r>
            <w:r>
              <w:rPr>
                <w:b/>
                <w:i/>
              </w:rPr>
              <w:t>onder meer door middel van operationele taskforces en</w:t>
            </w:r>
            <w:r>
              <w:t xml:space="preserve"> de inzet van Europol voor operationele ondersteuning;</w:t>
            </w:r>
            <w:r>
              <w:rPr>
                <w:b/>
                <w:i/>
              </w:rPr>
              <w:t>;</w:t>
            </w:r>
          </w:p>
        </w:tc>
        <w:tc>
          <w:tcPr>
            <w:tcW w:w="4876" w:type="dxa"/>
            <w:tcBorders>
              <w:top w:val="nil"/>
              <w:left w:val="nil"/>
              <w:bottom w:val="nil"/>
              <w:right w:val="nil"/>
            </w:tcBorders>
          </w:tcPr>
          <w:p>
            <w:pPr>
              <w:pStyle w:val="Normal6a"/>
            </w:pPr>
            <w:r>
              <w:t>s)</w:t>
            </w:r>
            <w:r>
              <w:tab/>
            </w:r>
            <w:r>
              <w:t>faciliteren van gezamenlijke, gecoördineerde en geprioriteerde onderzoeken, onder meer ten aanzien van de in punt r) vermelde personen, en de inzet van Europol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faciliteren van gezamenlijke, gecoördineerde en geprioriteerde criminele inlichtingenactiviteiten en onderzoeken, onder meer ten aanzien van de in punt r) vermelde personen, en onder meer door middel van </w:t>
            </w:r>
            <w:r>
              <w:rPr>
                <w:b/>
                <w:i/>
              </w:rPr>
              <w:t>operationele taskforces en</w:t>
            </w:r>
            <w:r>
              <w:t xml:space="preserve"> de inzet van Europol voor operationele ondersteuning;</w:t>
            </w:r>
            <w:r>
              <w:rPr>
                <w:b/>
                <w:i/>
              </w:rPr>
              <w:t>;</w:t>
            </w:r>
          </w:p>
        </w:tc>
        <w:tc>
          <w:tcPr>
            <w:tcW w:w="4876" w:type="dxa"/>
            <w:tcBorders>
              <w:top w:val="nil"/>
              <w:left w:val="nil"/>
              <w:bottom w:val="nil"/>
              <w:right w:val="nil"/>
            </w:tcBorders>
          </w:tcPr>
          <w:p>
            <w:pPr>
              <w:pStyle w:val="Normal6a"/>
            </w:pPr>
            <w:r>
              <w:t>s)</w:t>
            </w:r>
            <w:r>
              <w:tab/>
            </w:r>
            <w:r>
              <w:t>faciliteren van gezamenlijke, gecoördineerde en geprioriteerde criminele inlichtingenactiviteiten en onderzoeken, onder meer ten aanzien van de in punt r) vermelde personen, en onder meer door middel van de inzet van Europol voor operationele ondersteuning;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iv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faciliteren van gezamenlijke, gecoördineerde en geprioriteerde criminele </w:t>
            </w:r>
            <w:r>
              <w:rPr>
                <w:b/>
                <w:i/>
              </w:rPr>
              <w:t>inlichtingenactiviteiten en</w:t>
            </w:r>
            <w:r>
              <w:t xml:space="preserve"> onderzoeken, onder meer ten aanzien van de in punt r) vermelde personen, en onder meer door middel van operationele taskforces en de inzet van Europol voor operationele ondersteuning;</w:t>
            </w:r>
            <w:r>
              <w:rPr>
                <w:b/>
                <w:i/>
              </w:rPr>
              <w:t>;</w:t>
            </w:r>
          </w:p>
        </w:tc>
        <w:tc>
          <w:tcPr>
            <w:tcW w:w="4876" w:type="dxa"/>
            <w:tcBorders>
              <w:top w:val="nil"/>
              <w:left w:val="nil"/>
              <w:bottom w:val="nil"/>
              <w:right w:val="nil"/>
            </w:tcBorders>
          </w:tcPr>
          <w:p>
            <w:pPr>
              <w:pStyle w:val="Normal6a"/>
            </w:pPr>
            <w:r>
              <w:t>s)</w:t>
            </w:r>
            <w:r>
              <w:tab/>
            </w:r>
            <w:r>
              <w:t>faciliteren van gezamenlijke, gecoördineerde en geprioriteerde criminele onderzoeken, onder meer ten aanzien van de in punt r) vermelde personen, en onder meer door middel van operationele taskforces en de inzet van Europol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v)</w:t>
            </w:r>
            <w:r>
              <w:tab/>
            </w:r>
            <w:r>
              <w:rPr>
                <w:b/>
                <w:i/>
              </w:rPr>
              <w:t>het volgende punt z bis) wordt toegevoegd:</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z bis) de lidstaten ondersteunen bij de doeltreffende en efficiënte verwerking van biometrische gegevens.;</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 bis)</w:t>
            </w:r>
            <w:r>
              <w:tab/>
            </w:r>
            <w:r>
              <w:t xml:space="preserve">de lidstaten ondersteunen bij de </w:t>
            </w:r>
            <w:r>
              <w:rPr>
                <w:b/>
                <w:i/>
              </w:rPr>
              <w:t>doeltreffende en efficiënte</w:t>
            </w:r>
            <w:r>
              <w:t xml:space="preserve"> verwerking van biometrische gegevens.;</w:t>
            </w:r>
          </w:p>
        </w:tc>
        <w:tc>
          <w:tcPr>
            <w:tcW w:w="4876" w:type="dxa"/>
            <w:tcBorders>
              <w:top w:val="nil"/>
              <w:left w:val="nil"/>
              <w:bottom w:val="nil"/>
              <w:right w:val="nil"/>
            </w:tcBorders>
          </w:tcPr>
          <w:p>
            <w:pPr>
              <w:pStyle w:val="Normal6a"/>
            </w:pPr>
            <w:r>
              <w:t>z bis)</w:t>
            </w:r>
            <w:r>
              <w:tab/>
            </w:r>
            <w:r>
              <w:t xml:space="preserve">de lidstaten ondersteunen bij de </w:t>
            </w:r>
            <w:r>
              <w:rPr>
                <w:b/>
                <w:i/>
              </w:rPr>
              <w:t>verwerking van biometrische gegevens overeenkomstig artikel 5 quater van deze verordening en met strikte inachtneming van de bestaande waarborgen met betrekking tot de rechten en vrijheden van de betrokkenen bij de</w:t>
            </w:r>
            <w:r>
              <w:t xml:space="preserve"> verwerking van biometrische gegevens.;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w:t>
            </w:r>
            <w:r>
              <w:t>;</w:t>
            </w:r>
          </w:p>
        </w:tc>
        <w:tc>
          <w:tcPr>
            <w:tcW w:w="4876" w:type="dxa"/>
            <w:tcBorders>
              <w:top w:val="nil"/>
              <w:left w:val="nil"/>
              <w:bottom w:val="nil"/>
              <w:right w:val="nil"/>
            </w:tcBorders>
          </w:tcPr>
          <w:p>
            <w:pPr>
              <w:pStyle w:val="Normal6a"/>
            </w:pPr>
            <w:r>
              <w:t>z bis)</w:t>
            </w:r>
            <w:r>
              <w:tab/>
            </w:r>
            <w:r>
              <w:t>de lidstaten ondersteunen</w:t>
            </w:r>
            <w:r>
              <w:rPr>
                <w:b/>
                <w:i/>
              </w:rPr>
              <w:t>, onder meer door de ontwikkeling van geavanceerde instrumenten,</w:t>
            </w:r>
            <w:r>
              <w:t xml:space="preserve"> bij de doeltreffende en efficiënte verwerking van biometrische gegevens</w:t>
            </w:r>
            <w:r>
              <w:rPr>
                <w:b/>
                <w:i/>
              </w:rPr>
              <w:t>, waaronder dactyloscopische gegevens, gezichtsopnamen en DNA-profielen, waar nodig met inachtneming van minimale kwaliteitsvereisten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Cecilia Strada, Alessandro Zan, Marco Tarquinio, Sandro Ruotolo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w:t>
            </w:r>
            <w:r>
              <w:t>;</w:t>
            </w:r>
          </w:p>
        </w:tc>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 met volledige inachtneming van de grondrechten en het beginsel van strikte noodzakelijkheid en evenredigheid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w:t>
            </w:r>
            <w:r>
              <w:t>;</w:t>
            </w:r>
          </w:p>
        </w:tc>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 zoals vinger- en handpalmafdrukken, DNA-profielen of botonderzoeken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a – v</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1 – alinea 1 – punt z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w:t>
            </w:r>
            <w:r>
              <w:t>;</w:t>
            </w:r>
          </w:p>
        </w:tc>
        <w:tc>
          <w:tcPr>
            <w:tcW w:w="4876" w:type="dxa"/>
            <w:tcBorders>
              <w:top w:val="nil"/>
              <w:left w:val="nil"/>
              <w:bottom w:val="nil"/>
              <w:right w:val="nil"/>
            </w:tcBorders>
          </w:tcPr>
          <w:p>
            <w:pPr>
              <w:pStyle w:val="Normal6a"/>
            </w:pPr>
            <w:r>
              <w:t>z bis)</w:t>
            </w:r>
            <w:r>
              <w:tab/>
            </w:r>
            <w:r>
              <w:t>de lidstaten ondersteunen bij de doeltreffende en efficiënte verwerking van biometrische gegevens</w:t>
            </w:r>
            <w:r>
              <w:rPr>
                <w:b/>
                <w:i/>
              </w:rPr>
              <w:t>, overeenkomstig artikel 18 van deze verordening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Op verzoek van de bevoegde autoriteiten van de lidstaten en in overeenstemming met hun nationale recht kunnen personeelsleden van Europol tijdens de uitvoering van onderzoeksmaatregelen door die autoriteiten operationele ondersteuning bieden aan die autoriteiten, </w:t>
            </w:r>
            <w:r>
              <w:rPr>
                <w:b/>
                <w:i/>
              </w:rPr>
              <w:t>onder meer in het kader van de uitvoering van operationele taskforces en de inzet van Europol voor operationele ondersteuning,</w:t>
            </w:r>
            <w:r>
              <w:t xml:space="preserve"> met name door grensoverschrijdende informatie-uitwisseling te faciliteren, door </w:t>
            </w:r>
            <w:r>
              <w:rPr>
                <w:b/>
                <w:i/>
              </w:rPr>
              <w:t>analytische,</w:t>
            </w:r>
            <w:r>
              <w:t xml:space="preserve"> operationele</w:t>
            </w:r>
            <w:r>
              <w:rPr>
                <w:b/>
                <w:i/>
              </w:rPr>
              <w:t>, technische en forensische</w:t>
            </w:r>
            <w:r>
              <w:t xml:space="preserve"> ondersteuning te bieden en door aanwezig te zijn tijdens de uitvoering van die maatregelen.</w:t>
            </w:r>
          </w:p>
        </w:tc>
        <w:tc>
          <w:tcPr>
            <w:tcW w:w="4876" w:type="dxa"/>
            <w:tcBorders>
              <w:top w:val="nil"/>
              <w:left w:val="nil"/>
              <w:bottom w:val="nil"/>
              <w:right w:val="nil"/>
            </w:tcBorders>
          </w:tcPr>
          <w:p>
            <w:pPr>
              <w:pStyle w:val="Normal6a"/>
            </w:pPr>
            <w:r>
              <w:t xml:space="preserve">Op verzoek van de bevoegde autoriteiten van de lidstaten en in overeenstemming met hun nationale recht kunnen personeelsleden van Europol tijdens de uitvoering van onderzoeksmaatregelen door die autoriteiten operationele ondersteuning bieden aan die autoriteiten, met name door grensoverschrijdende informatie-uitwisseling te faciliteren, door operationele </w:t>
            </w:r>
            <w:r>
              <w:rPr>
                <w:b/>
                <w:i/>
              </w:rPr>
              <w:t>en technische</w:t>
            </w:r>
            <w:r>
              <w:t xml:space="preserve"> ondersteuning te bieden en door aanwezig te zijn tijdens de uitvoering van die 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Op verzoek van</w:t>
            </w:r>
            <w:r>
              <w:t xml:space="preserve"> de bevoegde autoriteiten van de lidstaten </w:t>
            </w:r>
            <w:r>
              <w:rPr>
                <w:b/>
                <w:i/>
              </w:rPr>
              <w:t>en in overeenstemming met</w:t>
            </w:r>
            <w:r>
              <w:t xml:space="preserve"> hun nationale recht kunnen personeelsleden van Europol tijdens de uitvoering van onderzoeksmaatregelen door die autoriteiten operationele ondersteuning bieden aan die autoriteiten, onder meer in het kader van de uitvoering van operationele taskforces en de inzet van Europol voor operationele ondersteuning, met name door grensoverschrijdende informatie-uitwisseling te faciliteren, door analytische, operationele, technische en forensische ondersteuning te bieden en door aanwezig te zijn tijdens de uitvoering van die maatregelen.</w:t>
            </w:r>
          </w:p>
        </w:tc>
        <w:tc>
          <w:tcPr>
            <w:tcW w:w="4876" w:type="dxa"/>
            <w:tcBorders>
              <w:top w:val="nil"/>
              <w:left w:val="nil"/>
              <w:bottom w:val="nil"/>
              <w:right w:val="nil"/>
            </w:tcBorders>
          </w:tcPr>
          <w:p>
            <w:pPr>
              <w:pStyle w:val="Normal6a"/>
            </w:pPr>
            <w:r>
              <w:rPr>
                <w:b/>
                <w:i/>
              </w:rPr>
              <w:t>Indien</w:t>
            </w:r>
            <w:r>
              <w:t xml:space="preserve"> de bevoegde autoriteiten van de lidstaten </w:t>
            </w:r>
            <w:r>
              <w:rPr>
                <w:b/>
                <w:i/>
              </w:rPr>
              <w:t>hier overeenkomstig</w:t>
            </w:r>
            <w:r>
              <w:t xml:space="preserve"> hun nationale recht </w:t>
            </w:r>
            <w:r>
              <w:rPr>
                <w:b/>
                <w:i/>
              </w:rPr>
              <w:t>om verzoeken,</w:t>
            </w:r>
            <w:r>
              <w:t xml:space="preserve"> kunnen personeelsleden van Europol</w:t>
            </w:r>
            <w:r>
              <w:rPr>
                <w:b/>
                <w:i/>
              </w:rPr>
              <w:t>, met de betrokkenheid van Eurojust om ook te zorgen voor effectieve en efficiënte gerechtelijke samenwerking,</w:t>
            </w:r>
            <w:r>
              <w:t> tijdens de uitvoering van onderzoeksmaatregelen door die autoriteiten operationele ondersteuning bieden aan die autoriteiten, onder meer in het kader van de uitvoering van operationele taskforces en de inzet van Europol voor operationele ondersteuning, met name door grensoverschrijdende informatie-uitwisseling te faciliteren, door analytische, operationele, technische en forensische ondersteuning te bieden en door aanwezig te zijn tijdens de uitvoering van die maatregelen.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hebben de bevoegdheid om zelf niet-dwingende onderzoeksmaatregelen uit te voeren, mits Europol daartoe door een lidstaat overeenkomstig zijn nationale recht is verzocht en de uitvoerend directeur Europol-personeelsleden heeft gemachtigd de gevraagde niet-dwingende onderzoeksmaatregelen uit te voeren.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Van niet-dwingende maatregelen wordt geen definitie voorgesteld.</w:t>
      </w:r>
      <w:r>
        <w:t xml:space="preserve"> </w:t>
      </w:r>
      <w:r>
        <w:t>In de overwegingen wordt niet verduidelijkt wat dit in de praktijk moet betekenen.</w:t>
      </w:r>
      <w:r>
        <w:t xml:space="preserve"> </w:t>
      </w:r>
      <w:r>
        <w:t>De Verdragen sluiten het uitvoeren van dwingende maatregelen door Europol uitdrukkelijk uit.</w:t>
      </w:r>
      <w:r>
        <w:t xml:space="preserve"> </w:t>
      </w:r>
      <w:r>
        <w:t>Deze bepaling is juridisch onduidelijk en het is moeilijk te begrijpen wat de bedoeling ermee is.</w:t>
      </w:r>
    </w:p>
    <w:p>
      <w:r>
        <w:rPr>
          <w:rStyle w:val="HideTWBExt"/>
        </w:rPr>
        <w:t>&lt;/Amend&gt;</w:t>
      </w:r>
    </w:p>
    <w:p>
      <w:pPr>
        <w:pStyle w:val="AmNumberTabs"/>
      </w:pPr>
      <w:r>
        <w:rPr>
          <w:rStyle w:val="HideTWBExt"/>
        </w:rPr>
        <w:t>&lt;Amend&gt;</w:t>
      </w:r>
      <w:r>
        <w:t>Amendement</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hebben de bevoegdheid om zelf niet-dwingende onderzoeksmaatregelen uit te voeren, mits Europol daartoe door een lidstaat overeenkomstig zijn nationale recht is verzocht en de uitvoerend directeur Europol-personeelsleden heeft gemachtigd de gevraagde niet-dwingende onderzoeksmaatregelen uit te voeren.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hebben de bevoegdheid om zelf niet-dwingende onderzoeksmaatregelen uit te voeren, mits Europol daartoe door een lidstaat overeenkomstig zijn nationale recht is verzocht en de uitvoerend directeur Europol-personeelsleden heeft gemachtigd de gevraagde niet-dwingende onderzoeksmaatregelen uit te voeren.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in deze verordening aangebrachte wijzigingen maken geen overeenkomstige wijziging nodig in lid 5.</w:t>
      </w:r>
    </w:p>
    <w:p>
      <w:r>
        <w:rPr>
          <w:rStyle w:val="HideTWBExt"/>
        </w:rPr>
        <w:t>&lt;/Amend&gt;</w:t>
      </w:r>
    </w:p>
    <w:p>
      <w:pPr>
        <w:pStyle w:val="AmNumberTabs"/>
      </w:pPr>
      <w:r>
        <w:rPr>
          <w:rStyle w:val="HideTWBExt"/>
        </w:rPr>
        <w:t>&lt;Amend&gt;</w:t>
      </w:r>
      <w:r>
        <w:t>Amendement</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voeren dergelijke niet-dwingende onderzoeksmaatregelen uit in samenwerking en overeenstemming met de bevoegde autoriteiten van de betrokken lidstaat en overeenkomstig deze verordening en het nationale recht van die lidstaat.;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in deze verordening aangebrachte wijzigingen maken geen overeenkomstige wijziging nodig in lid 5.</w:t>
      </w:r>
    </w:p>
    <w:p>
      <w:r>
        <w:rPr>
          <w:rStyle w:val="HideTWBExt"/>
        </w:rPr>
        <w:t>&lt;/Amend&gt;</w:t>
      </w:r>
    </w:p>
    <w:p>
      <w:pPr>
        <w:pStyle w:val="AmNumberTabs"/>
      </w:pPr>
      <w:r>
        <w:rPr>
          <w:rStyle w:val="HideTWBExt"/>
        </w:rPr>
        <w:t>&lt;Amend&gt;</w:t>
      </w:r>
      <w:r>
        <w:t>Amendement</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voeren dergelijke niet-dwingende onderzoeksmaatregelen uit in samenwerking en overeenstemming met de bevoegde autoriteiten van de betrokken lidstaat en overeenkomstig deze verordening en het nationale recht van die lidstaat.;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Van niet-dwingende maatregelen wordt geen definitie voorgesteld.</w:t>
      </w:r>
      <w:r>
        <w:t xml:space="preserve"> </w:t>
      </w:r>
      <w:r>
        <w:t>In de overwegingen wordt niet verduidelijkt wat dit in de praktijk moet betekenen.</w:t>
      </w:r>
      <w:r>
        <w:t xml:space="preserve"> </w:t>
      </w:r>
      <w:r>
        <w:t>De Verdragen sluiten het uitvoeren van dwingende maatregelen door Europol uitdrukkelijk uit.</w:t>
      </w:r>
      <w:r>
        <w:t xml:space="preserve"> </w:t>
      </w:r>
      <w:r>
        <w:t>Deze bepaling is juridisch onduidelijk en het is moeilijk te begrijpen wat de bedoeling ermee is.</w:t>
      </w:r>
    </w:p>
    <w:p>
      <w:r>
        <w:rPr>
          <w:rStyle w:val="HideTWBExt"/>
        </w:rPr>
        <w:t>&lt;/Amend&gt;</w:t>
      </w:r>
    </w:p>
    <w:p>
      <w:pPr>
        <w:pStyle w:val="AmNumberTabs"/>
      </w:pPr>
      <w:r>
        <w:rPr>
          <w:rStyle w:val="HideTWBExt"/>
        </w:rPr>
        <w:t>&lt;Amend&gt;</w:t>
      </w:r>
      <w:r>
        <w:t>Amendement</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2 – b</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 – lid 5 – alinea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Personeelsleden van Europol voeren dergelijke niet-dwingende onderzoeksmaatregelen uit in samenwerking en overeenstemming met de bevoegde autoriteiten van de betrokken lidstaat en overeenkomstig deze verordening en het nationale recht van die lidstaat.;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 – inleidende formule</w:t>
      </w:r>
      <w:r>
        <w:rPr>
          <w:rStyle w:val="HideTWBExt"/>
        </w:rPr>
        <w:t>&lt;/Article&gt;</w:t>
      </w:r>
    </w:p>
    <w:p>
      <w:r>
        <w:rPr>
          <w:rStyle w:val="HideTWBExt"/>
        </w:rPr>
        <w:t>&lt;DocAmend2&gt;</w:t>
      </w:r>
      <w:r>
        <w:t>Verordening (EU) 2016/794</w:t>
      </w:r>
      <w:r>
        <w:rPr>
          <w:rStyle w:val="HideTWBExt"/>
        </w:rPr>
        <w:t>&lt;/DocAmend2&gt;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volgende artikelen 5 bis </w:t>
            </w:r>
            <w:r>
              <w:rPr>
                <w:b/>
                <w:i/>
              </w:rPr>
              <w:t>en 5 ter</w:t>
            </w:r>
            <w:r>
              <w:t xml:space="preserve"> worden ingevoegd:</w:t>
            </w:r>
          </w:p>
        </w:tc>
        <w:tc>
          <w:tcPr>
            <w:tcW w:w="4876" w:type="dxa"/>
            <w:tcBorders>
              <w:top w:val="nil"/>
              <w:left w:val="nil"/>
              <w:bottom w:val="nil"/>
              <w:right w:val="nil"/>
            </w:tcBorders>
          </w:tcPr>
          <w:p>
            <w:pPr>
              <w:pStyle w:val="Normal6a"/>
            </w:pPr>
            <w:r>
              <w:t>(3)</w:t>
            </w:r>
            <w:r>
              <w:tab/>
            </w:r>
            <w:r>
              <w:t>De volgende artikelen 5 bis</w:t>
            </w:r>
            <w:r>
              <w:rPr>
                <w:b/>
                <w:i/>
              </w:rPr>
              <w:t>, 5 ter, 5 quater, 5 quinquies en 5 sexies, 5 septies, 5 octies en 5 nonies</w:t>
            </w:r>
            <w:r>
              <w:t xml:space="preserve"> worden ingevoegd: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Artikel 5 bis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is gedekt door artikel 5 van de JIT-verordening.</w:t>
      </w:r>
      <w:r>
        <w:t xml:space="preserve"> </w:t>
      </w:r>
      <w:r>
        <w:t>Voor deze kwestie is dus geen wijziging nodig van de Europol-verordening.</w:t>
      </w:r>
    </w:p>
    <w:p>
      <w:r>
        <w:rPr>
          <w:rStyle w:val="HideTWBExt"/>
        </w:rPr>
        <w:t>&lt;/Amend&gt;</w:t>
      </w:r>
    </w:p>
    <w:p>
      <w:pPr>
        <w:pStyle w:val="AmNumberTabs"/>
      </w:pPr>
      <w:r>
        <w:rPr>
          <w:rStyle w:val="HideTWBExt"/>
        </w:rPr>
        <w:t>&lt;Amend&gt;</w:t>
      </w:r>
      <w:r>
        <w:t>Amendement</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Artikel 5 bis</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nieuwe artikel 5 bis wordt volledig geschrapt.</w:t>
      </w:r>
    </w:p>
    <w:p>
      <w:pPr>
        <w:pStyle w:val="AmJustText"/>
      </w:pPr>
      <w:r>
        <w:t>Zie het amendement op overweging 15.</w:t>
      </w:r>
    </w:p>
    <w:p>
      <w:r>
        <w:rPr>
          <w:rStyle w:val="HideTWBExt"/>
        </w:rPr>
        <w:t>&lt;/Amend&gt;</w:t>
      </w:r>
    </w:p>
    <w:p>
      <w:pPr>
        <w:pStyle w:val="AmNumberTabs"/>
      </w:pPr>
      <w:r>
        <w:rPr>
          <w:rStyle w:val="HideTWBExt"/>
        </w:rPr>
        <w:t>&lt;Amend&gt;</w:t>
      </w:r>
      <w:r>
        <w:t>Amendement</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titel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Operationele taskforces</w:t>
            </w:r>
          </w:p>
        </w:tc>
        <w:tc>
          <w:tcPr>
            <w:tcW w:w="4876" w:type="dxa"/>
            <w:tcBorders>
              <w:top w:val="nil"/>
              <w:left w:val="nil"/>
              <w:bottom w:val="nil"/>
              <w:right w:val="nil"/>
            </w:tcBorders>
          </w:tcPr>
          <w:p>
            <w:pPr>
              <w:pStyle w:val="Normal6a"/>
            </w:pPr>
            <w:r>
              <w:t xml:space="preserve">Operationele taskforces </w:t>
            </w:r>
            <w:r>
              <w:rPr>
                <w:b/>
                <w:i/>
              </w:rPr>
              <w:t>voor het voorkomen, opsporen en onderzoeken van 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Aangezien dit voorstel duidelijk gericht is op het voorkomen, opsporen en onderzoeken van migrantensmokkel en mensenhandel, moet het nieuwe artikel over operationele taskforces worden beperkt tot taskforces die zijn opgericht voor het aanpakken van migrantensmokkel en mensenhandel.</w:t>
      </w:r>
    </w:p>
    <w:p>
      <w:r>
        <w:rPr>
          <w:rStyle w:val="HideTWBExt"/>
        </w:rPr>
        <w:t>&lt;/Amend&gt;</w:t>
      </w:r>
    </w:p>
    <w:p>
      <w:pPr>
        <w:pStyle w:val="AmNumberTabs"/>
      </w:pPr>
      <w:r>
        <w:rPr>
          <w:rStyle w:val="HideTWBExt"/>
        </w:rPr>
        <w:t>&lt;Amend&gt;</w:t>
      </w:r>
      <w:r>
        <w:t>Amendement</w:t>
      </w:r>
      <w:r>
        <w:tab/>
      </w:r>
      <w:r>
        <w:tab/>
      </w:r>
      <w:r>
        <w:rPr>
          <w:rStyle w:val="HideTWBExt"/>
        </w:rPr>
        <w:t>&lt;NumAm&gt;</w:t>
      </w:r>
      <w:r>
        <w:t>257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De lidstaten kunnen een operationele taskforce opzetten voor de duur van bepaalde specifieke criminele </w:t>
            </w:r>
            <w:r>
              <w:rPr>
                <w:b/>
                <w:i/>
              </w:rPr>
              <w:t>inlichtingenactiviteiten of onderzoeken</w:t>
            </w:r>
            <w:r>
              <w:t>. Europol faciliteert het opzetten en ondersteunt de uitvoering van een operationele taskforce.</w:t>
            </w:r>
          </w:p>
        </w:tc>
        <w:tc>
          <w:tcPr>
            <w:tcW w:w="4876" w:type="dxa"/>
            <w:tcBorders>
              <w:top w:val="nil"/>
              <w:left w:val="nil"/>
              <w:bottom w:val="nil"/>
              <w:right w:val="nil"/>
            </w:tcBorders>
          </w:tcPr>
          <w:p>
            <w:pPr>
              <w:pStyle w:val="Normal6a"/>
            </w:pPr>
            <w:r>
              <w:t>1.</w:t>
            </w:r>
            <w:r>
              <w:tab/>
            </w:r>
            <w:r>
              <w:t xml:space="preserve">De lidstaten kunnen een </w:t>
            </w:r>
            <w:r>
              <w:rPr>
                <w:b/>
                <w:i/>
              </w:rPr>
              <w:t>tijdelijke</w:t>
            </w:r>
            <w:r>
              <w:t xml:space="preserve"> operationele taskforce opzetten voor de duur van bepaalde specifieke criminele </w:t>
            </w:r>
            <w:r>
              <w:rPr>
                <w:b/>
                <w:i/>
              </w:rPr>
              <w:t>onderzoeken die onder de doelstellingen van Europol overeenkomstig artikel 3 van deze verordening vallen en waarvoor een gecoördineerd optreden vereist is</w:t>
            </w:r>
            <w:r>
              <w:t>. Europol faciliteert het opzetten en ondersteunt de uitvoering van een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De lidstaten</w:t>
            </w:r>
            <w:r>
              <w:t xml:space="preserve"> kunnen een operationele taskforce opzetten voor de duur van </w:t>
            </w:r>
            <w:r>
              <w:rPr>
                <w:b/>
                <w:i/>
              </w:rPr>
              <w:t>bepaalde specifieke</w:t>
            </w:r>
            <w:r>
              <w:t xml:space="preserve"> criminele inlichtingenactiviteiten of onderzoeken. Europol faciliteert het opzetten en ondersteunt de uitvoering van een operationele taskforce.</w:t>
            </w:r>
          </w:p>
        </w:tc>
        <w:tc>
          <w:tcPr>
            <w:tcW w:w="4876" w:type="dxa"/>
            <w:tcBorders>
              <w:top w:val="nil"/>
              <w:left w:val="nil"/>
              <w:bottom w:val="nil"/>
              <w:right w:val="nil"/>
            </w:tcBorders>
          </w:tcPr>
          <w:p>
            <w:pPr>
              <w:pStyle w:val="Normal6a"/>
            </w:pPr>
            <w:r>
              <w:t>1.</w:t>
            </w:r>
            <w:r>
              <w:tab/>
            </w:r>
            <w:r>
              <w:rPr>
                <w:b/>
                <w:i/>
              </w:rPr>
              <w:t>Voor het voorkomen, opsporen en onderzoeken van migrantensmokkel en mensenhandel</w:t>
            </w:r>
            <w:r>
              <w:t xml:space="preserve"> kunnen </w:t>
            </w:r>
            <w:r>
              <w:rPr>
                <w:b/>
                <w:i/>
              </w:rPr>
              <w:t>de lidstaten</w:t>
            </w:r>
            <w:r>
              <w:t xml:space="preserve"> een operationele taskforce opzetten voor de duur van </w:t>
            </w:r>
            <w:r>
              <w:rPr>
                <w:b/>
                <w:i/>
              </w:rPr>
              <w:t>de betrokken</w:t>
            </w:r>
            <w:r>
              <w:t xml:space="preserve"> criminele inlichtingenactiviteiten of onderzoeken. Europol faciliteert het opzetten en ondersteunt de uitvoering van een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Het doel van de oprichting van een dergelijke operationele taskforce is het identificeren, onderzoeken en uiteindelijk vervolgen van de georganiseerde criminele groepen die profiteren van het illegaal smokkelen van migranten naar de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belangrijk duidelijk te maken dat het doel van de oprichting van een operationele taskforce op dit gebied is de georganiseerde criminele groepen aan te pakken die profiteren van criminele smokkel.</w:t>
      </w:r>
      <w:r>
        <w:t xml:space="preserve"> </w:t>
      </w:r>
      <w:r>
        <w:t>Het is daarentegen niet de bedoeling irreguliere immigratie aan te pakken of irreguliere migranten strafbaar te stellen.</w:t>
      </w:r>
    </w:p>
    <w:p>
      <w:r>
        <w:rPr>
          <w:rStyle w:val="HideTWBExt"/>
        </w:rPr>
        <w:t>&lt;/Amend&gt;</w:t>
      </w:r>
    </w:p>
    <w:p>
      <w:pPr>
        <w:pStyle w:val="AmNumberTabs"/>
      </w:pPr>
      <w:r>
        <w:rPr>
          <w:rStyle w:val="HideTWBExt"/>
        </w:rPr>
        <w:t>&lt;Amend&gt;</w:t>
      </w:r>
      <w:r>
        <w:t>Amendement</w:t>
      </w:r>
      <w:r>
        <w:tab/>
      </w:r>
      <w:r>
        <w:tab/>
      </w:r>
      <w:r>
        <w:rPr>
          <w:rStyle w:val="HideTWBExt"/>
        </w:rPr>
        <w:t>&lt;NumAm&gt;</w:t>
      </w:r>
      <w:r>
        <w:t>260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lidstaten die een operationele taskforce opzetten, bereiken overeenstemming met Europol over de planning, coördinatie en uitvoering van de criminele inlichtingenactiviteiten en onderzoeken van de operationele taskforce.</w:t>
            </w:r>
          </w:p>
        </w:tc>
        <w:tc>
          <w:tcPr>
            <w:tcW w:w="4876" w:type="dxa"/>
            <w:tcBorders>
              <w:top w:val="nil"/>
              <w:left w:val="nil"/>
              <w:bottom w:val="nil"/>
              <w:right w:val="nil"/>
            </w:tcBorders>
          </w:tcPr>
          <w:p>
            <w:pPr>
              <w:pStyle w:val="Normal6a"/>
            </w:pPr>
            <w:r>
              <w:t>2.</w:t>
            </w:r>
            <w:r>
              <w:tab/>
            </w:r>
            <w:r>
              <w:t xml:space="preserve">De lidstaten die </w:t>
            </w:r>
            <w:r>
              <w:rPr>
                <w:b/>
                <w:i/>
              </w:rPr>
              <w:t>overeenkomstig lid 1</w:t>
            </w:r>
            <w:r>
              <w:t xml:space="preserve"> een operationele taskforce opzetten, bereiken overeenstemming met Europol over de planning, coördinatie en uitvoering van de criminele inlichtingenactiviteiten en onderzoeken van de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lidstaten die een operationele taskforce opzetten, bereiken overeenstemming met Europol over de planning, coördinatie en uitvoering </w:t>
            </w:r>
            <w:r>
              <w:rPr>
                <w:b/>
                <w:i/>
              </w:rPr>
              <w:t>van de criminele inlichtingenactiviteiten en onderzoeken</w:t>
            </w:r>
            <w:r>
              <w:t xml:space="preserve"> van de operationele taskforce.</w:t>
            </w:r>
          </w:p>
        </w:tc>
        <w:tc>
          <w:tcPr>
            <w:tcW w:w="4876" w:type="dxa"/>
            <w:tcBorders>
              <w:top w:val="nil"/>
              <w:left w:val="nil"/>
              <w:bottom w:val="nil"/>
              <w:right w:val="nil"/>
            </w:tcBorders>
          </w:tcPr>
          <w:p>
            <w:pPr>
              <w:pStyle w:val="Normal6a"/>
            </w:pPr>
            <w:r>
              <w:t>2.</w:t>
            </w:r>
            <w:r>
              <w:tab/>
            </w:r>
            <w:r>
              <w:t xml:space="preserve">De lidstaten die </w:t>
            </w:r>
            <w:r>
              <w:rPr>
                <w:b/>
                <w:i/>
              </w:rPr>
              <w:t>overeenkomstig lid 1</w:t>
            </w:r>
            <w:r>
              <w:t xml:space="preserve"> een operationele taskforce opzetten, bereiken overeenstemming met Europol over de planning, coördinatie en uitvoering van de operationele taskforce.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lidstaten die een operationele taskforce opzetten, zorgen voor samenhang en synergieën met het kader van het Europees multidisciplinair platform tegen criminaliteitsdreiging (Empact).</w:t>
            </w:r>
          </w:p>
        </w:tc>
        <w:tc>
          <w:tcPr>
            <w:tcW w:w="4876" w:type="dxa"/>
            <w:tcBorders>
              <w:top w:val="nil"/>
              <w:left w:val="nil"/>
              <w:bottom w:val="nil"/>
              <w:right w:val="nil"/>
            </w:tcBorders>
          </w:tcPr>
          <w:p>
            <w:pPr>
              <w:pStyle w:val="Normal6a"/>
            </w:pPr>
            <w:r>
              <w:t>3.</w:t>
            </w:r>
            <w:r>
              <w:tab/>
            </w:r>
            <w:r>
              <w:t xml:space="preserve">De lidstaten die </w:t>
            </w:r>
            <w:r>
              <w:rPr>
                <w:b/>
                <w:i/>
              </w:rPr>
              <w:t>overeenkomstig lid 1</w:t>
            </w:r>
            <w:r>
              <w:t xml:space="preserve"> een operationele taskforce opzetten, zorgen voor samenhang en synergieën met het kader van het Europees multidisciplinair platform tegen criminaliteitsdreiging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263</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De lidstaten die een operationele taskforce opzetten, zorgen voor samenhang en synergieën met het kader van het Europees multidisciplinair platform tegen criminaliteitsdreiging (Empact).</w:t>
            </w:r>
          </w:p>
        </w:tc>
        <w:tc>
          <w:tcPr>
            <w:tcW w:w="4876" w:type="dxa"/>
            <w:tcBorders>
              <w:top w:val="nil"/>
              <w:left w:val="nil"/>
              <w:bottom w:val="nil"/>
              <w:right w:val="nil"/>
            </w:tcBorders>
          </w:tcPr>
          <w:p>
            <w:pPr>
              <w:pStyle w:val="Normal6a"/>
            </w:pPr>
            <w:r>
              <w:t>3.</w:t>
            </w:r>
            <w:r>
              <w:tab/>
            </w:r>
            <w:r>
              <w:t xml:space="preserve">De lidstaten die </w:t>
            </w:r>
            <w:r>
              <w:rPr>
                <w:b/>
                <w:i/>
              </w:rPr>
              <w:t>overeenkomstig lid 1</w:t>
            </w:r>
            <w:r>
              <w:t xml:space="preserve"> een operationele taskforce opzetten, zorgen voor samenhang en synergieën met het kader van het Europees multidisciplinair platform tegen criminaliteitsdreiging (Empact).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De lidstaten die een operationele taskforce opzetten, kunnen besluiten andere lidstaten, derde landen en andere partners als bedoeld in </w:t>
            </w:r>
            <w:r>
              <w:rPr>
                <w:b/>
                <w:i/>
              </w:rPr>
              <w:t>artikel 23</w:t>
            </w:r>
            <w:r>
              <w:t xml:space="preserve"> uit te nodigen om deel te nemen aan de operationele taskforce of deze te ondersteunen. </w:t>
            </w:r>
            <w:r>
              <w:rPr>
                <w:b/>
                <w:i/>
              </w:rPr>
              <w:t>De deelname van derde landen en andere partners aan de operationele taskforce vindt plaats overeenkomstig deze verordening.</w:t>
            </w:r>
          </w:p>
        </w:tc>
        <w:tc>
          <w:tcPr>
            <w:tcW w:w="4876" w:type="dxa"/>
            <w:tcBorders>
              <w:top w:val="nil"/>
              <w:left w:val="nil"/>
              <w:bottom w:val="nil"/>
              <w:right w:val="nil"/>
            </w:tcBorders>
          </w:tcPr>
          <w:p>
            <w:pPr>
              <w:pStyle w:val="Normal6a"/>
            </w:pPr>
            <w:r>
              <w:t>4.</w:t>
            </w:r>
            <w:r>
              <w:tab/>
            </w:r>
            <w:r>
              <w:t xml:space="preserve">De lidstaten die </w:t>
            </w:r>
            <w:r>
              <w:rPr>
                <w:b/>
                <w:i/>
              </w:rPr>
              <w:t>overeenkomstig lid 1</w:t>
            </w:r>
            <w:r>
              <w:t xml:space="preserve"> een operationele taskforce opzetten, kunnen besluiten andere lidstaten, derde landen en andere partners als bedoeld in </w:t>
            </w:r>
            <w:r>
              <w:rPr>
                <w:b/>
                <w:i/>
              </w:rPr>
              <w:t>deze verordening</w:t>
            </w:r>
            <w:r>
              <w:t xml:space="preserve"> uit te nodigen om deel te nemen aan de operationele taskforce of deze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265</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De lidstaten die een operationele taskforce opzetten, kunnen besluiten andere lidstaten, derde landen en andere partners als bedoeld in artikel 23 uit te nodigen om deel te nemen aan de operationele taskforce of deze te ondersteunen. De deelname van derde landen en andere partners aan de operationele taskforce vindt plaats overeenkomstig deze verordening.</w:t>
            </w:r>
          </w:p>
        </w:tc>
        <w:tc>
          <w:tcPr>
            <w:tcW w:w="4876" w:type="dxa"/>
            <w:tcBorders>
              <w:top w:val="nil"/>
              <w:left w:val="nil"/>
              <w:bottom w:val="nil"/>
              <w:right w:val="nil"/>
            </w:tcBorders>
          </w:tcPr>
          <w:p>
            <w:pPr>
              <w:pStyle w:val="Normal6a"/>
            </w:pPr>
            <w:r>
              <w:t>4.</w:t>
            </w:r>
            <w:r>
              <w:tab/>
            </w:r>
            <w:r>
              <w:t xml:space="preserve">De lidstaten die </w:t>
            </w:r>
            <w:r>
              <w:rPr>
                <w:b/>
                <w:i/>
              </w:rPr>
              <w:t>overeenkomstig lid 1</w:t>
            </w:r>
            <w:r>
              <w:t xml:space="preserve"> een operationele taskforce opzetten, kunnen besluiten andere lidstaten, derde landen en andere partners als bedoeld in artikel 23 </w:t>
            </w:r>
            <w:r>
              <w:rPr>
                <w:b/>
                <w:i/>
              </w:rPr>
              <w:t>van deze verordening</w:t>
            </w:r>
            <w:r>
              <w:t xml:space="preserve"> uit te nodigen om deel te nemen aan de operationele taskforce of deze te ondersteunen. De deelname van derde landen en andere partners aan de operationele taskforce vindt plaats overeenkomstig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4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De lidstaten die overeenkomstig dit artikel een operationele taskforce opzetten, eraan deelnemen of deze ondersteunen, stellen Europol en Eurojust daarvan in kennis zodra gerechtelijke autoriteiten betrokken zijn bij het onderzoek naar het misdrijf waarop de operationele taskforce betrekking heeft.</w:t>
            </w:r>
            <w:r>
              <w:t xml:space="preserve"> </w:t>
            </w:r>
            <w:r>
              <w:rPr>
                <w:b/>
                <w:i/>
              </w:rPr>
              <w:t>Deze informatie omvat ten minste de contactgegevens van de betrokken gerechtelijke autoriteiten en de vorm van het strafbare feit dat wordt onderzocht.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267</w:t>
      </w:r>
      <w:r>
        <w:rPr>
          <w:rStyle w:val="HideTWBExt"/>
        </w:rPr>
        <w:t>&lt;/NumAm&gt;</w:t>
      </w:r>
    </w:p>
    <w:p>
      <w:pPr>
        <w:pStyle w:val="NormalBold"/>
      </w:pPr>
      <w:r>
        <w:rPr>
          <w:rStyle w:val="HideTWBExt"/>
          <w:b w:val="0"/>
        </w:rPr>
        <w:t>&lt;RepeatBlock-By&gt;</w:t>
      </w:r>
      <w:r>
        <w:rPr>
          <w:rStyle w:val="HideTWBExt"/>
          <w:b w:val="0"/>
        </w:rPr>
        <w:t>&lt;Members&gt;</w:t>
      </w:r>
      <w:r>
        <w:t>Nikola Minchev,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Ter ondersteuning van de uitvoering van een operationele taskforce stelt Europol de analytische, operationele, technische, forensische en financiële steun waarin deze verordening voorziet, beschikbaar overeenkomstig lid </w:t>
            </w:r>
            <w:r>
              <w:rPr>
                <w:b/>
                <w:i/>
              </w:rPr>
              <w:t>2</w:t>
            </w:r>
            <w:r>
              <w:t>.</w:t>
            </w:r>
          </w:p>
        </w:tc>
        <w:tc>
          <w:tcPr>
            <w:tcW w:w="4876" w:type="dxa"/>
            <w:tcBorders>
              <w:top w:val="nil"/>
              <w:left w:val="nil"/>
              <w:bottom w:val="nil"/>
              <w:right w:val="nil"/>
            </w:tcBorders>
          </w:tcPr>
          <w:p>
            <w:pPr>
              <w:pStyle w:val="Normal6a"/>
            </w:pPr>
            <w:r>
              <w:t>5.</w:t>
            </w:r>
            <w:r>
              <w:tab/>
            </w:r>
            <w:r>
              <w:t xml:space="preserve">Ter ondersteuning van de uitvoering van een operationele taskforce stelt Europol de analytische, operationele, technische, forensische en financiële steun waarin deze verordening voorziet, beschikbaar overeenkomstig lid </w:t>
            </w:r>
            <w:r>
              <w:rPr>
                <w:b/>
                <w:i/>
              </w:rPr>
              <w:t>1.</w:t>
            </w:r>
            <w:r>
              <w:t xml:space="preserve"> </w:t>
            </w:r>
            <w:r>
              <w:rPr>
                <w:b/>
                <w:i/>
              </w:rPr>
              <w:t>Europol stelt Eurojust in kennis van het bestaan van een operationele taskforce zodra gerechtelijke autoriteiten betrokken zijn bij het onderzoek naar het misdrijf waarop de operationele taskforce betrekking heeft.</w:t>
            </w:r>
            <w:r>
              <w:t xml:space="preserve"> </w:t>
            </w:r>
            <w:r>
              <w:rPr>
                <w:b/>
                <w:i/>
              </w:rPr>
              <w:t>Deze informatie omvat ten minste de contactgegevens van de betrokken gerechtelijke autoriteiten en de vorm van het strafbare feit dat wordt onderzocht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Ter ondersteuning van de uitvoering van een operationele taskforce stelt Europol de analytische, operationele, technische, forensische en financiële steun </w:t>
            </w:r>
            <w:r>
              <w:rPr>
                <w:b/>
                <w:i/>
              </w:rPr>
              <w:t>waarin</w:t>
            </w:r>
            <w:r>
              <w:t xml:space="preserve"> deze verordening </w:t>
            </w:r>
            <w:r>
              <w:rPr>
                <w:b/>
                <w:i/>
              </w:rPr>
              <w:t>voorziet,</w:t>
            </w:r>
            <w:r>
              <w:t xml:space="preserve"> beschikbaar </w:t>
            </w:r>
            <w:r>
              <w:rPr>
                <w:b/>
                <w:i/>
              </w:rPr>
              <w:t>overeenkomstig lid 2</w:t>
            </w:r>
            <w:r>
              <w:t>.</w:t>
            </w:r>
          </w:p>
        </w:tc>
        <w:tc>
          <w:tcPr>
            <w:tcW w:w="4876" w:type="dxa"/>
            <w:tcBorders>
              <w:top w:val="nil"/>
              <w:left w:val="nil"/>
              <w:bottom w:val="nil"/>
              <w:right w:val="nil"/>
            </w:tcBorders>
          </w:tcPr>
          <w:p>
            <w:pPr>
              <w:pStyle w:val="Normal6a"/>
            </w:pPr>
            <w:r>
              <w:t>5.</w:t>
            </w:r>
            <w:r>
              <w:tab/>
            </w:r>
            <w:r>
              <w:t xml:space="preserve">Ter ondersteuning van de uitvoering van een operationele taskforce </w:t>
            </w:r>
            <w:r>
              <w:rPr>
                <w:b/>
                <w:i/>
              </w:rPr>
              <w:t>overeenkomstig de leden 1 en 2</w:t>
            </w:r>
            <w:r>
              <w:t xml:space="preserve"> stelt Europol de analytische, operationele, technische, forensische en financiële steun </w:t>
            </w:r>
            <w:r>
              <w:rPr>
                <w:b/>
                <w:i/>
              </w:rPr>
              <w:t>overeenkomstig</w:t>
            </w:r>
            <w:r>
              <w:t xml:space="preserve"> deze verordening beschikbaar.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269</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Elke lidstaat die een operationele taskforce opzet, eraan deelneemt of ondersteunt, doet, overeenkomstig de in lid 2 bedoelde planning, coördinatie en uitvoering het volgende:</w:t>
            </w:r>
          </w:p>
        </w:tc>
        <w:tc>
          <w:tcPr>
            <w:tcW w:w="4876" w:type="dxa"/>
            <w:tcBorders>
              <w:top w:val="nil"/>
              <w:left w:val="nil"/>
              <w:bottom w:val="nil"/>
              <w:right w:val="nil"/>
            </w:tcBorders>
          </w:tcPr>
          <w:p>
            <w:pPr>
              <w:pStyle w:val="Normal6a"/>
            </w:pPr>
            <w:r>
              <w:t>6.</w:t>
            </w:r>
            <w:r>
              <w:tab/>
            </w:r>
            <w:r>
              <w:t xml:space="preserve">Elke lidstaat die </w:t>
            </w:r>
            <w:r>
              <w:rPr>
                <w:b/>
                <w:i/>
              </w:rPr>
              <w:t>overeenkomstig lid 1</w:t>
            </w:r>
            <w:r>
              <w:t xml:space="preserve"> een operationele taskforce opzet, eraan deelneemt of ondersteunt, doet, overeenkomstig de in lid 2 bedoelde planning, coördinatie en uitvoering het volgende: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onverwijld alle relevante informatie verstrekken aan Europol en aan de andere lidstaten die de operationele taskforce opzetten, eraan deelnemen of ondersteunen, met gebruikmaking van Siena</w:t>
            </w:r>
            <w:r>
              <w:rPr>
                <w:b/>
                <w:i/>
              </w:rPr>
              <w:t>, en, in voorkomend geval, informatie rechtstreeks toegankelijk maken overeenkomstig artikel 20, lid 2 bis</w:t>
            </w:r>
            <w:r>
              <w:t>;</w:t>
            </w:r>
          </w:p>
        </w:tc>
        <w:tc>
          <w:tcPr>
            <w:tcW w:w="4876" w:type="dxa"/>
            <w:tcBorders>
              <w:top w:val="nil"/>
              <w:left w:val="nil"/>
              <w:bottom w:val="nil"/>
              <w:right w:val="nil"/>
            </w:tcBorders>
          </w:tcPr>
          <w:p>
            <w:pPr>
              <w:pStyle w:val="Normal6a"/>
            </w:pPr>
            <w:r>
              <w:t>a)</w:t>
            </w:r>
            <w:r>
              <w:tab/>
            </w:r>
            <w:r>
              <w:t>onverwijld alle relevante informatie verstrekken aan Europol en aan de andere lidstaten die de operationele taskforce opzetten, eraan deelnemen of ondersteunen, met gebruikmaking van Siena;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a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de controle behouden over de persoonsgegevens die in het kader van de taskforce worden gedeeld.</w:t>
            </w:r>
            <w:r>
              <w:t xml:space="preserve"> </w:t>
            </w:r>
            <w:r>
              <w:rPr>
                <w:b/>
                <w:i/>
              </w:rPr>
              <w:t>Europol mag persoonsgegevens uitsluitend verwerken voor de in artikel 18 genoemde doeleinden;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gebruikmaken van de analytische, operationele, technische, forensische en financiële steun </w:t>
            </w:r>
            <w:r>
              <w:rPr>
                <w:b/>
                <w:i/>
              </w:rPr>
              <w:t>van Europol</w:t>
            </w:r>
            <w:r>
              <w:t>;</w:t>
            </w:r>
          </w:p>
        </w:tc>
        <w:tc>
          <w:tcPr>
            <w:tcW w:w="4876" w:type="dxa"/>
            <w:tcBorders>
              <w:top w:val="nil"/>
              <w:left w:val="nil"/>
              <w:bottom w:val="nil"/>
              <w:right w:val="nil"/>
            </w:tcBorders>
          </w:tcPr>
          <w:p>
            <w:pPr>
              <w:pStyle w:val="Normal6a"/>
            </w:pPr>
            <w:r>
              <w:t>b)</w:t>
            </w:r>
            <w:r>
              <w:tab/>
            </w:r>
            <w:r>
              <w:t xml:space="preserve">gebruikmaken van de </w:t>
            </w:r>
            <w:r>
              <w:rPr>
                <w:b/>
                <w:i/>
              </w:rPr>
              <w:t>overeenkomstig lid 5 door Europol verstrekte</w:t>
            </w:r>
            <w:r>
              <w:t xml:space="preserve"> analytische, operationele, technische, forensische en financiële steun;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c</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specifieke criminele </w:t>
            </w:r>
            <w:r>
              <w:rPr>
                <w:b/>
                <w:i/>
              </w:rPr>
              <w:t>inlichtingenactiviteiten en</w:t>
            </w:r>
            <w:r>
              <w:t xml:space="preserve"> onderzoeken instellen overeenkomstig het nationale </w:t>
            </w:r>
            <w:r>
              <w:rPr>
                <w:b/>
                <w:i/>
              </w:rPr>
              <w:t>recht</w:t>
            </w:r>
            <w:r>
              <w:t xml:space="preserve">, indien </w:t>
            </w:r>
            <w:r>
              <w:rPr>
                <w:b/>
                <w:i/>
              </w:rPr>
              <w:t>dat</w:t>
            </w:r>
            <w:r>
              <w:t xml:space="preserve"> nodig is om het strafbare feit waarop de operationele taskforce betrekking heeft, aan te pakken;</w:t>
            </w:r>
          </w:p>
        </w:tc>
        <w:tc>
          <w:tcPr>
            <w:tcW w:w="4876" w:type="dxa"/>
            <w:tcBorders>
              <w:top w:val="nil"/>
              <w:left w:val="nil"/>
              <w:bottom w:val="nil"/>
              <w:right w:val="nil"/>
            </w:tcBorders>
          </w:tcPr>
          <w:p>
            <w:pPr>
              <w:pStyle w:val="Normal6a"/>
            </w:pPr>
            <w:r>
              <w:t>c)</w:t>
            </w:r>
            <w:r>
              <w:tab/>
            </w:r>
            <w:r>
              <w:t xml:space="preserve">specifieke criminele onderzoeken instellen overeenkomstig het nationale </w:t>
            </w:r>
            <w:r>
              <w:rPr>
                <w:b/>
                <w:i/>
              </w:rPr>
              <w:t>en het Unierecht</w:t>
            </w:r>
            <w:r>
              <w:t xml:space="preserve">, indien </w:t>
            </w:r>
            <w:r>
              <w:rPr>
                <w:b/>
                <w:i/>
              </w:rPr>
              <w:t>een gecoördineerd optreden</w:t>
            </w:r>
            <w:r>
              <w:t xml:space="preserve"> nodig is om het </w:t>
            </w:r>
            <w:r>
              <w:rPr>
                <w:b/>
                <w:i/>
              </w:rPr>
              <w:t>onder de doelstellingen van Europol overeenkomstig artikel 3 van deze verordening vallende</w:t>
            </w:r>
            <w:r>
              <w:t xml:space="preserve"> strafbare feit waarop de operationele taskforce betrekking heeft, aan te pakken;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rPr>
                <w:b/>
                <w:i/>
              </w:rPr>
              <w:t>parallelle financiële onderzoeken instellen</w:t>
            </w:r>
            <w:r>
              <w:t xml:space="preserve"> overeenkomstig </w:t>
            </w:r>
            <w:r>
              <w:rPr>
                <w:b/>
                <w:i/>
              </w:rPr>
              <w:t>het nationale recht en het Unierecht</w:t>
            </w:r>
            <w:r>
              <w:t xml:space="preserve"> om criminele vermogensbestanddelen te identificeren en in beslag te nemen;</w:t>
            </w:r>
          </w:p>
        </w:tc>
        <w:tc>
          <w:tcPr>
            <w:tcW w:w="4876" w:type="dxa"/>
            <w:tcBorders>
              <w:top w:val="nil"/>
              <w:left w:val="nil"/>
              <w:bottom w:val="nil"/>
              <w:right w:val="nil"/>
            </w:tcBorders>
          </w:tcPr>
          <w:p>
            <w:pPr>
              <w:pStyle w:val="Normal6a"/>
            </w:pPr>
            <w:r>
              <w:t>d)</w:t>
            </w:r>
            <w:r>
              <w:tab/>
            </w:r>
            <w:r>
              <w:t xml:space="preserve">overeenkomstig </w:t>
            </w:r>
            <w:r>
              <w:rPr>
                <w:b/>
                <w:i/>
              </w:rPr>
              <w:t>Verordening (EU) 2018/1805 parallelle financiële onderzoeken instellen</w:t>
            </w:r>
            <w:r>
              <w:t xml:space="preserve"> om criminele vermogensbestanddelen te identificeren en in beslag te nemen;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rPr>
                <w:b/>
                <w:i/>
              </w:rPr>
              <w:t>zijn</w:t>
            </w:r>
            <w:r>
              <w:t xml:space="preserve"> verbindingsofficieren die zijn ingezet in derde landen waar criminele activiteiten </w:t>
            </w:r>
            <w:r>
              <w:rPr>
                <w:b/>
                <w:i/>
              </w:rPr>
              <w:t>worden onderzocht in het kader van de operationele taskforce, betrekken teneinde de samenwerking en informatie-uitwisseling te verbeteren, en Europol de verkregen informatie verstrekken, overeenkomstig het Unierecht en het nationale recht</w:t>
            </w:r>
            <w:r>
              <w:t>.</w:t>
            </w:r>
          </w:p>
        </w:tc>
        <w:tc>
          <w:tcPr>
            <w:tcW w:w="4876" w:type="dxa"/>
            <w:tcBorders>
              <w:top w:val="nil"/>
              <w:left w:val="nil"/>
              <w:bottom w:val="nil"/>
              <w:right w:val="nil"/>
            </w:tcBorders>
          </w:tcPr>
          <w:p>
            <w:pPr>
              <w:pStyle w:val="Normal6a"/>
            </w:pPr>
            <w:r>
              <w:t>e)</w:t>
            </w:r>
            <w:r>
              <w:tab/>
            </w:r>
            <w:r>
              <w:rPr>
                <w:b/>
                <w:i/>
              </w:rPr>
              <w:t>indien nodig en in overeenstemming met deze verordening en het toepasselijke EU-gegevensbeschermingskader, de</w:t>
            </w:r>
            <w:r>
              <w:t xml:space="preserve"> verbindingsofficieren </w:t>
            </w:r>
            <w:r>
              <w:rPr>
                <w:b/>
                <w:i/>
              </w:rPr>
              <w:t>van Europol betrekken</w:t>
            </w:r>
            <w:r>
              <w:t xml:space="preserve"> die zijn ingezet in derde landen waar criminele activiteiten </w:t>
            </w:r>
            <w:r>
              <w:rPr>
                <w:b/>
                <w:i/>
              </w:rPr>
              <w:t>die vallen onder de doelstellingen van Europol overeenkomstig artikel 3 van deze verordening, worden onderzocht in het kader van de operationele taskforce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6 – punt e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bis)</w:t>
            </w:r>
            <w:r>
              <w:tab/>
            </w:r>
            <w:r>
              <w:rPr>
                <w:b/>
                <w:i/>
              </w:rPr>
              <w:t>Eurojust informeren en met Eurojust samenwerken zodra gerechtelijke autoriteiten betrokken zijn bij het onderzoek naar het misdrijf waarop de operationele taskforce betrekking heeft;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277</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 uitvoerend directeur kan de bevoegde autoriteiten van de betrokken lidstaten via hun nationale eenheden voorstellen een operationele taskforce op te zetten wanneer de uitvoerend directeur van oordeel is dat </w:t>
            </w:r>
            <w:r>
              <w:rPr>
                <w:b/>
                <w:i/>
              </w:rPr>
              <w:t>dit een meerwaarde zou bieden</w:t>
            </w:r>
            <w:r>
              <w:t xml:space="preserve"> voor de bestrijding van een strafbaar feit dat onder de doelstellingen van Europol valt.</w:t>
            </w:r>
          </w:p>
        </w:tc>
        <w:tc>
          <w:tcPr>
            <w:tcW w:w="4876" w:type="dxa"/>
            <w:tcBorders>
              <w:top w:val="nil"/>
              <w:left w:val="nil"/>
              <w:bottom w:val="nil"/>
              <w:right w:val="nil"/>
            </w:tcBorders>
          </w:tcPr>
          <w:p>
            <w:pPr>
              <w:pStyle w:val="Normal6a"/>
            </w:pPr>
            <w:r>
              <w:t>7.</w:t>
            </w:r>
            <w:r>
              <w:tab/>
            </w:r>
            <w:r>
              <w:t xml:space="preserve">De uitvoerend directeur kan de bevoegde autoriteiten van de betrokken lidstaten via hun nationale eenheden voorstellen een </w:t>
            </w:r>
            <w:r>
              <w:rPr>
                <w:b/>
                <w:i/>
              </w:rPr>
              <w:t>tijdelijke</w:t>
            </w:r>
            <w:r>
              <w:t xml:space="preserve"> operationele taskforce op te zetten wanneer de uitvoerend directeur van oordeel is dat </w:t>
            </w:r>
            <w:r>
              <w:rPr>
                <w:b/>
                <w:i/>
              </w:rPr>
              <w:t>het opzetten van een operationele taskforce</w:t>
            </w:r>
            <w:r>
              <w:t xml:space="preserve"> voor de bestrijding van een strafbaar feit dat onder de doelstellingen van Europol valt </w:t>
            </w:r>
            <w:r>
              <w:rPr>
                <w:b/>
                <w:i/>
              </w:rPr>
              <w:t>en waarvoor gecoördineerd optreden vereist is, nodig is.</w:t>
            </w:r>
            <w:r>
              <w:t xml:space="preserve"> </w:t>
            </w:r>
            <w:r>
              <w:rPr>
                <w:b/>
                <w:i/>
              </w:rPr>
              <w:t>Europol stelt Eurojust en de GPC onmiddellijk in kennis van elk voorstel uit hoofde van dit lid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De uitvoerend directeur kan de bevoegde autoriteiten van de betrokken lidstaten via hun nationale eenheden voorstellen een operationele taskforce op te zetten wanneer de uitvoerend directeur van oordeel is dat dit een meerwaarde zou bieden voor de bestrijding van een strafbaar feit dat onder de doelstellingen van Europol valt.</w:t>
            </w:r>
          </w:p>
        </w:tc>
        <w:tc>
          <w:tcPr>
            <w:tcW w:w="4876" w:type="dxa"/>
            <w:tcBorders>
              <w:top w:val="nil"/>
              <w:left w:val="nil"/>
              <w:bottom w:val="nil"/>
              <w:right w:val="nil"/>
            </w:tcBorders>
          </w:tcPr>
          <w:p>
            <w:pPr>
              <w:pStyle w:val="Normal6a"/>
            </w:pPr>
            <w:r>
              <w:t>7.</w:t>
            </w:r>
            <w:r>
              <w:tab/>
            </w:r>
            <w:r>
              <w:t xml:space="preserve">De uitvoerend directeur kan de bevoegde autoriteiten van de betrokken lidstaten via hun nationale eenheden voorstellen een operationele taskforce op te zetten wanneer de uitvoerend directeur van oordeel is dat dit een meerwaarde zou bieden voor de bestrijding van een strafbaar feit dat onder de doelstellingen van Europol valt. </w:t>
            </w:r>
            <w:r>
              <w:rPr>
                <w:b/>
                <w:i/>
              </w:rPr>
              <w:t>Het besluit om een operationele taskforce op te richten blijft echter voorbehouden aan de nationale autoriteiten.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 raad van bestuur stelt uitvoeringsvoorschriften vast voor het opzetten en uitvoeren van operationele taskforces.</w:t>
            </w:r>
          </w:p>
        </w:tc>
        <w:tc>
          <w:tcPr>
            <w:tcW w:w="4876" w:type="dxa"/>
            <w:tcBorders>
              <w:top w:val="nil"/>
              <w:left w:val="nil"/>
              <w:bottom w:val="nil"/>
              <w:right w:val="nil"/>
            </w:tcBorders>
          </w:tcPr>
          <w:p>
            <w:pPr>
              <w:pStyle w:val="Normal6a"/>
            </w:pPr>
            <w:r>
              <w:t>8.</w:t>
            </w:r>
            <w:r>
              <w:tab/>
            </w:r>
            <w:r>
              <w:t xml:space="preserve">De raad van bestuur stelt uitvoeringsvoorschriften vast voor het opzetten en uitvoeren van operationele taskforces </w:t>
            </w:r>
            <w:r>
              <w:rPr>
                <w:b/>
                <w:i/>
              </w:rPr>
              <w:t>overeenkomstig dit artikel, met inbegrip van maatregelen om het risico van dubbele financiering met gemeenschappelijke onderzoeksteams te voorkomen.</w:t>
            </w:r>
            <w:r>
              <w:t xml:space="preserve"> </w:t>
            </w:r>
            <w:r>
              <w:rPr>
                <w:b/>
                <w:i/>
              </w:rPr>
              <w:t>De uitvoeringsvoorschriften worden openbaar gemaakt en de GPC wordt op de hoogte gebracht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280</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8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 bis.</w:t>
            </w:r>
            <w:r>
              <w:tab/>
            </w:r>
            <w:r>
              <w:rPr>
                <w:b/>
                <w:i/>
              </w:rPr>
              <w:t>Om voor coördinatie te zorgen tussen operationele taskforces en gezamenlijke onderzoeken wordt Eurojust geraadpleegd voordat de in lid 8 bedoelde uitvoeringsvoorschriften worden vastgesteld.</w:t>
            </w:r>
            <w:r>
              <w:t xml:space="preserve"> </w:t>
            </w:r>
            <w:r>
              <w:rPr>
                <w:b/>
                <w:i/>
              </w:rPr>
              <w:t>Europol en Eurojust worden door de lidstaten op de hoogte gehouden van alle operationele taskforces waarbij gerechtelijke autoriteiten betrokken zijn, en Eurojust wordt door Europol op de hoogte gehouden van alle voorstellen van de uitvoerend directeur overeenkomstig lid 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titel</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Inzet van Europol voor operationele ondersteuning</w:t>
            </w:r>
          </w:p>
        </w:tc>
        <w:tc>
          <w:tcPr>
            <w:tcW w:w="4876" w:type="dxa"/>
            <w:tcBorders>
              <w:top w:val="nil"/>
              <w:left w:val="nil"/>
              <w:bottom w:val="nil"/>
              <w:right w:val="nil"/>
            </w:tcBorders>
          </w:tcPr>
          <w:p>
            <w:pPr>
              <w:pStyle w:val="Normal6a"/>
            </w:pPr>
            <w:r>
              <w:t xml:space="preserve">Inzet van Europol voor operationele ondersteuning </w:t>
            </w:r>
            <w:r>
              <w:rPr>
                <w:b/>
                <w:i/>
              </w:rPr>
              <w:t>voor het voorkomen, opsporen en onderzoeken van migrantensmokkel en mensenhandel</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Aangezien dit voorstel duidelijk gericht is op het voorkomen, opsporen en onderzoeken van migrantensmokkel en mensenhandel, moet het nieuwe artikel over operationele taskforces worden beperkt tot taskforces die zijn opgericht voor het aanpakken van migrantensmokkel en mensenhandel.</w:t>
      </w:r>
    </w:p>
    <w:p>
      <w:r>
        <w:rPr>
          <w:rStyle w:val="HideTWBExt"/>
        </w:rPr>
        <w:t>&lt;/Amend&gt;</w:t>
      </w:r>
    </w:p>
    <w:p>
      <w:pPr>
        <w:pStyle w:val="AmNumberTabs"/>
      </w:pPr>
      <w:r>
        <w:rPr>
          <w:rStyle w:val="HideTWBExt"/>
        </w:rPr>
        <w:t>&lt;Amend&gt;</w:t>
      </w:r>
      <w:r>
        <w:t>Amendement</w:t>
      </w:r>
      <w:r>
        <w:tab/>
      </w:r>
      <w:r>
        <w:tab/>
      </w:r>
      <w:r>
        <w:rPr>
          <w:rStyle w:val="HideTWBExt"/>
        </w:rPr>
        <w:t>&lt;NumAm&gt;</w:t>
      </w:r>
      <w:r>
        <w:t>282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Een lidstaat kan, overeenkomstig zijn nationale recht, verzoeken om Europol in te zetten voor operationele ondersteuning op zijn grondgebied teneinde gebruik te maken van de analytische, operationele, technische, forensische en financiële steun van Europol ter voorkoming en bestrijding van strafbare feiten die onder de doelstellingen van Europol vallen.</w:t>
            </w:r>
          </w:p>
        </w:tc>
        <w:tc>
          <w:tcPr>
            <w:tcW w:w="4876" w:type="dxa"/>
            <w:tcBorders>
              <w:top w:val="nil"/>
              <w:left w:val="nil"/>
              <w:bottom w:val="nil"/>
              <w:right w:val="nil"/>
            </w:tcBorders>
          </w:tcPr>
          <w:p>
            <w:pPr>
              <w:pStyle w:val="Normal6a"/>
            </w:pPr>
            <w:r>
              <w:t>1.</w:t>
            </w:r>
            <w:r>
              <w:tab/>
            </w:r>
            <w:r>
              <w:t xml:space="preserve">Een lidstaat kan, overeenkomstig zijn nationale recht </w:t>
            </w:r>
            <w:r>
              <w:rPr>
                <w:b/>
                <w:i/>
              </w:rPr>
              <w:t>en vanwege specifieke omstandigheden</w:t>
            </w:r>
            <w:r>
              <w:t xml:space="preserve">, verzoeken om Europol </w:t>
            </w:r>
            <w:r>
              <w:rPr>
                <w:b/>
                <w:i/>
              </w:rPr>
              <w:t>gedurende beperkte tijd</w:t>
            </w:r>
            <w:r>
              <w:t xml:space="preserve"> in te zetten voor operationele ondersteuning op zijn grondgebied teneinde gebruik te maken van de analytische, operationele, technische, forensische en financiële steun van Europol ter voorkoming en bestrijding van strafbare feiten die onder de doelstellingen van Europol </w:t>
            </w:r>
            <w:r>
              <w:rPr>
                <w:b/>
                <w:i/>
              </w:rPr>
              <w:t>overeenkomstig artikel 3 van deze verordening</w:t>
            </w:r>
            <w:r>
              <w:t xml:space="preserve"> vallen. </w:t>
            </w:r>
            <w:r>
              <w:rPr>
                <w:b/>
                <w:i/>
              </w:rPr>
              <w:t>Eurojust wordt betrokken bij elke inzet van personeel van Europol, om de samenhang tussen rechtshandhaving en gerechtelijke samenwerking te waarborgen.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Een lidstaat kan, overeenkomstig zijn nationale recht, verzoeken om Europol in te zetten voor operationele ondersteuning op zijn grondgebied teneinde gebruik te maken van de analytische, operationele, technische, forensische en financiële steun van Europol ter voorkoming en bestrijding van strafbare feiten die onder de doelstellingen van Europol vallen.</w:t>
            </w:r>
          </w:p>
        </w:tc>
        <w:tc>
          <w:tcPr>
            <w:tcW w:w="4876" w:type="dxa"/>
            <w:tcBorders>
              <w:top w:val="nil"/>
              <w:left w:val="nil"/>
              <w:bottom w:val="nil"/>
              <w:right w:val="nil"/>
            </w:tcBorders>
          </w:tcPr>
          <w:p>
            <w:pPr>
              <w:pStyle w:val="Normal6a"/>
            </w:pPr>
            <w:r>
              <w:t>1.</w:t>
            </w:r>
            <w:r>
              <w:tab/>
            </w:r>
            <w:r>
              <w:t xml:space="preserve">Een lidstaat kan, overeenkomstig zijn nationale recht, verzoeken om Europol in te zetten voor operationele ondersteuning op zijn grondgebied teneinde gebruik te maken van de analytische, operationele, technische, forensische en financiële steun van Europol ter voorkoming en bestrijding van strafbare feiten die onder de doelstellingen van Europol vallen. </w:t>
            </w:r>
            <w:r>
              <w:rPr>
                <w:b/>
                <w:i/>
              </w:rPr>
              <w:t>De uitvoerend directeur evalueert alle verzoeken en kan de inzet aanvaarden of weigeren, rekening houdend met de operationele en professionele behoeften, de risicobeoordeling en de beschikbare middelen.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Een lidstaat kan, overeenkomstig zijn nationale recht, verzoeken om Europol in te zetten voor operationele ondersteuning op zijn grondgebied teneinde gebruik te maken van de analytische, operationele, technische, forensische en financiële steun van Europol ter voorkoming en bestrijding van strafbare feiten die onder de doelstellingen van Europol vallen.</w:t>
            </w:r>
          </w:p>
        </w:tc>
        <w:tc>
          <w:tcPr>
            <w:tcW w:w="4876" w:type="dxa"/>
            <w:tcBorders>
              <w:top w:val="nil"/>
              <w:left w:val="nil"/>
              <w:bottom w:val="nil"/>
              <w:right w:val="nil"/>
            </w:tcBorders>
          </w:tcPr>
          <w:p>
            <w:pPr>
              <w:pStyle w:val="Normal6a"/>
            </w:pPr>
            <w:r>
              <w:t>1.</w:t>
            </w:r>
            <w:r>
              <w:tab/>
            </w:r>
            <w:r>
              <w:t xml:space="preserve">Een lidstaat kan, overeenkomstig zijn nationale recht, verzoeken om Europol in te zetten voor operationele ondersteuning op zijn grondgebied </w:t>
            </w:r>
            <w:r>
              <w:rPr>
                <w:b/>
                <w:i/>
              </w:rPr>
              <w:t>met het oog op het voorkomen, opsporen en onderzoeken van migrantensmokkel en mensenhandel</w:t>
            </w:r>
            <w:r>
              <w:t xml:space="preserve"> teneinde gebruik te maken van de analytische, operationele, technische, forensische en financiële steun van Europol ter voorkoming en bestrijding van strafbare feiten die onder de doelstellingen van Europol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285</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 lid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Een lidstaat kan, overeenkomstig zijn nationale recht, verzoeken om Europol in te zetten voor operationele ondersteuning op zijn grondgebied teneinde gebruik te maken van de </w:t>
            </w:r>
            <w:r>
              <w:rPr>
                <w:b/>
                <w:i/>
              </w:rPr>
              <w:t>analytische,</w:t>
            </w:r>
            <w:r>
              <w:t xml:space="preserve"> operationele</w:t>
            </w:r>
            <w:r>
              <w:rPr>
                <w:b/>
                <w:i/>
              </w:rPr>
              <w:t>, technische, forensische en financiële</w:t>
            </w:r>
            <w:r>
              <w:t xml:space="preserve"> steun van Europol ter voorkoming en bestrijding van strafbare feiten die onder de doelstellingen van Europol vallen.</w:t>
            </w:r>
          </w:p>
        </w:tc>
        <w:tc>
          <w:tcPr>
            <w:tcW w:w="4876" w:type="dxa"/>
            <w:tcBorders>
              <w:top w:val="nil"/>
              <w:left w:val="nil"/>
              <w:bottom w:val="nil"/>
              <w:right w:val="nil"/>
            </w:tcBorders>
          </w:tcPr>
          <w:p>
            <w:pPr>
              <w:pStyle w:val="Normal6a"/>
            </w:pPr>
            <w:r>
              <w:t>1.</w:t>
            </w:r>
            <w:r>
              <w:tab/>
            </w:r>
            <w:r>
              <w:t xml:space="preserve">Een lidstaat kan, overeenkomstig zijn nationale recht, verzoeken om Europol in te zetten voor operationele ondersteuning op zijn grondgebied teneinde gebruik te maken van de operationele </w:t>
            </w:r>
            <w:r>
              <w:rPr>
                <w:b/>
                <w:i/>
              </w:rPr>
              <w:t>en technische</w:t>
            </w:r>
            <w:r>
              <w:t xml:space="preserve"> steun van Europol ter voorkoming en bestrijding van strafbare feiten die onder de doelstellingen van Europol vallen.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1 bis</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Het doel van een dergelijke operationele inzet is de lidstaten te ondersteunen bij het identificeren, onderzoeken en uiteindelijk vervolgen van de georganiseerde criminele groepen die profiteren van het illegaal smokkelen van migranten naar de Unie.</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is belangrijk duidelijk te maken dat het doel van de oprichting van een operationele taskforce op dit gebied is de georganiseerde criminele groepen aan te pakken die profiteren van criminele smokkel.</w:t>
      </w:r>
      <w:r>
        <w:t xml:space="preserve"> </w:t>
      </w:r>
      <w:r>
        <w:t>Het is daarentegen niet de bedoeling irreguliere immigratie aan te pakken of irreguliere migranten strafbaar te stellen.</w:t>
      </w:r>
    </w:p>
    <w:p>
      <w:r>
        <w:rPr>
          <w:rStyle w:val="HideTWBExt"/>
        </w:rPr>
        <w:t>&lt;/Amend&gt;</w:t>
      </w:r>
    </w:p>
    <w:p>
      <w:pPr>
        <w:pStyle w:val="AmNumberTabs"/>
      </w:pPr>
      <w:r>
        <w:rPr>
          <w:rStyle w:val="HideTWBExt"/>
        </w:rPr>
        <w:t>&lt;Amend&gt;</w:t>
      </w:r>
      <w:r>
        <w:t>Amendement</w:t>
      </w:r>
      <w:r>
        <w:tab/>
      </w:r>
      <w:r>
        <w:tab/>
      </w:r>
      <w:r>
        <w:rPr>
          <w:rStyle w:val="HideTWBExt"/>
        </w:rPr>
        <w:t>&lt;NumAm&gt;</w:t>
      </w:r>
      <w:r>
        <w:t>287</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De inzet van Europol voor operationele ondersteuning vindt plaats in het kader van complexe en grootschalige onderzoeken die de steun van Europol vereisen, onder meer in het kader van gemeenschappelijke onderzoeksteams of operationele taskforces, of ter ondersteuning van controles aan de hand van relevante databanken ter versterking van de controles aan de buitengrenzen van de Unie, of van ondersteuningsteams voor migratiebeheer overeenkomstig Verordening (EU) 2019/1896 van het Europees Parlement en de Raad, of ter ondersteuning van de lidstaten bij grote internationale gebeurtenissen.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Beslissingen over de wenselijkheid van en de regelingen voor het inzetten van personeel moeten worden overgelaten aan de verzoekende lidstaat en de raad van bestuur en de uitvoerend directeur van Europol.</w:t>
      </w:r>
    </w:p>
    <w:p>
      <w:r>
        <w:rPr>
          <w:rStyle w:val="HideTWBExt"/>
        </w:rPr>
        <w:t>&lt;/Amend&gt;</w:t>
      </w:r>
    </w:p>
    <w:p>
      <w:pPr>
        <w:pStyle w:val="AmNumberTabs"/>
      </w:pPr>
      <w:r>
        <w:rPr>
          <w:rStyle w:val="HideTWBExt"/>
        </w:rPr>
        <w:t>&lt;Amend&gt;</w:t>
      </w:r>
      <w:r>
        <w:t>Amendement</w:t>
      </w:r>
      <w:r>
        <w:tab/>
      </w:r>
      <w:r>
        <w:tab/>
      </w:r>
      <w:r>
        <w:rPr>
          <w:rStyle w:val="HideTWBExt"/>
        </w:rPr>
        <w:t>&lt;NumAm&gt;</w:t>
      </w:r>
      <w:r>
        <w:t>288</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inzet van Europol voor operationele ondersteuning vindt plaats in het kader van complexe en grootschalige onderzoeken die de steun van Europol vereisen, onder meer in het kader van gemeenschappelijke onderzoeksteams </w:t>
            </w:r>
            <w:r>
              <w:rPr>
                <w:b/>
                <w:i/>
              </w:rPr>
              <w:t>of operationele taskforces, of ter ondersteuning van controles aan de hand van relevante databanken ter versterking van de controles aan de buitengrenzen van de Unie, of van ondersteuningsteams voor migratiebeheer overeenkomstig Verordening (EU) 2019/1896 van het Europees Parlement en de Raad, of ter ondersteuning van de lidstaten bij grote internationale gebeurtenissen</w:t>
            </w:r>
            <w:r>
              <w:t>.</w:t>
            </w:r>
          </w:p>
        </w:tc>
        <w:tc>
          <w:tcPr>
            <w:tcW w:w="4876" w:type="dxa"/>
            <w:tcBorders>
              <w:top w:val="nil"/>
              <w:left w:val="nil"/>
              <w:bottom w:val="nil"/>
              <w:right w:val="nil"/>
            </w:tcBorders>
          </w:tcPr>
          <w:p>
            <w:pPr>
              <w:pStyle w:val="Normal6a"/>
            </w:pPr>
            <w:r>
              <w:t>2.</w:t>
            </w:r>
            <w:r>
              <w:tab/>
            </w:r>
            <w:r>
              <w:t>De inzet van Europol voor operationele ondersteuning vindt plaats in het kader van complexe en grootschalige onderzoeken die de steun van Europol vereisen, onder meer in het kader van gemeenschappelijke onderzoeksteams.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289</w:t>
      </w:r>
      <w:r>
        <w:rPr>
          <w:rStyle w:val="HideTWBExt"/>
        </w:rPr>
        <w:t>&lt;/NumAm&gt;</w:t>
      </w:r>
    </w:p>
    <w:p>
      <w:pPr>
        <w:pStyle w:val="NormalBold"/>
      </w:pPr>
      <w:r>
        <w:rPr>
          <w:rStyle w:val="HideTWBExt"/>
          <w:b w:val="0"/>
        </w:rPr>
        <w:t>&lt;RepeatBlock-By&gt;</w:t>
      </w:r>
      <w:r>
        <w:rPr>
          <w:rStyle w:val="HideTWBExt"/>
          <w:b w:val="0"/>
        </w:rPr>
        <w:t>&lt;Members&gt;</w:t>
      </w:r>
      <w:r>
        <w:t>Maciej Wąsik, Mariusz Kamiński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inzet van Europol voor operationele ondersteuning vindt plaats in het kader van complexe en grootschalige onderzoeken die de steun van Europol vereisen, onder meer in het kader van gemeenschappelijke onderzoeksteams of operationele taskforces, of ter ondersteuning van controles aan de hand van relevante databanken </w:t>
            </w:r>
            <w:r>
              <w:rPr>
                <w:b/>
                <w:i/>
              </w:rPr>
              <w:t>ter versterking van de controles aan de buitengrenzen van de Unie, of van ondersteuningsteams voor migratiebeheer overeenkomstig Verordening (EU) 2019/1896 van het Europees Parlement en de Raad, of ter ondersteuning van de lidstaten bij grote internationale gebeurtenissen</w:t>
            </w:r>
            <w:r>
              <w:t>.</w:t>
            </w:r>
          </w:p>
        </w:tc>
        <w:tc>
          <w:tcPr>
            <w:tcW w:w="4876" w:type="dxa"/>
            <w:tcBorders>
              <w:top w:val="nil"/>
              <w:left w:val="nil"/>
              <w:bottom w:val="nil"/>
              <w:right w:val="nil"/>
            </w:tcBorders>
          </w:tcPr>
          <w:p>
            <w:pPr>
              <w:pStyle w:val="Normal6a"/>
            </w:pPr>
            <w:r>
              <w:t>2.</w:t>
            </w:r>
            <w:r>
              <w:tab/>
            </w:r>
            <w:r>
              <w:t>De inzet van Europol voor operationele ondersteuning vindt plaats in het kader van complexe en grootschalige onderzoeken die de steun van Europol vereisen, onder meer in het kader van gemeenschappelijke onderzoeksteams of operationele taskforces, of ter ondersteuning van controles aan de hand van relevante databanken.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De inzet van Europol voor operationele ondersteuning vindt plaats in het kader van complexe en grootschalige onderzoeken die de steun van Europol vereisen, onder meer in het kader van gemeenschappelijke onderzoeksteams of operationele taskforces</w:t>
            </w:r>
            <w:r>
              <w:rPr>
                <w:b/>
                <w:i/>
              </w:rPr>
              <w:t>, of ter ondersteuning van controles aan de hand van relevante databanken ter versterking van de controles aan de buitengrenzen van de Unie, of van ondersteuningsteams voor migratiebeheer overeenkomstig Verordening (EU) 2019/1896 van het Europees Parlement en de Raad, of ter ondersteuning van de lidstaten bij grote internationale gebeurtenissen</w:t>
            </w:r>
            <w:r>
              <w:t>.</w:t>
            </w:r>
          </w:p>
        </w:tc>
        <w:tc>
          <w:tcPr>
            <w:tcW w:w="4876" w:type="dxa"/>
            <w:tcBorders>
              <w:top w:val="nil"/>
              <w:left w:val="nil"/>
              <w:bottom w:val="nil"/>
              <w:right w:val="nil"/>
            </w:tcBorders>
          </w:tcPr>
          <w:p>
            <w:pPr>
              <w:pStyle w:val="Normal6a"/>
            </w:pPr>
            <w:r>
              <w:t>2.</w:t>
            </w:r>
            <w:r>
              <w:tab/>
            </w:r>
            <w:r>
              <w:t xml:space="preserve">De inzet van Europol voor operationele ondersteuning </w:t>
            </w:r>
            <w:r>
              <w:rPr>
                <w:b/>
                <w:i/>
              </w:rPr>
              <w:t>overeenkomstig lid 1</w:t>
            </w:r>
            <w:r>
              <w:t xml:space="preserve"> vindt plaats in het kader van complexe en grootschalige onderzoeken </w:t>
            </w:r>
            <w:r>
              <w:rPr>
                <w:b/>
                <w:i/>
              </w:rPr>
              <w:t>naar migrantensmokkel en mensenhandel </w:t>
            </w:r>
            <w:r>
              <w:t>die de steun van Europol vereisen, onder meer in het kader van gemeenschappelijke onderzoeksteams of operationele taskforces.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Het maakt geen deel uit van het mandaat van Europol om de controles aan de buitengrenzen aan te scherpen. Deze wijziging van de Europol-verordening is bedoeld om het voorkomen, opsporen en onderzoeken van migrantensmokkel en mensenhandel aan te pakken.</w:t>
      </w:r>
      <w:r>
        <w:t xml:space="preserve"> </w:t>
      </w:r>
      <w:r>
        <w:t>Er wordt geen fundamentele herziening van de Europol-verordening ondernomen.</w:t>
      </w:r>
      <w:r>
        <w:t xml:space="preserve"> </w:t>
      </w:r>
      <w:r>
        <w:t>Het reguleren van de inzet van operationeel personeel in derde landen valt buiten het toepassingsgebied van deze verordening.</w:t>
      </w:r>
    </w:p>
    <w:p>
      <w:r>
        <w:rPr>
          <w:rStyle w:val="HideTWBExt"/>
        </w:rPr>
        <w:t>&lt;/Amend&gt;</w:t>
      </w:r>
    </w:p>
    <w:p>
      <w:pPr>
        <w:pStyle w:val="AmNumberTabs"/>
      </w:pPr>
      <w:r>
        <w:rPr>
          <w:rStyle w:val="HideTWBExt"/>
        </w:rPr>
        <w:t>&lt;Amend&gt;</w:t>
      </w:r>
      <w:r>
        <w:t>Amendement</w:t>
      </w:r>
      <w:r>
        <w:tab/>
      </w:r>
      <w:r>
        <w:tab/>
      </w:r>
      <w:r>
        <w:rPr>
          <w:rStyle w:val="HideTWBExt"/>
        </w:rPr>
        <w:t>&lt;NumAm&gt;</w:t>
      </w:r>
      <w:r>
        <w:t>291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De inzet van Europol voor operationele ondersteuning vindt plaats in het kader van complexe en grootschalige onderzoeken die de steun van Europol vereisen, onder meer in het kader van gemeenschappelijke onderzoeksteams </w:t>
            </w:r>
            <w:r>
              <w:rPr>
                <w:b/>
                <w:i/>
              </w:rPr>
              <w:t>of operationele taskforces, of ter ondersteuning van controles aan de hand van relevante databanken ter versterking van de controles aan de buitengrenzen van de Unie, of van ondersteuningsteams voor migratiebeheer overeenkomstig Verordening (EU) 2019/1896 van het Europees Parlement en de Raad, of ter ondersteuning van de lidstaten bij grote internationale gebeurtenissen</w:t>
            </w:r>
            <w:r>
              <w:t>.</w:t>
            </w:r>
          </w:p>
        </w:tc>
        <w:tc>
          <w:tcPr>
            <w:tcW w:w="4876" w:type="dxa"/>
            <w:tcBorders>
              <w:top w:val="nil"/>
              <w:left w:val="nil"/>
              <w:bottom w:val="nil"/>
              <w:right w:val="nil"/>
            </w:tcBorders>
          </w:tcPr>
          <w:p>
            <w:pPr>
              <w:pStyle w:val="Normal6a"/>
            </w:pPr>
            <w:r>
              <w:t>2.</w:t>
            </w:r>
            <w:r>
              <w:tab/>
            </w:r>
            <w:r>
              <w:t>De inzet van Europol voor operationele ondersteuning vindt plaats in het kader van complexe en grootschalige onderzoeken die de steun van Europol vereisen, onder meer in het kader van gemeenschappelijke onderzoeksteams</w:t>
            </w:r>
            <w:r>
              <w:rPr>
                <w:b/>
                <w:i/>
              </w:rPr>
              <w:t>, maar uitsluitend indien een lidstaat hier overeenkomstig lid 1 om verzoekt.</w:t>
            </w:r>
            <w:r>
              <w:t xml:space="preserve"> </w:t>
            </w:r>
            <w:r>
              <w:rPr>
                <w:b/>
                <w:i/>
              </w:rPr>
              <w:t>In overleg met de EDPS worden de taken en verantwoordelijkheden van Europol duidelijk omschreven voordat personeelsleden van Europol voor operationele ondersteuning worden ingezet.</w:t>
            </w:r>
            <w:r>
              <w:t xml:space="preserve"> </w:t>
            </w:r>
            <w:r>
              <w:rPr>
                <w:b/>
                <w:i/>
              </w:rPr>
              <w:t>Bij de inzet van Europol voor operationele ondersteuning wordt de naleving van deze verordening gewaarborgd en worden overlappingen met andere EU-agentschappen voorkomen.</w:t>
            </w:r>
            <w:r>
              <w:t xml:space="preserve"> </w:t>
            </w:r>
            <w:r>
              <w:rPr>
                <w:b/>
                <w:i/>
              </w:rPr>
              <w:t>In geval van wangedrag van het personeel van Europol tijdens de inzet zijn ook de nationale rapportage- en toezichtmechanismen van toepassing</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292</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 uitvoerend directeur evalueert het verzoek van een lidstaat als bedoeld in lid 1 en kan de inzet van Europol voor operationele ondersteuning goedkeuren voor een beperkte periode die kan worden verlengd, rekening houdend met de operationele behoeften en de beschikbare middelen.</w:t>
            </w:r>
            <w:r>
              <w:t xml:space="preserve"> </w:t>
            </w:r>
            <w:r>
              <w:rPr>
                <w:b/>
                <w:i/>
              </w:rPr>
              <w:t>Het besluit van de uitvoerend directeur is gebaseerd op een risicobeoordeling.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Zie motivering vorig amendement.</w:t>
      </w:r>
    </w:p>
    <w:p>
      <w:r>
        <w:rPr>
          <w:rStyle w:val="HideTWBExt"/>
        </w:rPr>
        <w:t>&lt;/Amend&gt;</w:t>
      </w:r>
    </w:p>
    <w:p>
      <w:pPr>
        <w:pStyle w:val="AmNumberTabs"/>
      </w:pPr>
      <w:r>
        <w:rPr>
          <w:rStyle w:val="HideTWBExt"/>
        </w:rPr>
        <w:t>&lt;Amend&gt;</w:t>
      </w:r>
      <w:r>
        <w:t>Amendement</w:t>
      </w:r>
      <w:r>
        <w:tab/>
      </w:r>
      <w:r>
        <w:tab/>
      </w:r>
      <w:r>
        <w:rPr>
          <w:rStyle w:val="HideTWBExt"/>
        </w:rPr>
        <w:t>&lt;NumAm&gt;</w:t>
      </w:r>
      <w:r>
        <w:t>293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De uitvoerend directeur evalueert het verzoek van een lidstaat als bedoeld in lid 1 en kan de inzet van Europol voor operationele ondersteuning goedkeuren voor een beperkte periode die kan worden verlengd, rekening houdend met de operationele behoeften en de beschikbare middelen.</w:t>
            </w:r>
            <w:r>
              <w:t xml:space="preserve"> </w:t>
            </w:r>
            <w:r>
              <w:rPr>
                <w:b/>
                <w:i/>
              </w:rPr>
              <w:t>Het besluit van de uitvoerend directeur is gebaseerd op een risicobeoordeling.</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bis – lid 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De uitvoerend directeur evalueert het verzoek van een lidstaat als bedoeld in lid 1 </w:t>
            </w:r>
            <w:r>
              <w:rPr>
                <w:b/>
                <w:i/>
              </w:rPr>
              <w:t>en</w:t>
            </w:r>
            <w:r>
              <w:t xml:space="preserve"> kan de inzet van Europol voor operationele ondersteuning goedkeuren voor een beperkte periode die kan worden verlengd, rekening houdend met de operationele behoeften en de beschikbare middelen. Het besluit van de uitvoerend directeur is gebaseerd op een risicobeoordeling.</w:t>
            </w:r>
          </w:p>
        </w:tc>
        <w:tc>
          <w:tcPr>
            <w:tcW w:w="4876" w:type="dxa"/>
            <w:tcBorders>
              <w:top w:val="nil"/>
              <w:left w:val="nil"/>
              <w:bottom w:val="nil"/>
              <w:right w:val="nil"/>
            </w:tcBorders>
          </w:tcPr>
          <w:p>
            <w:pPr>
              <w:pStyle w:val="Normal6a"/>
            </w:pPr>
            <w:r>
              <w:t>3.</w:t>
            </w:r>
            <w:r>
              <w:tab/>
            </w:r>
            <w:r>
              <w:t>De uitvoerend directeur evalueert het verzoek van een lidstaat als bedoeld in lid 1</w:t>
            </w:r>
            <w:r>
              <w:rPr>
                <w:b/>
                <w:i/>
              </w:rPr>
              <w:t>.</w:t>
            </w:r>
            <w:r>
              <w:t xml:space="preserve"> </w:t>
            </w:r>
            <w:r>
              <w:rPr>
                <w:b/>
                <w:i/>
              </w:rPr>
              <w:t>Alvorens een besluit over het verzoek te nemen, wint de uitvoerend directeur overeenkomstig artikel 41 quater, lid 2, punt a), bij de grondrechtenfunctionaris advies in over de gevolgen van de inzet voor de grondrechten.</w:t>
            </w:r>
            <w:r>
              <w:t xml:space="preserve"> </w:t>
            </w:r>
            <w:r>
              <w:rPr>
                <w:b/>
                <w:i/>
              </w:rPr>
              <w:t>De uitvoerend directeur</w:t>
            </w:r>
            <w:r>
              <w:t xml:space="preserve"> kan de inzet van Europol voor operationele ondersteuning goedkeuren voor een beperkte periode die kan worden verlengd, rekening houdend met de operationele behoeften en de beschikbare middelen. Het besluit van de uitvoerend directeur is gebaseerd op een risicobeoordeling.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Zodra de uitvoerend directeur het verzoek van een lidstaat als bedoeld in lid 1 heeft goedgekeurd, komen die lidstaat en Europol gezamenlijk de modaliteiten overeen voor de inzet van Europol met het oog op operationele ondersteuning.</w:t>
            </w:r>
            <w:r>
              <w:t xml:space="preserve"> </w:t>
            </w:r>
            <w:r>
              <w:rPr>
                <w:b/>
                <w:i/>
              </w:rPr>
              <w:t>De personeelsleden van Europol en de gedetacheerde nationale deskundigen die in de lidstaat worden ingezet, handelen overeenkomstig deze verordening, met name artikel 4, lid 5, en overeenkomstig het nationale recht van de lidstaat op het grondgebied waarvan zij worden ingezet.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296</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5</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In uitzonderlijke dringende gevallen die de onmiddellijke inzet van Europol vereisen met het oog op operationele ondersteuning op het grondgebied van een lidstaat, zorgen die lidstaat en de uitvoerend directeur ervoor dat de in de leden 1, 3 en 4 bedoelde stappen binnen een periode van 72 uur plaatsvinden.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297</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zet een reservepool van deskundigen van de lidstaten op die door Europol kunnen worden ingezet voor operationele ondersteuning. De reservepool vormt een reserve van deskundigen die in hun lidstaat werkzaam zijn en met dat doel onmiddellijk ter beschikking van Europol kunnen worden gesteld. De lidstaten zorgen ervoor dat hun deskundigen beschikbaar zijn om op verzoek van Europol als gedetacheerde nationale deskundigen door Europol te worden ingezet voor operationele ondersteuning.</w:t>
            </w:r>
          </w:p>
        </w:tc>
        <w:tc>
          <w:tcPr>
            <w:tcW w:w="4876" w:type="dxa"/>
            <w:tcBorders>
              <w:top w:val="nil"/>
              <w:left w:val="nil"/>
              <w:bottom w:val="nil"/>
              <w:right w:val="nil"/>
            </w:tcBorders>
          </w:tcPr>
          <w:p>
            <w:pPr>
              <w:pStyle w:val="Normal6a"/>
            </w:pPr>
            <w:r>
              <w:t>6.</w:t>
            </w:r>
            <w:r>
              <w:tab/>
            </w:r>
            <w:r>
              <w:t xml:space="preserve">Europol zet een </w:t>
            </w:r>
            <w:r>
              <w:rPr>
                <w:b/>
                <w:i/>
              </w:rPr>
              <w:t>verplichte</w:t>
            </w:r>
            <w:r>
              <w:t xml:space="preserve"> reservepool van deskundigen van de lidstaten op die door Europol kunnen worden ingezet voor operationele ondersteuning. De reservepool vormt een reserve van deskundigen die in hun lidstaat werkzaam zijn en met dat doel onmiddellijk ter beschikking van Europol kunnen worden gesteld. De </w:t>
            </w:r>
            <w:r>
              <w:rPr>
                <w:b/>
                <w:i/>
              </w:rPr>
              <w:t>modaliteiten met betrekking tot de beschikbaarheid, commandostructuur, duur en locatie van de inzet van de deskundigen worden gespecificeerd in een uitvoeringshandeling die door de Commissie wordt vastgesteld overeenkomstig artikel 61, lid 2, van Verordening (EU) 2016/794 en overeenkomstig de operationele richtsnoeren en operationele standaardprocedures van Europol.</w:t>
            </w:r>
            <w:r>
              <w:t xml:space="preserve"> </w:t>
            </w:r>
            <w:r>
              <w:rPr>
                <w:b/>
                <w:i/>
              </w:rPr>
              <w:t>De</w:t>
            </w:r>
            <w:r>
              <w:t xml:space="preserve"> lidstaten zorgen ervoor dat hun deskundigen beschikbaar zijn om op verzoek van Europol als gedetacheerde nationale deskundigen door Europol te worden ingezet voor operationele ondersteuning</w:t>
            </w:r>
            <w:r>
              <w:rPr>
                <w:b/>
                <w:i/>
              </w:rPr>
              <w:t>, overeenkomstig het beginsel van billijke verdeling van de verantwoordelijkheid, waarbij ervoor wordt gezorgd dat elke lidstaat een billijke bijdrage levert, maar ook de middelen behoudt die nodig zijn voor de uitoefening van zijn nationale verantwoordelijkheden.</w:t>
            </w:r>
            <w:r>
              <w:t xml:space="preserve"> </w:t>
            </w:r>
            <w:r>
              <w:rPr>
                <w:b/>
                <w:i/>
              </w:rPr>
              <w:t>De samenstelling van de reservepool moet zoveel mogelijk geografisch evenwichtig zijn en in verhouding staan tot de capaciteit van elke lidstaat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zet</w:t>
            </w:r>
            <w:r>
              <w:t xml:space="preserve"> een reservepool van deskundigen van de lidstaten </w:t>
            </w:r>
            <w:r>
              <w:rPr>
                <w:b/>
                <w:i/>
              </w:rPr>
              <w:t>op</w:t>
            </w:r>
            <w:r>
              <w:t xml:space="preserve"> die door Europol kunnen worden ingezet voor operationele ondersteuning</w:t>
            </w:r>
            <w:r>
              <w:rPr>
                <w:b/>
                <w:i/>
              </w:rPr>
              <w:t>.</w:t>
            </w:r>
            <w:r>
              <w:t xml:space="preserve"> </w:t>
            </w:r>
            <w:r>
              <w:rPr>
                <w:b/>
                <w:i/>
              </w:rPr>
              <w:t>De reservepool vormt een reserve van deskundigen die in hun lidstaat werkzaam zijn en met dat doel onmiddellijk ter beschikking van Europol kunnen worden gesteld.</w:t>
            </w:r>
            <w:r>
              <w:t xml:space="preserve"> </w:t>
            </w:r>
            <w:r>
              <w:rPr>
                <w:b/>
                <w:i/>
              </w:rPr>
              <w:t>De lidstaten zorgen ervoor dat hun deskundigen beschikbaar zijn om op verzoek van Europol als gedetacheerde nationale deskundigen door Europol te worden ingezet voor operationele ondersteuning</w:t>
            </w:r>
            <w:r>
              <w:t>.</w:t>
            </w:r>
          </w:p>
        </w:tc>
        <w:tc>
          <w:tcPr>
            <w:tcW w:w="4876" w:type="dxa"/>
            <w:tcBorders>
              <w:top w:val="nil"/>
              <w:left w:val="nil"/>
              <w:bottom w:val="nil"/>
              <w:right w:val="nil"/>
            </w:tcBorders>
          </w:tcPr>
          <w:p>
            <w:pPr>
              <w:pStyle w:val="Normal6a"/>
            </w:pPr>
            <w:r>
              <w:t>6.</w:t>
            </w:r>
            <w:r>
              <w:tab/>
            </w:r>
            <w:r>
              <w:t xml:space="preserve">Europol </w:t>
            </w:r>
            <w:r>
              <w:rPr>
                <w:b/>
                <w:i/>
              </w:rPr>
              <w:t>kan</w:t>
            </w:r>
            <w:r>
              <w:t xml:space="preserve"> een reservepool van deskundigen van de lidstaten </w:t>
            </w:r>
            <w:r>
              <w:rPr>
                <w:b/>
                <w:i/>
              </w:rPr>
              <w:t>opzetten</w:t>
            </w:r>
            <w:r>
              <w:t xml:space="preserve"> die door Europol kunnen worden ingezet voor operationele ondersteuning </w:t>
            </w:r>
            <w:r>
              <w:rPr>
                <w:b/>
                <w:i/>
              </w:rPr>
              <w:t>overeenkomstig dit artikel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299</w:t>
      </w:r>
      <w:r>
        <w:rPr>
          <w:rStyle w:val="HideTWBExt"/>
        </w:rPr>
        <w:t>&lt;/NumAm&gt;</w:t>
      </w:r>
    </w:p>
    <w:p>
      <w:pPr>
        <w:pStyle w:val="NormalBold"/>
      </w:pPr>
      <w:r>
        <w:rPr>
          <w:rStyle w:val="HideTWBExt"/>
          <w:b w:val="0"/>
        </w:rPr>
        <w:t>&lt;RepeatBlock-By&gt;</w:t>
      </w:r>
      <w:r>
        <w:rPr>
          <w:rStyle w:val="HideTWBExt"/>
          <w:b w:val="0"/>
        </w:rPr>
        <w:t>&lt;Members&gt;</w:t>
      </w:r>
      <w:r>
        <w:t>Matthieu Valet, Fabrice Leggeri, András László,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Europol zet een reservepool van deskundigen van de lidstaten op die door Europol kunnen worden ingezet voor operationele ondersteuning. De reservepool vormt een reserve van deskundigen die in hun lidstaat werkzaam zijn en met dat doel onmiddellijk ter beschikking van Europol kunnen worden gesteld. De lidstaten zorgen ervoor dat hun deskundigen beschikbaar zijn om op verzoek van Europol als gedetacheerde nationale deskundigen door Europol te worden ingezet voor operationele ondersteuning.</w:t>
            </w:r>
          </w:p>
        </w:tc>
        <w:tc>
          <w:tcPr>
            <w:tcW w:w="4876" w:type="dxa"/>
            <w:tcBorders>
              <w:top w:val="nil"/>
              <w:left w:val="nil"/>
              <w:bottom w:val="nil"/>
              <w:right w:val="nil"/>
            </w:tcBorders>
          </w:tcPr>
          <w:p>
            <w:pPr>
              <w:pStyle w:val="Normal6a"/>
            </w:pPr>
            <w:r>
              <w:t>6.</w:t>
            </w:r>
            <w:r>
              <w:tab/>
            </w:r>
            <w:r>
              <w:t xml:space="preserve">Europol zet een reservepool van </w:t>
            </w:r>
            <w:r>
              <w:rPr>
                <w:b/>
                <w:i/>
              </w:rPr>
              <w:t>vrijwillige</w:t>
            </w:r>
            <w:r>
              <w:t xml:space="preserve"> deskundigen van de lidstaten op die door Europol kunnen worden ingezet voor operationele ondersteuning. De reservepool vormt een reserve van deskundigen die in hun lidstaat werkzaam zijn en met dat doel onmiddellijk ter beschikking van Europol kunnen worden gesteld. De lidstaten zorgen ervoor </w:t>
            </w:r>
            <w:r>
              <w:rPr>
                <w:b/>
                <w:i/>
              </w:rPr>
              <w:t>– binnen de perken van de middelen waarover zij beschikken en rekening houdend met de binnenlandse situatie op dat moment –</w:t>
            </w:r>
            <w:r>
              <w:t xml:space="preserve"> dat hun deskundigen beschikbaar zijn om op verzoek van Europol als gedetacheerde nationale deskundigen door Europol te worden ingezet voor operationele ondersteuning.</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300</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zet een reservepool van deskundigen van de lidstaten op die door Europol kunnen worden ingezet voor operationele ondersteuning. De reservepool vormt een reserve van deskundigen die in hun lidstaat werkzaam zijn en met dat doel onmiddellijk ter beschikking van Europol kunnen worden gesteld. </w:t>
            </w:r>
            <w:r>
              <w:rPr>
                <w:b/>
                <w:i/>
              </w:rPr>
              <w:t>De lidstaten zorgen ervoor dat hun deskundigen beschikbaar zijn om op verzoek van Europol als gedetacheerde nationale deskundigen door Europol te worden ingezet voor operationele ondersteuning.</w:t>
            </w:r>
          </w:p>
        </w:tc>
        <w:tc>
          <w:tcPr>
            <w:tcW w:w="4876" w:type="dxa"/>
            <w:tcBorders>
              <w:top w:val="nil"/>
              <w:left w:val="nil"/>
              <w:bottom w:val="nil"/>
              <w:right w:val="nil"/>
            </w:tcBorders>
          </w:tcPr>
          <w:p>
            <w:pPr>
              <w:pStyle w:val="Normal6a"/>
            </w:pPr>
            <w:r>
              <w:t>6.</w:t>
            </w:r>
            <w:r>
              <w:tab/>
            </w:r>
            <w:r>
              <w:t xml:space="preserve">Europol zet een reservepool van deskundigen van de lidstaten op die door Europol kunnen worden ingezet voor operationele ondersteuning </w:t>
            </w:r>
            <w:r>
              <w:rPr>
                <w:b/>
                <w:i/>
              </w:rPr>
              <w:t>bij het voorkomen, opsporen en onderzoeken van migrantensmokkel en mensenhandel</w:t>
            </w:r>
            <w:r>
              <w:t>. De reservepool vormt een reserve van deskundigen die in hun lidstaat werkzaam zijn en met dat doel onmiddellijk ter beschikking van Europol kunnen worden gesteld.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Een reservepool die in het kader van dit amendement wordt opgezet, moet beperkt blijven tot het aangegeven doel van het voorstel, namelijk de bestrijding van migrantensmokkel en mensenhandel.</w:t>
      </w:r>
      <w:r>
        <w:t xml:space="preserve"> </w:t>
      </w:r>
      <w:r>
        <w:t>Bovendien is niet duidelijk of alle lidstaten over voldoende nationale deskundigen beschikken om aan deze verplichting te voldoen zonder hun nationale werkzaamheden te ondermijnen.</w:t>
      </w:r>
    </w:p>
    <w:p>
      <w:r>
        <w:rPr>
          <w:rStyle w:val="HideTWBExt"/>
        </w:rPr>
        <w:t>&lt;/Amend&gt;</w:t>
      </w:r>
    </w:p>
    <w:p>
      <w:pPr>
        <w:pStyle w:val="AmNumberTabs"/>
      </w:pPr>
      <w:r>
        <w:rPr>
          <w:rStyle w:val="HideTWBExt"/>
        </w:rPr>
        <w:t>&lt;Amend&gt;</w:t>
      </w:r>
      <w:r>
        <w:t>Amendement</w:t>
      </w:r>
      <w:r>
        <w:tab/>
      </w:r>
      <w:r>
        <w:tab/>
      </w:r>
      <w:r>
        <w:rPr>
          <w:rStyle w:val="HideTWBExt"/>
        </w:rPr>
        <w:t>&lt;NumAm&gt;</w:t>
      </w:r>
      <w:r>
        <w:t>301</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Europol </w:t>
            </w:r>
            <w:r>
              <w:rPr>
                <w:b/>
                <w:i/>
              </w:rPr>
              <w:t>zet</w:t>
            </w:r>
            <w:r>
              <w:t xml:space="preserve"> een reservepool van deskundigen van de lidstaten </w:t>
            </w:r>
            <w:r>
              <w:rPr>
                <w:b/>
                <w:i/>
              </w:rPr>
              <w:t>op</w:t>
            </w:r>
            <w:r>
              <w:t xml:space="preserve"> die door Europol kunnen worden ingezet voor operationele ondersteuning. De reservepool vormt een reserve van deskundigen die in hun lidstaat werkzaam zijn en met dat doel </w:t>
            </w:r>
            <w:r>
              <w:rPr>
                <w:b/>
                <w:i/>
              </w:rPr>
              <w:t>onmiddellijk</w:t>
            </w:r>
            <w:r>
              <w:t xml:space="preserve"> ter beschikking van Europol kunnen worden gesteld. De lidstaten zorgen ervoor dat hun deskundigen beschikbaar zijn om op verzoek van Europol als gedetacheerde nationale deskundigen door Europol te worden ingezet voor operationele ondersteuning.</w:t>
            </w:r>
          </w:p>
        </w:tc>
        <w:tc>
          <w:tcPr>
            <w:tcW w:w="4876" w:type="dxa"/>
            <w:tcBorders>
              <w:top w:val="nil"/>
              <w:left w:val="nil"/>
              <w:bottom w:val="nil"/>
              <w:right w:val="nil"/>
            </w:tcBorders>
          </w:tcPr>
          <w:p>
            <w:pPr>
              <w:pStyle w:val="Normal6a"/>
            </w:pPr>
            <w:r>
              <w:t>6.</w:t>
            </w:r>
            <w:r>
              <w:tab/>
            </w:r>
            <w:r>
              <w:t xml:space="preserve">Europol </w:t>
            </w:r>
            <w:r>
              <w:rPr>
                <w:b/>
                <w:i/>
              </w:rPr>
              <w:t>kan</w:t>
            </w:r>
            <w:r>
              <w:t xml:space="preserve"> een reservepool van deskundigen van de lidstaten </w:t>
            </w:r>
            <w:r>
              <w:rPr>
                <w:b/>
                <w:i/>
              </w:rPr>
              <w:t>opzetten</w:t>
            </w:r>
            <w:r>
              <w:t xml:space="preserve"> die door Europol kunnen worden ingezet voor operationele ondersteuning. De reservepool vormt een reserve van deskundigen die in hun lidstaat werkzaam zijn en met dat doel ter beschikking van Europol kunnen worden gesteld. De lidstaten </w:t>
            </w:r>
            <w:r>
              <w:rPr>
                <w:b/>
                <w:i/>
              </w:rPr>
              <w:t>die aan de reservepool deelnemen</w:t>
            </w:r>
            <w:r>
              <w:t xml:space="preserve"> zorgen ervoor dat hun deskundigen beschikbaar zijn om op verzoek van Europol als gedetacheerde nationale deskundigen door Europol te worden ingezet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7</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7.</w:t>
            </w:r>
            <w:r>
              <w:tab/>
            </w:r>
            <w:r>
              <w:rPr>
                <w:b/>
                <w:i/>
              </w:rPr>
              <w:t>De lidstaat op het grondgebied waarvan Europol wordt ingezet voor operationele ondersteuning, doet, overeenkomstig de in lid 4 bedoelde overeengekomen modaliteiten, het volgende:</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Europol onverwijld alle relevante informatie verstrekken, waar mogelijk door informatie in nationale databanken rechtstreeks toegankelijk te maken voor het Europol-personeel en de gedetacheerde nationale deskundigen die op zijn grondgebied worden ingezet overeenkomstig zijn nationale recht;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gebruik maken van de analytische, operationele, technische en forensische steun die wordt geboden door het personeel van Europol dat op zijn grondgebied wordt ingezet;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het Europol-personeel en de gedetacheerde nationale deskundigen die op zijn grondgebied worden ingezet, in staat stellen aanwezig te zijn bij de uitvoering van onderzoeksmaatregelen.</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Dit moet worden overeengekomen in de in lid 4 overeen te komen modaliteiten.</w:t>
      </w:r>
    </w:p>
    <w:p>
      <w:r>
        <w:rPr>
          <w:rStyle w:val="HideTWBExt"/>
        </w:rPr>
        <w:t>&lt;/Amend&gt;</w:t>
      </w:r>
    </w:p>
    <w:p>
      <w:pPr>
        <w:pStyle w:val="AmNumberTabs"/>
      </w:pPr>
      <w:r>
        <w:rPr>
          <w:rStyle w:val="HideTWBExt"/>
        </w:rPr>
        <w:t>&lt;Amend&gt;</w:t>
      </w:r>
      <w:r>
        <w:t>Amendement</w:t>
      </w:r>
      <w:r>
        <w:tab/>
      </w:r>
      <w:r>
        <w:tab/>
      </w:r>
      <w:r>
        <w:rPr>
          <w:rStyle w:val="HideTWBExt"/>
        </w:rPr>
        <w:t>&lt;NumAm&gt;</w:t>
      </w:r>
      <w:r>
        <w:t>303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7 – inleidende formule</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De lidstaat op het grondgebied waarvan Europol wordt ingezet voor operationele ondersteuning, doet, overeenkomstig de in lid </w:t>
            </w:r>
            <w:r>
              <w:rPr>
                <w:b/>
                <w:i/>
              </w:rPr>
              <w:t>4</w:t>
            </w:r>
            <w:r>
              <w:t xml:space="preserve"> bedoelde </w:t>
            </w:r>
            <w:r>
              <w:rPr>
                <w:b/>
                <w:i/>
              </w:rPr>
              <w:t>overeengekomen modaliteiten</w:t>
            </w:r>
            <w:r>
              <w:t>, het volgende:</w:t>
            </w:r>
          </w:p>
        </w:tc>
        <w:tc>
          <w:tcPr>
            <w:tcW w:w="4876" w:type="dxa"/>
            <w:tcBorders>
              <w:top w:val="nil"/>
              <w:left w:val="nil"/>
              <w:bottom w:val="nil"/>
              <w:right w:val="nil"/>
            </w:tcBorders>
          </w:tcPr>
          <w:p>
            <w:pPr>
              <w:pStyle w:val="Normal6a"/>
            </w:pPr>
            <w:r>
              <w:t>7.</w:t>
            </w:r>
            <w:r>
              <w:tab/>
            </w:r>
            <w:r>
              <w:t xml:space="preserve">De lidstaat op het grondgebied waarvan Europol wordt ingezet voor operationele ondersteuning, doet, overeenkomstig de in lid </w:t>
            </w:r>
            <w:r>
              <w:rPr>
                <w:b/>
                <w:i/>
              </w:rPr>
              <w:t>9</w:t>
            </w:r>
            <w:r>
              <w:t xml:space="preserve"> bedoelde </w:t>
            </w:r>
            <w:r>
              <w:rPr>
                <w:b/>
                <w:i/>
              </w:rPr>
              <w:t>uitvoeringsvoorschriften</w:t>
            </w:r>
            <w:r>
              <w:t>, het volgende: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7 – punt 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Europol onverwijld alle relevante informatie verstrekken, waar mogelijk door informatie in nationale databanken rechtstreeks toegankelijk te maken voor het Europol-personeel en de gedetacheerde nationale deskundigen die op zijn grondgebied worden ingezet overeenkomstig </w:t>
            </w:r>
            <w:r>
              <w:rPr>
                <w:b/>
                <w:i/>
              </w:rPr>
              <w:t>zijn nationale recht</w:t>
            </w:r>
            <w:r>
              <w:t>;</w:t>
            </w:r>
          </w:p>
        </w:tc>
        <w:tc>
          <w:tcPr>
            <w:tcW w:w="4876" w:type="dxa"/>
            <w:tcBorders>
              <w:top w:val="nil"/>
              <w:left w:val="nil"/>
              <w:bottom w:val="nil"/>
              <w:right w:val="nil"/>
            </w:tcBorders>
          </w:tcPr>
          <w:p>
            <w:pPr>
              <w:pStyle w:val="Normal6a"/>
            </w:pPr>
            <w:r>
              <w:t>a)</w:t>
            </w:r>
            <w:r>
              <w:tab/>
            </w:r>
            <w:r>
              <w:t>Europol onverwijld alle relevante </w:t>
            </w:r>
            <w:r>
              <w:rPr>
                <w:b/>
                <w:i/>
              </w:rPr>
              <w:t>noodzakelijke, evenredige </w:t>
            </w:r>
            <w:r>
              <w:t>informatie</w:t>
            </w:r>
            <w:r>
              <w:rPr>
                <w:b/>
                <w:i/>
              </w:rPr>
              <w:t> van hoge kwaliteit</w:t>
            </w:r>
            <w:r>
              <w:t xml:space="preserve"> verstrekken, waar mogelijk door informatie in nationale databanken rechtstreeks toegankelijk te maken voor het Europol-personeel en de gedetacheerde nationale deskundigen die op zijn grondgebied worden ingezet overeenkomstig </w:t>
            </w:r>
            <w:r>
              <w:rPr>
                <w:b/>
                <w:i/>
              </w:rPr>
              <w:t>lid 1 van dit artikel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305</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 uitvoerend directeur kan de inzet van Europol voor operationele ondersteuning op het grondgebied van een lidstaat voorstellen aan de bevoegde autoriteiten van die lidstaat via zijn nationale eenheid wanneer de uitvoerend directeur van oordeel is dat dit een meerwaarde zou bieden voor de voorkoming of bestrijding van een strafbaar feit dat onder de doelstellingen van Europol valt.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De uitvoerend directeur kan de inzet van Europol voor operationele ondersteuning op het grondgebied van een lidstaat voorstellen aan de bevoegde autoriteiten van die lidstaat via zijn nationale eenheid wanneer de uitvoerend directeur van oordeel is dat dit een meerwaarde zou bieden voor de voorkoming of bestrijding van een strafbaar feit dat onder de doelstellingen van Europol valt.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Artikel 6 van de huidige Europol-verordening volstaat.</w:t>
      </w:r>
    </w:p>
    <w:p>
      <w:r>
        <w:rPr>
          <w:rStyle w:val="HideTWBExt"/>
        </w:rPr>
        <w:t>&lt;/Amend&gt;</w:t>
      </w:r>
    </w:p>
    <w:p>
      <w:pPr>
        <w:pStyle w:val="AmNumberTabs"/>
      </w:pPr>
      <w:r>
        <w:rPr>
          <w:rStyle w:val="HideTWBExt"/>
        </w:rPr>
        <w:t>&lt;Amend&gt;</w:t>
      </w:r>
      <w:r>
        <w:t>Amendement</w:t>
      </w:r>
      <w:r>
        <w:tab/>
      </w:r>
      <w:r>
        <w:tab/>
      </w:r>
      <w:r>
        <w:rPr>
          <w:rStyle w:val="HideTWBExt"/>
        </w:rPr>
        <w:t>&lt;NumAm&gt;</w:t>
      </w:r>
      <w:r>
        <w:t>307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8</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De uitvoerend directeur kan de inzet van Europol voor operationele ondersteuning op het grondgebied van een lidstaat voorstellen aan de bevoegde autoriteiten van die lidstaat via zijn nationale eenheid wanneer de uitvoerend directeur van oordeel is dat dit een meerwaarde zou bieden voor de voorkoming of bestrijding van een strafbaar feit dat onder de doelstellingen van Europol valt.</w:t>
            </w:r>
          </w:p>
        </w:tc>
        <w:tc>
          <w:tcPr>
            <w:tcW w:w="4876" w:type="dxa"/>
            <w:tcBorders>
              <w:top w:val="nil"/>
              <w:left w:val="nil"/>
              <w:bottom w:val="nil"/>
              <w:right w:val="nil"/>
            </w:tcBorders>
          </w:tcPr>
          <w:p>
            <w:pPr>
              <w:pStyle w:val="Normal6a"/>
            </w:pPr>
            <w:r>
              <w:t>8.</w:t>
            </w:r>
            <w:r>
              <w:tab/>
            </w:r>
            <w:r>
              <w:t xml:space="preserve">De uitvoerend directeur kan </w:t>
            </w:r>
            <w:r>
              <w:rPr>
                <w:b/>
                <w:i/>
              </w:rPr>
              <w:t>– overeenkomstig de uitvoeringsvoorschriften die krachtens lid 10 door de raad van bestuur zijn vastgesteld –</w:t>
            </w:r>
            <w:r>
              <w:t xml:space="preserve"> de inzet van Europol voor operationele ondersteuning op het grondgebied van een lidstaat voorstellen aan de bevoegde autoriteiten van die lidstaat via zijn nationale eenheid wanneer de uitvoerend directeur van oordeel is dat dit een meerwaarde zou bieden voor de voorkoming of bestrijding van een strafbaar feit dat onder de doelstellingen van Europol valt.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Aangezien lid 10 de regels voor de voorbereiding van een inzet bevat, moet de uitvoerend directeur die regels volgen wanneer hij aan een lidstaat een inzet van het agentschap voorstelt.</w:t>
      </w:r>
    </w:p>
    <w:p>
      <w:r>
        <w:rPr>
          <w:rStyle w:val="HideTWBExt"/>
        </w:rPr>
        <w:t>&lt;/Amend&gt;</w:t>
      </w:r>
    </w:p>
    <w:p>
      <w:pPr>
        <w:pStyle w:val="AmNumberTabs"/>
      </w:pPr>
      <w:r>
        <w:rPr>
          <w:rStyle w:val="HideTWBExt"/>
        </w:rPr>
        <w:t>&lt;Amend&gt;</w:t>
      </w:r>
      <w:r>
        <w:t>Amendement</w:t>
      </w:r>
      <w:r>
        <w:tab/>
      </w:r>
      <w:r>
        <w:tab/>
      </w:r>
      <w:r>
        <w:rPr>
          <w:rStyle w:val="HideTWBExt"/>
        </w:rPr>
        <w:t>&lt;NumAm&gt;</w:t>
      </w:r>
      <w:r>
        <w:t>308</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De raad van bestuur stelt uitvoeringsregels vast voor de voorbereiding en uitvoering van de inzet van Europol voor operationele ondersteuning, met inbegrip van het aantal en het profiel van de in de reservepool op te nemen deskundigen en eventuele latere wijzigingen daarvan.</w:t>
            </w:r>
          </w:p>
        </w:tc>
        <w:tc>
          <w:tcPr>
            <w:tcW w:w="4876" w:type="dxa"/>
            <w:tcBorders>
              <w:top w:val="nil"/>
              <w:left w:val="nil"/>
              <w:bottom w:val="nil"/>
              <w:right w:val="nil"/>
            </w:tcBorders>
          </w:tcPr>
          <w:p>
            <w:pPr>
              <w:pStyle w:val="Normal6a"/>
            </w:pPr>
            <w:r>
              <w:t>9.</w:t>
            </w:r>
            <w:r>
              <w:tab/>
            </w:r>
            <w:r>
              <w:t xml:space="preserve">De raad van bestuur stelt </w:t>
            </w:r>
            <w:r>
              <w:rPr>
                <w:b/>
                <w:i/>
              </w:rPr>
              <w:t>in samenwerking met de functionaris voor gegevensbescherming, de grondrechtenfunctionaris en de Europese Toezichthouder voor gegevensbescherming,</w:t>
            </w:r>
            <w:r>
              <w:t xml:space="preserve"> uitvoeringsregels vast voor de voorbereiding en uitvoering van de inzet van Europol voor operationele ondersteuning, met inbegrip van het aantal en het profiel van de in de reservepool op te nemen deskundigen en eventuele latere wijzigingen daarvan. </w:t>
            </w:r>
            <w:r>
              <w:rPr>
                <w:b/>
                <w:i/>
              </w:rPr>
              <w:t>De GPC wordt in kennis gesteld van de uitvoeringsvoorschriften voor de inzet van Europol voor operationele ondersteuning en en eventuele latere wijzigingen daarvan.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309</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De raad van bestuur </w:t>
            </w:r>
            <w:r>
              <w:rPr>
                <w:b/>
                <w:i/>
              </w:rPr>
              <w:t>stelt</w:t>
            </w:r>
            <w:r>
              <w:t xml:space="preserve"> uitvoeringsregels vast voor de voorbereiding en uitvoering van de inzet van Europol voor operationele ondersteuning, met inbegrip van het aantal en het profiel van de in de reservepool op te nemen deskundigen en eventuele latere wijzigingen daarvan.</w:t>
            </w:r>
          </w:p>
        </w:tc>
        <w:tc>
          <w:tcPr>
            <w:tcW w:w="4876" w:type="dxa"/>
            <w:tcBorders>
              <w:top w:val="nil"/>
              <w:left w:val="nil"/>
              <w:bottom w:val="nil"/>
              <w:right w:val="nil"/>
            </w:tcBorders>
          </w:tcPr>
          <w:p>
            <w:pPr>
              <w:pStyle w:val="Normal6a"/>
            </w:pPr>
            <w:r>
              <w:t>9.</w:t>
            </w:r>
            <w:r>
              <w:tab/>
            </w:r>
            <w:r>
              <w:rPr>
                <w:b/>
                <w:i/>
              </w:rPr>
              <w:t>Op voorstel van de uitvoerend directeur stelt</w:t>
            </w:r>
            <w:r>
              <w:t xml:space="preserve"> de raad van bestuur uitvoeringsregels vast voor de voorbereiding en uitvoering van de inzet van Europol voor operationele ondersteuning, met inbegrip van het aantal en het profiel van de in de reservepool op te nemen deskundigen en eventuele latere wijzigingen daarvan</w:t>
            </w:r>
            <w:r>
              <w:rPr>
                <w:b/>
                <w:i/>
              </w:rPr>
              <w:t>, en de toewijzing van verantwoordelijkheden van ingezette functionarissen ten aanzien van de bevoegde autoriteiten van de ontvangende lidstaat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310</w:t>
      </w:r>
      <w:r>
        <w:rPr>
          <w:rStyle w:val="HideTWBExt"/>
        </w:rPr>
        <w:t>&lt;/NumAm&gt;</w:t>
      </w:r>
    </w:p>
    <w:p>
      <w:pPr>
        <w:pStyle w:val="NormalBold"/>
      </w:pPr>
      <w:r>
        <w:rPr>
          <w:rStyle w:val="HideTWBExt"/>
          <w:b w:val="0"/>
        </w:rPr>
        <w:t>&lt;RepeatBlock-By&gt;</w:t>
      </w:r>
      <w:r>
        <w:rPr>
          <w:rStyle w:val="HideTWBExt"/>
          <w:b w:val="0"/>
        </w:rPr>
        <w:t>&lt;Members&gt;</w:t>
      </w:r>
      <w:r>
        <w:t>Matthieu Valet, Fabrice Leggeri, António Tânger Corrêa, Alexandre Varaut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9</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De raad van bestuur </w:t>
            </w:r>
            <w:r>
              <w:rPr>
                <w:b/>
                <w:i/>
              </w:rPr>
              <w:t>stelt</w:t>
            </w:r>
            <w:r>
              <w:t xml:space="preserve"> uitvoeringsregels vast voor de voorbereiding en uitvoering van de inzet van Europol voor operationele ondersteuning, met inbegrip van het aantal en het profiel van de in de reservepool op te nemen deskundigen en eventuele latere wijzigingen daarvan.</w:t>
            </w:r>
          </w:p>
        </w:tc>
        <w:tc>
          <w:tcPr>
            <w:tcW w:w="4876" w:type="dxa"/>
            <w:tcBorders>
              <w:top w:val="nil"/>
              <w:left w:val="nil"/>
              <w:bottom w:val="nil"/>
              <w:right w:val="nil"/>
            </w:tcBorders>
          </w:tcPr>
          <w:p>
            <w:pPr>
              <w:pStyle w:val="Normal6a"/>
            </w:pPr>
            <w:r>
              <w:t>9.</w:t>
            </w:r>
            <w:r>
              <w:tab/>
            </w:r>
            <w:r>
              <w:rPr>
                <w:b/>
                <w:i/>
              </w:rPr>
              <w:t>Op basis van een voorstel van de uitvoerend directeur stelt</w:t>
            </w:r>
            <w:r>
              <w:t xml:space="preserve"> de raad van bestuur uitvoeringsregels vast voor de voorbereiding en uitvoering van de inzet van Europol voor operationele ondersteuning, met inbegrip van het aantal en het profiel van de in de reservepool op te nemen deskundigen en eventuele latere wijzigingen daarvan.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311</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Dit artikel is van overeenkomstige toepassing wanneer de inzet van Europol voor operationele ondersteuning plaatsvindt in een derde land als bedoeld in artikel 25, lid 1, punt a), b) of c).”;</w:t>
            </w:r>
          </w:p>
        </w:tc>
        <w:tc>
          <w:tcPr>
            <w:tcW w:w="4876" w:type="dxa"/>
            <w:tcBorders>
              <w:top w:val="nil"/>
              <w:left w:val="nil"/>
              <w:bottom w:val="nil"/>
              <w:right w:val="nil"/>
            </w:tcBorders>
          </w:tcPr>
          <w:p>
            <w:pPr>
              <w:pStyle w:val="Normal6a"/>
            </w:pPr>
            <w:r>
              <w:rPr>
                <w:b/>
                <w:i/>
              </w:rPr>
              <w:t>Schrappen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Verordening (EU) 2019/1896 van het Europees Parlement en de Raad van 13 november 2019 betreffende de Europese grens- en kustwacht en tot intrekking van Verordening (EU) nr. 1052/2013 en Verordening (EU) 2016/1624 (PB L 295 van 14.11.2019, blz. 1, ELI: https://eur-lex.europa.eu/eli/reg/2019/1896/oj).</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artikel 25, lid 1, punten a), b) en c), is niet voorzien in de inzet van Europol-functionarissen in derde landen.</w:t>
      </w:r>
      <w:r>
        <w:t xml:space="preserve"> </w:t>
      </w:r>
      <w:r>
        <w:t>Indien er een inzet in derde landen moet worden gecodificeerd, moet dit gebeuren door een grondige herziening van het mandaat van het agentschap en niet door de toevoeging van bepalingen inzake migrantensmokkel en mensenhandel.</w:t>
      </w:r>
    </w:p>
    <w:p>
      <w:r>
        <w:rPr>
          <w:rStyle w:val="HideTWBExt"/>
        </w:rPr>
        <w:t>&lt;/Amend&gt;</w:t>
      </w:r>
    </w:p>
    <w:p>
      <w:pPr>
        <w:pStyle w:val="AmNumberTabs"/>
      </w:pPr>
      <w:r>
        <w:rPr>
          <w:rStyle w:val="HideTWBExt"/>
        </w:rPr>
        <w:t>&lt;Amend&gt;</w:t>
      </w:r>
      <w:r>
        <w:t>Amendement</w:t>
      </w:r>
      <w:r>
        <w:tab/>
      </w:r>
      <w:r>
        <w:tab/>
      </w:r>
      <w:r>
        <w:rPr>
          <w:rStyle w:val="HideTWBExt"/>
        </w:rPr>
        <w:t>&lt;NumAm&gt;</w:t>
      </w:r>
      <w:r>
        <w:t>312</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Dit artikel is van overeenkomstige toepassing wanneer de inzet van Europol voor operationele ondersteuning plaatsvindt in een derde land als bedoeld in artikel 25, lid 1, punt a), b) of c).”;</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Schrapping in verband met de samenwerking met derde landen.</w:t>
      </w:r>
    </w:p>
    <w:p>
      <w:r>
        <w:rPr>
          <w:rStyle w:val="HideTWBExt"/>
        </w:rPr>
        <w:t>&lt;/Amend&gt;</w:t>
      </w:r>
    </w:p>
    <w:p>
      <w:pPr>
        <w:pStyle w:val="AmNumberTabs"/>
      </w:pPr>
      <w:r>
        <w:rPr>
          <w:rStyle w:val="HideTWBExt"/>
        </w:rPr>
        <w:t>&lt;Amend&gt;</w:t>
      </w:r>
      <w:r>
        <w:t>Amendement</w:t>
      </w:r>
      <w:r>
        <w:tab/>
      </w:r>
      <w:r>
        <w:tab/>
      </w:r>
      <w:r>
        <w:rPr>
          <w:rStyle w:val="HideTWBExt"/>
        </w:rPr>
        <w:t>&lt;NumAm&gt;</w:t>
      </w:r>
      <w:r>
        <w:t>313</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 lid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Dit artikel is van overeenkomstige toepassing wanneer de</w:t>
            </w:r>
            <w:r>
              <w:t xml:space="preserve"> inzet van Europol voor operationele ondersteuning </w:t>
            </w:r>
            <w:r>
              <w:rPr>
                <w:b/>
                <w:i/>
              </w:rPr>
              <w:t>plaatsvindt in een</w:t>
            </w:r>
            <w:r>
              <w:t xml:space="preserve"> derde </w:t>
            </w:r>
            <w:r>
              <w:rPr>
                <w:b/>
                <w:i/>
              </w:rPr>
              <w:t>land als bedoeld in artikel 25, lid 1, punt a), b) of c)</w:t>
            </w:r>
            <w:r>
              <w:t>.</w:t>
            </w:r>
            <w:r>
              <w:rPr>
                <w:b/>
                <w:i/>
              </w:rPr>
              <w:t>”;</w:t>
            </w:r>
          </w:p>
        </w:tc>
        <w:tc>
          <w:tcPr>
            <w:tcW w:w="4876" w:type="dxa"/>
            <w:tcBorders>
              <w:top w:val="nil"/>
              <w:left w:val="nil"/>
              <w:bottom w:val="nil"/>
              <w:right w:val="nil"/>
            </w:tcBorders>
          </w:tcPr>
          <w:p>
            <w:pPr>
              <w:pStyle w:val="Normal6a"/>
            </w:pPr>
            <w:r>
              <w:rPr>
                <w:b/>
                <w:i/>
              </w:rPr>
              <w:t>Overeenkomstig de Verdragen vindt er geen</w:t>
            </w:r>
            <w:r>
              <w:t xml:space="preserve"> inzet van Europol voor operationele ondersteuning </w:t>
            </w:r>
            <w:r>
              <w:rPr>
                <w:b/>
                <w:i/>
              </w:rPr>
              <w:t>plaats in</w:t>
            </w:r>
            <w:r>
              <w:t xml:space="preserve"> derde </w:t>
            </w:r>
            <w:r>
              <w:rPr>
                <w:b/>
                <w:i/>
              </w:rPr>
              <w:t>landen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314</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ter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b/>
            </w:r>
            <w:r>
              <w:rPr>
                <w:b/>
                <w:i/>
              </w:rPr>
              <w:t>Waarborgen voor de verwerking van biometrische gegevens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Europol zorgt ervoor dat bij elke verwerking van biometrische gegevens met het oog op rechtshandhaving ten volle rekening wordt gehouden met de in het Handvest verankerde grondrechten en fundamentele vrijheden en dat deze verwerking in overeenstemming is met het EU-kader voor gegevensbescherming, met name de algemene beginselen en verplichtingen die zijn vastgelegd in hoofdstuk IX van Verordening (EU) 2018/1725, met inbegrip van de beginselen van strikte noodzaak, evenredigheid, doelspecificatie, nauwkeurigheid, minimale gegevensverwerking en gegevenskwaliteit.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Voor de toepassing van lid 1 en om de passende waarborgen bij de verwerking van biometrische gegevens te waarborgen, moeten duidelijke bindende regels worden toegepast die voorzien in passende waarborgen.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Uiterlijk in januari 2026 ontwikkelen en onderhouden de functionaris voor gegevensbescherming en de grondrechtenfunctionaris, in samenwerking met de Europese Toezichthouder voor gegevensbescherming, een ethisch kader en een mechanisme om de procedure vast te stellen voor het uitvoeren van systematische tests van de strikte noodzakelijkheid, controles van de gegevenskwaliteit en voorafgaande effectbeoordelingen op het gebied van de grondrechten met betrekking tot de verwerking van biometrische gegevens.</w:t>
            </w:r>
            <w:r>
              <w:rPr>
                <w:b/>
                <w:i/>
              </w:rPr>
              <w:t>Een dergelijk mechanisme omvat minimumnormen en drempels voor gegevenskwaliteit en kwaliteitscontroles, en gegevensbescherming door ontwerp en door standaardinstellingen als bedoeld in artikel 85 van Verordening (EU) 2018/1725 wordt gewaarborgd, en het mechanisme is gebaseerd op de ethische beginselen van transparantie, verklaarbaarheid, billijkheid, verantwoordingsplicht en verantwoordelijkheid.</w:t>
            </w:r>
            <w:r>
              <w:rPr>
                <w:b/>
                <w:i/>
              </w:rPr>
              <w:t>Dit geldt niet alleen voor de verzameling en verdere interne verwerking van biometrische gegevens door Europol, maar ook voor de verspreiding van biometrische gegevens onder de lidstaten en voor de samenwerking met externe contractanten.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Om humanitaire hulp en toegang tot de rechter te garanderen nemen de lidstaten de nodige maatregelen om ervoor te zorgen dat onderdanen van een derde land ongeacht hun verblijfsstatus aangifte kunnen doen van handelingen die een strafbaar feit kunnen vormen.</w:t>
            </w:r>
            <w:r>
              <w:rPr>
                <w:b/>
                <w:i/>
              </w:rPr>
              <w:t>Rekening houdend met het feit dat het doen van aangifte van een handeling die een strafbaar feit kan vormen en het deelnemen aan een strafprocedure op grond van deze verordening geen rechten doen ontstaan met betrekking tot de verblijfsstatus van het slachtoffer, en evenmin een opschortende werking hebben voor de vaststelling van de verblijfsstatus, zorgen de lidstaten ervoor dat het de bevoegde autoriteiten die in contact komen met een ingezetene van een derde land die aangifte doet van handelingen die een strafbaar feit kunnen vormen, verboden is persoonsgegevens over de verblijfsstatus door te geven aan de bevoegde migratieautoriteiten en te gebruiken.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De Commissie moet worden gemachtigd om dit ethisch kader en dit mechanisme als bedoeld in lid 3 van dit artikel te bekrachtigen door middel van gedelegeerde handelingen op grond van artikel 290 VWEU, om er bindende rechtskracht aan te geven.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rPr>
                <w:b/>
                <w:i/>
              </w:rPr>
              <w:t>Om ervoor te zorgen dat de resultaten van de verwerking van biometrische gegevens de in het Handvest verankerde grondrechten en fundamentele vrijheden niet ondermijnen, in geen enkele vorm discriminerend zijn of bijdragen tot grootschalig toezicht, kunnen de functionaris voor gegevensbescherming (DPO) en de grondrechtenfunctionaris (FRO), in samenwerking met de Europese Toezichthouder voor gegevensbescherming (EDPS) en de Gezamenlijke Parlementaire Controlegroep (GPC), aanvullende waarborgen voor de verwerking van biometrische gegevens invoeren als middel om te zorgen voor meer democratische controle met passende checks-and-balances.</w:t>
            </w:r>
            <w:r>
              <w:rPr>
                <w:b/>
                <w:i/>
              </w:rPr>
              <w:t>De waarborgen worden aangepast aan de betrokken risico’s en aan de te beschermen rechten en vrijheden.</w:t>
            </w:r>
            <w:r>
              <w:rPr>
                <w:b/>
                <w:i/>
              </w:rPr>
              <w:t>Indien nodig kunnen de DPO en de FRO, in samenwerking met de EDPS en de GPC, onafhankelijke audits of onafhankelijke effectbeoordelingen op het gebied van grondrechten en gegevensbescherming uitvoeren.</w:t>
            </w:r>
            <w:r>
              <w:rPr>
                <w:b/>
                <w:i/>
              </w:rPr>
              <w:t>Voor de benoeming van de onafhankelijke deskundigen wordt een open en transparante procedure gevolgd.</w:t>
            </w:r>
            <w:r>
              <w:rPr>
                <w:b/>
                <w:i/>
              </w:rPr>
              <w:t>Voor de toepassing van dit lid kan een toezichtcomité worden opgericht.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rPr>
                <w:b/>
                <w:i/>
              </w:rPr>
              <w:t>De samenwerking tussen Europol en Frontex is beperkt tot de uitwisseling van informatie overeenkomstig hun respectieve rechtskaders en omvat geen biometrische gegevens.</w:t>
            </w:r>
            <w:r>
              <w:rPr>
                <w:b/>
                <w:i/>
              </w:rPr>
              <w:t>De overdracht van persoonsgegevens tussen Europol en Frontex geschiedt overeenkomstig Verordening (EU) 2018/1725.</w:t>
            </w:r>
            <w:r>
              <w:rPr>
                <w:b/>
                <w:i/>
              </w:rPr>
              <w:t>In geen geval gaat de samenwerking tussen Europol en het Europees Grens- en kustwachtagentschap verder dan Verordening (EU) 2019/1896.</w:t>
            </w:r>
            <w:r>
              <w:rPr>
                <w:b/>
                <w:i/>
              </w:rPr>
              <w:t>Werkafspraken tussen Europol en Frontex zijn in overeenstemming met de respectieve rechtskaders van de agentschappen en voldoen aan het EU-kader voor gegevensbescherming.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De DPO en de FRO zien, in samenwerking met de EDPS, toe op de naleving van de beginselen overeenkomstig dit artikel en brengen regelmatig verslag uit aan het Europees Parlement, de GPC, de Raad en de Commissie over de problemen die worden ondervonden.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 bis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Afdeling 2 bis (nieuw) – Artikel 16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De volgende afdeling wordt ingevoegd: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“Afdeling 2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16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Taken en samenstelling van het 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Het Europees Centrum tegen migrantensmokkel wordt opgericht binnen Europol als een gespecialiseerd kenniscentrum van de Unie.</w:t>
            </w:r>
            <w:r>
              <w:rPr>
                <w:b/>
                <w:i/>
              </w:rPr>
              <w:t>Het ondersteunt de lidstaten bij de voorkoming en bestrijding van migrantensmokkel en mensenhandel door operationele en strategische taken uit te voeren.</w:t>
            </w:r>
            <w:r>
              <w:rPr>
                <w:b/>
                <w:i/>
              </w:rPr>
              <w:t>Deze taken omvatten het coördineren, organiseren en uitvoeren van operationele en onderzoeksacties, en het ondersteunen van grensoverschrijdende informatie-uitwisselingsactiviteiten, operaties en onderzoeken van de lidstaten, alsook van gemeenschappelijke onderzoeksteams en operationele taskforces.</w:t>
            </w:r>
            <w:r>
              <w:rPr>
                <w:b/>
                <w:i/>
              </w:rPr>
              <w:t>Andere taken van het centrum zijn het monitoren van migrantensmokkel en mensenhandel in de Unie en in derde landen en het opsporen van gevallen van migrantensmokkel en mensenhandel, waarvoor samenwerking met derde landen nodig kan zijn, onder meer door persoonsgegevens uit te wisselen.</w:t>
            </w:r>
            <w:r>
              <w:rPr>
                <w:b/>
                <w:i/>
              </w:rPr>
              <w:t>Het ondersteunt de identificatie van slachtoffers van mensenhandel of andere kwetsbare personen, zoals niet-begeleide minderjarigen.</w:t>
            </w:r>
            <w:r>
              <w:rPr>
                <w:b/>
                <w:i/>
              </w:rPr>
              <w:t>Het Europees Centrum tegen migrantensmokkel verstrekt ook strategische analyses en dreigingsevaluaties met betrekking tot migrantensmokkel en mensenhandel, evenals een jaarverslag waarin de belangrijkste operationele prioriteiten en mogelijke daarmee verband houdende acties op het niveau van de Unie in kaart worden gebracht.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Europol stelt het Europees Centrum tegen migrantensmokkel voldoende middelen ter beschikking om zijn taken te vervullen.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Het Europees Centrum tegen migrantensmokkel bestaat uit personeelsleden van Europol en vertegenwoordigers van de volgende entiteiten: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een vertegenwoordiger van elke lidstaat, afkomstig van een nationale gespecialiseerde dienst binnen de bevoegde autoriteiten, die belast is met het voorkomen en bestrijden van migrantensmokkel en mensenhandel, als bedoeld in artikel 8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een permanente vertegenwoordiger van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een permanente vertegenwoordiger van het Europees Grens- en kustwachtagentschap;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kan andere deelnemers uitnodigen om deel te nemen aan de activiteiten van het 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Op basis van een voorstel van de uitvoerend directeur stelt de raad van bestuur, na raadpleging van de in lid 3, punten a), b) en c), genoemde entiteiten, uitvoeringsvoorschriften voor het Europees Centrum tegen migrantensmokkel vast, onder meer met betrekking tot de soorten operationele en strategische taken die moeten worden uitgevoerd en de deelname van de in lid 3 vermelde vertegenwoordigers en uitgenodigde deelnemers.</w:t>
            </w:r>
            <w:r>
              <w:t xml:space="preserve"> </w:t>
            </w:r>
            <w:r>
              <w:rPr>
                <w:b/>
                <w:i/>
              </w:rPr>
              <w:t>Organen of agentschappen van de Unie, met inbegrip van de in lid 3 bedoelde organen of agentschappen die deelnemen aan de activiteiten van het Europees Centrum tegen migrantensmokkel, doen dit overeenkomstig hun respectieve rechtskaders.”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316</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 bis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Afdeling 2 bis (nieuw) – Artikel 16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bis)</w:t>
            </w:r>
            <w:r>
              <w:tab/>
            </w:r>
            <w:r>
              <w:rPr>
                <w:b/>
                <w:i/>
              </w:rPr>
              <w:t>Afdeling 2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16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Het Europees Centrum tegen migrantensmokkel wordt opgericht binnen Europol als een gespecialiseerd kenniscentrum van de Unie.</w:t>
            </w:r>
            <w:r>
              <w:rPr>
                <w:b/>
                <w:i/>
              </w:rPr>
              <w:t>Het ondersteunt de lidstaten bij de voorkoming en bestrijding van migrantensmokkel en mensenhandel.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Het Europees Centrum tegen migrantensmokkel bestaat uit personeelsleden van Europol en betrekt vertegenwoordigers van de volgende entiteiten die de strategische taken uitvoeren: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een vertegenwoordiger van elke lidstaat, afkomstig van een in artikel 7 bedoelde nationale gespecialiseerde dienst;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een vertegenwoordiger van Eurojust;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een vertegenwoordiger het Europees Grens- en kustwachtagentschap;</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naar goeddunken van Europol, en na raadpleging van de lidstaten, een of meer vertegenwoordigers die betrokken zijn bij de operationele uitvoering van de strategische en operationele prioriteiten van de Unie op het gebied van de bestrijding van migrantensmokkel en mensenhandel, met name in het kader van het Europees multidisciplinair platform tegen criminaliteitsdreiging (Empact).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Het Europees Centrum tegen migrantensmokkel bestaat uit personeelsleden van Europol en betrekt vertegenwoordigers van de volgende entiteiten die de operationele taken uitvoeren: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voor elke lidstaat een verbindingsfunctionaris als bedoeld in artikel 8 van deze verordening die specifiek is aangewezen om migrantensmokkel aan te pakken, mits in de lidstaat een vertegenwoordiger beschikbaar 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een verbindingsofficier van Eurojust als permanente vertegenwoordiger bij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een verbindingsofficier van het Europees Grens- en kustwachtagentschap als permanente vertegenwoordiger bij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Europol kan andere entiteiten uitnodigen om te worden betrokken bij de uitvoering van de in artikel 6 bedoelde activiteiten, met inbegrip van andere relevante organen of agentschappen van de Unie.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Voor de toepassing van lid 2 van dit artikel zet Eurojust een verbindingsfunctionaris, die optreedt overeenkomstig de verordening, in bij het 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rPr>
                <w:b/>
                <w:i/>
              </w:rPr>
              <w:t>Voor de toepassing van lid 2 van dit artikel en van artikel 68, lid 1, punt b), artikel 87, lid 1, punt d), en artikel 90 van Verordening (EU) 2019/1896, en overeenkomstig artikel 68, leden 2 en 5, van die verordening zet het Europees Grens- en kustwachtagentschap een overeenkomstig die verordening handelende verbindingsofficier in bij het Europees Centrum tegen migrantensmokkel.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Voor de toepassing van de leden 1 en 2 krijgt het Europees Centrum tegen migrantensmokkel de nodige ondersteuning van alle andere relevante onderdelen binnen de interne structuren van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317</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 ter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Afdeling 2 bis (nieuw) – artikel 16 ter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ter)</w:t>
            </w:r>
            <w:r>
              <w:tab/>
            </w:r>
            <w:r>
              <w:rPr>
                <w:b/>
                <w:i/>
              </w:rPr>
              <w:t>Artikel 16 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De strategische taken van het Europees Centrum tegen migrantensmokkel zijn: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strategische analyses en dreigingsevaluaties verstrekken om de Raad en de Commissie bij te staan bij de vaststelling van de strategische en operationele prioriteiten van de Unie op het gebied van de voorkoming en bestrijding van migrantensmokkel en mensenhandel, overeenkomstig artikel 4, lid 2,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een kader bieden ter ondersteuning van de operationele toepassing van de strategische en operationele prioriteiten van de Unie op het gebied van de voorkoming en bestrijding van migrantensmokkel en mensenhandel, met name in het kader van Empact, overeenkomstig artikel 4, lid 2,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de coördinatie, samenwerking en uitwisseling van informatie over migrantensmokkel en mensenhandel tussen de agentschappen van de Unie, met name met het Europees Grens- en kustwachtagentschap, Eurojust en, in voorkomend geval, andere relevante organen of agentschappen van de Unie ondersteunen, in overeenstemming met hun respectieve rechtskaders, onder meer door middel van onderlinge werkafspraken, overeenkomstig artikel 4, lid 1, punt j),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regelmatig informatie verstrekken aan de lidstaten en de Commissie, met inbegrip van geaggregeerde statistische gegevens en situationele actualiseringen op basis van door de lidstaten gedeelde informatie;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strategische analyses en dreigingsevaluaties verstrekken ter ondersteuning van de uitvoering van in artikel 5 bis van deze verordening bedoelde operationele taskforces en van de inzet van Europol voor operationele ondersteuning als bedoeld in artikel 5 ter van deze verordening, overeenkomstig artikel 4, lid 1, punt f),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strategische analyses en dreigingsevaluaties verstrekken aan de lidstaten en de Commissie en, in voorkomend geval, aan relevante agentschappen of organen van de Unie met betrekking tot de preventie en bestrijding van migrantensmokkel en mensenhandel, waarbij ervoor wordt gezorgd dat kwetsbare personen niet onbedoeld getroffen worden door of betrokken worden bij deze inspanningen, overeenkomstig artikel 4, lid 1, punt f),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strategische analyses en dreigingsevaluaties verstrekken aan de lidstaten en de Commissie en, in voorkomend geval, aan relevante agentschappen of organen van de Unie over routes en werkwijzen in verband met migrantensmokkel en mensenhandel, met inbegrip van aanwijzingen dat kwetsbare personen het slachtoffer worden van deze praktijken, waarbij ervoor wordt gezorgd dat kwetsbare personen niet onbedoeld getroffen worden door of betrokken worden bij deze inspanningen, en dat particuliere partijen kunnen worden gebruikt voor migrantensmokkel en mensenhandel overeenkomstig artikel 4, lid 1, punt f),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een jaarverslag opstellen over migrantensmokkel en mensenhandel, waarin de belangrijkste operationele prioriteiten en mogelijke daarmee verband houdende acties op het niveau van de Unie in kaart worden gebracht, overeenkomstig artikel 4, lid 1, punt f),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In de tekst in punt d) die wordt geschrapt, werd voorgesteld Europol irreguliere migratie te laten monitoren.</w:t>
      </w:r>
      <w:r>
        <w:t xml:space="preserve"> </w:t>
      </w:r>
      <w:r>
        <w:t>Dit is veeleer een taak voor Frontex.</w:t>
      </w:r>
      <w:r>
        <w:t xml:space="preserve"> </w:t>
      </w:r>
      <w:r>
        <w:t>Irreguliere migratie is geen misdrijf, het is vaak een reactie op situaties in derde landen.</w:t>
      </w:r>
      <w:r>
        <w:t xml:space="preserve"> </w:t>
      </w:r>
      <w:r>
        <w:t>Europol moet focussen op het voorkomen, opsporen en onderzoeken van de criminele smokkelnetwerken die profiteren van de ellende van anderen. Punt f) wordt geschrapt omdat het te vaag is, de punten g) en h) zijn samengevoegd.</w:t>
      </w:r>
    </w:p>
    <w:p>
      <w:r>
        <w:rPr>
          <w:rStyle w:val="HideTWBExt"/>
        </w:rPr>
        <w:t>&lt;/Amend&gt;</w:t>
      </w:r>
    </w:p>
    <w:p>
      <w:pPr>
        <w:pStyle w:val="AmNumberTabs"/>
      </w:pPr>
      <w:r>
        <w:rPr>
          <w:rStyle w:val="HideTWBExt"/>
        </w:rPr>
        <w:t>&lt;Amend&gt;</w:t>
      </w:r>
      <w:r>
        <w:t>Amendement</w:t>
      </w:r>
      <w:r>
        <w:tab/>
      </w:r>
      <w:r>
        <w:tab/>
      </w:r>
      <w:r>
        <w:rPr>
          <w:rStyle w:val="HideTWBExt"/>
        </w:rPr>
        <w:t>&lt;NumAm&gt;</w:t>
      </w:r>
      <w:r>
        <w:t>318</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3 quater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Afdeling 2 bis (nieuw) – Artikel 16 quater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 quater)</w:t>
            </w:r>
            <w:r>
              <w:tab/>
            </w:r>
            <w:r>
              <w:rPr>
                <w:b/>
                <w:i/>
              </w:rPr>
              <w:t>Artikel 16 quater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De operationele taken van het Europees Centrum tegen migrantensmokkel zijn: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onderzoeks- en operationele acties coördineren, organiseren en uitvoeren ter ondersteuning en versterking van de acties van de bevoegde autoriteiten van de lidstaten bij het voorkomen, opsporen, onderzoeken en bestrijden van migrantensmokkel en mensenhandel, onder meer in het kader van de inzet van Europol voor operationele ondersteuning, overeenkomstig artikel 4, lid 1, punten c) en m),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grensoverschrijdende informatie-uitwisselingsactiviteiten, operaties en onderzoeken van de lidstaten ondersteunen, alsook gemeenschappelijke onderzoeksteams en operationele taskforces op het gebied van migrantensmokkel en mensenhandel, onder meer door analytische, operationele, technische, forensische en financiële ondersteuning te bieden, overeenkomstig artikel 4, lid 1, punt h),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 administratieve, logistieke, financiële en operationele ondersteuning verlenen aan door lidstaten geleide operationele activiteiten, overeenkomstig artikel 4, lid 2, van deze verordening;</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de uitvoerend directeur van Europol ondersteunen bij het evalueren, overeenkomstig artikel 5 ter, lid 3, van deze verordening, van verzoeken van de lidstaten om Europol in te zetten voor operationele steun in verband met migrantensmokkel en mensenhandel, onder meer bij het prioriteren van dergelijke verzoeken op basis van operationele behoeften;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 gevallen van migrantensmokkel en mensenhandel identificeren die mogelijk de toepassing vereisen van artikel 6 van deze verordening op verzoeken van Europol om een strafrechtelijk onderzoek in te stellen, en de uitvoerend directeur van Europol informeren over dergelijke gevallen;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gevallen van migrantensmokkel en mensenhandel identificeren waarvoor de betrokkenheid van een gerechtelijke autoriteit nodig kan zijn, Eurojust over dergelijke gevallen informeren;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gevallen van migrantensmokkel en mensenhandel identificeren waarvoor samenwerking met derde landen nodig kan zijn, onder meer door de uitwisseling van persoonsgegevens, mits de uitwisseling van persoonsgegevens noodzakelijk en evenredig is en in overeenstemming is met artikel 25 van deze verordening.</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Motivering</w:t>
      </w:r>
      <w:r>
        <w:rPr>
          <w:rStyle w:val="HideTWBExt"/>
        </w:rPr>
        <w:t>&lt;/TitreJust&gt;</w:t>
      </w:r>
    </w:p>
    <w:p>
      <w:pPr>
        <w:pStyle w:val="AmJustText"/>
      </w:pPr>
      <w:r>
        <w:t>De bepalingen in de punten e) en f) van het Commissievoorstel lijken erop te wijzen dat het Europol-centrum tegen migrantensmokkel werk voor Europol moet identificeren.</w:t>
      </w:r>
      <w:r>
        <w:t xml:space="preserve"> </w:t>
      </w:r>
      <w:r>
        <w:t>Hiervoor is het agentschap niet bedoeld.</w:t>
      </w:r>
      <w:r>
        <w:t xml:space="preserve"> </w:t>
      </w:r>
      <w:r>
        <w:t>Overeenkomstig artikel 1 van de verordening heeft het agentschap tot doel het ondersteunen van de samenwerking tussen rechtshandhavingsinstanties in de Unie.</w:t>
      </w:r>
    </w:p>
    <w:p>
      <w:r>
        <w:rPr>
          <w:rStyle w:val="HideTWBExt"/>
        </w:rPr>
        <w:t>&lt;/Amend&gt;</w:t>
      </w:r>
    </w:p>
    <w:p>
      <w:pPr>
        <w:pStyle w:val="AmNumberTabs"/>
      </w:pPr>
      <w:r>
        <w:rPr>
          <w:rStyle w:val="HideTWBExt"/>
        </w:rPr>
        <w:t>&lt;Amend&gt;</w:t>
      </w:r>
      <w:r>
        <w:t>Amendement</w:t>
      </w:r>
      <w:r>
        <w:tab/>
      </w:r>
      <w:r>
        <w:tab/>
      </w:r>
      <w:r>
        <w:rPr>
          <w:rStyle w:val="HideTWBExt"/>
        </w:rPr>
        <w:t>&lt;NumAm&gt;</w:t>
      </w:r>
      <w:r>
        <w:t>319</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quinquies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w:t>
            </w:r>
            <w:r>
              <w:tab/>
            </w:r>
            <w:r>
              <w:rPr>
                <w:b/>
                <w:i/>
              </w:rPr>
              <w:t>Artikel 5 quinquies – Gedelegeerde handelingen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De bevoegdheid om gedelegeerde handelingen vast te stellen krachtens artikel 290 VWEU wordt aan de Commissie toegekend onder de in dit artikel bepaalde voorwaarden.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Het Europees Parlement of de Raad kan de in artikel 5 quater bedoelde bevoegdheidsdelegatie te allen tijde intrekken.</w:t>
            </w:r>
            <w:r>
              <w:rPr>
                <w:b/>
                <w:i/>
              </w:rPr>
              <w:t>Het besluit tot intrekking beëindigt de delegatie van de in dat besluit genoemde bevoegdheid.</w:t>
            </w:r>
            <w:r>
              <w:rPr>
                <w:b/>
                <w:i/>
              </w:rPr>
              <w:t>Het wordt van kracht op de dag na die van de bekendmaking ervan in het Publicatieblad van de Europese Unie of op een daarin genoemde latere datum.</w:t>
            </w:r>
            <w:r>
              <w:rPr>
                <w:b/>
                <w:i/>
              </w:rPr>
              <w:t>Het laat de geldigheid van de reeds van kracht zijnde gedelegeerde handelingen onverlet.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Alvorens een gedelegeerde handeling aan te nemen voert de Commissie bij haar voorbereidende werkzaamheden passende raadplegingen, onder meer op deskundigenniveau, en die raadplegingen gebeuren in overeenstemming met de beginselen die zijn vastgelegd in het Interinstitutioneel Akkoord van 13 april 2016 over beter wetgeven.</w:t>
            </w:r>
            <w:r>
              <w:rPr>
                <w:b/>
                <w:i/>
              </w:rPr>
              <w:t>Om te zorgen voor gelijke deelname aan de voorbereiding van gedelegeerde handelingen moeten het Europees Parlement en de Raad met name alle documenten op hetzelfde tijdstip ontvangen als de deskundigen.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Zodra de Commissie een gedelegeerde handeling heeft vastgesteld, doet zij daarvan gelijktijdig kennisgeving aan het Europees Parlement en de Raad.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Een op grond van artikel 5 quater vastgestelde gedelegeerde handeling treedt alleen in werking indien het Europees Parlement noch de Raad daartegen binnen een termijn van drie maanden na de kennisgeving van de handeling aan het Europees Parlement en de Raad bezwaar heeft gemaakt, of indien zowel het Europees Parlement als de Raad voor het verstrijken van die termijn de Commissie hebben medegedeeld dat zij daartegen geen bezwaar zullen maken.</w:t>
            </w:r>
            <w:r>
              <w:t xml:space="preserve"> </w:t>
            </w:r>
            <w:r>
              <w:rPr>
                <w:b/>
                <w:i/>
              </w:rPr>
              <w:t>Die termijn wordt op initiatief van het Europees Parlement of de Raad met drie maanden verlengd.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320</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quinquies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Artikel 5 quinquies Vertegenwoordiging van betrokkenen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Overeenkomstig het procesrecht van de lidstaat heeft de betrokkene het recht om een orgaan, organisatie of vereniging zonder winstoogmerk die naar behoren is opgericht overeenkomstig het recht van de lidstaat, die statutaire doelstellingen heeft die in het algemeen belang zijn en die actief is op het gebied van de bescherming van de rechten en vrijheden van de betrokkene met betrekking tot de bescherming van diens persoonsgegevens, opdracht te geven de klacht in te dienen namens hem.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321</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5 sexies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ter)</w:t>
            </w:r>
            <w:r>
              <w:tab/>
            </w:r>
            <w:r>
              <w:rPr>
                <w:b/>
                <w:i/>
              </w:rPr>
              <w:t>Artikel 5 quinquies – Benoeming van de uitvoerend directeur en de plaatsvervangende uitvoerend directeuren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rPr>
                <w:b/>
                <w:i/>
              </w:rPr>
              <w:t>Het Europees Parlement en de Raad benoemen in onderlinge overeenstemming de uitvoerend directeur en de plaatsvervangende uitvoerend directeuren voor een termijn van vijf jaar, op basis van een lijst van kandidaten die de Commissie na een openbare sollicitatieoproep opstelt.</w:t>
            </w:r>
            <w:r>
              <w:rPr>
                <w:b/>
                <w:i/>
              </w:rPr>
              <w:t>Deze sollicitatieoproep staat open voor alle belangstellenden in de gehele Unie.</w:t>
            </w:r>
            <w:r>
              <w:rPr>
                <w:b/>
                <w:i/>
              </w:rPr>
              <w:t>De door de Commissie opgestelde lijst van kandidaten is openbaar en bestaat uit ten minste drie kandidaten.</w:t>
            </w:r>
            <w:r>
              <w:rPr>
                <w:b/>
                <w:i/>
              </w:rPr>
              <w:t>De bevoegde commissie van het Europees Parlement kan op basis van de door de Commissie opgestelde lijst besluiten een hoorzitting te houden zodat zij een voorkeur kan uitspreken.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rPr>
                <w:b/>
                <w:i/>
              </w:rPr>
              <w:t>De in lid 1 bedoelde lijst van kandidaten bestaat uit personen die alle waarborgen voor onafhankelijkheid bieden en die duidelijk beschikken over deskundigheid en over de ervaring en vaardigheden die nodig zijn om de taken uit hoofde van deze verordening uit te voeren.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rPr>
                <w:b/>
                <w:i/>
              </w:rPr>
              <w:t>De ambtstermijn van de uitvoerend directeur en de plaatsvervangende uitvoerend directeuren kan eenmaal worden verlengd.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rPr>
                <w:b/>
                <w:i/>
              </w:rPr>
              <w:t>De uitvoerend directeur en de plaatsvervangende uitvoerend directeuren kunnen op verzoek van het Europees Parlement, de Raad of de Commissie door de raad van bestuur worden ontslagen, of hun recht op pensioen of pensioenvervangende voordelen verliezen indien zij niet langer aan de voorwaarden voor de uitoefening van het ambt voldoen of op ernstige wijze zijn tekortgeschoten.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In geval van normale vervanging of vrijwillig ontslag blijven de uitvoerend directeur of plaatsvervangende uitvoerend directeuren evenwel in functie totdat zij vervangen zijn.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322</w:t>
      </w:r>
      <w:r>
        <w:rPr>
          <w:rStyle w:val="HideTWBExt"/>
        </w:rPr>
        <w:t>&lt;/NumAm&gt;</w:t>
      </w:r>
    </w:p>
    <w:p>
      <w:pPr>
        <w:pStyle w:val="NormalBold"/>
      </w:pPr>
      <w:r>
        <w:rPr>
          <w:rStyle w:val="HideTWBExt"/>
          <w:b w:val="0"/>
        </w:rPr>
        <w:t>&lt;RepeatBlock-By&gt;</w:t>
      </w:r>
      <w:r>
        <w:rPr>
          <w:rStyle w:val="HideTWBExt"/>
          <w:b w:val="0"/>
        </w:rPr>
        <w:t>&lt;Members&gt;</w:t>
      </w:r>
      <w:r>
        <w:t>Saskia Bricmont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18 – lid 2 – punt d</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het faciliteren</w:t>
            </w:r>
            <w:r>
              <w:rPr>
                <w:b/>
                <w:i/>
              </w:rPr>
              <w:t>, onder meer door middel van Siena,</w:t>
            </w:r>
            <w:r>
              <w:t xml:space="preserve"> van de uitwisseling van informatie tussen lidstaten, Europol, andere organen van de Unie, derde landen, internationale organisaties en particuliere partijen;</w:t>
            </w:r>
            <w:r>
              <w:rPr>
                <w:b/>
                <w:i/>
              </w:rPr>
              <w:t>;</w:t>
            </w:r>
          </w:p>
        </w:tc>
        <w:tc>
          <w:tcPr>
            <w:tcW w:w="4876" w:type="dxa"/>
            <w:tcBorders>
              <w:top w:val="nil"/>
              <w:left w:val="nil"/>
              <w:bottom w:val="nil"/>
              <w:right w:val="nil"/>
            </w:tcBorders>
          </w:tcPr>
          <w:p>
            <w:pPr>
              <w:pStyle w:val="Normal6a"/>
            </w:pPr>
            <w:r>
              <w:t>d)</w:t>
            </w:r>
            <w:r>
              <w:tab/>
            </w:r>
            <w:r>
              <w:t>het faciliteren van de uitwisseling van informatie tussen lidstaten, Europol, andere organen van de Unie, derde landen, internationale organisaties en particuliere partijen;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323</w:t>
      </w:r>
      <w:r>
        <w:rPr>
          <w:rStyle w:val="HideTWBExt"/>
        </w:rPr>
        <w:t>&lt;/NumAm&gt;</w:t>
      </w:r>
    </w:p>
    <w:p>
      <w:pPr>
        <w:pStyle w:val="NormalBold"/>
      </w:pPr>
      <w:r>
        <w:rPr>
          <w:rStyle w:val="HideTWBExt"/>
          <w:b w:val="0"/>
        </w:rPr>
        <w:t>&lt;RepeatBlock-By&gt;</w:t>
      </w:r>
      <w:r>
        <w:rPr>
          <w:rStyle w:val="HideTWBExt"/>
          <w:b w:val="0"/>
        </w:rPr>
        <w:t>&lt;Members&gt;</w:t>
      </w:r>
      <w:r>
        <w:t>Verena Mertens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 bis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63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tab/>
            </w:r>
            <w:r>
              <w:rPr>
                <w:b/>
                <w:i/>
              </w:rPr>
              <w:t>(4 bis) het volgende artikel wordt ingevoegd: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Artikel 63 bis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Getuigenverklaringen van personeelsleden van Europol</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De uitvoerend directeur beslist of personeelsleden van Europol worden gemachtigd om te getuigen voor de rechtbank van een lidstaat.</w:t>
            </w:r>
            <w:r>
              <w:t xml:space="preserve"> </w:t>
            </w:r>
            <w:r>
              <w:rPr>
                <w:b/>
                <w:i/>
              </w:rPr>
              <w:t>De machtiging om te getuigen mag niet ten onrechte worden geweigerd en de uitvoerend directeur kan, afhankelijk van de omstandigheden, voorwaarden voor het afleggen van getuigenverklaringen vaststellen, overeenkomstig het nationale recht.</w:t>
            </w:r>
            <w:r>
              <w:t xml:space="preserve"> </w:t>
            </w:r>
            <w:r>
              <w:rPr>
                <w:b/>
                <w:i/>
              </w:rPr>
              <w:t>In dit verband moet rekening worden gehouden met een eventuele bijzondere behoefte aan bescherming van de getuige.</w:t>
            </w:r>
            <w:r>
              <w:t xml:space="preserve"> </w:t>
            </w:r>
            <w:r>
              <w:rPr>
                <w:b/>
                <w:i/>
              </w:rPr>
              <w:t>Dit is met name het geval wanneer er een dringend risico bestaat op ernstige schade voor het welzijn van de getuige of op schade voor de Europese Unie of een lidstaat.</w:t>
            </w:r>
            <w:r>
              <w:t xml:space="preserve"> </w:t>
            </w:r>
            <w:r>
              <w:rPr>
                <w:b/>
                <w:i/>
              </w:rPr>
              <w:t>In dergelijke zaken moet worden overwogen en in voorkomend geval opdracht gegeven om een afzonderlijke hoorzitting te houden, zonder de personen die het recht hebben aanwezig te zijn, dan wel een audiovisuele hoorzitting, indien nodig zonder bekendmaking van de identiteit van de getuige.</w:t>
            </w:r>
            <w:r>
              <w:t xml:space="preserve"> </w:t>
            </w:r>
            <w:r>
              <w:rPr>
                <w:b/>
                <w:i/>
              </w:rPr>
              <w:t>Deze bepalingen zijn ook van toepassing op voormalige personeelsleden van Europol.”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324</w:t>
      </w:r>
      <w:r>
        <w:rPr>
          <w:rStyle w:val="HideTWBExt"/>
        </w:rPr>
        <w:t>&lt;/NumAm&gt;</w:t>
      </w:r>
    </w:p>
    <w:p>
      <w:pPr>
        <w:pStyle w:val="NormalBold"/>
      </w:pPr>
      <w:r>
        <w:rPr>
          <w:rStyle w:val="HideTWBExt"/>
          <w:b w:val="0"/>
        </w:rPr>
        <w:t>&lt;RepeatBlock-By&gt;</w:t>
      </w:r>
      <w:r>
        <w:rPr>
          <w:rStyle w:val="HideTWBExt"/>
          <w:b w:val="0"/>
        </w:rPr>
        <w:t>&lt;Members&gt;</w:t>
      </w:r>
      <w:r>
        <w:t>Thijs Reuten, Cecilia Strada, Murielle Laurent, Alessandro Zan,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 bis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18 – lid 2 – punt f bis (nieuw)</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Aan artikel 18, lid 2, wordt het volgende punt toegevoegd:</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 Biometrische gegevens mogen alleen worden verwerkt indien dit strikt noodzakelijk is en in verhouding staat tot het nagestreefde doel en in overeenstemming is met artikel 30 van deze verordening en met Richtlijn (EU) 2016/680.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325</w:t>
      </w:r>
      <w:r>
        <w:rPr>
          <w:rStyle w:val="HideTWBExt"/>
        </w:rPr>
        <w:t>&lt;/NumAm&gt;</w:t>
      </w:r>
    </w:p>
    <w:p>
      <w:pPr>
        <w:pStyle w:val="NormalBold"/>
      </w:pPr>
      <w:r>
        <w:rPr>
          <w:rStyle w:val="HideTWBExt"/>
          <w:b w:val="0"/>
        </w:rPr>
        <w:t>&lt;RepeatBlock-By&gt;</w:t>
      </w:r>
      <w:r>
        <w:rPr>
          <w:rStyle w:val="HideTWBExt"/>
          <w:b w:val="0"/>
        </w:rPr>
        <w:t>&lt;Members&gt;</w:t>
      </w:r>
      <w:r>
        <w:t>Jeroen Lenaers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4 bis (nieuw)</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Artikel 41 quater – lid 2 – punt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In artikel 41 quater, lid 2, wordt punt b) vervangen door:</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toe te zien op de naleving van de grondrechten door Europol, onder meer in het kader van operationele taskforces en de inzet van Europol voor operationele ondersteuning;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326</w:t>
      </w:r>
      <w:r>
        <w:rPr>
          <w:rStyle w:val="HideTWBExt"/>
        </w:rPr>
        <w:t>&lt;/NumAm&gt;</w:t>
      </w:r>
    </w:p>
    <w:p>
      <w:pPr>
        <w:pStyle w:val="NormalBold"/>
      </w:pPr>
      <w:r>
        <w:rPr>
          <w:rStyle w:val="HideTWBExt"/>
          <w:b w:val="0"/>
        </w:rPr>
        <w:t>&lt;RepeatBlock-By&gt;</w:t>
      </w:r>
      <w:r>
        <w:rPr>
          <w:rStyle w:val="HideTWBExt"/>
          <w:b w:val="0"/>
        </w:rPr>
        <w:t>&lt;Members&gt;</w:t>
      </w:r>
      <w:r>
        <w:t>Ilaria Salis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Voorstel voor een verordening</w:t>
      </w:r>
      <w:r>
        <w:rPr>
          <w:rStyle w:val="HideTWBExt"/>
        </w:rPr>
        <w:t>&lt;/DocAmend&gt;</w:t>
      </w:r>
    </w:p>
    <w:p>
      <w:pPr>
        <w:pStyle w:val="NormalBold"/>
      </w:pPr>
      <w:r>
        <w:rPr>
          <w:rStyle w:val="HideTWBExt"/>
        </w:rPr>
        <w:t>&lt;Article&gt;</w:t>
      </w:r>
      <w:r>
        <w:t>Artikel 9 – alinea 1 – punt 5 – a</w:t>
      </w:r>
      <w:r>
        <w:rPr>
          <w:rStyle w:val="HideTWBExt"/>
        </w:rPr>
        <w:t>&lt;/Article&gt;</w:t>
      </w:r>
    </w:p>
    <w:p>
      <w:r>
        <w:rPr>
          <w:rStyle w:val="HideTWBExt"/>
        </w:rPr>
        <w:t>&lt;DocAmend2&gt;</w:t>
      </w:r>
      <w:r>
        <w:t>Verordening (EU) 2016/794</w:t>
      </w:r>
      <w:r>
        <w:rPr>
          <w:rStyle w:val="HideTWBExt"/>
        </w:rPr>
        <w:t>&lt;/DocAmend2&gt;</w:t>
      </w:r>
    </w:p>
    <w:p>
      <w:r>
        <w:rPr>
          <w:rStyle w:val="HideTWBExt"/>
        </w:rPr>
        <w:t>&lt;Article2&gt;</w:t>
      </w:r>
      <w:r>
        <w:t>Bijlage I – streepje 6</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Door de Commissie voorgestelde tekst</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t>
            </w:r>
            <w:r>
              <w:tab/>
            </w:r>
            <w:r>
              <w:t>migrantensmokkel;</w:t>
            </w:r>
          </w:p>
        </w:tc>
        <w:tc>
          <w:tcPr>
            <w:tcW w:w="4876" w:type="dxa"/>
            <w:tcBorders>
              <w:top w:val="nil"/>
              <w:left w:val="nil"/>
              <w:bottom w:val="nil"/>
              <w:right w:val="nil"/>
            </w:tcBorders>
          </w:tcPr>
          <w:p>
            <w:pPr>
              <w:pStyle w:val="Normal6a"/>
            </w:pPr>
            <w:r>
              <w:t>-</w:t>
            </w:r>
            <w:r>
              <w:tab/>
            </w:r>
            <w:r>
              <w:rPr>
                <w:b/>
                <w:i/>
              </w:rPr>
              <w:t>uitbuitende vormen van</w:t>
            </w:r>
            <w:r>
              <w:t xml:space="preserve"> migrantensmokkel;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770.286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200</w:t>
    </w:r>
    <w:r>
      <w:fldChar w:fldCharType="end"/>
    </w:r>
    <w:r>
      <w:t>/</w:t>
    </w:r>
    <w:r>
      <w:fldChar w:fldCharType="begin"/>
    </w:r>
    <w:r>
      <w:instrText xml:space="preserve"> NUMPAGES </w:instrText>
    </w:r>
    <w:r>
      <w:fldChar w:fldCharType="separate"/>
    </w:r>
    <w:r>
      <w:t>201</w:t>
    </w:r>
    <w:r>
      <w:fldChar w:fldCharType="end"/>
    </w:r>
    <w:r>
      <w:tab/>
    </w:r>
    <w:r>
      <w:rPr>
        <w:rStyle w:val="HideTWBExt"/>
      </w:rPr>
      <w:t>&lt;PathFdR&gt;</w:t>
    </w:r>
    <w:r>
      <w:t>AM\1317359NL.docx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AM\1317359NL.docx</w:t>
    </w:r>
    <w:r>
      <w:rPr>
        <w:rStyle w:val="HideTWBExt"/>
      </w:rPr>
      <w:t>&lt;/PathFdR&gt;</w:t>
    </w:r>
    <w:r>
      <w:tab/>
    </w:r>
    <w:r>
      <w:fldChar w:fldCharType="begin"/>
    </w:r>
    <w:r>
      <w:instrText xml:space="preserve"> PAGE </w:instrText>
    </w:r>
    <w:r>
      <w:fldChar w:fldCharType="separate"/>
    </w:r>
    <w:r>
      <w:t>201</w:t>
    </w:r>
    <w:r>
      <w:fldChar w:fldCharType="end"/>
    </w:r>
    <w:r>
      <w:t>/</w:t>
    </w:r>
    <w:r>
      <w:fldChar w:fldCharType="begin"/>
    </w:r>
    <w:r>
      <w:instrText xml:space="preserve"> NUMPAGES </w:instrText>
    </w:r>
    <w:r>
      <w:fldChar w:fldCharType="separate"/>
    </w:r>
    <w:r>
      <w:t>201</w:t>
    </w:r>
    <w:r>
      <w:fldChar w:fldCharType="end"/>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AM\1317359NL.docx</w:t>
    </w:r>
    <w:r>
      <w:rPr>
        <w:rStyle w:val="HideTWBExt"/>
      </w:rPr>
      <w:t>&lt;/PathFdR&gt;</w:t>
    </w:r>
    <w:r>
      <w:tab/>
    </w:r>
    <w:r>
      <w:tab/>
    </w:r>
    <w:r>
      <w:t>PE</w:t>
    </w:r>
    <w:r>
      <w:rPr>
        <w:rStyle w:val="HideTWBExt"/>
      </w:rPr>
      <w:t>&lt;NoPE&gt;</w:t>
    </w:r>
    <w:r>
      <w:t>770.286</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201</Pages>
  <Words>46577</Words>
  <Characters>291158</Characters>
  <Application>Microsoft Office Word</Application>
  <DocSecurity>0</DocSecurity>
  <Lines>1</Lines>
  <Paragraphs>3011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335540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1317359</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156280</vt:lpwstr>
  </property>
  <property fmtid="{D5CDD505-2E9C-101B-9397-08002B2CF9AE}" pid="7" name="dmxml.render.traceId">
    <vt:lpwstr>67ec055ff3a95ba78cb1028ad20c1c65</vt:lpwstr>
  </property>
  <property fmtid="{D5CDD505-2E9C-101B-9397-08002B2CF9AE}" pid="8" name="FooterPath">
    <vt:lpwstr>AM\1317359NL.docx</vt:lpwstr>
  </property>
  <property fmtid="{D5CDD505-2E9C-101B-9397-08002B2CF9AE}" pid="9" name="PE Number">
    <vt:lpwstr>770.286</vt:lpwstr>
  </property>
  <property fmtid="{D5CDD505-2E9C-101B-9397-08002B2CF9AE}" pid="10" name="UID">
    <vt:lpwstr>eu.europa.europarl-DIN1-2025-0000052574_02.00-nl-01.00_text-xml</vt:lpwstr>
  </property>
</Properties>
</file>