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Euroopan parlamentti</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Kansalaisvapauksien sekä oikeus- ja sisäasioiden valiokunta</w:t>
      </w:r>
      <w:r>
        <w:rPr>
          <w:rStyle w:val="HideTWBExt"/>
        </w:rPr>
        <w:t>&lt;/Commission&gt;</w:t>
      </w:r>
    </w:p>
    <w:p>
      <w:pPr>
        <w:pStyle w:val="LineBottom"/>
      </w:pPr>
      <w:r>
        <w:t xml:space="preserve"> </w:t>
      </w:r>
    </w:p>
    <w:p>
      <w:pPr>
        <w:pStyle w:val="CoverReference"/>
      </w:pPr>
      <w:r>
        <w:rPr>
          <w:rStyle w:val="HideTWBExt"/>
        </w:rPr>
        <w:t>&lt;RefProc&gt;</w:t>
      </w:r>
      <w:r>
        <w:t>2024/0315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{01/04/2025}</w:t>
      </w:r>
      <w:r>
        <w:t>1.4.2025</w:t>
      </w:r>
      <w:r>
        <w:rPr>
          <w:rStyle w:val="HideTWBExt"/>
        </w:rPr>
        <w:t>&lt;/Date&gt;</w:t>
      </w:r>
    </w:p>
    <w:p>
      <w:pPr>
        <w:pStyle w:val="CoverDocType"/>
      </w:pPr>
      <w:r>
        <w:rPr>
          <w:rStyle w:val="HideTWBExt"/>
        </w:rPr>
        <w:t>&lt;TypeAM&gt;</w:t>
      </w:r>
      <w:r>
        <w:t>TARKISTUKSET</w:t>
      </w:r>
      <w:r>
        <w:rPr>
          <w:rStyle w:val="HideTWBExt"/>
        </w:rPr>
        <w:t>&lt;/TypeAM&gt;</w:t>
      </w:r>
    </w:p>
    <w:p>
      <w:pPr>
        <w:pStyle w:val="CoverDocType24a"/>
      </w:pPr>
      <w:r>
        <w:rPr>
          <w:rStyle w:val="HideTWBExt"/>
        </w:rPr>
        <w:t>&lt;RangeAM&gt;</w:t>
      </w:r>
      <w:r>
        <w:t>29</w:t>
      </w:r>
      <w:r>
        <w:t xml:space="preserve"> - </w:t>
      </w:r>
      <w:r>
        <w:t>151</w:t>
      </w:r>
      <w:r>
        <w:rPr>
          <w:rStyle w:val="HideTWBExt"/>
        </w:rPr>
        <w:t>&lt;/RangeAM&gt;</w:t>
      </w:r>
    </w:p>
    <w:p>
      <w:pPr>
        <w:pStyle w:val="CoverBold"/>
      </w:pPr>
      <w:r>
        <w:rPr>
          <w:rStyle w:val="HideTWBExt"/>
        </w:rPr>
        <w:t>&lt;TitreType&gt;</w:t>
      </w:r>
      <w:r>
        <w:t>Mietintöluonnos</w:t>
      </w:r>
      <w:r>
        <w:rPr>
          <w:rStyle w:val="HideTWBExt"/>
        </w:rPr>
        <w:t>&lt;/TitreType&gt;</w:t>
      </w:r>
    </w:p>
    <w:p>
      <w:pPr>
        <w:pStyle w:val="CoverBold"/>
      </w:pPr>
      <w:r>
        <w:rPr>
          <w:rStyle w:val="HideTWBExt"/>
        </w:rPr>
        <w:t>&lt;Rapporteur&gt;</w:t>
      </w:r>
      <w:r>
        <w:t>Assita Kanko</w:t>
      </w:r>
      <w:r>
        <w:rPr>
          <w:rStyle w:val="HideTWBExt"/>
        </w:rPr>
        <w:t>&lt;/Rapporteur&gt;</w:t>
      </w:r>
    </w:p>
    <w:p>
      <w:pPr>
        <w:pStyle w:val="CoverNormal24a"/>
      </w:pPr>
      <w:r>
        <w:rPr>
          <w:rStyle w:val="HideTWBExt"/>
        </w:rPr>
        <w:t>&lt;DocRefPE&gt;</w:t>
      </w:r>
      <w:r>
        <w:t>(PE770.093v01-00)</w:t>
      </w:r>
      <w:r>
        <w:rPr>
          <w:rStyle w:val="HideTWBExt"/>
        </w:rPr>
        <w:t>&lt;/DocRefPE&gt;</w:t>
      </w:r>
    </w:p>
    <w:p>
      <w:pPr>
        <w:pStyle w:val="CoverNormal24a"/>
      </w:pPr>
      <w:r>
        <w:rPr>
          <w:rStyle w:val="HideTWBExt"/>
        </w:rPr>
        <w:t>&lt;Titre&gt;</w:t>
      </w:r>
      <w:r>
        <w:t>Tilapäinen poikkeaminen asetuksen (EU) 2017/2226 ja asetuksen (EU) 2016/399 tietyistä säännöksistä rajanylitystietojärjestelmän asteittaisen käyttöönoton osalta</w:t>
      </w:r>
      <w:r>
        <w:rPr>
          <w:rStyle w:val="HideTWBExt"/>
        </w:rPr>
        <w:t>&lt;/Titre&gt;</w:t>
      </w:r>
    </w:p>
    <w:p>
      <w:pPr>
        <w:pStyle w:val="CoverNormal"/>
      </w:pPr>
      <w:r>
        <w:rPr>
          <w:rStyle w:val="HideTWBExt"/>
        </w:rPr>
        <w:t>&lt;DocAmend&gt;</w:t>
      </w:r>
      <w:r>
        <w:t>Ehdotus asetukseksi</w:t>
      </w:r>
      <w:r>
        <w:rPr>
          <w:rStyle w:val="HideTWBExt"/>
        </w:rPr>
        <w:t>&lt;/DocAmend&gt;</w:t>
      </w:r>
    </w:p>
    <w:p>
      <w:pPr>
        <w:pStyle w:val="CoverNormal24a"/>
      </w:pPr>
      <w:r>
        <w:rPr>
          <w:rStyle w:val="HideTWBExt"/>
        </w:rPr>
        <w:t>&lt;DocRef&gt;</w:t>
      </w:r>
      <w:r>
        <w:t>(COM(2024)0567 – 2024/0315(COD))</w:t>
      </w:r>
      <w:r>
        <w:rPr>
          <w:rStyle w:val="HideTWBExt"/>
        </w:rPr>
        <w:t>&lt;/DocRef&gt;</w:t>
      </w:r>
    </w:p>
    <w:p>
      <w:r>
        <w:br w:type="page"/>
      </w:r>
      <w:r>
        <w:t>AM_Com_LegReport</w:t>
      </w:r>
    </w:p>
    <w:p>
      <w:pPr>
        <w:pStyle w:val="AmNumberTabs"/>
      </w:pPr>
      <w:r>
        <w:br w:type="page"/>
      </w:r>
      <w:r>
        <w:rPr>
          <w:rStyle w:val="HideTWBExt"/>
        </w:rPr>
        <w:t>&lt;RepeatBlock-AmendA&gt;</w:t>
      </w:r>
      <w:r>
        <w:rPr>
          <w:rStyle w:val="HideTWBExt"/>
        </w:rPr>
        <w:t>&lt;AmendA&gt;</w:t>
      </w:r>
      <w:r>
        <w:t>Tarkistus</w:t>
      </w:r>
      <w:r>
        <w:tab/>
      </w:r>
      <w:r>
        <w:tab/>
      </w:r>
      <w:r>
        <w:rPr>
          <w:rStyle w:val="HideTWBExt"/>
        </w:rPr>
        <w:t>&lt;NumAmA&gt;</w:t>
      </w:r>
      <w:r>
        <w:t>29</w:t>
      </w:r>
      <w:r>
        <w:rPr>
          <w:rStyle w:val="HideTWBExt"/>
        </w:rPr>
        <w:t>&lt;/NumAmA&gt;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Luonnos lainsäädäntöpäätöslauselmaksi</w:t>
      </w:r>
      <w:r>
        <w:rPr>
          <w:rStyle w:val="HideTWBExt"/>
        </w:rPr>
        <w:t>&lt;/DocAmend&gt;</w:t>
      </w:r>
    </w:p>
    <w:p>
      <w:pPr>
        <w:pStyle w:val="NormalBold"/>
      </w:pPr>
      <w:r>
        <w:rPr>
          <w:rStyle w:val="HideTWBExt"/>
        </w:rPr>
        <w:t>&lt;Article&gt;</w:t>
      </w:r>
      <w:r>
        <w:t>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Luonnos lainsäädäntöpäätöslauselmaksi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vahvistaa jäljempänä esitetyn ensimmäisen käsittelyn kannan</w:t>
            </w:r>
            <w:r>
              <w:t>;</w:t>
            </w:r>
          </w:p>
        </w:tc>
        <w:tc>
          <w:tcPr>
            <w:tcW w:w="4876" w:type="dxa"/>
            <w:tcBorders>
              <w:top w:val="nil"/>
              <w:left w:val="nil"/>
              <w:bottom w:val="nil"/>
              <w:right w:val="nil"/>
            </w:tcBorders>
          </w:tcPr>
          <w:p>
            <w:pPr>
              <w:pStyle w:val="Normal6a"/>
            </w:pPr>
            <w:r>
              <w:t>1.</w:t>
            </w:r>
            <w:r>
              <w:tab/>
            </w:r>
            <w:r>
              <w:rPr>
                <w:b/>
                <w:i/>
              </w:rPr>
              <w:t>hylkää komission ehdotuksen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&lt;/AmendA&gt;</w:t>
      </w:r>
    </w:p>
    <w:p>
      <w:pPr>
        <w:pStyle w:val="AmNumberTabs"/>
      </w:pPr>
      <w:r>
        <w:rPr>
          <w:rStyle w:val="HideTWBExt"/>
        </w:rPr>
        <w:t>&lt;/RepeatBlock-AmendA&gt;</w:t>
      </w:r>
      <w:r>
        <w:rPr>
          <w:rStyle w:val="HideTWBExt"/>
        </w:rPr>
        <w:t>&lt;RepeatBlock-AmendB&gt;</w:t>
      </w:r>
      <w:r>
        <w:rPr>
          <w:rStyle w:val="HideTWBExt"/>
        </w:rPr>
        <w:t>&lt;AmendB&gt;</w:t>
      </w:r>
      <w:r>
        <w:t>Tarkistus</w:t>
      </w:r>
      <w:r>
        <w:tab/>
      </w:r>
      <w:r>
        <w:tab/>
      </w:r>
      <w:r>
        <w:rPr>
          <w:rStyle w:val="HideTWBExt"/>
        </w:rPr>
        <w:t>&lt;NumAmB&gt;</w:t>
      </w:r>
      <w:r>
        <w:t>30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Komissio ei kuitenkaan ole saanut kaikkia asetuksen (EU) 2017/2226 66 artiklan 1 kohdan c alakohdassa tarkoitettuja ilmoituksia, jotka muodostavat yhden niistä edellytyksistä, joiden nojalla päätös EES:n käyttöönotosta on tehtävä.</w:t>
            </w:r>
          </w:p>
        </w:tc>
        <w:tc>
          <w:tcPr>
            <w:tcW w:w="4876" w:type="dxa"/>
            <w:tcBorders>
              <w:top w:val="nil"/>
              <w:left w:val="nil"/>
              <w:bottom w:val="nil"/>
              <w:right w:val="nil"/>
            </w:tcBorders>
          </w:tcPr>
          <w:p>
            <w:pPr>
              <w:pStyle w:val="Normal6a"/>
            </w:pPr>
            <w:r>
              <w:t>(2)</w:t>
            </w:r>
            <w:r>
              <w:tab/>
            </w:r>
            <w:r>
              <w:t xml:space="preserve">Komissio ei kuitenkaan ole saanut kaikkia asetuksen (EU) 2017/2226 66 artiklan 1 kohdan c alakohdassa tarkoitettuja ilmoituksia, jotka muodostavat yhden niistä edellytyksistä, joiden nojalla päätös EES:n käyttöönotosta on tehtävä. </w:t>
            </w:r>
            <w:r>
              <w:rPr>
                <w:b/>
                <w:i/>
              </w:rPr>
              <w:t>Lisäksi se, että omaksutaan ”kertarysäykseen” perustuva lähestymistapa, jossa täysimittainen toiminta käynnistetään yhdessä yössä, saattaa vaarantaa järjestelmän yleisen häiriönsietokyvyn.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Saaduista ilmoituksista huolimatta on suotavaa omaksua asteittainen lähestymistapa, kun otetaan käyttöön monimutkainen järjestelmä, joka liittyy kriittiseen infrastruktuuriin.</w:t>
      </w:r>
    </w:p>
    <w:p>
      <w:r>
        <w:rPr>
          <w:rStyle w:val="HideTWBExt"/>
        </w:rPr>
        <w:t>&lt;/AmendB&gt;</w:t>
      </w:r>
    </w:p>
    <w:p>
      <w:pPr>
        <w:pStyle w:val="AmNumberTabs"/>
      </w:pPr>
      <w:r>
        <w:rPr>
          <w:rStyle w:val="HideTWBExt"/>
        </w:rPr>
        <w:t>&lt;AmendB&gt;</w:t>
      </w:r>
      <w:r>
        <w:t>Tarkistus</w:t>
      </w:r>
      <w:r>
        <w:tab/>
      </w:r>
      <w:r>
        <w:tab/>
      </w:r>
      <w:r>
        <w:rPr>
          <w:rStyle w:val="HideTWBExt"/>
        </w:rPr>
        <w:t>&lt;NumAmB&gt;</w:t>
      </w:r>
      <w:r>
        <w:t>31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Jotta jäsenvaltiot voisivat aloittaa EES:n käytön joustavasti valmiustasonsa mukaan ja jotta voitaisiin helpottaa teknisiä ja toiminnallisia mukautuksia EES:n käyttöönoton alussa, on tarpeen vahvistaa säännöt EES:n asteittaista käyttöönottoa varten. Sen varmistamiseksi, että näissä mukautuksissa otetaan huomioon mahdolliset matkustusvirrat ja kausihuiput, tällaisen asteittaisen käyttöönottovaiheen tulisi </w:t>
            </w:r>
            <w:r>
              <w:rPr>
                <w:b/>
                <w:i/>
              </w:rPr>
              <w:t>kestää 180 kalenteripäivää</w:t>
            </w:r>
            <w:r>
              <w:t>.</w:t>
            </w:r>
          </w:p>
        </w:tc>
        <w:tc>
          <w:tcPr>
            <w:tcW w:w="4876" w:type="dxa"/>
            <w:tcBorders>
              <w:top w:val="nil"/>
              <w:left w:val="nil"/>
              <w:bottom w:val="nil"/>
              <w:right w:val="nil"/>
            </w:tcBorders>
          </w:tcPr>
          <w:p>
            <w:pPr>
              <w:pStyle w:val="Normal6a"/>
            </w:pPr>
            <w:r>
              <w:t>(4)</w:t>
            </w:r>
            <w:r>
              <w:tab/>
            </w:r>
            <w:r>
              <w:t xml:space="preserve">Jotta jäsenvaltiot voisivat aloittaa EES:n käytön joustavasti valmiustasonsa mukaan ja jotta voitaisiin helpottaa teknisiä ja toiminnallisia mukautuksia EES:n käyttöönoton alussa, on tarpeen vahvistaa säännöt EES:n asteittaista käyttöönottoa varten. Sen varmistamiseksi, että näissä mukautuksissa otetaan huomioon mahdolliset matkustusvirrat ja kausihuiput, tällaisen asteittaisen käyttöönottovaiheen tulisi </w:t>
            </w:r>
            <w:r>
              <w:rPr>
                <w:b/>
                <w:i/>
              </w:rPr>
              <w:t>päättyä vasta sitten, kun EES:n vakaa toiminta on varmistettu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32</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Jotta jäsenvaltiot voisivat aloittaa EES:n käytön joustavasti valmiustasonsa mukaan ja jotta voitaisiin helpottaa teknisiä ja toiminnallisia mukautuksia EES:n käyttöönoton alussa, on tarpeen vahvistaa säännöt EES:n asteittaista käyttöönottoa varten. Sen varmistamiseksi, että näissä mukautuksissa otetaan huomioon mahdolliset matkustusvirrat ja kausihuiput, tällaisen asteittaisen käyttöönottovaiheen tulisi kestää 180 kalenteripäivää.</w:t>
            </w:r>
          </w:p>
        </w:tc>
        <w:tc>
          <w:tcPr>
            <w:tcW w:w="4876" w:type="dxa"/>
            <w:tcBorders>
              <w:top w:val="nil"/>
              <w:left w:val="nil"/>
              <w:bottom w:val="nil"/>
              <w:right w:val="nil"/>
            </w:tcBorders>
          </w:tcPr>
          <w:p>
            <w:pPr>
              <w:pStyle w:val="Normal6a"/>
            </w:pPr>
            <w:r>
              <w:t>(4)</w:t>
            </w:r>
            <w:r>
              <w:tab/>
            </w:r>
            <w:r>
              <w:t xml:space="preserve">Jotta jäsenvaltiot voisivat aloittaa EES:n käytön joustavasti valmiustasonsa mukaan </w:t>
            </w:r>
            <w:r>
              <w:rPr>
                <w:b/>
                <w:i/>
              </w:rPr>
              <w:t>selkeästi määritellyn ajanjakson aikana</w:t>
            </w:r>
            <w:r>
              <w:t xml:space="preserve"> ja jotta voitaisiin helpottaa teknisiä ja toiminnallisia mukautuksia EES:n käyttöönoton alussa, on tarpeen vahvistaa säännöt EES:n asteittaista käyttöönottoa varten. Sen varmistamiseksi, että näissä mukautuksissa otetaan huomioon mahdolliset matkustusvirrat ja kausihuiput, tällaisen asteittaisen käyttöönottovaiheen tulisi kestää 180 kalenteripäivää.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Jotta </w:t>
            </w:r>
            <w:r>
              <w:rPr>
                <w:b/>
                <w:i/>
              </w:rPr>
              <w:t>jäsenvaltiot voisivat aloittaa EES:n käytön joustavasti valmiustasonsa mukaan ja jotta voitaisiin</w:t>
            </w:r>
            <w:r>
              <w:t xml:space="preserve"> helpottaa teknisiä ja toiminnallisia mukautuksia EES:n käyttöönoton alussa, on tarpeen vahvistaa säännöt EES:n asteittaista käyttöönottoa varten. Sen varmistamiseksi, että näissä mukautuksissa otetaan huomioon mahdolliset matkustusvirrat ja kausihuiput, tällaisen asteittaisen käyttöönottovaiheen tulisi kestää 180 kalenteripäivää.</w:t>
            </w:r>
          </w:p>
        </w:tc>
        <w:tc>
          <w:tcPr>
            <w:tcW w:w="4876" w:type="dxa"/>
            <w:tcBorders>
              <w:top w:val="nil"/>
              <w:left w:val="nil"/>
              <w:bottom w:val="nil"/>
              <w:right w:val="nil"/>
            </w:tcBorders>
          </w:tcPr>
          <w:p>
            <w:pPr>
              <w:pStyle w:val="Normal6a"/>
            </w:pPr>
            <w:r>
              <w:t>(4)</w:t>
            </w:r>
            <w:r>
              <w:tab/>
            </w:r>
            <w:r>
              <w:t xml:space="preserve">Jotta </w:t>
            </w:r>
            <w:r>
              <w:rPr>
                <w:b/>
                <w:i/>
              </w:rPr>
              <w:t>voitaisiin minimoida viive ja </w:t>
            </w:r>
            <w:r>
              <w:t>helpottaa teknisiä ja toiminnallisia mukautuksia EES:n käyttöönoton alussa, on tarpeen vahvistaa säännöt EES:n asteittaista käyttöönottoa varten</w:t>
            </w:r>
            <w:r>
              <w:rPr>
                <w:b/>
                <w:i/>
              </w:rPr>
              <w:t> oikea-aikaisen käyttöönoton helpottamiseksi kaikissa jäsenvaltioissa</w:t>
            </w:r>
            <w:r>
              <w:t>. Sen varmistamiseksi, että näissä mukautuksissa otetaan huomioon mahdolliset matkustusvirrat ja kausihuiput, tällaisen asteittaisen käyttöönottovaiheen tulisi kestää 180 kalenteripäivää.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34</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Jotta </w:t>
            </w:r>
            <w:r>
              <w:rPr>
                <w:b/>
                <w:i/>
              </w:rPr>
              <w:t>jäsenvaltiot voisivat aloittaa EES:n käytön joustavasti valmiustasonsa mukaan ja jotta voitaisiin helpottaa</w:t>
            </w:r>
            <w:r>
              <w:t xml:space="preserve"> teknisiä ja toiminnallisia mukautuksia EES</w:t>
            </w:r>
            <w:r>
              <w:rPr>
                <w:b/>
                <w:i/>
              </w:rPr>
              <w:t>:n käyttöönoton alussa</w:t>
            </w:r>
            <w:r>
              <w:t xml:space="preserve">, on tarpeen vahvistaa säännöt EES:n asteittaista käyttöönottoa varten. Sen varmistamiseksi, että näissä mukautuksissa </w:t>
            </w:r>
            <w:r>
              <w:rPr>
                <w:b/>
                <w:i/>
              </w:rPr>
              <w:t>otetaan huomioon</w:t>
            </w:r>
            <w:r>
              <w:t xml:space="preserve"> mahdolliset matkustusvirrat ja kausihuiput, tällaisen asteittaisen käyttöönottovaiheen tulisi kestää 180 kalenteripäivää.</w:t>
            </w:r>
          </w:p>
        </w:tc>
        <w:tc>
          <w:tcPr>
            <w:tcW w:w="4876" w:type="dxa"/>
            <w:tcBorders>
              <w:top w:val="nil"/>
              <w:left w:val="nil"/>
              <w:bottom w:val="nil"/>
              <w:right w:val="nil"/>
            </w:tcBorders>
          </w:tcPr>
          <w:p>
            <w:pPr>
              <w:pStyle w:val="Normal6a"/>
            </w:pPr>
            <w:r>
              <w:t>(4)</w:t>
            </w:r>
            <w:r>
              <w:tab/>
            </w:r>
            <w:r>
              <w:t xml:space="preserve">Jotta </w:t>
            </w:r>
            <w:r>
              <w:rPr>
                <w:b/>
                <w:i/>
              </w:rPr>
              <w:t>voitaisiin varmistaa EES:n saumaton käyttöönotto, tarjota jäsenvaltioille tietynlaista joustoa, kun ne ensimmäisen kerran aloittavat EES:n käytön, ja antaa mahdollisuus tehdä</w:t>
            </w:r>
            <w:r>
              <w:t xml:space="preserve"> teknisiä ja toiminnallisia mukautuksia </w:t>
            </w:r>
            <w:r>
              <w:rPr>
                <w:b/>
                <w:i/>
              </w:rPr>
              <w:t>sitten kun</w:t>
            </w:r>
            <w:r>
              <w:t xml:space="preserve"> EES </w:t>
            </w:r>
            <w:r>
              <w:rPr>
                <w:b/>
                <w:i/>
              </w:rPr>
              <w:t>on toiminnassa</w:t>
            </w:r>
            <w:r>
              <w:t xml:space="preserve">, on tarpeen vahvistaa säännöt EES:n asteittaista käyttöönottoa varten. Sen varmistamiseksi, että näissä mukautuksissa </w:t>
            </w:r>
            <w:r>
              <w:rPr>
                <w:b/>
                <w:i/>
              </w:rPr>
              <w:t>huomioidaan</w:t>
            </w:r>
            <w:r>
              <w:t xml:space="preserve"> mahdolliset matkustusvirrat ja kausihuiput, tällaisen asteittaisen käyttöönottovaiheen tulisi kestää 180 kalenteripäivää.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Jotta EES voidaan ottaa käyttöön asteittain, on sen vuoksi tarpeen poiketa tietyistä asetuksen (EU) 2017/2226 ja Euroopan parlamentin ja neuvoston asetuksen (EU) 2016/399</w:t>
            </w:r>
            <w:r>
              <w:rPr>
                <w:vertAlign w:val="superscript"/>
              </w:rPr>
              <w:t>3</w:t>
            </w:r>
            <w:r>
              <w:t xml:space="preserve">, jäljempänä ’Schengenin rajasäännöstö’, säännöksistä. Muita asetuksessa (EU) 2017/2226 vahvistettuja sääntöjä, joihin tämä asetus ei vaikuta, sovelletaan kyseisessä asetuksessa säädetyllä tavalla. </w:t>
            </w:r>
            <w:r>
              <w:rPr>
                <w:b/>
                <w:i/>
              </w:rPr>
              <w:t>Erityisesti niiden tietojen osalta, jotka tallennetaan EES:ään sen asteittaisen käyttöönoton aikana, noudatetaan asetuksessa (EU) 2017/2226 vahvistettuja sääntöjä, ja näitä tietoja pidetään luotettavina ja paikkansapitävinä.</w:t>
            </w:r>
          </w:p>
        </w:tc>
        <w:tc>
          <w:tcPr>
            <w:tcW w:w="4876" w:type="dxa"/>
            <w:tcBorders>
              <w:top w:val="nil"/>
              <w:left w:val="nil"/>
              <w:bottom w:val="nil"/>
              <w:right w:val="nil"/>
            </w:tcBorders>
          </w:tcPr>
          <w:p>
            <w:pPr>
              <w:pStyle w:val="Normal6a"/>
            </w:pPr>
            <w:r>
              <w:t>(5)</w:t>
            </w:r>
            <w:r>
              <w:tab/>
            </w:r>
            <w:r>
              <w:t>Jotta EES voidaan ottaa käyttöön asteittain, on sen vuoksi tarpeen poiketa tietyistä asetuksen (EU) 2017/2226 ja Euroopan parlamentin ja neuvoston asetuksen (EU) 2016/399</w:t>
            </w:r>
            <w:r>
              <w:rPr>
                <w:vertAlign w:val="superscript"/>
              </w:rPr>
              <w:t>3</w:t>
            </w:r>
            <w:r>
              <w:t>, jäljempänä ’Schengenin rajasäännöstö’, säännöksistä. Muita asetuksessa (EU) 2017/2226 vahvistettuja sääntöjä, joihin tämä asetus ei vaikuta, sovelletaan kyseisessä asetuksessa säädetyllä tavalla.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Jotta EES voidaan ottaa käyttöön asteittain, on sen vuoksi tarpeen poiketa tietyistä asetuksen (EU) 2017/2226 ja Euroopan parlamentin ja neuvoston asetuksen (EU) 2016/399</w:t>
            </w:r>
            <w:r>
              <w:rPr>
                <w:vertAlign w:val="superscript"/>
              </w:rPr>
              <w:t>3</w:t>
            </w:r>
            <w:r>
              <w:t xml:space="preserve">, jäljempänä ’Schengenin rajasäännöstö’, säännöksistä. Muita asetuksessa (EU) 2017/2226 vahvistettuja sääntöjä, joihin tämä asetus ei vaikuta, sovelletaan kyseisessä asetuksessa säädetyllä tavalla. </w:t>
            </w:r>
            <w:r>
              <w:rPr>
                <w:b/>
                <w:i/>
              </w:rPr>
              <w:t>Erityisesti niiden tietojen osalta, jotka tallennetaan EES:ään sen asteittaisen käyttöönoton aikana, noudatetaan asetuksessa (EU) 2017/2226 vahvistettuja sääntöjä, ja näitä tietoja pidetään luotettavina ja paikkansapitävinä.</w:t>
            </w:r>
          </w:p>
        </w:tc>
        <w:tc>
          <w:tcPr>
            <w:tcW w:w="4876" w:type="dxa"/>
            <w:tcBorders>
              <w:top w:val="nil"/>
              <w:left w:val="nil"/>
              <w:bottom w:val="nil"/>
              <w:right w:val="nil"/>
            </w:tcBorders>
          </w:tcPr>
          <w:p>
            <w:pPr>
              <w:pStyle w:val="Normal6a"/>
            </w:pPr>
            <w:r>
              <w:t>(5)</w:t>
            </w:r>
            <w:r>
              <w:tab/>
            </w:r>
            <w:r>
              <w:t>Jotta EES voidaan ottaa käyttöön asteittain, on sen vuoksi tarpeen poiketa tietyistä asetuksen (EU) 2017/2226 ja Euroopan parlamentin ja neuvoston asetuksen (EU) 2016/399</w:t>
            </w:r>
            <w:r>
              <w:rPr>
                <w:vertAlign w:val="superscript"/>
              </w:rPr>
              <w:t>3</w:t>
            </w:r>
            <w:r>
              <w:t>, jäljempänä ’Schengenin rajasäännöstö’, säännöksistä. Muita asetuksessa (EU) 2017/2226 vahvistettuja sääntöjä, joihin tämä asetus ei vaikuta, sovelletaan kyseisessä asetuksessa säädetyllä tavalla.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c>
          <w:tcPr>
            <w:tcW w:w="4876" w:type="dxa"/>
            <w:tcBorders>
              <w:top w:val="nil"/>
              <w:left w:val="nil"/>
              <w:bottom w:val="nil"/>
              <w:right w:val="nil"/>
            </w:tcBorders>
          </w:tcPr>
          <w:p>
            <w:pPr>
              <w:pStyle w:val="Normal6a"/>
            </w:pPr>
            <w:r>
              <w:rPr>
                <w:vertAlign w:val="superscript"/>
              </w:rPr>
              <w:t>3</w:t>
            </w:r>
            <w:r>
              <w:t xml:space="preserve"> </w:t>
            </w:r>
            <w:r>
              <w:t>Euroopan parlamentin ja neuvoston asetus (EU) 2016/399, annettu 9 päivänä maaliskuuta 2016, henkilöiden liikkumista rajojen yli koskevasta unionin säännöstöstä (Schengenin rajasäännöstö) (EUVL L 77, 23.3.2016, s. 1, ELI: http://data.europa.eu/eli/reg/2016/399/oj).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w:t>
            </w:r>
          </w:p>
        </w:tc>
        <w:tc>
          <w:tcPr>
            <w:tcW w:w="4876" w:type="dxa"/>
            <w:tcBorders>
              <w:top w:val="nil"/>
              <w:left w:val="nil"/>
              <w:bottom w:val="nil"/>
              <w:right w:val="nil"/>
            </w:tcBorders>
          </w:tcPr>
          <w:p>
            <w:pPr>
              <w:pStyle w:val="Normal6a"/>
            </w:pPr>
            <w:r>
              <w:t>(6)</w:t>
            </w:r>
            <w:r>
              <w:tab/>
            </w:r>
            <w:r>
              <w:t xml:space="preserve">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 </w:t>
            </w:r>
            <w:r>
              <w:rPr>
                <w:b/>
                <w:i/>
              </w:rPr>
              <w:t>Asteittainen tietojenkäsittely EES:ssä olisi toteutettava noudattaen kaikilta osin Euroopan parlamentin ja neuvoston asetuksessa (EU) 2016/679</w:t>
            </w:r>
            <w:r>
              <w:rPr>
                <w:b/>
                <w:i/>
                <w:vertAlign w:val="superscript"/>
              </w:rPr>
              <w:t>1 a</w:t>
            </w:r>
            <w:r>
              <w:t xml:space="preserve"> </w:t>
            </w:r>
            <w:r>
              <w:rPr>
                <w:b/>
                <w:i/>
              </w:rPr>
              <w:t>säädettyjä rekisteröityjen oikeuksia, eikä se saisi johtaa suoraan tai välillisesti minkäänlaiseen syrjintään tai profilointiin.</w:t>
            </w:r>
            <w:r>
              <w:t xml:space="preserve"> </w:t>
            </w:r>
            <w:r>
              <w:rPr>
                <w:b/>
                <w:i/>
              </w:rPr>
              <w:t>Komission olisi Euroopan tietosuojavaltuutettua kuullen annettava ohjeita henkilötietojen käsittelystä EES:ssä asteittaisen käyttöönoton aikana.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a</w:t>
            </w:r>
            <w:r>
              <w:t xml:space="preserve"> </w:t>
            </w:r>
            <w:r>
              <w:rPr>
                <w:b/>
                <w:i/>
              </w:rPr>
              <w:t>Euroopan parlamentin ja neuvoston asetus (EU) 2016/679, annettu 27 päivänä huhtikuuta 2016, luonnollisten henkilöiden suojelusta henkilötietojen käsittelyssä sekä näiden tietojen vapaasta liikkuvuudesta ja direktiivin 95/46/EY kumoamisesta (EUVL L 119, 4.5.2016, s.</w:t>
            </w:r>
            <w:r>
              <w:t xml:space="preserve"> </w:t>
            </w:r>
            <w:r>
              <w:rPr>
                <w:b/>
                <w:i/>
              </w:rPr>
              <w:t>1–88, ELI: http://data.europa.eu/eli/reg/2016/679/2016-05-04).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w:t>
            </w:r>
            <w:r>
              <w:rPr>
                <w:b/>
                <w:i/>
              </w:rPr>
              <w:t>asteittainen käyttöönotto</w:t>
            </w:r>
            <w:r>
              <w:t xml:space="preserve"> olisi toteutettava vaiheissa, joita varten olisi asetettava vähimmäisvaatimukset, jotka jäsenvaltioiden on saavutettava. Jäsenvaltiot voivat nopeuttaa täytäntöönpanoa kansallisella tasolla tai aloittaa EES:n täysimittaisen käytön heti </w:t>
            </w:r>
            <w:r>
              <w:rPr>
                <w:b/>
                <w:i/>
              </w:rPr>
              <w:t>asteittaisen käyttöönoton alusta</w:t>
            </w:r>
            <w:r>
              <w:t xml:space="preserve"> lähtien.</w:t>
            </w:r>
          </w:p>
        </w:tc>
        <w:tc>
          <w:tcPr>
            <w:tcW w:w="4876" w:type="dxa"/>
            <w:tcBorders>
              <w:top w:val="nil"/>
              <w:left w:val="nil"/>
              <w:bottom w:val="nil"/>
              <w:right w:val="nil"/>
            </w:tcBorders>
          </w:tcPr>
          <w:p>
            <w:pPr>
              <w:pStyle w:val="Normal6a"/>
            </w:pPr>
            <w:r>
              <w:t>(6)</w:t>
            </w:r>
            <w:r>
              <w:tab/>
            </w:r>
            <w:r>
              <w:t>Jäsenvaltioiden</w:t>
            </w:r>
            <w:r>
              <w:rPr>
                <w:b/>
                <w:i/>
              </w:rPr>
              <w:t>, jotka eivät aio käyttää EES:ää täysimittaisesti kaikkien EES:ään rekisteröitävien kolmansien maiden kansalaisten osalta ja käyttää EES:ää samanaikaisesti kaikilla rajanylityspaikoillaan käyttöönotosta lähtien,</w:t>
            </w:r>
            <w:r>
              <w:t xml:space="preserve">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w:t>
            </w:r>
            <w:r>
              <w:rPr>
                <w:b/>
                <w:i/>
              </w:rPr>
              <w:t>silloin, kun jäsenvaltiot valitsevat</w:t>
            </w:r>
            <w:r>
              <w:t xml:space="preserve"> järjestelmän </w:t>
            </w:r>
            <w:r>
              <w:rPr>
                <w:b/>
                <w:i/>
              </w:rPr>
              <w:t>asteittaisen käyttöönoton, se</w:t>
            </w:r>
            <w:r>
              <w:t xml:space="preserve"> olisi toteutettava vaiheissa, joita varten olisi asetettava vähimmäisvaatimukset, jotka </w:t>
            </w:r>
            <w:r>
              <w:rPr>
                <w:b/>
                <w:i/>
              </w:rPr>
              <w:t>kyseisten</w:t>
            </w:r>
            <w:r>
              <w:t xml:space="preserve"> jäsenvaltioiden on saavutettava. Jäsenvaltiot voivat </w:t>
            </w:r>
            <w:r>
              <w:rPr>
                <w:b/>
                <w:i/>
              </w:rPr>
              <w:t>edelleen</w:t>
            </w:r>
            <w:r>
              <w:t xml:space="preserve"> nopeuttaa täytäntöönpanoa kansallisella tasolla tai aloittaa EES:n täysimittaisen käytön heti </w:t>
            </w:r>
            <w:r>
              <w:rPr>
                <w:b/>
                <w:i/>
              </w:rPr>
              <w:t>käyttöönotosta</w:t>
            </w:r>
            <w:r>
              <w:t xml:space="preserve"> lähtien.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39</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w:t>
            </w:r>
          </w:p>
        </w:tc>
        <w:tc>
          <w:tcPr>
            <w:tcW w:w="4876" w:type="dxa"/>
            <w:tcBorders>
              <w:top w:val="nil"/>
              <w:left w:val="nil"/>
              <w:bottom w:val="nil"/>
              <w:right w:val="nil"/>
            </w:tcBorders>
          </w:tcPr>
          <w:p>
            <w:pPr>
              <w:pStyle w:val="Normal6a"/>
            </w:pPr>
            <w:r>
              <w:t>(6)</w:t>
            </w:r>
            <w:r>
              <w:tab/>
            </w:r>
            <w:r>
              <w:t xml:space="preserve">Jäsenvaltioiden olisi otettava EES käyttöön asteittain ja tallennettava siihen järjestelmän soveltamisalaan kuuluvien kolmansien maiden kansalaisten tiedot maahantulon ja maastalähdön yhteydessä yhdellä tai useammalla rajanylityspaikalla </w:t>
            </w:r>
            <w:r>
              <w:rPr>
                <w:b/>
                <w:i/>
              </w:rPr>
              <w:t>ja yhdellä tai useammalla tällaisten rajanylityspaikkojen kaistalla</w:t>
            </w:r>
            <w:r>
              <w:t>.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Tällä tarkistuksella pyritään selventämään komission aiemmin ilmaistua kantaa, että EES voidaan ottaa käyttöön nimetyillä kaistoilla rajanylityspaikoilla.</w:t>
      </w:r>
    </w:p>
    <w:p>
      <w:r>
        <w:rPr>
          <w:rStyle w:val="HideTWBExt"/>
        </w:rPr>
        <w:t>&lt;/AmendB&gt;</w:t>
      </w:r>
    </w:p>
    <w:p>
      <w:pPr>
        <w:pStyle w:val="AmNumberTabs"/>
      </w:pPr>
      <w:r>
        <w:rPr>
          <w:rStyle w:val="HideTWBExt"/>
        </w:rPr>
        <w:t>&lt;AmendB&gt;</w:t>
      </w:r>
      <w:r>
        <w:t>Tarkistus</w:t>
      </w:r>
      <w:r>
        <w:tab/>
      </w:r>
      <w:r>
        <w:tab/>
      </w:r>
      <w:r>
        <w:rPr>
          <w:rStyle w:val="HideTWBExt"/>
        </w:rPr>
        <w:t>&lt;NumAmB&gt;</w:t>
      </w:r>
      <w:r>
        <w:t>40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w:t>
            </w:r>
          </w:p>
        </w:tc>
        <w:tc>
          <w:tcPr>
            <w:tcW w:w="4876" w:type="dxa"/>
            <w:tcBorders>
              <w:top w:val="nil"/>
              <w:left w:val="nil"/>
              <w:bottom w:val="nil"/>
              <w:right w:val="nil"/>
            </w:tcBorders>
          </w:tcPr>
          <w:p>
            <w:pPr>
              <w:pStyle w:val="Normal6a"/>
            </w:pPr>
            <w:r>
              <w:t>(6)</w:t>
            </w:r>
            <w:r>
              <w:tab/>
            </w:r>
            <w:r>
              <w:t xml:space="preserve">Jäsenvaltioiden olisi otettava EES käyttöön asteittain ja tallennettava siihen järjestelmän soveltamisalaan kuuluvien kolmansien maiden kansalaisten tiedot maahantulon ja maastalähdön yhteydessä yhdellä tai useammalla rajanylityspaikalla. Jäsenvaltioiden olisi mahdollisuuksien mukaan ja soveltuvin osin otettava EES käyttöön ilma-, maa- ja merirajojen ylityspaikkoja yhdistellen. Jotta voidaan varmistaa EES:n hallittu käyttöönotto ja hallita paremmin odotusaikoja rajoilla välttäen niiden pitkittymistä, jäsenvaltioiden olisi tarvittaessa </w:t>
            </w:r>
            <w:r>
              <w:rPr>
                <w:b/>
                <w:i/>
              </w:rPr>
              <w:t>ja tapauksen mukaan</w:t>
            </w:r>
            <w:r>
              <w:t xml:space="preserve"> otettava asteittain käyttöön kaikki EES:n toiminnot ja rekisteröitävä vähitellen kaikkien EES:n soveltamisalaan kuuluvien kolmansien maiden kansalaisten tiedot. Koordinoidun lähestymistavan varmistamiseksi järjestelmän asteittainen käyttöönotto olisi toteutettava vaiheissa, joita varten olisi asetettava vähimmäisvaatimukset, jotka jäsenvaltioiden on saavutettava. Jäsenvaltiot voivat nopeuttaa täytäntöönpanoa kansallisella tasolla tai aloittaa EES:n täysimittaisen käytön heti asteittaisen käyttöönoton alusta lähtien.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6 b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w:t>
            </w:r>
            <w:r>
              <w:tab/>
            </w:r>
            <w:r>
              <w:rPr>
                <w:b/>
                <w:i/>
              </w:rPr>
              <w:t>Jotta voitaisiin maksimoida EES:n turvallisuushyödyt sen asteittaisen käyttöönoton alusta lähtien, jäsenvaltioiden olisi priorisoitava EES:n käyttö niillä rajanylityspaikoilla, joihin laiton muuttoliike, laittomat rajanylitykset tai järjestäytynyt rikollisuus useimmiten vaikuttavat.</w:t>
            </w:r>
            <w:r>
              <w:t xml:space="preserve"> </w:t>
            </w:r>
            <w:r>
              <w:rPr>
                <w:b/>
                <w:i/>
              </w:rPr>
              <w:t>Tällainen priorisointi on tarpeen, jotta voidaan lujittaa Schengen-alueen yleistä turvallisuutta ja samalla säilyttää joustavuus toimintavalmiuteen mukautumiseksi.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42</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ja toimitettava se komissiolle, jäsenvaltioille ja unionin virastoille. Suunnitelmassa olisi </w:t>
            </w:r>
            <w:r>
              <w:rPr>
                <w:b/>
                <w:i/>
              </w:rPr>
              <w:t>esitettävä</w:t>
            </w:r>
            <w:r>
              <w:t xml:space="preserve"> eu-LISAn kullekin käyttöönottovaiheelle määrittelemät keskusjärjestelmän </w:t>
            </w:r>
            <w:r>
              <w:rPr>
                <w:b/>
                <w:i/>
              </w:rPr>
              <w:t>kapasiteettirajoitukset</w:t>
            </w:r>
            <w:r>
              <w:t xml:space="preserve">. Jäsenvaltioiden päätöksissä, jotka koskevat toiminnan aloittamista tai lisäämistä, olisi otettava huomioon korkean tason </w:t>
            </w:r>
            <w:r>
              <w:rPr>
                <w:b/>
                <w:i/>
              </w:rPr>
              <w:t>käyttöönottosuunnitelmassa esitetty keskusjärjestelmän kapasiteetti</w:t>
            </w:r>
            <w:r>
              <w:t>.</w:t>
            </w:r>
          </w:p>
        </w:tc>
        <w:tc>
          <w:tcPr>
            <w:tcW w:w="4876" w:type="dxa"/>
            <w:tcBorders>
              <w:top w:val="nil"/>
              <w:left w:val="nil"/>
              <w:bottom w:val="nil"/>
              <w:right w:val="nil"/>
            </w:tcBorders>
          </w:tcPr>
          <w:p>
            <w:pPr>
              <w:pStyle w:val="Normal6a"/>
            </w:pPr>
            <w:r>
              <w:t>(7)</w:t>
            </w:r>
            <w:r>
              <w:tab/>
            </w:r>
            <w:r>
              <w:t xml:space="preserve">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w:t>
            </w:r>
            <w:r>
              <w:rPr>
                <w:b/>
                <w:i/>
              </w:rPr>
              <w:t>jäljempänä ’eu-LISAn korkean tason käyttöönottosuunnitelma’,</w:t>
            </w:r>
            <w:r>
              <w:t xml:space="preserve"> ja toimitettava se komissiolle, jäsenvaltioille ja unionin virastoille. Suunnitelmassa olisi </w:t>
            </w:r>
            <w:r>
              <w:rPr>
                <w:b/>
                <w:i/>
              </w:rPr>
              <w:t>vahvistettava EES:n yleinen vakaus sekä</w:t>
            </w:r>
            <w:r>
              <w:t xml:space="preserve"> eu-LISAn kullekin käyttöönottovaiheelle määrittelemät keskusjärjestelmän </w:t>
            </w:r>
            <w:r>
              <w:rPr>
                <w:b/>
                <w:i/>
              </w:rPr>
              <w:t>suorituskyky- ja saatavuustavoitteet.</w:t>
            </w:r>
            <w:r>
              <w:t xml:space="preserve"> </w:t>
            </w:r>
            <w:r>
              <w:rPr>
                <w:b/>
                <w:i/>
              </w:rPr>
              <w:t>Suunnitelmaan olisi sisällyttävä myös strategia minkä tahansa toiminnallisten vähäisten ja vakavien sekä toiminnan estävien puutteiden käsittelemiseksi.</w:t>
            </w:r>
            <w:r>
              <w:t xml:space="preserve"> </w:t>
            </w:r>
            <w:r>
              <w:rPr>
                <w:b/>
                <w:i/>
              </w:rPr>
              <w:t>Suunnitelma olisi hyväksyttävä eu-LISAn hallintoneuvostossa</w:t>
            </w:r>
            <w:r>
              <w:t xml:space="preserve">. Jäsenvaltioiden päätöksissä, jotka koskevat toiminnan aloittamista tai lisäämistä, olisi otettava huomioon korkean tason </w:t>
            </w:r>
            <w:r>
              <w:rPr>
                <w:b/>
                <w:i/>
              </w:rPr>
              <w:t>käyttöönottosuunnitelma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EES:n onnistuneen käyttöönoton varmistamiseksi on olennaisen tärkeää ottaa käyttöön vahva keskusjärjestelmä samoin kuin selkeä strategia mahdollisten häiriöiden käsittelemiseksi.</w:t>
      </w:r>
    </w:p>
    <w:p>
      <w:r>
        <w:rPr>
          <w:rStyle w:val="HideTWBExt"/>
        </w:rPr>
        <w:t>&lt;/AmendB&gt;</w:t>
      </w:r>
    </w:p>
    <w:p>
      <w:pPr>
        <w:pStyle w:val="AmNumberTabs"/>
      </w:pPr>
      <w:r>
        <w:rPr>
          <w:rStyle w:val="HideTWBExt"/>
        </w:rPr>
        <w:t>&lt;AmendB&gt;</w:t>
      </w:r>
      <w:r>
        <w:t>Tarkistus</w:t>
      </w:r>
      <w:r>
        <w:tab/>
      </w:r>
      <w:r>
        <w:tab/>
      </w:r>
      <w:r>
        <w:rPr>
          <w:rStyle w:val="HideTWBExt"/>
        </w:rPr>
        <w:t>&lt;NumAmB&gt;</w:t>
      </w:r>
      <w:r>
        <w:t>43</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ja toimitettava se komissiolle, jäsenvaltioille ja unionin virastoille. Suunnitelmassa olisi esitettävä eu-LISAn kullekin käyttöönottovaiheelle määrittelemät keskusjärjestelmän kapasiteettirajoitukset. Jäsenvaltioiden päätöksissä, jotka koskevat toiminnan aloittamista tai lisäämistä, olisi otettava huomioon korkean tason käyttöönottosuunnitelmassa esitetty keskusjärjestelmän kapasiteetti.</w:t>
            </w:r>
          </w:p>
        </w:tc>
        <w:tc>
          <w:tcPr>
            <w:tcW w:w="4876" w:type="dxa"/>
            <w:tcBorders>
              <w:top w:val="nil"/>
              <w:left w:val="nil"/>
              <w:bottom w:val="nil"/>
              <w:right w:val="nil"/>
            </w:tcBorders>
          </w:tcPr>
          <w:p>
            <w:pPr>
              <w:pStyle w:val="Normal6a"/>
            </w:pPr>
            <w:r>
              <w:t>(7)</w:t>
            </w:r>
            <w:r>
              <w:tab/>
            </w:r>
            <w:r>
              <w:t xml:space="preserve">EES:n sujuvan käyttöönoton helpottamiseksi vapauden, turvallisuuden ja oikeuden alueen laaja-alaisten tietojärjestelmien operatiivisesta hallinnoinnista vastaavan Euroopan unionin viraston (eu-LISA) olisi laadittava korkean tason käyttöönottosuunnitelma, jossa annetaan jäsenvaltioille ja unionin virastoille ohjeita EES:n käyttöönoton suunnittelusta ja toteuttamisesta sen asteittaisen käyttöönoton aikana, ja toimitettava se komissiolle, </w:t>
            </w:r>
            <w:r>
              <w:rPr>
                <w:b/>
                <w:i/>
              </w:rPr>
              <w:t>Euroopan parlamentille,</w:t>
            </w:r>
            <w:r>
              <w:t xml:space="preserve"> jäsenvaltioille ja unionin virastoille. Suunnitelmassa olisi esitettävä eu-LISAn kullekin käyttöönottovaiheelle määrittelemät keskusjärjestelmän kapasiteettirajoitukset. Jäsenvaltioiden päätöksissä, jotka koskevat toiminnan aloittamista tai lisäämistä, olisi otettava huomioon korkean tason käyttöönottosuunnitelmassa esitetty keskusjärjestelmän kapasiteetti.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44</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c>
          <w:tcPr>
            <w:tcW w:w="4876" w:type="dxa"/>
            <w:tcBorders>
              <w:top w:val="nil"/>
              <w:left w:val="nil"/>
              <w:bottom w:val="nil"/>
              <w:right w:val="nil"/>
            </w:tcBorders>
          </w:tcPr>
          <w:p>
            <w:pPr>
              <w:pStyle w:val="Normal6a"/>
            </w:pPr>
            <w:r>
              <w:t>(8)</w:t>
            </w:r>
            <w:r>
              <w:tab/>
            </w:r>
            <w:r>
              <w:t xml:space="preserve">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w:t>
            </w:r>
            <w:r>
              <w:rPr>
                <w:b/>
                <w:i/>
              </w:rPr>
              <w:t>Jäsenvaltioiden olisi kansallisten käyttöönottosuunnitelmiensa valmistelussa kiinnitettävä asiaankuuluvaa huomiota EES:n käytön priorisointiin niillä rajanylityspaikoilla, joihin laiton muuttoliike, laittomat rajanylitykset tai järjestäytynyt rikollisuus useimmiten vaikuttavat, jotta voitaisiin maksimoida EES:n turvallisuushyödyt heti alusta lähtien.</w:t>
            </w:r>
            <w:r>
              <w:t xml:space="preserve">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c>
          <w:tcPr>
            <w:tcW w:w="4876" w:type="dxa"/>
            <w:tcBorders>
              <w:top w:val="nil"/>
              <w:left w:val="nil"/>
              <w:bottom w:val="nil"/>
              <w:right w:val="nil"/>
            </w:tcBorders>
          </w:tcPr>
          <w:p>
            <w:pPr>
              <w:pStyle w:val="Normal6a"/>
            </w:pPr>
            <w:r>
              <w:t>(8)</w:t>
            </w:r>
            <w:r>
              <w:tab/>
            </w:r>
            <w:r>
              <w:t xml:space="preserve">EES:n sujuvan käyttöönoton helpottamiseksi jäsenvaltioiden olisi laadittava kansalliset käyttöönottosuunnitelmat komissiota ja eu-LISAa kuullen. </w:t>
            </w:r>
            <w:r>
              <w:rPr>
                <w:b/>
                <w:i/>
              </w:rPr>
              <w:t>eu-LISAn olisi arvioitava, ovatko kansalliset käyttöönottosuunnitelmat johdonmukaisia korkean tason käyttöönottosuunnitelman kanssa, ja vahvistettava, että niihin ei sisälly puutteita, jotka voisivat entisestään viivästyttää EES:n käyttöönottoa.</w:t>
            </w:r>
            <w:r>
              <w:t xml:space="preserve">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46</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c>
          <w:tcPr>
            <w:tcW w:w="4876" w:type="dxa"/>
            <w:tcBorders>
              <w:top w:val="nil"/>
              <w:left w:val="nil"/>
              <w:bottom w:val="nil"/>
              <w:right w:val="nil"/>
            </w:tcBorders>
          </w:tcPr>
          <w:p>
            <w:pPr>
              <w:pStyle w:val="Normal6a"/>
            </w:pPr>
            <w:r>
              <w:t>(8)</w:t>
            </w:r>
            <w:r>
              <w:tab/>
            </w:r>
            <w:r>
              <w:t>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niitä kannustetaan koordinoimaan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w:t>
            </w:r>
            <w:r>
              <w:rPr>
                <w:b/>
                <w:i/>
              </w:rPr>
              <w:t>, paitsi jos ja kunnes EES:ää käytetään täysimittaisesti kaikkien EES:ään rekisteröitävien kolmansien maiden kansalaisten osalta ja sitä käytetään samanaikaisesti kaikilla rajanylityspaikoilla jäsenvaltiossa</w:t>
            </w:r>
            <w:r>
              <w:t>. Näissä kuukausittaisissa raporteissa olisi tarvittaessa esitettävä korjaavia toimenpiteitä, joilla varmistetaan asteittaisen käyttöönoton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Jäsenvaltiot olisi velvoitettava toimittamaan kuukausittain raportteja käyttöönottosuunnitelmiensa toteuttamisesta ainoastaan siihen hetkeen saakka, kun järjestelmä otetaan täysimittaisesti käyttöön kyseisessä jäsenvaltiossa.</w:t>
      </w:r>
    </w:p>
    <w:p>
      <w:r>
        <w:rPr>
          <w:rStyle w:val="HideTWBExt"/>
        </w:rPr>
        <w:t>&lt;/AmendB&gt;</w:t>
      </w:r>
    </w:p>
    <w:p>
      <w:pPr>
        <w:pStyle w:val="AmNumberTabs"/>
      </w:pPr>
      <w:r>
        <w:rPr>
          <w:rStyle w:val="HideTWBExt"/>
        </w:rPr>
        <w:t>&lt;AmendB&gt;</w:t>
      </w:r>
      <w:r>
        <w:t>Tarkistus</w:t>
      </w:r>
      <w:r>
        <w:tab/>
      </w:r>
      <w:r>
        <w:tab/>
      </w:r>
      <w:r>
        <w:rPr>
          <w:rStyle w:val="HideTWBExt"/>
        </w:rPr>
        <w:t>&lt;NumAmB&gt;</w:t>
      </w:r>
      <w:r>
        <w:t>47</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EES:n sujuvan käyttöönoton helpottamiseksi jäsenvaltioiden olisi laadittava kansalliset käyttöönottosuunnitelmat komissiota ja eu-LISAa kuullen.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w:t>
            </w:r>
            <w:r>
              <w:rPr>
                <w:b/>
                <w:i/>
              </w:rPr>
              <w:t>niitä kannustetaan koordinoimaan</w:t>
            </w:r>
            <w:r>
              <w:t xml:space="preserve"> toimintaansa infrastruktuurin ylläpitäjien kanssa alueilla, joilla rajanylityspaikat sijaitsevat. Jotta voidaan seurata asteittaisen käyttöönoton noudattamista, jäsenvaltioiden olisi toimitettava komissiolle ja eu-LISAlle kuukausittain raportit käyttöönottosuunnitelmiensa toteuttamisesta. Näissä kuukausittaisissa raporteissa olisi tarvittaessa esitettävä korjaavia toimenpiteitä, joilla varmistetaan asteittaisen käyttöönoton noudattaminen.</w:t>
            </w:r>
          </w:p>
        </w:tc>
        <w:tc>
          <w:tcPr>
            <w:tcW w:w="4876" w:type="dxa"/>
            <w:tcBorders>
              <w:top w:val="nil"/>
              <w:left w:val="nil"/>
              <w:bottom w:val="nil"/>
              <w:right w:val="nil"/>
            </w:tcBorders>
          </w:tcPr>
          <w:p>
            <w:pPr>
              <w:pStyle w:val="Normal6a"/>
            </w:pPr>
            <w:r>
              <w:t>(8)</w:t>
            </w:r>
            <w:r>
              <w:tab/>
            </w:r>
            <w:r>
              <w:t xml:space="preserve">EES:n sujuvan käyttöönoton helpottamiseksi jäsenvaltioiden olisi laadittava kansalliset käyttöönottosuunnitelmat komissiota ja eu-LISAa kuullen. </w:t>
            </w:r>
            <w:r>
              <w:rPr>
                <w:b/>
                <w:i/>
              </w:rPr>
              <w:t>Suunnitelmat olisi julkaistava ja jaettava komission, Euroopan parlamentin ja alan sidosryhmien kanssa.</w:t>
            </w:r>
            <w:r>
              <w:t xml:space="preserve"> Kansallisissa käyttöönottosuunnitelmissa olisi esitettävä EES:n asteittaisen käyttöönoton kunkin vaiheen osalta tiedot asetetuista kynnysarvoista ja vaatimuksista, erityisesti seuraavat: i) päivämäärä, josta alkaen EES:ää käytetään kullakin rajanylityspaikalla, ii) EES:ään rekisteröitävien rajanylitysten arvioidun lukumäärän prosenttiosuus niiden kolmansien maiden kansalaisten kokonaismäärästä, jotka on rekisteröitävä EES:ään, ja iii) tarvittaessa kullakin valitulla rajanylityspaikalla käytettävät biometriset toiminnot. Kun jäsenvaltiot laativat kansallisia käyttöönottosuunnitelmiaan, </w:t>
            </w:r>
            <w:r>
              <w:rPr>
                <w:b/>
                <w:i/>
              </w:rPr>
              <w:t>niiden olisi koordinoitava</w:t>
            </w:r>
            <w:r>
              <w:t xml:space="preserve"> toimintaansa infrastruktuurin ylläpitäjien kanssa alueilla, joilla rajanylityspaikat sijaitsevat. Jotta voidaan seurata asteittaisen käyttöönoton noudattamista, jäsenvaltioiden olisi toimitettava komissiolle</w:t>
            </w:r>
            <w:r>
              <w:rPr>
                <w:b/>
                <w:i/>
              </w:rPr>
              <w:t>, Euroopan parlamentille</w:t>
            </w:r>
            <w:r>
              <w:t xml:space="preserve"> ja eu-LISAlle kuukausittain raportit käyttöönottosuunnitelmiensa toteuttamisesta. Näissä kuukausittaisissa raporteissa olisi tarvittaessa esitettävä korjaavia toimenpiteitä, joilla varmistetaan asteittaisen käyttöönoton noudattaminen.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EES:n sujuvan käyttöönoton helpottamiseksi olisi varmistettava, että EES:n asteittaisen käyttöönoton päättyminen ei osu samaan aikaan matkailun huippusesonkien kanssa kesällä (kesäkuusta elokuuhun) tai talvella (joulukuusta helmikuuhun).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49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8 a kappale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Jäsenvaltioiden tämän asetuksen nojalla laatimien kansallisten käyttöönottosuunnitelmien olisi oltava ytimekkäitä ja oikeasuhteisia, eikä niillä pitäisi asettaa tarpeetonta hallinnollista taakkaa.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EES:n asteittaisen käyttöönoton ja järjestelmään rekisteröityjen tietojen mahdollisen puutteellisuuden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Jos leima puuttuu, EES:ään </w:t>
            </w:r>
            <w:r>
              <w:rPr>
                <w:b/>
                <w:i/>
              </w:rPr>
              <w:t>tallennettujen tietojen olisi oltava etusijalla</w:t>
            </w:r>
            <w:r>
              <w:t>.</w:t>
            </w:r>
          </w:p>
        </w:tc>
        <w:tc>
          <w:tcPr>
            <w:tcW w:w="4876" w:type="dxa"/>
            <w:tcBorders>
              <w:top w:val="nil"/>
              <w:left w:val="nil"/>
              <w:bottom w:val="nil"/>
              <w:right w:val="nil"/>
            </w:tcBorders>
          </w:tcPr>
          <w:p>
            <w:pPr>
              <w:pStyle w:val="Normal6a"/>
            </w:pPr>
            <w:r>
              <w:t>(9)</w:t>
            </w:r>
            <w:r>
              <w:tab/>
            </w:r>
            <w:r>
              <w:t xml:space="preserve">EES:n asteittaisen käyttöönoton ja järjestelmään rekisteröityjen tietojen mahdollisen puutteellisuuden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w:t>
            </w:r>
            <w:r>
              <w:rPr>
                <w:b/>
                <w:i/>
              </w:rPr>
              <w:t>Vain</w:t>
            </w:r>
            <w:r>
              <w:t xml:space="preserve"> jos leima puuttuu, EES:ään </w:t>
            </w:r>
            <w:r>
              <w:rPr>
                <w:b/>
                <w:i/>
              </w:rPr>
              <w:t>tallennettuja tietoja pitäisi käyttää jäljellä olevan enimmäiskeston laskennassa</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 EES:n tiedot eivät voi millään tavalla olla etusijalla asteittaisen käyttöönoton aikana, sillä nämä tiedot ovat hyvin todennäköisesti puutteellisia.</w:t>
      </w:r>
    </w:p>
    <w:p>
      <w:r>
        <w:rPr>
          <w:rStyle w:val="HideTWBExt"/>
        </w:rPr>
        <w:t>&lt;/AmendB&gt;</w:t>
      </w:r>
    </w:p>
    <w:p>
      <w:pPr>
        <w:pStyle w:val="AmNumberTabs"/>
      </w:pPr>
      <w:r>
        <w:rPr>
          <w:rStyle w:val="HideTWBExt"/>
        </w:rPr>
        <w:t>&lt;AmendB&gt;</w:t>
      </w:r>
      <w:r>
        <w:t>Tarkistus</w:t>
      </w:r>
      <w:r>
        <w:tab/>
      </w:r>
      <w:r>
        <w:tab/>
      </w:r>
      <w:r>
        <w:rPr>
          <w:rStyle w:val="HideTWBExt"/>
        </w:rPr>
        <w:t>&lt;NumAmB&gt;</w:t>
      </w:r>
      <w:r>
        <w:t>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EES:n asteittaisen käyttöönoton ja järjestelmään rekisteröityjen tietojen mahdollisen puutteellisuuden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Jos leima puuttuu, EES:ään tallennettujen tietojen olisi oltava etusijalla.</w:t>
            </w:r>
          </w:p>
        </w:tc>
        <w:tc>
          <w:tcPr>
            <w:tcW w:w="4876" w:type="dxa"/>
            <w:tcBorders>
              <w:top w:val="nil"/>
              <w:left w:val="nil"/>
              <w:bottom w:val="nil"/>
              <w:right w:val="nil"/>
            </w:tcBorders>
          </w:tcPr>
          <w:p>
            <w:pPr>
              <w:pStyle w:val="Normal6a"/>
            </w:pPr>
            <w:r>
              <w:t>(9)</w:t>
            </w:r>
            <w:r>
              <w:tab/>
            </w:r>
            <w:r>
              <w:t xml:space="preserve">EES:n asteittaisen käyttöönoton ja järjestelmään rekisteröityjen tietojen mahdollisen puutteellisuuden </w:t>
            </w:r>
            <w:r>
              <w:rPr>
                <w:b/>
                <w:i/>
              </w:rPr>
              <w:t>ja epätarkkuuden</w:t>
            </w:r>
            <w:r>
              <w:t xml:space="preserve"> vuoksi kolmansien maiden kansalaisten matkustusasiakirjat olisi EES:n asteittaisen käyttöönoton aikana leimattava järjestelmällisesti maahantulon ja maastalähdön yhteydessä. Kansallisten viranomaisten olisi otettava huomioon maahantulo-/maastalähtötietueiden tai pääsyn epäämistä koskevien tietueiden mahdollinen puutteellisuus ja pidettävä leimoja ensisijaisina EES:ään kirjattuihin tietoihin nähden. Kun kansalliset viranomaiset antavat kolmansien maiden kansalaisille tietoa heidän sallitun oleskelunsa jäljellä olevasta enimmäiskestosta, niiden olisi perustettava arviointinsa myös matkustusasiakirjoihin merkittyihin leimoihin. Jos leima puuttuu, EES:ään tallennettujen tietojen olisi oltava etusijalla.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Kun otetaan huomioon, että EES:ään sen asteittaisen käyttöönoton aikana rekisteröidyt tiedot voivat olla puutteellisia, </w:t>
            </w:r>
            <w:r>
              <w:rPr>
                <w:b/>
                <w:i/>
              </w:rPr>
              <w:t>kansallisten viranomaisten ei tulisi ottaa huomioon automaattisen laskentajärjestelmän antamia tuloksia</w:t>
            </w:r>
            <w:r>
              <w:t xml:space="preserve"> EES:ään rekisteröityjen kolmansien maiden kansalaisten sallitun oleskelun jäljellä olevasta enimmäiskestosta. </w:t>
            </w:r>
            <w:r>
              <w:rPr>
                <w:b/>
                <w:i/>
              </w:rPr>
              <w:t>Kansallisten viranomaisten ei myöskään tulisi ottaa tehtäviään suorittaessaan huomioon automaattista mekanismia</w:t>
            </w:r>
            <w:r>
              <w:t>, jonka avulla tunnistetaan tai merkitään maastalähtötietojen puuttuminen sallitun oleskelun päättymispäivän jälkeen tai tietueet, joiden osalta sallitun oleskelun enimmäiskesto on ylittynyt ja joiden perusteella laaditaan luettelot sallitun oleskeluajan ylittäneistä henkilöistä.</w:t>
            </w:r>
          </w:p>
        </w:tc>
        <w:tc>
          <w:tcPr>
            <w:tcW w:w="4876" w:type="dxa"/>
            <w:tcBorders>
              <w:top w:val="nil"/>
              <w:left w:val="nil"/>
              <w:bottom w:val="nil"/>
              <w:right w:val="nil"/>
            </w:tcBorders>
          </w:tcPr>
          <w:p>
            <w:pPr>
              <w:pStyle w:val="Normal6a"/>
            </w:pPr>
            <w:r>
              <w:t>(10)</w:t>
            </w:r>
            <w:r>
              <w:tab/>
            </w:r>
            <w:r>
              <w:t xml:space="preserve">Kun otetaan huomioon, että EES:ään sen asteittaisen käyttöönoton aikana rekisteröidyt tiedot voivat olla puutteellisia, </w:t>
            </w:r>
            <w:r>
              <w:rPr>
                <w:b/>
                <w:i/>
              </w:rPr>
              <w:t>automaattisen laskentajärjestelmän ei pitäisi käsitellä EES:ään tallennettuja tietoja</w:t>
            </w:r>
            <w:r>
              <w:t xml:space="preserve"> EES:ään rekisteröityjen kolmansien maiden kansalaisten sallitun oleskelun jäljellä olevasta enimmäiskestosta. </w:t>
            </w:r>
            <w:r>
              <w:rPr>
                <w:b/>
                <w:i/>
              </w:rPr>
              <w:t>Asteittaisen käyttöönoton aikana olisi myös keskeytettävä sen automaattisen mekanismin käyttö</w:t>
            </w:r>
            <w:r>
              <w:t>, jonka avulla tunnistetaan tai merkitään maastalähtötietojen puuttuminen sallitun oleskelun päättymispäivän jälkeen tai tietueet, joiden osalta sallitun oleskelun enimmäiskesto on ylittynyt ja joiden perusteella laaditaan luettelot sallitun oleskeluajan ylittäneistä henkilöistä.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Kun otetaan huomioon, että EES:ään sen asteittaisen käyttöönoton aikana rekisteröidyt tiedot voivat olla puutteellisia, kansallisten viranomaisten ei tulisi ottaa huomioon automaattisen laskentajärjestelmän antamia tuloksia EES:ään rekisteröityjen kolmansien maiden kansalaisten sallitun oleskelun jäljellä olevasta enimmäiskestosta. Kansallisten viranomaisten ei myöskään tulisi ottaa tehtäviään suorittaessaan huomioon automaattista mekanismia, jonka avulla tunnistetaan tai merkitään maastalähtötietojen puuttuminen sallitun oleskelun päättymispäivän jälkeen tai tietueet, joiden osalta sallitun oleskelun enimmäiskesto on ylittynyt </w:t>
            </w:r>
            <w:r>
              <w:rPr>
                <w:b/>
                <w:i/>
              </w:rPr>
              <w:t>ja joiden perusteella laaditaan luettelot sallitun oleskeluajan ylittäneistä henkilöistä</w:t>
            </w:r>
            <w:r>
              <w:t>.</w:t>
            </w:r>
          </w:p>
        </w:tc>
        <w:tc>
          <w:tcPr>
            <w:tcW w:w="4876" w:type="dxa"/>
            <w:tcBorders>
              <w:top w:val="nil"/>
              <w:left w:val="nil"/>
              <w:bottom w:val="nil"/>
              <w:right w:val="nil"/>
            </w:tcBorders>
          </w:tcPr>
          <w:p>
            <w:pPr>
              <w:pStyle w:val="Normal6a"/>
            </w:pPr>
            <w:r>
              <w:t>(10)</w:t>
            </w:r>
            <w:r>
              <w:tab/>
            </w:r>
            <w:r>
              <w:t>Kun otetaan huomioon, että EES:ään sen asteittaisen käyttöönoton aikana rekisteröidyt tiedot voivat olla puutteellisia, kansallisten viranomaisten ei tulisi ottaa huomioon automaattisen laskentajärjestelmän antamia tuloksia EES:ään rekisteröityjen kolmansien maiden kansalaisten sallitun oleskelun jäljellä olevasta enimmäiskestosta. Kansallisten viranomaisten ei myöskään tulisi ottaa tehtäviään suorittaessaan huomioon automaattista mekanismia, jonka avulla tunnistetaan tai merkitään maastalähtötietojen puuttuminen sallitun oleskelun päättymispäivän jälkeen tai tietueet, joiden osalta sallitun oleskelun enimmäiskesto on ylittynyt.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Asteittaisen käyttöönoton aikana ei pitäisi laatia luetteloja sallitun oleskeluajan ylittäneistä henkilöistä.</w:t>
      </w:r>
    </w:p>
    <w:p>
      <w:r>
        <w:rPr>
          <w:rStyle w:val="HideTWBExt"/>
        </w:rPr>
        <w:t>&lt;/AmendB&gt;</w:t>
      </w:r>
    </w:p>
    <w:p>
      <w:pPr>
        <w:pStyle w:val="AmNumberTabs"/>
      </w:pPr>
      <w:r>
        <w:rPr>
          <w:rStyle w:val="HideTWBExt"/>
        </w:rPr>
        <w:t>&lt;AmendB&gt;</w:t>
      </w:r>
      <w:r>
        <w:t>Tarkistus</w:t>
      </w:r>
      <w:r>
        <w:tab/>
      </w:r>
      <w:r>
        <w:tab/>
      </w:r>
      <w:r>
        <w:rPr>
          <w:rStyle w:val="HideTWBExt"/>
        </w:rPr>
        <w:t>&lt;NumAmB&gt;</w:t>
      </w:r>
      <w:r>
        <w:t>54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w:t>
            </w:r>
            <w:r>
              <w:rPr>
                <w:b/>
                <w:i/>
              </w:rPr>
              <w:t>60</w:t>
            </w:r>
            <w:r>
              <w:t xml:space="preserve"> kalenteripäivän aikana. Viimeistään </w:t>
            </w:r>
            <w:r>
              <w:rPr>
                <w:b/>
                <w:i/>
              </w:rPr>
              <w:t>90</w:t>
            </w:r>
            <w:r>
              <w:t xml:space="preserve"> kalenteripäivän kuluttua asteittaisen käyttöönoton aloittamisesta jäsenvaltioiden olisi käytettävä EES:n biometrisiä toimintoja vähintään </w:t>
            </w:r>
            <w:r>
              <w:rPr>
                <w:b/>
                <w:i/>
              </w:rPr>
              <w:t>puolessa</w:t>
            </w:r>
            <w:r>
              <w:t xml:space="preserve"> rajanylityspaikoistaan. Biometristen tietojen antaminen ei saisi olla maahantuloedellytys kolmansien maiden kansalaisille, jotka on rekisteröitävä EES:ään sellaisilla rajanylityspaikoilla, joilla EES:ää käytetään ilman biometrisiä toimintoja.</w:t>
            </w:r>
          </w:p>
        </w:tc>
        <w:tc>
          <w:tcPr>
            <w:tcW w:w="4876" w:type="dxa"/>
            <w:tcBorders>
              <w:top w:val="nil"/>
              <w:left w:val="nil"/>
              <w:bottom w:val="nil"/>
              <w:right w:val="nil"/>
            </w:tcBorders>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w:t>
            </w:r>
            <w:r>
              <w:rPr>
                <w:b/>
                <w:i/>
              </w:rPr>
              <w:t>180</w:t>
            </w:r>
            <w:r>
              <w:t xml:space="preserve"> kalenteripäivän aikana. Viimeistään </w:t>
            </w:r>
            <w:r>
              <w:rPr>
                <w:b/>
                <w:i/>
              </w:rPr>
              <w:t>180</w:t>
            </w:r>
            <w:r>
              <w:t xml:space="preserve"> kalenteripäivän kuluttua asteittaisen käyttöönoton aloittamisesta jäsenvaltioiden olisi käytettävä EES:n biometrisiä toimintoja vähintään </w:t>
            </w:r>
            <w:r>
              <w:rPr>
                <w:b/>
                <w:i/>
              </w:rPr>
              <w:t>10 prosentissa</w:t>
            </w:r>
            <w:r>
              <w:t xml:space="preserve"> rajanylityspaikoistaan. Biometristen tietojen antaminen ei saisi olla maahantuloedellytys kolmansien maiden kansalaisille, jotka on rekisteröitävä EES:ään sellaisilla rajanylityspaikoilla, joilla EES:ää käytetään ilman biometrisiä toimintoja.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60 kalenteripäivän aikana. Viimeistään 90 kalenteripäivän kuluttua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w:t>
            </w:r>
            <w:r>
              <w:rPr>
                <w:b/>
                <w:i/>
              </w:rPr>
              <w:t>sellaisilla rajanylityspaikoilla, joilla EES:ää käytetään ilman biometrisiä toimintoja</w:t>
            </w:r>
            <w:r>
              <w:t>.</w:t>
            </w:r>
          </w:p>
        </w:tc>
        <w:tc>
          <w:tcPr>
            <w:tcW w:w="4876" w:type="dxa"/>
            <w:tcBorders>
              <w:top w:val="nil"/>
              <w:left w:val="nil"/>
              <w:bottom w:val="nil"/>
              <w:right w:val="nil"/>
            </w:tcBorders>
          </w:tcPr>
          <w:p>
            <w:pPr>
              <w:pStyle w:val="Normal6a"/>
            </w:pPr>
            <w:r>
              <w:t>(11)</w:t>
            </w:r>
            <w:r>
              <w:tab/>
            </w:r>
            <w:r>
              <w:t>Jotta jäsenvaltioilla olisi riittävästi aikaa mukautua EES:n käyttöönottoon, biometristen toimintojen käytön rajanylityspaikoilla ei tulisi olla pakollista asteittaisen käyttöönoton ensimmäisten 60 kalenteripäivän aikana. Viimeistään 90 kalenteripäivän kuluttua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w:t>
            </w:r>
            <w:r>
              <w:rPr>
                <w:b/>
                <w:i/>
              </w:rPr>
              <w:t>, asteittaisen käyttöönoton aikana ja siinä tapauksessa, että EES:n käyttö keskeytetään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56</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Jotta jäsenvaltioilla olisi riittävästi aikaa mukautua EES:n käyttöönottoon, biometristen toimintojen käytön rajanylityspaikoilla ei tulisi olla pakollista asteittaisen käyttöönoton ensimmäisten 60 kalenteripäivän aikana. Viimeistään 90 kalenteripäivän kuluttua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sellaisilla rajanylityspaikoilla, joilla EES:ää käytetään ilman biometrisiä toimintoja.</w:t>
            </w:r>
          </w:p>
        </w:tc>
        <w:tc>
          <w:tcPr>
            <w:tcW w:w="4876" w:type="dxa"/>
            <w:tcBorders>
              <w:top w:val="nil"/>
              <w:left w:val="nil"/>
              <w:bottom w:val="nil"/>
              <w:right w:val="nil"/>
            </w:tcBorders>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60 kalenteripäivän aikana. Viimeistään 90 kalenteripäivän kuluttua asteittaisen käyttöönoton aloittamisesta jäsenvaltioiden olisi käytettävä EES:n biometrisiä toimintoja vähintään puolessa rajanylityspaikoistaan. </w:t>
            </w:r>
            <w:r>
              <w:rPr>
                <w:b/>
                <w:i/>
              </w:rPr>
              <w:t>Jäsenvaltioiden olisi soveltuvin osin asetettava etusijalle EES:n käyttö biometristen toimintojen kanssa niillä rajanylityspaikoilla, jotka yksilöidään niiden kansallisissa käyttöönottosuunnitelmissa paikoiksi, joihin laiton muuttoliike, laittomat rajanylitykset tai järjestäytynyt rikollisuus useimmiten vaikuttavat.</w:t>
            </w:r>
            <w:r>
              <w:t xml:space="preserve"> Biometristen tietojen antaminen ei saisi olla maahantuloedellytys kolmansien maiden kansalaisille, jotka on rekisteröitävä EES:ään sellaisilla rajanylityspaikoilla, joilla EES:ää käytetään ilman biometrisiä toimintoja.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57</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11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Jotta jäsenvaltioilla olisi riittävästi aikaa mukautua EES:n käyttöönottoon, biometristen toimintojen käytön rajanylityspaikoilla ei tulisi olla pakollista asteittaisen käyttöönoton ensimmäisten 60 kalenteripäivän aikana. Viimeistään 90 kalenteripäivän kuluttua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sellaisilla rajanylityspaikoilla, joilla EES:ää käytetään ilman biometrisiä toimintoja.</w:t>
            </w:r>
          </w:p>
        </w:tc>
        <w:tc>
          <w:tcPr>
            <w:tcW w:w="4876" w:type="dxa"/>
            <w:tcBorders>
              <w:top w:val="nil"/>
              <w:left w:val="nil"/>
              <w:bottom w:val="nil"/>
              <w:right w:val="nil"/>
            </w:tcBorders>
          </w:tcPr>
          <w:p>
            <w:pPr>
              <w:pStyle w:val="Normal6a"/>
            </w:pPr>
            <w:r>
              <w:t>(11)</w:t>
            </w:r>
            <w:r>
              <w:tab/>
            </w:r>
            <w:r>
              <w:t xml:space="preserve">Jotta jäsenvaltioilla olisi riittävästi aikaa mukautua EES:n käyttöönottoon, biometristen toimintojen käytön rajanylityspaikoilla ei tulisi olla pakollista asteittaisen käyttöönoton ensimmäisten 60 kalenteripäivän aikana. </w:t>
            </w:r>
            <w:r>
              <w:rPr>
                <w:b/>
                <w:i/>
              </w:rPr>
              <w:t>Jäsenvaltioita kannustetaan kuitenkin vahvasti hyödyntämään näitä toimintoja kyseisen jakson aikana, jotta voidaan tukea saumatonta operatiivista siirtymää ja mahdollistaa toteuttamisessa olevien mahdollisten ongelmien oikea-aikainen havaitseminen ja ratkaiseminen.</w:t>
            </w:r>
            <w:r>
              <w:t xml:space="preserve"> Viimeistään 90 kalenteripäivän kuluttua asteittaisen käyttöönoton aloittamisesta jäsenvaltioiden olisi käytettävä EES:n biometrisiä toimintoja vähintään puolessa rajanylityspaikoistaan. Biometristen tietojen antaminen ei saisi olla maahantuloedellytys kolmansien maiden kansalaisille, jotka on rekisteröitävä EES:ään sellaisilla rajanylityspaikoilla, joilla EES:ää käytetään ilman biometrisiä toimintoja.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Kolmansien maiden kansalaisille, joiden tiedot on rekisteröitävä EES:ään, olisi ilmoitettava heidän tietojensa käsittelyyn liittyvistä oikeuksista ja velvollisuuksista asetuksen (EU) 2017/2226 50 artiklan 5 kohdassa säädetyn vakiomallin muodossa. EES:ään rekisteröitäville kolmansien maiden kansalaisille annettavissa tiedoissa olisi viitattava EES:n asteittaiseen käyttöönottoon. Vakiomallissa olisi ilmoitettava kolmansien maiden kansalaisille heidän velvollisuudestaan antaa biometrisiä tietoja niillä rajanylityspaikoilla, joilla se on maahantulon edellytys. Vakiomallissa olisi ilmoitettava seurauksista, joita aiheutuu, ellei biometrisiä tietoja anneta. Siinä olisi myös ilmoitettava, että kolmansien maiden kansalaiset eivät voi todentaa sallitun oleskelun jäljellä olevaa kestoa automaattisesti.</w:t>
            </w:r>
          </w:p>
        </w:tc>
        <w:tc>
          <w:tcPr>
            <w:tcW w:w="4876" w:type="dxa"/>
            <w:tcBorders>
              <w:top w:val="nil"/>
              <w:left w:val="nil"/>
              <w:bottom w:val="nil"/>
              <w:right w:val="nil"/>
            </w:tcBorders>
          </w:tcPr>
          <w:p>
            <w:pPr>
              <w:pStyle w:val="Normal6a"/>
            </w:pPr>
            <w:r>
              <w:t>(14)</w:t>
            </w:r>
            <w:r>
              <w:tab/>
            </w:r>
            <w:r>
              <w:t xml:space="preserve">Kolmansien maiden kansalaisille, joiden tiedot on rekisteröitävä EES:ään, olisi ilmoitettava heidän tietojensa käsittelyyn liittyvistä oikeuksista ja velvollisuuksista asetuksen (EU) 2017/2226 50 artiklan 5 kohdassa säädetyn vakiomallin muodossa </w:t>
            </w:r>
            <w:r>
              <w:rPr>
                <w:b/>
                <w:i/>
              </w:rPr>
              <w:t>sekä siitä, että tietojen kerääminen on pakollista maahantulon edellytysten tutkimista varten, samoin kuin siitä, että maahanpääsy evätään, jos kolmannen maan kansalainen kieltäytyy antamasta vaadittuja biometrisiä tietoja rekisteröintiä tai EES:ssä todentamista ja tunnistamista varten asetuksen (EU) 2017/2226 50 artiklan 1 kohdan d ja e alakohdassa säädetyllä tavalla</w:t>
            </w:r>
            <w:r>
              <w:t>. EES:ään rekisteröitäville kolmansien maiden kansalaisille annettavissa tiedoissa olisi viitattava EES:n asteittaiseen käyttöönottoon. Vakiomallissa olisi ilmoitettava kolmansien maiden kansalaisille heidän velvollisuudestaan antaa biometrisiä tietoja niillä rajanylityspaikoilla, joilla se on maahantulon edellytys. Vakiomallissa olisi ilmoitettava seurauksista, joita aiheutuu, ellei biometrisiä tietoja anneta. Siinä olisi myös ilmoitettava, että kolmansien maiden kansalaiset eivät voi todentaa sallitun oleskelun jäljellä olevaa kestoa automaattisesti.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59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Kolmansien maiden kansalaisille, joiden tiedot on rekisteröitävä EES:ään, olisi ilmoitettava heidän tietojensa käsittelyyn liittyvistä oikeuksista ja velvollisuuksista asetuksen (EU) 2017/2226 50 artiklan 5 kohdassa säädetyn vakiomallin muodossa. EES:ään rekisteröitäville kolmansien maiden kansalaisille annettavissa tiedoissa olisi viitattava EES:n asteittaiseen käyttöönottoon. Vakiomallissa olisi ilmoitettava kolmansien maiden kansalaisille heidän velvollisuudestaan antaa biometrisiä tietoja niillä rajanylityspaikoilla, joilla se on maahantulon edellytys. Vakiomallissa olisi ilmoitettava seurauksista, joita aiheutuu, ellei biometrisiä tietoja anneta. Siinä olisi myös ilmoitettava, että kolmansien maiden kansalaiset eivät voi todentaa sallitun oleskelun jäljellä olevaa kestoa automaattisesti.</w:t>
            </w:r>
          </w:p>
        </w:tc>
        <w:tc>
          <w:tcPr>
            <w:tcW w:w="4876" w:type="dxa"/>
            <w:tcBorders>
              <w:top w:val="nil"/>
              <w:left w:val="nil"/>
              <w:bottom w:val="nil"/>
              <w:right w:val="nil"/>
            </w:tcBorders>
          </w:tcPr>
          <w:p>
            <w:pPr>
              <w:pStyle w:val="Normal6a"/>
            </w:pPr>
            <w:r>
              <w:t>(14)</w:t>
            </w:r>
            <w:r>
              <w:tab/>
            </w:r>
            <w:r>
              <w:t xml:space="preserve">Kolmansien maiden kansalaisille, joiden tiedot on rekisteröitävä EES:ään, olisi ilmoitettava heidän tietojensa käsittelyyn liittyvistä oikeuksista ja velvollisuuksista asetuksen (EU) 2017/2226 50 artiklan 5 kohdassa säädetyn vakiomallin muodossa. EES:ään rekisteröitäville kolmansien maiden kansalaisille annettavissa tiedoissa olisi viitattava EES:n asteittaiseen käyttöönottoon. Vakiomallissa olisi ilmoitettava kolmansien maiden kansalaisille heidän velvollisuudestaan antaa biometrisiä tietoja niillä rajanylityspaikoilla, joilla se on maahantulon edellytys. Vakiomallissa olisi ilmoitettava seurauksista, joita aiheutuu, ellei biometrisiä tietoja anneta. Siinä olisi myös ilmoitettava, että kolmansien maiden kansalaiset eivät voi todentaa sallitun oleskelun jäljellä olevaa kestoa automaattisesti. </w:t>
            </w:r>
            <w:r>
              <w:rPr>
                <w:b/>
                <w:i/>
              </w:rPr>
              <w:t>Kansallisten viranomaisten olisi toteutettava kaikki kohtuulliset toimet antaakseen kyseisille kolmansien maiden kansalaisille yksityiskohtaiset tiedot heidän sallitun oleskelunsa kestosta heidän matkustusasiakirjoissaan olevien leimojen perusteella.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Matkustavilla kolmansien maiden kansalaisilla on EES:n velvoitteet ilman hyötyjä, ainakin asteittaisen käyttöönoton aikana.</w:t>
      </w:r>
      <w:r>
        <w:t xml:space="preserve"> </w:t>
      </w:r>
      <w:r>
        <w:t>Jäsenvaltioiden kansallisten viranomaisten olisi näissä olosuhteissa toteutettava kaikki kohtuulliset toimet pitääkseen kolmansien maiden kansalaiset ajan tasalla heidän sallitun oleskelunsa jäljellä olevasta kestosta.</w:t>
      </w:r>
    </w:p>
    <w:p>
      <w:r>
        <w:rPr>
          <w:rStyle w:val="HideTWBExt"/>
        </w:rPr>
        <w:t>&lt;/AmendB&gt;</w:t>
      </w:r>
    </w:p>
    <w:p>
      <w:pPr>
        <w:pStyle w:val="AmNumberTabs"/>
      </w:pPr>
      <w:r>
        <w:rPr>
          <w:rStyle w:val="HideTWBExt"/>
        </w:rPr>
        <w:t>&lt;AmendB&gt;</w:t>
      </w:r>
      <w:r>
        <w:t>Tarkistus</w:t>
      </w:r>
      <w:r>
        <w:tab/>
      </w:r>
      <w:r>
        <w:tab/>
      </w:r>
      <w:r>
        <w:rPr>
          <w:rStyle w:val="HideTWBExt"/>
        </w:rPr>
        <w:t>&lt;NumAmB&gt;</w:t>
      </w:r>
      <w:r>
        <w:t>60</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Komission olisi tehtävä EES:n verkkosivustolle tarvittavat päivitykset EES:n asteittaisen käyttöönoton huomioon ottamiseksi.</w:t>
            </w:r>
          </w:p>
        </w:tc>
        <w:tc>
          <w:tcPr>
            <w:tcW w:w="4876" w:type="dxa"/>
            <w:tcBorders>
              <w:top w:val="nil"/>
              <w:left w:val="nil"/>
              <w:bottom w:val="nil"/>
              <w:right w:val="nil"/>
            </w:tcBorders>
          </w:tcPr>
          <w:p>
            <w:pPr>
              <w:pStyle w:val="Normal6a"/>
            </w:pPr>
            <w:r>
              <w:t>(15)</w:t>
            </w:r>
            <w:r>
              <w:tab/>
            </w:r>
            <w:r>
              <w:t xml:space="preserve">Komission olisi </w:t>
            </w:r>
            <w:r>
              <w:rPr>
                <w:b/>
                <w:i/>
              </w:rPr>
              <w:t>vähintään joka kuukausi</w:t>
            </w:r>
            <w:r>
              <w:t xml:space="preserve"> tehtävä EES:n verkkosivustolle tarvittavat päivitykset EES:n asteittaisen käyttöönoton huomioon ottamiseksi.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61</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Tavoite lisätä kolmansien maiden kansalaisten tietoisuutta heille kuuluvista oikeuksista ja velvollisuuksista saavutetaan parhaiten, jos jäsenvaltiot räätälöivät kampanjan toteuttamisen sen mukaan, miten EES:ää käytetään niiden niillä rajoilla, joilla järjestelmää käytetään asetuksen (EU) 2017/2226 4 artiklan mukaisesti.</w:t>
            </w:r>
            <w:r>
              <w:t xml:space="preserve"> Tiedotusmateriaalia, jonka komissio on laatinut jäsenvaltioiden tuella asetuksen (EU) 2017/2226 51 artiklan mukaisesti, olisi sen vuoksi mukautettava, jotta tiedotuskampanja voidaan toteuttaa järjestelmän asteittaisen käyttöönoton yhteydessä.</w:t>
            </w:r>
          </w:p>
        </w:tc>
        <w:tc>
          <w:tcPr>
            <w:tcW w:w="4876" w:type="dxa"/>
            <w:tcBorders>
              <w:top w:val="nil"/>
              <w:left w:val="nil"/>
              <w:bottom w:val="nil"/>
              <w:right w:val="nil"/>
            </w:tcBorders>
          </w:tcPr>
          <w:p>
            <w:pPr>
              <w:pStyle w:val="Normal6a"/>
            </w:pPr>
            <w:r>
              <w:t>(16)</w:t>
            </w:r>
            <w:r>
              <w:tab/>
            </w:r>
            <w:r>
              <w:t>Tiedotusmateriaalia, jonka komissio on laatinut jäsenvaltioiden tuella asetuksen (EU) 2017/2226 51 artiklan mukaisesti, olisi sen vuoksi mukautettava, jotta tiedotuskampanja voidaan toteuttaa järjestelmän asteittaisen käyttöönoton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Tavoite lisätä kolmansien maiden kansalaisten tietoisuutta heille kuuluvista oikeuksista ja velvollisuuksista saavutetaan parhaiten, jos jäsenvaltiot räätälöivät kampanjan toteuttamisen sen mukaan, miten EES:ää käytetään niiden niillä rajoilla, joilla järjestelmää käytetään asetuksen (EU) 2017/2226 4 artiklan mukaisesti. Tiedotusmateriaalia, jonka komissio on laatinut jäsenvaltioiden tuella asetuksen (EU) 2017/2226 51 artiklan mukaisesti, olisi sen vuoksi mukautettava, jotta tiedotuskampanja voidaan toteuttaa järjestelmän asteittaisen käyttöönoton yhteydessä.</w:t>
            </w:r>
          </w:p>
        </w:tc>
        <w:tc>
          <w:tcPr>
            <w:tcW w:w="4876" w:type="dxa"/>
            <w:tcBorders>
              <w:top w:val="nil"/>
              <w:left w:val="nil"/>
              <w:bottom w:val="nil"/>
              <w:right w:val="nil"/>
            </w:tcBorders>
          </w:tcPr>
          <w:p>
            <w:pPr>
              <w:pStyle w:val="Normal6a"/>
            </w:pPr>
            <w:r>
              <w:t>(16)</w:t>
            </w:r>
            <w:r>
              <w:tab/>
            </w:r>
            <w:r>
              <w:t xml:space="preserve">Tavoite lisätä kolmansien maiden kansalaisten tietoisuutta heille kuuluvista oikeuksista ja velvollisuuksista saavutetaan parhaiten, jos jäsenvaltiot räätälöivät kampanjan toteuttamisen sen mukaan, miten EES:ää käytetään niiden niillä rajoilla, joilla järjestelmää käytetään asetuksen (EU) 2017/2226 4 artiklan mukaisesti. Tiedotusmateriaalia, jonka komissio </w:t>
            </w:r>
            <w:r>
              <w:rPr>
                <w:b/>
                <w:i/>
              </w:rPr>
              <w:t>yhteistyössä valvontaviranomaisten ja Euroopan tietosuojavaltuutetun kanssa</w:t>
            </w:r>
            <w:r>
              <w:t xml:space="preserve"> on laatinut jäsenvaltioiden tuella asetuksen (EU) 2017/2226 51 artiklan mukaisesti, olisi sen vuoksi mukautettava, jotta tiedotuskampanja voidaan toteuttaa järjestelmän asteittaisen käyttöönoton yhteydessä.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Tavoite lisätä kolmansien maiden kansalaisten tietoisuutta heille kuuluvista oikeuksista ja velvollisuuksista saavutetaan parhaiten, jos jäsenvaltiot räätälöivät kampanjan toteuttamisen sen mukaan, miten EES:ää käytetään niiden niillä rajoilla, joilla järjestelmää käytetään asetuksen (EU) 2017/2226 4 artiklan mukaisesti. </w:t>
            </w:r>
            <w:r>
              <w:rPr>
                <w:b/>
                <w:i/>
              </w:rPr>
              <w:t>Tiedotusmateriaalia, jonka komissio on laatinut</w:t>
            </w:r>
            <w:r>
              <w:t xml:space="preserve"> jäsenvaltioiden tuella asetuksen (EU) 2017/2226 51 artiklan mukaisesti</w:t>
            </w:r>
            <w:r>
              <w:rPr>
                <w:b/>
                <w:i/>
              </w:rPr>
              <w:t>, olisi sen vuoksi mukautettava</w:t>
            </w:r>
            <w:r>
              <w:t xml:space="preserve">, jotta </w:t>
            </w:r>
            <w:r>
              <w:rPr>
                <w:b/>
                <w:i/>
              </w:rPr>
              <w:t>tiedotuskampanja voidaan toteuttaa</w:t>
            </w:r>
            <w:r>
              <w:t xml:space="preserve"> järjestelmän asteittaisen käyttöönoton yhteydessä.</w:t>
            </w:r>
          </w:p>
        </w:tc>
        <w:tc>
          <w:tcPr>
            <w:tcW w:w="4876" w:type="dxa"/>
            <w:tcBorders>
              <w:top w:val="nil"/>
              <w:left w:val="nil"/>
              <w:bottom w:val="nil"/>
              <w:right w:val="nil"/>
            </w:tcBorders>
          </w:tcPr>
          <w:p>
            <w:pPr>
              <w:pStyle w:val="Normal6a"/>
            </w:pPr>
            <w:r>
              <w:t>(16)</w:t>
            </w:r>
            <w:r>
              <w:tab/>
            </w:r>
            <w:r>
              <w:t xml:space="preserve">Tavoite lisätä kolmansien maiden kansalaisten tietoisuutta heille kuuluvista oikeuksista ja velvollisuuksista saavutetaan parhaiten, jos jäsenvaltiot räätälöivät kampanjan toteuttamisen sen mukaan, miten EES:ää käytetään niiden niillä rajoilla, joilla järjestelmää käytetään asetuksen (EU) 2017/2226 4 artiklan mukaisesti. </w:t>
            </w:r>
            <w:r>
              <w:rPr>
                <w:b/>
                <w:i/>
              </w:rPr>
              <w:t>Komission olisi sen vuoksi mukautettava</w:t>
            </w:r>
            <w:r>
              <w:t xml:space="preserve"> jäsenvaltioiden tuella asetuksen (EU) 2017/2226 51 artiklan mukaisesti </w:t>
            </w:r>
            <w:r>
              <w:rPr>
                <w:b/>
                <w:i/>
              </w:rPr>
              <w:t>laatimaansa tiedotusmateriaalia</w:t>
            </w:r>
            <w:r>
              <w:t xml:space="preserve">, jotta </w:t>
            </w:r>
            <w:r>
              <w:rPr>
                <w:b/>
                <w:i/>
              </w:rPr>
              <w:t>voidaan varmistaa, että</w:t>
            </w:r>
            <w:r>
              <w:t xml:space="preserve"> järjestelmän asteittaisen käyttöönoton yhteydessä </w:t>
            </w:r>
            <w:r>
              <w:rPr>
                <w:b/>
                <w:i/>
              </w:rPr>
              <w:t>voidaan toteuttaa tarkka tiedotuskampanja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EES:n asteittaisen käyttöönoton aikana kolmansien maiden kansalaisilla ei ole mahdollisuutta tarkistaa sallitun oleskelunsa tarkkaa kestoa verkkopalvelussa sähköisesti.</w:t>
            </w:r>
          </w:p>
        </w:tc>
        <w:tc>
          <w:tcPr>
            <w:tcW w:w="4876" w:type="dxa"/>
            <w:tcBorders>
              <w:top w:val="nil"/>
              <w:left w:val="nil"/>
              <w:bottom w:val="nil"/>
              <w:right w:val="nil"/>
            </w:tcBorders>
          </w:tcPr>
          <w:p>
            <w:pPr>
              <w:pStyle w:val="Normal6a"/>
            </w:pPr>
            <w:r>
              <w:t>(17)</w:t>
            </w:r>
            <w:r>
              <w:tab/>
            </w:r>
            <w:r>
              <w:t xml:space="preserve">EES:n asteittaisen käyttöönoton aikana kolmansien maiden kansalaisilla ei ole mahdollisuutta tarkistaa sallitun oleskelunsa tarkkaa kestoa verkkopalvelussa sähköisesti. </w:t>
            </w:r>
            <w:r>
              <w:rPr>
                <w:b/>
                <w:i/>
              </w:rPr>
              <w:t>Tästä huolimatta jäsenvaltioiden olisi voitava yhteistyössä komission ja eu-LISAn kanssa ottaa käyttöön väliaikaisia tai esioperatiivisia versioita verkkopalvelusta, jossa on rajoitetut toiminnot, EES:n valmiuksien testausta, demonstrointia ja varhaista validointia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65</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17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EES:n asteittaisen käyttöönoton aikana kolmansien maiden kansalaisilla ei ole mahdollisuutta tarkistaa sallitun oleskelunsa tarkkaa kestoa verkkopalvelussa sähköisesti.</w:t>
            </w:r>
          </w:p>
        </w:tc>
        <w:tc>
          <w:tcPr>
            <w:tcW w:w="4876" w:type="dxa"/>
            <w:tcBorders>
              <w:top w:val="nil"/>
              <w:left w:val="nil"/>
              <w:bottom w:val="nil"/>
              <w:right w:val="nil"/>
            </w:tcBorders>
          </w:tcPr>
          <w:p>
            <w:pPr>
              <w:pStyle w:val="Normal6a"/>
            </w:pPr>
            <w:r>
              <w:t>(17)</w:t>
            </w:r>
            <w:r>
              <w:tab/>
            </w:r>
            <w:r>
              <w:t xml:space="preserve">EES:n asteittaisen käyttöönoton aikana kolmansien maiden kansalaisilla ei ole mahdollisuutta tarkistaa sallitun oleskelunsa tarkkaa kestoa verkkopalvelussa sähköisesti. </w:t>
            </w:r>
            <w:r>
              <w:rPr>
                <w:b/>
                <w:i/>
              </w:rPr>
              <w:t>Kansallisten viranomaisten olisi toteutettava kaikki kohtuulliset toimet antaakseen kyseisille kolmansien maiden kansalaisille yksityiskohtaiset tiedot heidän sallitun oleskelunsa kestosta heidän matkustusasiakirjoissaan olevien leimojen perusteella.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Kolmansien maiden kansalaisilla on EES:n velvoitteet ilman hyötyjä, ainakin asteittaisen käyttöönoton aikana.</w:t>
      </w:r>
      <w:r>
        <w:t xml:space="preserve"> </w:t>
      </w:r>
      <w:r>
        <w:t>Jäsenvaltioiden kansallisten viranomaisten olisi näissä olosuhteissa toteutettava kaikki kohtuulliset toimet pitääkseen kolmansien maiden kansalaiset ajan tasalla heidän sallitun oleskelunsa jäljellä olevasta kestosta.</w:t>
      </w:r>
    </w:p>
    <w:p>
      <w:r>
        <w:rPr>
          <w:rStyle w:val="HideTWBExt"/>
        </w:rPr>
        <w:t>&lt;/AmendB&gt;</w:t>
      </w:r>
    </w:p>
    <w:p>
      <w:pPr>
        <w:pStyle w:val="AmNumberTabs"/>
      </w:pPr>
      <w:r>
        <w:rPr>
          <w:rStyle w:val="HideTWBExt"/>
        </w:rPr>
        <w:t>&lt;AmendB&gt;</w:t>
      </w:r>
      <w:r>
        <w:t>Tarkistus</w:t>
      </w:r>
      <w:r>
        <w:tab/>
      </w:r>
      <w:r>
        <w:tab/>
      </w:r>
      <w:r>
        <w:rPr>
          <w:rStyle w:val="HideTWBExt"/>
        </w:rPr>
        <w:t>&lt;NumAmB&gt;</w:t>
      </w:r>
      <w:r>
        <w:t>66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18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Tämä asetus ei vaikuta Schengenin sopimuksen soveltamisesta tehdyn yleissopimuksen</w:t>
            </w:r>
            <w:r>
              <w:rPr>
                <w:vertAlign w:val="superscript"/>
              </w:rPr>
              <w:t>5</w:t>
            </w:r>
            <w:r>
              <w:t>26 artiklan 1 kohdassa ja neuvoston direktiivissä 2001/51/EY</w:t>
            </w:r>
            <w:r>
              <w:rPr>
                <w:vertAlign w:val="superscript"/>
              </w:rPr>
              <w:t>6</w:t>
            </w:r>
            <w:r>
              <w:t>vahvistettuihin lentoliikenteen harjoittajien, meriliikenteen harjoittajien ja ryhmiä linja-autoilla maitse kuljettavien kansainvälisten liikenteenharjoittajien velvollisuuksiin. Liikenteenharjoittajien olisi tältä osin tarkistettava matkustusasiakirjoihin merkityt leimat. Jotta voidaan varmistaa EES:n soveltamista rajanylityspaikoilla koskeva toimiva viestintä liikenteenharjoittajien kanssa, mistä viime kädessä hyötyvät matkustajat, on ratkaisevan tärkeää, että jäsenvaltiot toteuttavat EES:n käyttöönoton rajanylityspaikoillaan läpinäkyvällä tavalla.</w:t>
            </w:r>
          </w:p>
        </w:tc>
        <w:tc>
          <w:tcPr>
            <w:tcW w:w="4876" w:type="dxa"/>
            <w:tcBorders>
              <w:top w:val="nil"/>
              <w:left w:val="nil"/>
              <w:bottom w:val="nil"/>
              <w:right w:val="nil"/>
            </w:tcBorders>
          </w:tcPr>
          <w:p>
            <w:pPr>
              <w:pStyle w:val="Normal6a"/>
            </w:pPr>
            <w:r>
              <w:t>(18)</w:t>
            </w:r>
            <w:r>
              <w:tab/>
            </w:r>
            <w:r>
              <w:t>Tämä asetus ei vaikuta Schengenin sopimuksen soveltamisesta tehdyn yleissopimuksen</w:t>
            </w:r>
            <w:r>
              <w:rPr>
                <w:vertAlign w:val="superscript"/>
              </w:rPr>
              <w:t>5</w:t>
            </w:r>
            <w:r>
              <w:t xml:space="preserve"> 26 artiklan 1 kohdassa ja neuvoston direktiivissä 2001/51/EY</w:t>
            </w:r>
            <w:r>
              <w:rPr>
                <w:vertAlign w:val="superscript"/>
              </w:rPr>
              <w:t>6</w:t>
            </w:r>
            <w:r>
              <w:t xml:space="preserve"> vahvistettuihin lentoliikenteen harjoittajien, meriliikenteen harjoittajien ja ryhmiä linja-autoilla maitse kuljettavien kansainvälisten liikenteenharjoittajien velvollisuuksiin. Liikenteenharjoittajien olisi tältä osin tarkistettava matkustusasiakirjoihin merkityt leimat. Jotta voidaan varmistaa EES:n soveltamista rajanylityspaikoilla koskeva toimiva viestintä liikenteenharjoittajien kanssa, mistä viime kädessä hyötyvät matkustajat, on ratkaisevan tärkeää, että jäsenvaltiot toteuttavat EES:n käyttöönoton rajanylityspaikoillaan läpinäkyvällä tavalla </w:t>
            </w:r>
            <w:r>
              <w:rPr>
                <w:b/>
                <w:i/>
              </w:rPr>
              <w:t>ja jakavat kansalliset käyttöönottosuunnitelmansa alan sidosryhmien kanssa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Tarkastusten asteittaisesta lakkauttamisesta yhteisillä rajoilla 14 päivänä kesäkuuta 1985 Benelux-talousliiton valtioiden, Saksan liittotasavallan ja Ranskan tasavallan hallitusten välillä tehdyn Schengenin sopimuksen soveltamisesta tehty yleissopimus, jäljempänä ’Schengenin yleissopimus’, (EYVL L 239, 22.9.2000, s. 19, ELI: http://data.europa.eu/eli/convention/2000/922/oj).</w:t>
            </w:r>
          </w:p>
        </w:tc>
        <w:tc>
          <w:tcPr>
            <w:tcW w:w="4876" w:type="dxa"/>
            <w:tcBorders>
              <w:top w:val="nil"/>
              <w:left w:val="nil"/>
              <w:bottom w:val="nil"/>
              <w:right w:val="nil"/>
            </w:tcBorders>
          </w:tcPr>
          <w:p>
            <w:pPr>
              <w:pStyle w:val="Normal6a"/>
            </w:pPr>
            <w:r>
              <w:rPr>
                <w:vertAlign w:val="superscript"/>
              </w:rPr>
              <w:t>5</w:t>
            </w:r>
            <w:r>
              <w:t xml:space="preserve"> </w:t>
            </w:r>
            <w:r>
              <w:t>Tarkastusten asteittaisesta lakkauttamisesta yhteisillä rajoilla 14 päivänä kesäkuuta 1985 Benelux-talousliiton valtioiden, Saksan liittotasavallan ja Ranskan tasavallan hallitusten välillä tehdyn Schengenin sopimuksen soveltamisesta tehty yleissopimus, jäljempänä ’Schengenin yleissopimus’, (EYVL L 239, 22.9.2000, s. 19, ELI: http://data.europa.eu/eli/convention/2000/922/oj).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Neuvoston direktiivi 2001/51/EY, annettu 28 päivänä kesäkuuta 2001, 14 päivänä kesäkuuta 1985 tehdyn Schengenin sopimuksen soveltamisesta tehdyn yleissopimuksen 26 artiklan määräysten täydentämiseksi (EYVL L 187, 10.7.2001, s. 45, ELI: http://data.europa.eu/eli/dir/2001/51/oj).</w:t>
            </w:r>
          </w:p>
        </w:tc>
        <w:tc>
          <w:tcPr>
            <w:tcW w:w="4876" w:type="dxa"/>
            <w:tcBorders>
              <w:top w:val="nil"/>
              <w:left w:val="nil"/>
              <w:bottom w:val="nil"/>
              <w:right w:val="nil"/>
            </w:tcBorders>
          </w:tcPr>
          <w:p>
            <w:pPr>
              <w:pStyle w:val="Normal6a"/>
            </w:pPr>
            <w:r>
              <w:rPr>
                <w:vertAlign w:val="superscript"/>
              </w:rPr>
              <w:t>6</w:t>
            </w:r>
            <w:r>
              <w:t xml:space="preserve"> </w:t>
            </w:r>
            <w:r>
              <w:t>Neuvoston direktiivi 2001/51/EY, annettu 28 päivänä kesäkuuta 2001, 14 päivänä kesäkuuta 1985 tehdyn Schengenin sopimuksen soveltamisesta tehdyn yleissopimuksen 26 artiklan määräysten täydentämiseksi (EYVL L 187, 10.7.2001, s. 45, ELI: http://data.europa.eu/eli/dir/2001/51/oj).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19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Asetuksen (EU) 2017/2226 22 artiklassa ja asetuksen (EU) 2016/399 12 a artiklassa säädetään siirtymäkaudesta ja siirtymätoimenpiteistä EES:n käyttöönoton yhteydessä. Mainituista artikloista on tarpeen poiketa sen varmistamiseksi, että siirtymäkautta ja siirtymätoimenpiteitä sovelletaan vasta asteittaisen käyttöönoton päättymisen jälkeen. </w:t>
            </w:r>
            <w:r>
              <w:rPr>
                <w:b/>
                <w:i/>
              </w:rPr>
              <w:t>Poikkeuksen soveltamisen olisi päätyttävä viiden vuoden ja 180 kalenteripäivän kuluttua päivästä, jonka komissio päättää asetuksen (EU) 2017/2226 66 artiklan 1 kohdan mukaisesti.</w:t>
            </w:r>
          </w:p>
        </w:tc>
        <w:tc>
          <w:tcPr>
            <w:tcW w:w="4876" w:type="dxa"/>
            <w:tcBorders>
              <w:top w:val="nil"/>
              <w:left w:val="nil"/>
              <w:bottom w:val="nil"/>
              <w:right w:val="nil"/>
            </w:tcBorders>
          </w:tcPr>
          <w:p>
            <w:pPr>
              <w:pStyle w:val="Normal6a"/>
            </w:pPr>
            <w:r>
              <w:t>(19)</w:t>
            </w:r>
            <w:r>
              <w:tab/>
            </w:r>
            <w:r>
              <w:t>Asetuksen (EU) 2017/2226 22 artiklassa ja asetuksen (EU) 2016/399 12 a artiklassa säädetään siirtymäkaudesta ja siirtymätoimenpiteistä EES:n käyttöönoton yhteydessä. Mainituista artikloista on tarpeen poiketa sen varmistamiseksi, että siirtymäkautta ja siirtymätoimenpiteitä sovelletaan vasta asteittaisen käyttöönoton päättymisen jälkeen.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Sen varmistamiseksi, että kansalliset viranomaiset ja EU:n virastot välttävät tehtäviään suorittaessaan tekemästä päätöksiä yksinomaan EES:ään rekisteröityjen tietojen perusteella, niiden olisi otettava huomioon, että EES:ään rekisteröidyt henkilökohtaiset tietueet voivat sisältää epätäydellisiä </w:t>
            </w:r>
            <w:r>
              <w:rPr>
                <w:b/>
                <w:i/>
              </w:rPr>
              <w:t>tietokokonaisuuksia.</w:t>
            </w:r>
            <w:r>
              <w:t xml:space="preserve"> </w:t>
            </w:r>
            <w:r>
              <w:rPr>
                <w:b/>
                <w:i/>
              </w:rPr>
              <w:t>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r>
              <w:t>.</w:t>
            </w:r>
          </w:p>
        </w:tc>
        <w:tc>
          <w:tcPr>
            <w:tcW w:w="4876" w:type="dxa"/>
            <w:tcBorders>
              <w:top w:val="nil"/>
              <w:left w:val="nil"/>
              <w:bottom w:val="nil"/>
              <w:right w:val="nil"/>
            </w:tcBorders>
          </w:tcPr>
          <w:p>
            <w:pPr>
              <w:pStyle w:val="Normal6a"/>
            </w:pPr>
            <w:r>
              <w:t>(20)</w:t>
            </w:r>
            <w:r>
              <w:tab/>
            </w:r>
            <w:r>
              <w:t xml:space="preserve">Sen varmistamiseksi, että kansalliset viranomaiset ja EU:n virastot välttävät tehtäviään suorittaessaan tekemästä päätöksiä yksinomaan EES:ään rekisteröityjen tietojen perusteella, niiden olisi otettava huomioon, että EES:ään rekisteröidyt henkilökohtaiset tietueet voivat sisältää epätäydellisiä </w:t>
            </w:r>
            <w:r>
              <w:rPr>
                <w:b/>
                <w:i/>
              </w:rPr>
              <w:t>tai virheellisiä tietokokonaisuuksia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69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Sen varmistamiseksi, että kansalliset viranomaiset ja EU</w:t>
            </w:r>
            <w:r>
              <w:t>:</w:t>
            </w:r>
            <w:r>
              <w:rPr>
                <w:b/>
                <w:i/>
              </w:rPr>
              <w:t>n virastot välttävät tehtäviään suorittaessaan tekemästä</w:t>
            </w:r>
            <w:r>
              <w:t xml:space="preserve"> päätöksiä yksinomaan EES:ään rekisteröityjen tietojen perusteella</w:t>
            </w:r>
            <w:r>
              <w:rPr>
                <w:b/>
                <w:i/>
              </w:rPr>
              <w:t>, niiden olisi otettava huomioon, että EES:ään rekisteröidyt henkilökohtaiset tietueet voivat sisältää epätäydellisiä tietokokonaisuuksia</w:t>
            </w:r>
            <w:r>
              <w:t>.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p>
        </w:tc>
        <w:tc>
          <w:tcPr>
            <w:tcW w:w="4876" w:type="dxa"/>
            <w:tcBorders>
              <w:top w:val="nil"/>
              <w:left w:val="nil"/>
              <w:bottom w:val="nil"/>
              <w:right w:val="nil"/>
            </w:tcBorders>
          </w:tcPr>
          <w:p>
            <w:pPr>
              <w:pStyle w:val="Normal6a"/>
            </w:pPr>
            <w:r>
              <w:t>(20)</w:t>
            </w:r>
            <w:r>
              <w:tab/>
            </w:r>
            <w:r>
              <w:rPr>
                <w:b/>
                <w:i/>
              </w:rPr>
              <w:t>Ottaen huomioon, että asteittaisen käyttöönoton aikana EES</w:t>
            </w:r>
            <w:r>
              <w:t>:</w:t>
            </w:r>
            <w:r>
              <w:rPr>
                <w:b/>
                <w:i/>
              </w:rPr>
              <w:t>ään rekisteröidyt henkilökohtaiset tietueet voivat sisältää epätäydellisiä tietokokonaisuuksia, kansallisten viranomaisten ei pitäisi tehdä yksilöihin kielteisesti vaikuttavia</w:t>
            </w:r>
            <w:r>
              <w:t xml:space="preserve"> päätöksiä yksinomaan EES:ään rekisteröityjen tietojen perusteella </w:t>
            </w:r>
            <w:r>
              <w:rPr>
                <w:b/>
                <w:i/>
              </w:rPr>
              <w:t>tai sen seikan perusteella, että maahantulon tai maastalähdön rekisteröinti puuttuu</w:t>
            </w:r>
            <w:r>
              <w:t>.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70</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Sen varmistamiseksi, että kansalliset viranomaiset ja EU:n virastot välttävät tehtäviään suorittaessaan tekemästä päätöksiä yksinomaan EES:ään rekisteröityjen tietojen perusteella, niiden olisi otettava huomioon, että EES:ään rekisteröidyt henkilökohtaiset tietueet voivat sisältää epätäydellisiä tietokokonaisuuksia.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p>
        </w:tc>
        <w:tc>
          <w:tcPr>
            <w:tcW w:w="4876" w:type="dxa"/>
            <w:tcBorders>
              <w:top w:val="nil"/>
              <w:left w:val="nil"/>
              <w:bottom w:val="nil"/>
              <w:right w:val="nil"/>
            </w:tcBorders>
          </w:tcPr>
          <w:p>
            <w:pPr>
              <w:pStyle w:val="Normal6a"/>
            </w:pPr>
            <w:r>
              <w:t>(20)</w:t>
            </w:r>
            <w:r>
              <w:tab/>
            </w:r>
            <w:r>
              <w:t xml:space="preserve">Sen varmistamiseksi, että kansalliset viranomaiset ja EU:n virastot välttävät tehtäviään suorittaessaan tekemästä päätöksiä yksinomaan EES:ään rekisteröityjen tietojen perusteella, niiden olisi otettava huomioon, että EES:ään rekisteröidyt henkilökohtaiset tietueet voivat sisältää epätäydellisiä tietokokonaisuuksia.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 </w:t>
            </w:r>
            <w:r>
              <w:rPr>
                <w:b/>
                <w:i/>
              </w:rPr>
              <w:t>Asteittaisen käyttöönoton aikana luotuja maahantulo- ja maastalähtötietueita ei pitäisi käyttää automaattiseen raportointiin eikä automatisoituihin prosesseihin, mukaan lukien automaattinen haku ETIAS-järjestelmästä.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Tarkistuksella pyritään tasapainottamaan se, että tiedot poistetaan kokonaan, ja se, että epätäydellisillä tiedoilla saadaan vääriä positiivisia tuloksia.</w:t>
      </w:r>
    </w:p>
    <w:p>
      <w:r>
        <w:rPr>
          <w:rStyle w:val="HideTWBExt"/>
        </w:rPr>
        <w:t>&lt;/AmendB&gt;</w:t>
      </w:r>
    </w:p>
    <w:p>
      <w:pPr>
        <w:pStyle w:val="AmNumberTabs"/>
      </w:pPr>
      <w:r>
        <w:rPr>
          <w:rStyle w:val="HideTWBExt"/>
        </w:rPr>
        <w:t>&lt;AmendB&gt;</w:t>
      </w:r>
      <w:r>
        <w:t>Tarkistus</w:t>
      </w:r>
      <w:r>
        <w:tab/>
      </w:r>
      <w:r>
        <w:tab/>
      </w:r>
      <w:r>
        <w:rPr>
          <w:rStyle w:val="HideTWBExt"/>
        </w:rPr>
        <w:t>&lt;NumAmB&gt;</w:t>
      </w:r>
      <w:r>
        <w:t>71</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20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Sen varmistamiseksi, että kansalliset viranomaiset</w:t>
            </w:r>
            <w:r>
              <w:t xml:space="preserve"> ja EU:n </w:t>
            </w:r>
            <w:r>
              <w:rPr>
                <w:b/>
                <w:i/>
              </w:rPr>
              <w:t>virastot välttävät</w:t>
            </w:r>
            <w:r>
              <w:t xml:space="preserve"> tehtäviään suorittaessaan tekemästä päätöksiä yksinomaan EES:ään rekisteröityjen tietojen perusteella, niiden olisi </w:t>
            </w:r>
            <w:r>
              <w:rPr>
                <w:b/>
                <w:i/>
              </w:rPr>
              <w:t>otettava huomioon</w:t>
            </w:r>
            <w:r>
              <w:t>, että EES:ään rekisteröidyt henkilökohtaiset tietueet voivat sisältää epätäydellisiä tietokokonaisuuksia.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p>
        </w:tc>
        <w:tc>
          <w:tcPr>
            <w:tcW w:w="4876" w:type="dxa"/>
            <w:tcBorders>
              <w:top w:val="nil"/>
              <w:left w:val="nil"/>
              <w:bottom w:val="nil"/>
              <w:right w:val="nil"/>
            </w:tcBorders>
          </w:tcPr>
          <w:p>
            <w:pPr>
              <w:pStyle w:val="Normal6a"/>
            </w:pPr>
            <w:r>
              <w:t>(20)</w:t>
            </w:r>
            <w:r>
              <w:tab/>
            </w:r>
            <w:r>
              <w:rPr>
                <w:b/>
                <w:i/>
              </w:rPr>
              <w:t>Kansallisten viranomaisten</w:t>
            </w:r>
            <w:r>
              <w:t xml:space="preserve"> ja EU:n </w:t>
            </w:r>
            <w:r>
              <w:rPr>
                <w:b/>
                <w:i/>
              </w:rPr>
              <w:t>virastojen olisi</w:t>
            </w:r>
            <w:r>
              <w:t xml:space="preserve"> tehtäviään suorittaessaan </w:t>
            </w:r>
            <w:r>
              <w:rPr>
                <w:b/>
                <w:i/>
              </w:rPr>
              <w:t>vältettävä </w:t>
            </w:r>
            <w:r>
              <w:t xml:space="preserve">tekemästä päätöksiä yksinomaan </w:t>
            </w:r>
            <w:r>
              <w:rPr>
                <w:b/>
                <w:i/>
              </w:rPr>
              <w:t>tai ensisijaisesti</w:t>
            </w:r>
            <w:r>
              <w:t xml:space="preserve"> EES:ään rekisteröityjen tietojen perusteella, </w:t>
            </w:r>
            <w:r>
              <w:rPr>
                <w:b/>
                <w:i/>
              </w:rPr>
              <w:t>sillä</w:t>
            </w:r>
            <w:r>
              <w:t xml:space="preserve"> niiden olisi </w:t>
            </w:r>
            <w:r>
              <w:rPr>
                <w:b/>
                <w:i/>
              </w:rPr>
              <w:t>tiedostettava</w:t>
            </w:r>
            <w:r>
              <w:t>, että EES:ään rekisteröidyt henkilökohtaiset tietueet voivat sisältää epätäydellisiä tietokokonaisuuksia. Poikkeuksen soveltamisen olisi päätyttävä viiden vuoden kuluttua päivästä, jonka komissio päättää asetuksen (EU) 2017/2226 66 artiklan 1 kohdan mukaisesti, jotta voidaan ottaa huomioon mainitun asetuksen 34 artiklan 3 kohdassa säädetty viiden vuoden säilytysaika niiden tietokokonaisuuksien osalta, joista puuttuu maastalähtötieto.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Olisi selvennettävä, etteivät kansalliset viranomaiset ja EU:n virastot voi luottaa EES:ssä oleviin tietoihin viiden vuoden ajan, kun otetaan huomioon asteittainen käyttöönotto ja epätäydelliset tietokokonaisuudet, joihin se johtaa.</w:t>
      </w:r>
    </w:p>
    <w:p>
      <w:r>
        <w:rPr>
          <w:rStyle w:val="HideTWBExt"/>
        </w:rPr>
        <w:t>&lt;/AmendB&gt;</w:t>
      </w:r>
    </w:p>
    <w:p>
      <w:pPr>
        <w:pStyle w:val="AmNumberTabs"/>
      </w:pPr>
      <w:r>
        <w:rPr>
          <w:rStyle w:val="HideTWBExt"/>
        </w:rPr>
        <w:t>&lt;AmendB&gt;</w:t>
      </w:r>
      <w:r>
        <w:t>Tarkistus</w:t>
      </w:r>
      <w:r>
        <w:tab/>
      </w:r>
      <w:r>
        <w:tab/>
      </w:r>
      <w:r>
        <w:rPr>
          <w:rStyle w:val="HideTWBExt"/>
        </w:rPr>
        <w:t>&lt;NumAmB&gt;</w:t>
      </w:r>
      <w:r>
        <w:t>72</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Euroopan raja- ja merivartioviraston olisi pidättäydyttävä käyttämästä EES:ään rekisteröityjä tietoja riskianalyysien ja haavoittuvuusarviointien tekemiseen järjestelmän asteittaisen käyttöönoton aikana, koska tiedot ovat puutteellisia, sillä se voisi johtaa harhaanjohtaviin riski- ja haavoittuvuusarviointeihin.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22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Euroopan raja- ja merivartioviraston olisi pidättäydyttävä käyttämästä EES:ään rekisteröityjä tietoja riskianalyysien ja haavoittuvuusarviointien tekemiseen järjestelmän asteittaisen käyttöönoton aikana, koska tiedot ovat puutteellisia, sillä se voisi johtaa harhaanjohtaviin riski- ja haavoittuvuusarviointeihin.</w:t>
            </w:r>
          </w:p>
        </w:tc>
        <w:tc>
          <w:tcPr>
            <w:tcW w:w="4876" w:type="dxa"/>
            <w:tcBorders>
              <w:top w:val="nil"/>
              <w:left w:val="nil"/>
              <w:bottom w:val="nil"/>
              <w:right w:val="nil"/>
            </w:tcBorders>
          </w:tcPr>
          <w:p>
            <w:pPr>
              <w:pStyle w:val="Normal6a"/>
            </w:pPr>
            <w:r>
              <w:t>(22)</w:t>
            </w:r>
            <w:r>
              <w:tab/>
            </w:r>
            <w:r>
              <w:t xml:space="preserve">Euroopan raja- ja merivartioviraston olisi pidättäydyttävä käyttämästä EES:ään rekisteröityjä tietoja riskianalyysien ja haavoittuvuusarviointien tekemiseen järjestelmän asteittaisen käyttöönoton aikana, koska tiedot ovat puutteellisia, sillä se voisi johtaa harhaanjohtaviin riski- ja haavoittuvuusarviointeihin. </w:t>
            </w:r>
            <w:r>
              <w:rPr>
                <w:b/>
                <w:i/>
              </w:rPr>
              <w:t>Vastaavasti tarkkuusperiaatteen mukaisesti ja virheellisten hakutulosten riskin välttämiseksi Europolin pääsy EES:ään rekisteröityihin tietoihin lainvalvontatarkoituksessa olisi estettävä EES:n asteittaisen käyttöönoton päättymiseen saakka.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74</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23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Jotta voidaan varmistaa ulkorajojen vaikuttava valvonta EES:n asteittaisen käyttöönoton aikana niillä rajanylityspaikoilla, joilla EES:ää ei käytetä, rajatarkastukset olisi suoritettava asetuksen (EU) 2016/399 mukaisesti, sellaisena kuin sitä sovelletaan [päivänä, joka edeltää komission asetuksen (EU) 2017/2226 66 artiklan 1 kohdan mukaisesti päättämää EES:n käyttöönottopäivää]. Niillä rajanylityspaikoilla, joilla EES:ää käytetään, rajatarkastukset olisi suoritettava asetuksen (EU) 2017/2226 ja Schengenin rajasäännöstön mukaisesti. Näitä asetuksia koskevia erityisiä poikkeuksia olisi kuitenkin sovellettava todentamiseen niillä rajanylityspaikoilla, joilla EES:ää käytetään ilman biometrisiä toimintoja, jotta järjestelmä voidaan ottaa käyttöön asteittain. Tämä ei saisi vaikuttaa viisuminhaltijoiden todentamiseen sormenjälkien avulla asetuksen (EY) N:o 787/2008 mukaisesti.</w:t>
            </w:r>
          </w:p>
        </w:tc>
        <w:tc>
          <w:tcPr>
            <w:tcW w:w="4876" w:type="dxa"/>
            <w:tcBorders>
              <w:top w:val="nil"/>
              <w:left w:val="nil"/>
              <w:bottom w:val="nil"/>
              <w:right w:val="nil"/>
            </w:tcBorders>
          </w:tcPr>
          <w:p>
            <w:pPr>
              <w:pStyle w:val="Normal6a"/>
            </w:pPr>
            <w:r>
              <w:t>(23)</w:t>
            </w:r>
            <w:r>
              <w:tab/>
            </w:r>
            <w:r>
              <w:rPr>
                <w:b/>
                <w:i/>
              </w:rPr>
              <w:t>Ulkorajojen vaikuttava valvonta on välttämätöntä Schengen-alueelle, jolla ei tehdä sisäisiä rajatarkastuksia, koska sillä helpotetaan laillisia rajanylityksiä, varmistetaan tuloksellinen muuttoliikkeen hallinta, parannetaan sisäistä turvallisuutta havaitsemalla ja ehkäisemällä uhkia ulkorajoilla ja vaalitaan henkilöiden vapaan liikkuvuuden periaatetta.</w:t>
            </w:r>
            <w:r>
              <w:t xml:space="preserve"> Jotta voidaan varmistaa ulkorajojen vaikuttava valvonta EES:n asteittaisen käyttöönoton aikana niillä rajanylityspaikoilla, joilla EES:ää ei käytetä, rajatarkastukset olisi suoritettava asetuksen (EU) 2016/399 mukaisesti, sellaisena kuin sitä sovelletaan [päivänä, joka edeltää komission asetuksen (EU) 2017/2226 66 artiklan 1 kohdan mukaisesti päättämää EES:n käyttöönottopäivää]. Niillä rajanylityspaikoilla, joilla EES:ää käytetään, rajatarkastukset olisi suoritettava asetuksen (EU) 2017/2226 ja Schengenin rajasäännöstön mukaisesti. Näitä asetuksia koskevia erityisiä poikkeuksia olisi kuitenkin sovellettava todentamiseen niillä rajanylityspaikoilla, joilla EES:ää käytetään ilman biometrisiä toimintoja, jotta järjestelmä voidaan ottaa käyttöön asteittain. Tämä ei saisi vaikuttaa viisuminhaltijoiden todentamiseen sormenjälkien avulla asetuksen (EY) N:o 787/2008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75</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Jotta teknisiä ja organisatorisia järjestelyjä voidaan mukauttaa toimivasti EES:n asteittaisen käyttöönoton aikana kussakin jäsenvaltiossa ja puuttua poikkeuksellisiin olosuhteisiin, jotka liittyvät EES:n keskusjärjestelmän, kansallisten järjestelmien tai viestintäinfrastruktuurin toimintahäiriöihin tai liiallisiin odotusaikoihin niiden rajoilla,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 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 ja sitä olisi jatkettava 60 päivällä, jos alle 80 prosenttia EES:ään sen asteittaisen käyttöönoton aikana rekisteröidyistä henkilökohtaisista tiedostoista sisältää biometrisiä tietoja.</w:t>
            </w:r>
          </w:p>
        </w:tc>
        <w:tc>
          <w:tcPr>
            <w:tcW w:w="4876" w:type="dxa"/>
            <w:tcBorders>
              <w:top w:val="nil"/>
              <w:left w:val="nil"/>
              <w:bottom w:val="nil"/>
              <w:right w:val="nil"/>
            </w:tcBorders>
          </w:tcPr>
          <w:p>
            <w:pPr>
              <w:pStyle w:val="Normal6a"/>
            </w:pPr>
            <w:r>
              <w:t>(24)</w:t>
            </w:r>
            <w:r>
              <w:tab/>
            </w:r>
            <w:r>
              <w:t>Jotta teknisiä ja organisatorisia järjestelyjä voidaan mukauttaa toimivasti EES:n asteittaisen käyttöönoton aikana kussakin jäsenvaltiossa ja puuttua poikkeuksellisiin olosuhteisiin, jotka liittyvät EES:n keskusjärjestelmän, kansallisten järjestelmien tai viestintäinfrastruktuurin toimintahäiriöihin tai liiallisiin odotusaikoihin niiden rajoilla,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 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 ja sitä olisi jatkettava 60 päivällä, jos alle 80 prosenttia EES:ään sen asteittaisen käyttöönoton aikana rekisteröidyistä henkilökohtaisista tiedostoista sisältää biometrisiä tietoja.</w:t>
            </w:r>
            <w:r>
              <w:rPr>
                <w:b/>
                <w:i/>
              </w:rPr>
              <w:t> Biometristen tietojen EES:ään rekisteröinnin keskeyttäminen ei saisi vaikuttaa kielteisesti EES:ään rekisteröitävien kolmansien maiden kansalaisten oikeuksiin ja maahantulon edellytyksiin.</w:t>
            </w:r>
            <w:r>
              <w:t xml:space="preserve"> </w:t>
            </w:r>
            <w:r>
              <w:rPr>
                <w:b/>
                <w:i/>
              </w:rPr>
              <w:t>Päätöstä maahantulon epäämisestä asetuksen (EU) 2016/399 nojalla ei pitäisi tehdä yksinomaan sillä perusteella, että jäsenvaltio on keskeyttänyt biometristen tietojen rekisteröinnin EES:ään.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24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Jotta teknisiä ja organisatorisia järjestelyjä voidaan mukauttaa toimivasti EES:n asteittaisen käyttöönoton aikana kussakin jäsenvaltiossa ja puuttua </w:t>
            </w:r>
            <w:r>
              <w:rPr>
                <w:b/>
                <w:i/>
              </w:rPr>
              <w:t>poikkeuksellisiin olosuhteisiin</w:t>
            </w:r>
            <w:r>
              <w:t>, jotka liittyvät EES:n keskusjärjestelmän, kansallisten järjestelmien tai viestintäinfrastruktuurin toimintahäiriöihin tai liiallisiin odotusaikoihin niiden rajoilla,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 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 ja sitä olisi jatkettava 60 päivällä, jos alle 80 prosenttia EES:ään sen asteittaisen käyttöönoton aikana rekisteröidyistä henkilökohtaisista tiedostoista sisältää biometrisiä tietoja.</w:t>
            </w:r>
          </w:p>
        </w:tc>
        <w:tc>
          <w:tcPr>
            <w:tcW w:w="4876" w:type="dxa"/>
            <w:tcBorders>
              <w:top w:val="nil"/>
              <w:left w:val="nil"/>
              <w:bottom w:val="nil"/>
              <w:right w:val="nil"/>
            </w:tcBorders>
          </w:tcPr>
          <w:p>
            <w:pPr>
              <w:pStyle w:val="Normal6a"/>
            </w:pPr>
            <w:r>
              <w:t>(24)</w:t>
            </w:r>
            <w:r>
              <w:tab/>
            </w:r>
            <w:r>
              <w:t xml:space="preserve">Jotta teknisiä ja organisatorisia järjestelyjä voidaan mukauttaa toimivasti EES:n asteittaisen käyttöönoton aikana kussakin jäsenvaltiossa ja puuttua </w:t>
            </w:r>
            <w:r>
              <w:rPr>
                <w:b/>
                <w:i/>
              </w:rPr>
              <w:t>tapauksiin</w:t>
            </w:r>
            <w:r>
              <w:t>, jotka liittyvät EES:n keskusjärjestelmän, kansallisten järjestelmien tai viestintäinfrastruktuurin toimintahäiriöihin tai liiallisiin odotusaikoihin niiden rajoilla, jäsenvaltioilla olisi oltava mahdollisuus keskeyttää EES:n käyttö tietyillä rajanylityspaikoilla kokonaan tai osittain. Jos käyttö keskeytetään osittain, biometristen tietojen rekisteröinti EES:ään olisi keskeytettävä. Jos käyttö keskeytetään kokonaan, EES:ään ei pitäisi kirjata tietoja lainkaan. Jotta voitaisiin lieventää niitä lisäriskejä, joita liittyy EES:n käyttöönottoon biometristen tietojen kanssa, jäsenvaltioiden olisi voitava keskeyttää biometristen tietojen rekisteröinti EES:ään asteittaisen käyttöönoton päättymisen jälkeen poikkeuksellisissa olosuhteissa, jotka aiheuttavat niin suuria ruuhkia, että odotusajat rajoilla käyvät liian pitkiksi. Tällaisen keskeyttämisen olisi oltava mahdollista rajoitetun ajan eli 60 päivän ajan sen jälkeen, kun EES:n asteittainen käyttöönotto on päättynyt, ja sitä olisi jatkettava 60 päivällä, jos alle 80 prosenttia EES:ään sen asteittaisen käyttöönoton aikana rekisteröidyistä henkilökohtaisista tiedostoista sisältää biometrisiä tietoja.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77</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eu-LISAn olisi laadittava raportteja järjestelmän käyttöä koskevista tilastoista, jotta voidaan arvioida järjestelmän suorituskykyä ja sitä, noudattavatko jäsenvaltiot käyttöönottosuunnitelmia, yksilöidä parannuskohteita, seurata EES:n asteittaista käyttöönottoa ja tukea järjestelmän kehittämiseen ja optimointiin liittyvää päätöksentekoa.</w:t>
            </w:r>
          </w:p>
        </w:tc>
        <w:tc>
          <w:tcPr>
            <w:tcW w:w="4876" w:type="dxa"/>
            <w:tcBorders>
              <w:top w:val="nil"/>
              <w:left w:val="nil"/>
              <w:bottom w:val="nil"/>
              <w:right w:val="nil"/>
            </w:tcBorders>
          </w:tcPr>
          <w:p>
            <w:pPr>
              <w:pStyle w:val="Normal6a"/>
            </w:pPr>
            <w:r>
              <w:t>(25)</w:t>
            </w:r>
            <w:r>
              <w:tab/>
            </w:r>
            <w:r>
              <w:t xml:space="preserve">eu-LISAn olisi laadittava raportteja järjestelmän käyttöä koskevista tilastoista, jotta voidaan arvioida järjestelmän suorituskykyä ja sitä, noudattavatko jäsenvaltiot </w:t>
            </w:r>
            <w:r>
              <w:rPr>
                <w:b/>
                <w:i/>
              </w:rPr>
              <w:t>eu-LISAn korkean tason käyttöönottosuunnitelmaa ja kansallisia</w:t>
            </w:r>
            <w:r>
              <w:t xml:space="preserve"> käyttöönottosuunnitelmia, yksilöidä parannuskohteita, seurata EES:n asteittaista käyttöönottoa ja tukea järjestelmän kehittämiseen ja optimointiin liittyvää päätöksentekoa. </w:t>
            </w:r>
            <w:r>
              <w:rPr>
                <w:b/>
                <w:i/>
              </w:rPr>
              <w:t>Lisäksi eu-LISAn olisi jatkettava säännöllistä raportointiaan hallintoneuvostolleen, joka puolestaan valvoo EES:n asteittaista käyttöönottoa.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Tällä tarkistuksella pyritään vahvistamaan, että korkean tason käyttöönottosuunnitelma on linjassa kansallisen suunnitelman kanssa, ja tehostaa hallintoneuvoston roolia.</w:t>
      </w:r>
    </w:p>
    <w:p>
      <w:r>
        <w:rPr>
          <w:rStyle w:val="HideTWBExt"/>
        </w:rPr>
        <w:t>&lt;/AmendB&gt;</w:t>
      </w:r>
    </w:p>
    <w:p>
      <w:pPr>
        <w:pStyle w:val="AmNumberTabs"/>
      </w:pPr>
      <w:r>
        <w:rPr>
          <w:rStyle w:val="HideTWBExt"/>
        </w:rPr>
        <w:t>&lt;AmendB&gt;</w:t>
      </w:r>
      <w:r>
        <w:t>Tarkistus</w:t>
      </w:r>
      <w:r>
        <w:tab/>
      </w:r>
      <w:r>
        <w:tab/>
      </w:r>
      <w:r>
        <w:rPr>
          <w:rStyle w:val="HideTWBExt"/>
        </w:rPr>
        <w:t>&lt;NumAmB&gt;</w:t>
      </w:r>
      <w:r>
        <w:t>78</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25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eu-LISAn olisi </w:t>
            </w:r>
            <w:r>
              <w:rPr>
                <w:b/>
                <w:i/>
              </w:rPr>
              <w:t>laadittava</w:t>
            </w:r>
            <w:r>
              <w:t xml:space="preserve"> raportteja järjestelmän käyttöä koskevista tilastoista, jotta voidaan arvioida järjestelmän suorituskykyä ja sitä, noudattavatko jäsenvaltiot käyttöönottosuunnitelmia, yksilöidä parannuskohteita, seurata EES:n asteittaista käyttöönottoa ja tukea järjestelmän kehittämiseen ja optimointiin liittyvää päätöksentekoa.</w:t>
            </w:r>
          </w:p>
        </w:tc>
        <w:tc>
          <w:tcPr>
            <w:tcW w:w="4876" w:type="dxa"/>
            <w:tcBorders>
              <w:top w:val="nil"/>
              <w:left w:val="nil"/>
              <w:bottom w:val="nil"/>
              <w:right w:val="nil"/>
            </w:tcBorders>
          </w:tcPr>
          <w:p>
            <w:pPr>
              <w:pStyle w:val="Normal6a"/>
            </w:pPr>
            <w:r>
              <w:t>(25)</w:t>
            </w:r>
            <w:r>
              <w:tab/>
            </w:r>
            <w:r>
              <w:t xml:space="preserve">eu-LISAn olisi </w:t>
            </w:r>
            <w:r>
              <w:rPr>
                <w:b/>
                <w:i/>
              </w:rPr>
              <w:t>julkaistava</w:t>
            </w:r>
            <w:r>
              <w:t xml:space="preserve"> raportteja järjestelmän käyttöä koskevista tilastoista, jotta voidaan arvioida järjestelmän suorituskykyä ja sitä, noudattavatko jäsenvaltiot käyttöönottosuunnitelmia, yksilöidä parannuskohteita, seurata EES:n asteittaista käyttöönottoa ja tukea järjestelmän kehittämiseen ja optimointiin liittyvää päätöksentekoa.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79</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Käyttöönottosuunnitelmiin liittyvät valmistelutoimet olisi aloitettava tämän asetuksen voimaantulopäivästä. Asteittainen käyttöönotto olisi aloitettava päivänä, jonka komissio päättää EES-asetuksen 66 artiklan 1 kohdan mukaisesti. </w:t>
            </w:r>
            <w:r>
              <w:rPr>
                <w:b/>
                <w:i/>
              </w:rPr>
              <w:t>Koska tässä asetuksessa säädetään väliaikaisista poikkeuksista, sen soveltamisen olisi päätyttävä 180 kalenteripäivän kuluttua päivästä, jonka komissio päättää asetuksen (EU) 2017/2226 66 artiklan 1 kohdan mukaisesti.</w:t>
            </w:r>
            <w:r>
              <w:t xml:space="preserve"> Poikkeussääntöjä, jotka koskevat siirtymäkauden ja siirtymätoimenpiteiden soveltamista, pääsyä EES:n tietoihin, liikenteenharjoittajien suorittamaa matkustusasiakirjoihin merkittyjen leimojen tarkistamista ja EES:n käytön keskeyttämistä, olisi kuitenkin sovellettava rajoitetun ajan sen jälkeen, kun asteittainen käyttöönotto on päättynyt.</w:t>
            </w:r>
          </w:p>
        </w:tc>
        <w:tc>
          <w:tcPr>
            <w:tcW w:w="4876" w:type="dxa"/>
            <w:tcBorders>
              <w:top w:val="nil"/>
              <w:left w:val="nil"/>
              <w:bottom w:val="nil"/>
              <w:right w:val="nil"/>
            </w:tcBorders>
          </w:tcPr>
          <w:p>
            <w:pPr>
              <w:pStyle w:val="Normal6a"/>
            </w:pPr>
            <w:r>
              <w:t>(26)</w:t>
            </w:r>
            <w:r>
              <w:tab/>
            </w:r>
            <w:r>
              <w:t>Käyttöönottosuunnitelmiin liittyvät valmistelutoimet olisi aloitettava tämän asetuksen voimaantulopäivästä. Asteittainen käyttöönotto olisi aloitettava päivänä, jonka komissio päättää EES-asetuksen 66 artiklan 1 kohdan mukaisesti. Poikkeussääntöjä, jotka koskevat siirtymäkauden ja siirtymätoimenpiteiden soveltamista, pääsyä EES:n tietoihin, liikenteenharjoittajien suorittamaa matkustusasiakirjoihin merkittyjen leimojen tarkistamista ja EES:n käytön keskeyttämistä, olisi kuitenkin sovellettava rajoitetun ajan sen jälkeen, kun asteittainen käyttöönotto on päättynyt.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80</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Käyttöönottosuunnitelmiin liittyvät valmistelutoimet olisi aloitettava tämän asetuksen voimaantulopäivästä. Asteittainen käyttöönotto olisi aloitettava päivänä, jonka komissio päättää EES-asetuksen 66 artiklan 1 kohdan mukaisesti. Koska tässä asetuksessa säädetään väliaikaisista poikkeuksista, </w:t>
            </w:r>
            <w:r>
              <w:rPr>
                <w:b/>
                <w:i/>
              </w:rPr>
              <w:t>sen soveltamisen</w:t>
            </w:r>
            <w:r>
              <w:t xml:space="preserve"> olisi </w:t>
            </w:r>
            <w:r>
              <w:rPr>
                <w:b/>
                <w:i/>
              </w:rPr>
              <w:t>päätyttävä 180 kalenteripäivän kuluttua päivästä, jonka komissio päättää</w:t>
            </w:r>
            <w:r>
              <w:t xml:space="preserve"> asetuksen </w:t>
            </w:r>
            <w:r>
              <w:rPr>
                <w:b/>
                <w:i/>
              </w:rPr>
              <w:t>(EU) 2017/2226 66 artiklan 1 kohdan</w:t>
            </w:r>
            <w:r>
              <w:t xml:space="preserve"> mukaisesti. </w:t>
            </w:r>
            <w:r>
              <w:rPr>
                <w:b/>
                <w:i/>
              </w:rPr>
              <w:t>Poikkeussääntöjä, jotka koskevat siirtymäkauden ja siirtymätoimenpiteiden soveltamista, pääsyä EES:n tietoihin, liikenteenharjoittajien suorittamaa matkustusasiakirjoihin merkittyjen leimojen tarkistamista ja EES:n käytön keskeyttämistä, olisi kuitenkin sovellettava rajoitetun ajan sen jälkeen, kun asteittainen käyttöönotto on päättynyt.</w:t>
            </w:r>
          </w:p>
        </w:tc>
        <w:tc>
          <w:tcPr>
            <w:tcW w:w="4876" w:type="dxa"/>
            <w:tcBorders>
              <w:top w:val="nil"/>
              <w:left w:val="nil"/>
              <w:bottom w:val="nil"/>
              <w:right w:val="nil"/>
            </w:tcBorders>
          </w:tcPr>
          <w:p>
            <w:pPr>
              <w:pStyle w:val="Normal6a"/>
            </w:pPr>
            <w:r>
              <w:t>(26)</w:t>
            </w:r>
            <w:r>
              <w:tab/>
            </w:r>
            <w:r>
              <w:t xml:space="preserve">Käyttöönottosuunnitelmiin liittyvät valmistelutoimet olisi aloitettava tämän asetuksen voimaantulopäivästä. Asteittainen käyttöönotto olisi aloitettava päivänä, jonka komissio päättää EES-asetuksen 66 artiklan 1 kohdan mukaisesti. Koska tässä asetuksessa säädetään väliaikaisista poikkeuksista, </w:t>
            </w:r>
            <w:r>
              <w:rPr>
                <w:b/>
                <w:i/>
              </w:rPr>
              <w:t>näitä poikkeuksia</w:t>
            </w:r>
            <w:r>
              <w:t xml:space="preserve"> olisi </w:t>
            </w:r>
            <w:r>
              <w:rPr>
                <w:b/>
                <w:i/>
              </w:rPr>
              <w:t>sovellettava ainoastaan niin kauan kuin niitä sovelletaan tämän</w:t>
            </w:r>
            <w:r>
              <w:t xml:space="preserve"> asetuksen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Poikkeuksia, jotka liittyvät Schengenin rajasäännöstön (2016/399) ja itse EES-asetuksen (2017/2226) säännöksiin, sovelletaan viiden vuoden ajan.</w:t>
      </w:r>
      <w:r>
        <w:t xml:space="preserve"> </w:t>
      </w:r>
      <w:r>
        <w:t>Poikkeuksia, jotka liittyvät tietojen käyttöön EU:n virastoissa niiden tehtävien suorittamiseksi, sovelletaan viiden vuoden ajan.</w:t>
      </w:r>
      <w:r>
        <w:t xml:space="preserve"> </w:t>
      </w:r>
      <w:r>
        <w:t>Koska epätäydelliset tietokokonaisuudet ovat olemassa jopa viiden vuoden ajan, jäsenvaltioiden viranomaisten ei tuon jakson aikana pitäisi luottaa automatisoituun mekanismiin sallitun oleskeluajan ylittäneiden henkilöiden osalta.</w:t>
      </w:r>
      <w:r>
        <w:t xml:space="preserve"> </w:t>
      </w:r>
      <w:r>
        <w:t>Näitä erilaisia poikkeusjaksoja ei ole huomioitu tässä johdanto-osan kappaleessa poikkeuksille ehdotetussa 180 kalenteripäivän rajassa.</w:t>
      </w:r>
    </w:p>
    <w:p>
      <w:r>
        <w:rPr>
          <w:rStyle w:val="HideTWBExt"/>
        </w:rPr>
        <w:t>&lt;/AmendB&gt;</w:t>
      </w:r>
    </w:p>
    <w:p>
      <w:pPr>
        <w:pStyle w:val="AmNumberTabs"/>
      </w:pPr>
      <w:r>
        <w:rPr>
          <w:rStyle w:val="HideTWBExt"/>
        </w:rPr>
        <w:t>&lt;AmendB&gt;</w:t>
      </w:r>
      <w:r>
        <w:t>Tarkistus</w:t>
      </w:r>
      <w:r>
        <w:tab/>
      </w:r>
      <w:r>
        <w:tab/>
      </w:r>
      <w:r>
        <w:rPr>
          <w:rStyle w:val="HideTWBExt"/>
        </w:rPr>
        <w:t>&lt;NumAmB&gt;</w:t>
      </w:r>
      <w:r>
        <w:t>81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Johdanto-osan 26 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Käyttöönottosuunnitelmiin liittyvät valmistelutoimet olisi aloitettava tämän asetuksen voimaantulopäivästä. Asteittainen käyttöönotto olisi aloitettava päivänä, jonka komissio päättää EES-asetuksen 66 artiklan 1 kohdan mukaisesti. Koska tässä asetuksessa säädetään väliaikaisista poikkeuksista, sen soveltamisen olisi päätyttävä 180 kalenteripäivän kuluttua päivästä, jonka komissio päättää asetuksen (EU) 2017/2226 66 artiklan 1 kohdan mukaisesti. Poikkeussääntöjä, jotka koskevat siirtymäkauden ja siirtymätoimenpiteiden soveltamista, pääsyä EES:n tietoihin, liikenteenharjoittajien suorittamaa matkustusasiakirjoihin merkittyjen leimojen tarkistamista ja EES:n käytön keskeyttämistä, olisi kuitenkin sovellettava rajoitetun ajan sen jälkeen, kun asteittainen käyttöönotto on päättynyt.</w:t>
            </w:r>
          </w:p>
        </w:tc>
        <w:tc>
          <w:tcPr>
            <w:tcW w:w="4876" w:type="dxa"/>
            <w:tcBorders>
              <w:top w:val="nil"/>
              <w:left w:val="nil"/>
              <w:bottom w:val="nil"/>
              <w:right w:val="nil"/>
            </w:tcBorders>
          </w:tcPr>
          <w:p>
            <w:pPr>
              <w:pStyle w:val="Normal6a"/>
            </w:pPr>
            <w:r>
              <w:t>(26)</w:t>
            </w:r>
            <w:r>
              <w:tab/>
            </w:r>
            <w:r>
              <w:t xml:space="preserve">Käyttöönottosuunnitelmiin liittyvät valmistelutoimet olisi aloitettava tämän asetuksen voimaantulopäivästä. </w:t>
            </w:r>
            <w:r>
              <w:rPr>
                <w:b/>
                <w:i/>
              </w:rPr>
              <w:t>Niitä jäsenvaltioita, jotka eivät ole vielä toimittaneet valmiusilmoitustaan, kehotetaan tekemään niin 30 päivän kuluessa tämän asetuksen voimaantulosta.</w:t>
            </w:r>
            <w:r>
              <w:t xml:space="preserve"> Asteittainen käyttöönotto olisi aloitettava päivänä, jonka komissio päättää EES-asetuksen 66 artiklan 1 kohdan mukaisesti</w:t>
            </w:r>
            <w:r>
              <w:rPr>
                <w:b/>
                <w:i/>
              </w:rPr>
              <w:t>.</w:t>
            </w:r>
            <w:r>
              <w:t xml:space="preserve"> </w:t>
            </w:r>
            <w:r>
              <w:rPr>
                <w:b/>
                <w:i/>
              </w:rPr>
              <w:t>Kyseinen päivä ei saisi olla myöhemmin kuin 60 päivän kuluttua viimeisen valmiusilmoituksen toimittamisesta tai 90 päivän kuluttua tämän asetuksen voimaantulopäivästä, sen mukaan, kumpi on aikaisemmin</w:t>
            </w:r>
            <w:r>
              <w:t>. Koska tässä asetuksessa säädetään väliaikaisista poikkeuksista, sen soveltamisen olisi päätyttävä 180 kalenteripäivän kuluttua päivästä, jonka komissio päättää asetuksen (EU) 2017/2226 66 artiklan 1 kohdan mukaisesti. Poikkeussääntöjä, jotka koskevat siirtymäkauden ja siirtymätoimenpiteiden soveltamista, pääsyä EES:n tietoihin, liikenteenharjoittajien suorittamaa matkustusasiakirjoihin merkittyjen leimojen tarkistamista ja EES:n käytön keskeyttämistä, olisi kuitenkin sovellettava rajoitetun ajan sen jälkeen, kun asteittainen käyttöönotto on päättynyt.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’EES:n asteittaisella käyttöönotolla’ </w:t>
            </w:r>
            <w:r>
              <w:rPr>
                <w:b/>
                <w:i/>
              </w:rPr>
              <w:t>180 kalenteripäivän</w:t>
            </w:r>
            <w:r>
              <w:t xml:space="preserve"> jaksoa alkaen päivästä, jonka komissio päättää asetuksen (EU) 2017/2226 66 artiklan 1 kohdan mukaisesti;</w:t>
            </w:r>
          </w:p>
        </w:tc>
        <w:tc>
          <w:tcPr>
            <w:tcW w:w="4876" w:type="dxa"/>
            <w:tcBorders>
              <w:top w:val="nil"/>
              <w:left w:val="nil"/>
              <w:bottom w:val="nil"/>
              <w:right w:val="nil"/>
            </w:tcBorders>
          </w:tcPr>
          <w:p>
            <w:pPr>
              <w:pStyle w:val="Normal6a"/>
            </w:pPr>
            <w:r>
              <w:t>a)</w:t>
            </w:r>
            <w:r>
              <w:tab/>
            </w:r>
            <w:r>
              <w:t>’EES:n asteittaisella käyttöönotolla’ jaksoa alkaen päivästä, jonka komissio päättää asetuksen (EU) 2017/2226 66 artiklan 1 kohdan mukaisesti</w:t>
            </w:r>
            <w:r>
              <w:rPr>
                <w:b/>
                <w:i/>
              </w:rPr>
              <w:t>, siihen saakka, että kaikki 7 a artiklassa säädetyt vaatimukset täyttyvät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2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’EES:n asteittaisella käyttöönotolla’ 180 kalenteripäivän jaksoa alkaen päivästä, jonka komissio päättää asetuksen (EU) 2017/2226 66 artiklan 1 kohdan mukaisesti;</w:t>
            </w:r>
          </w:p>
        </w:tc>
        <w:tc>
          <w:tcPr>
            <w:tcW w:w="4876" w:type="dxa"/>
            <w:tcBorders>
              <w:top w:val="nil"/>
              <w:left w:val="nil"/>
              <w:bottom w:val="nil"/>
              <w:right w:val="nil"/>
            </w:tcBorders>
          </w:tcPr>
          <w:p>
            <w:pPr>
              <w:pStyle w:val="Normal6a"/>
            </w:pPr>
            <w:r>
              <w:t>a)</w:t>
            </w:r>
            <w:r>
              <w:tab/>
            </w:r>
            <w:r>
              <w:t xml:space="preserve">’EES:n asteittaisella käyttöönotolla’ 180 kalenteripäivän jaksoa alkaen päivästä, jonka komissio päättää asetuksen (EU) 2017/2226 66 artiklan 1 kohdan mukaisesti </w:t>
            </w:r>
            <w:r>
              <w:rPr>
                <w:b/>
                <w:i/>
              </w:rPr>
              <w:t>ja joka ei saa olla myöhemmin kuin 60 päivän kuluttua viimeisen valmiusilmoituksen toimittamisesta tai 90 päivän kuluttua tämän asetuksen voimaantulosta, sen mukaan, kumpi on aikaisemmin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w:t>
            </w:r>
            <w:r>
              <w:rPr>
                <w:b/>
                <w:i/>
              </w:rPr>
              <w:t>30</w:t>
            </w:r>
            <w:r>
              <w:t xml:space="preserve">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w:t>
            </w:r>
          </w:p>
        </w:tc>
        <w:tc>
          <w:tcPr>
            <w:tcW w:w="4876" w:type="dxa"/>
            <w:tcBorders>
              <w:top w:val="nil"/>
              <w:left w:val="nil"/>
              <w:bottom w:val="nil"/>
              <w:right w:val="nil"/>
            </w:tcBorders>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w:t>
            </w:r>
            <w:r>
              <w:rPr>
                <w:b/>
                <w:i/>
              </w:rPr>
              <w:t>91</w:t>
            </w:r>
            <w:r>
              <w:t xml:space="preserve">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 </w:t>
            </w:r>
            <w:r>
              <w:rPr>
                <w:b/>
                <w:i/>
              </w:rPr>
              <w:t>ja muut olennaiset rajoitteet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85</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w:t>
            </w:r>
          </w:p>
        </w:tc>
        <w:tc>
          <w:tcPr>
            <w:tcW w:w="4876" w:type="dxa"/>
            <w:tcBorders>
              <w:top w:val="nil"/>
              <w:left w:val="nil"/>
              <w:bottom w:val="nil"/>
              <w:right w:val="nil"/>
            </w:tcBorders>
          </w:tcPr>
          <w:p>
            <w:pPr>
              <w:pStyle w:val="Normal6a"/>
            </w:pPr>
            <w:r>
              <w:t>1.</w:t>
            </w:r>
            <w:r>
              <w:tab/>
            </w:r>
            <w:r>
              <w:t xml:space="preserve">Vapauden, turvallisuuden ja oikeuden alueen laaja-alaisten tietojärjestelmien operatiivisesta hallinnoinnista vastaava Euroopan unionin virasto (eu-LISA) toimittaa komissiolle, </w:t>
            </w:r>
            <w:r>
              <w:rPr>
                <w:b/>
                <w:i/>
              </w:rPr>
              <w:t>Euroopan parlamentille,</w:t>
            </w:r>
            <w:r>
              <w:t xml:space="preserv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86</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w:t>
            </w:r>
          </w:p>
        </w:tc>
        <w:tc>
          <w:tcPr>
            <w:tcW w:w="4876" w:type="dxa"/>
            <w:tcBorders>
              <w:top w:val="nil"/>
              <w:left w:val="nil"/>
              <w:bottom w:val="nil"/>
              <w:right w:val="nil"/>
            </w:tcBorders>
          </w:tcPr>
          <w:p>
            <w:pPr>
              <w:pStyle w:val="Normal6a"/>
            </w:pPr>
            <w:r>
              <w:t>1.</w:t>
            </w:r>
            <w:r>
              <w:tab/>
            </w:r>
            <w:r>
              <w:t xml:space="preserve">Vapauden, turvallisuuden ja oikeuden alueen laaja-alaisten tietojärjestelmien operatiivisesta hallinnoinnista vastaava Euroopan unionin virasto (eu-LISA) toimittaa komissiolle, </w:t>
            </w:r>
            <w:r>
              <w:rPr>
                <w:b/>
                <w:i/>
              </w:rPr>
              <w:t>Euroopan parlamentille,</w:t>
            </w:r>
            <w:r>
              <w:t xml:space="preserv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ja Europolille ohjeita EES:n käytöstä, mukaan lukien EES:n keskusjärjestelmän kapasiteettirajoitukset.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w:t>
            </w:r>
            <w:r>
              <w:rPr>
                <w:b/>
                <w:i/>
              </w:rPr>
              <w:t>ja Europolille</w:t>
            </w:r>
            <w:r>
              <w:t xml:space="preserve"> ohjeita EES:n käytöstä, mukaan lukien EES:n keskusjärjestelmän kapasiteettirajoitukset.</w:t>
            </w:r>
          </w:p>
        </w:tc>
        <w:tc>
          <w:tcPr>
            <w:tcW w:w="4876" w:type="dxa"/>
            <w:tcBorders>
              <w:top w:val="nil"/>
              <w:left w:val="nil"/>
              <w:bottom w:val="nil"/>
              <w:right w:val="nil"/>
            </w:tcBorders>
          </w:tcPr>
          <w:p>
            <w:pPr>
              <w:pStyle w:val="Normal6a"/>
            </w:pPr>
            <w:r>
              <w:t>1.</w:t>
            </w:r>
            <w:r>
              <w:tab/>
            </w:r>
            <w:r>
              <w:t>Vapauden, turvallisuuden ja oikeuden alueen laaja-alaisten tietojärjestelmien operatiivisesta hallinnoinnista vastaava Euroopan unionin virasto (eu-LISA) toimittaa komissiolle, jäsenvaltioille ja Europolille viimeistään [30 kalenteripäivän kuluttua tämän asetuksen voimaantulosta] EES:n asteittaista käyttöönottoa koskevan korkean tason käyttöönottosuunnitelman, jossa otetaan huomioon 4 artiklassa säädetyt vaiheet. Käyttöönottosuunnitelmassa on annettava jäsenvaltioille ohjeita EES:n käytöstä, mukaan lukien EES:n keskusjärjestelmän kapasiteettirajoitukset.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komissiota ja eu-LISAa kuullen laadittava viimeistään [</w:t>
            </w:r>
            <w:r>
              <w:rPr>
                <w:b/>
                <w:i/>
              </w:rPr>
              <w:t>60</w:t>
            </w:r>
            <w:r>
              <w:t xml:space="preserve">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w:t>
            </w:r>
          </w:p>
        </w:tc>
        <w:tc>
          <w:tcPr>
            <w:tcW w:w="4876" w:type="dxa"/>
            <w:tcBorders>
              <w:top w:val="nil"/>
              <w:left w:val="nil"/>
              <w:bottom w:val="nil"/>
              <w:right w:val="nil"/>
            </w:tcBorders>
          </w:tcPr>
          <w:p>
            <w:pPr>
              <w:pStyle w:val="Normal6a"/>
            </w:pPr>
            <w:r>
              <w:t>2.</w:t>
            </w:r>
            <w:r>
              <w:tab/>
            </w:r>
            <w:r>
              <w:t>Jäsenvaltioiden on komissiota ja eu-LISAa kuullen laadittava viimeistään [</w:t>
            </w:r>
            <w:r>
              <w:rPr>
                <w:b/>
                <w:i/>
              </w:rPr>
              <w:t>180</w:t>
            </w:r>
            <w:r>
              <w:t xml:space="preserve">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89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Jäsenvaltioiden on komissiota ja eu-LISAa kuullen </w:t>
            </w:r>
            <w:r>
              <w:rPr>
                <w:b/>
                <w:i/>
              </w:rPr>
              <w:t>laadittava</w:t>
            </w:r>
            <w:r>
              <w:t xml:space="preserve"> viimeistään [60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w:t>
            </w:r>
          </w:p>
        </w:tc>
        <w:tc>
          <w:tcPr>
            <w:tcW w:w="4876" w:type="dxa"/>
            <w:tcBorders>
              <w:top w:val="nil"/>
              <w:left w:val="nil"/>
              <w:bottom w:val="nil"/>
              <w:right w:val="nil"/>
            </w:tcBorders>
          </w:tcPr>
          <w:p>
            <w:pPr>
              <w:pStyle w:val="Normal6a"/>
            </w:pPr>
            <w:r>
              <w:t>2.</w:t>
            </w:r>
            <w:r>
              <w:tab/>
            </w:r>
            <w:r>
              <w:t xml:space="preserve">Jäsenvaltioiden on komissiota ja eu-LISAa kuullen </w:t>
            </w:r>
            <w:r>
              <w:rPr>
                <w:b/>
                <w:i/>
              </w:rPr>
              <w:t>julkaistava</w:t>
            </w:r>
            <w:r>
              <w:t xml:space="preserve"> viimeistään [60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w:t>
            </w:r>
            <w:r>
              <w:rPr>
                <w:b/>
                <w:i/>
              </w:rPr>
              <w:t>, ja jaettava se komission, Euroopan parlamentin ja alan sidosryhmien kanssa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90</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Jäsenvaltioiden on komissiota ja eu-LISAa kuullen laadittava viimeistään [60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w:t>
            </w:r>
          </w:p>
        </w:tc>
        <w:tc>
          <w:tcPr>
            <w:tcW w:w="4876" w:type="dxa"/>
            <w:tcBorders>
              <w:top w:val="nil"/>
              <w:left w:val="nil"/>
              <w:bottom w:val="nil"/>
              <w:right w:val="nil"/>
            </w:tcBorders>
          </w:tcPr>
          <w:p>
            <w:pPr>
              <w:pStyle w:val="Normal6a"/>
            </w:pPr>
            <w:r>
              <w:t>2.</w:t>
            </w:r>
            <w:r>
              <w:tab/>
            </w:r>
            <w:r>
              <w:t xml:space="preserve">Jäsenvaltioiden on komissiota ja eu-LISAa kuullen laadittava viimeistään [60 kalenteripäivän kuluttua tämän asetuksen voimaantulosta] EES:n asteittaista käyttöönottoa koskeva kansallinen käyttöönottosuunnitelma, jossa otetaan huomioon tämän artiklan 1 kohdassa tarkoitettu korkean tason käyttöönottosuunnitelma ja 4 artiklassa säädetyt vaiheet. </w:t>
            </w:r>
            <w:r>
              <w:rPr>
                <w:b/>
                <w:i/>
              </w:rPr>
              <w:t>eu-LISA arvioi, ovatko kansalliset käyttöönottosuunnitelmat johdonmukaisia korkean tason käyttöönottosuunnitelman kanssa, ja vahvistaa, että niihin ei sisälly puutteita, jotka voisivat entisestään viivästyttää EES:n käyttöönottoa.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91</w:t>
      </w:r>
      <w:r>
        <w:rPr>
          <w:rStyle w:val="HideTWBExt"/>
        </w:rPr>
        <w:t>&lt;/NumAmB&gt;</w:t>
      </w:r>
    </w:p>
    <w:p>
      <w:pPr>
        <w:pStyle w:val="NormalBold"/>
      </w:pPr>
      <w:r>
        <w:rPr>
          <w:rStyle w:val="HideTWBExt"/>
          <w:b w:val="0"/>
        </w:rPr>
        <w:t>&lt;RepeatBlock-By&gt;</w:t>
      </w:r>
      <w:r>
        <w:rPr>
          <w:rStyle w:val="HideTWBExt"/>
          <w:b w:val="0"/>
        </w:rPr>
        <w:t>&lt;Members&gt;</w:t>
      </w:r>
      <w:r>
        <w:t>Karlo Ressler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Jäsenvaltioiden on 2 kohdassa tarkoitettujen kansallisten käyttöönottosuunnitelmiensa valmistelussa kuultava tapauksen mukaan Euroopan raja- ja merivartiovirastoa, jotta voidaan yksilöidä ne rajanylityspaikat, joihin laiton muuttoliike tai laittomat rajanylitykset useimmiten vaikuttavat.</w:t>
            </w:r>
            <w:r>
              <w:t xml:space="preserve"> </w:t>
            </w:r>
            <w:r>
              <w:rPr>
                <w:b/>
                <w:i/>
              </w:rPr>
              <w:t>Tapauksen mukaan myös Europolia voidaan kuulla järjestäytyneiden rikollisverkostojen osallisuuden arvioimiseksi, etenkin kun on kyse tällaisten rajanylitysten helpottamisesta.</w:t>
            </w:r>
            <w:r>
              <w:t xml:space="preserve"> </w:t>
            </w:r>
            <w:r>
              <w:rPr>
                <w:b/>
                <w:i/>
              </w:rPr>
              <w:t>Tällaisilla kuulemisilla on pyrittävä varmistamaan, että EES:n käytön priorisoinnilla näillä rajanylityspaikoilla maksimoidaan EES:n turvallisuushyödyt heti alusta lähtien.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92</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Kansallisissa käyttöönottosuunnitelmissa on esitettävä kunkin 4 artiklassa säädetyn vaiheen osalta tiedot kyseisessä artiklassa </w:t>
            </w:r>
            <w:r>
              <w:rPr>
                <w:b/>
                <w:i/>
              </w:rPr>
              <w:t>säädetyistä kynnysarvoista ja vaatimuksista</w:t>
            </w:r>
            <w:r>
              <w:t>.</w:t>
            </w:r>
          </w:p>
        </w:tc>
        <w:tc>
          <w:tcPr>
            <w:tcW w:w="4876" w:type="dxa"/>
            <w:tcBorders>
              <w:top w:val="nil"/>
              <w:left w:val="nil"/>
              <w:bottom w:val="nil"/>
              <w:right w:val="nil"/>
            </w:tcBorders>
          </w:tcPr>
          <w:p>
            <w:pPr>
              <w:pStyle w:val="Normal6a"/>
            </w:pPr>
            <w:r>
              <w:t>3.</w:t>
            </w:r>
            <w:r>
              <w:tab/>
            </w:r>
            <w:r>
              <w:t xml:space="preserve">Kansallisissa käyttöönottosuunnitelmissa on esitettävä kunkin 4 artiklassa säädetyn vaiheen osalta tiedot </w:t>
            </w:r>
            <w:r>
              <w:rPr>
                <w:b/>
                <w:i/>
              </w:rPr>
              <w:t>siitä, miten</w:t>
            </w:r>
            <w:r>
              <w:t xml:space="preserve"> kyseisessä artiklassa </w:t>
            </w:r>
            <w:r>
              <w:rPr>
                <w:b/>
                <w:i/>
              </w:rPr>
              <w:t>säädetyt kynnysarvot ja vaatimukset on saavutettava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93</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Jäsenvaltioiden on 30 kalenteripäivän kuluttua EES:n asteittaisesta käyttöönotosta toimitettava komissiolle ja eu-LISAlle kuukausittain raportit kansallisten käyttöönottosuunnitelmiensa täytäntöönpanosta, mukaan lukien tarvittaessa korjaavat toimenpiteet 4 artiklassa säädettyjen velvoitteiden noudattamiseksi.</w:t>
            </w:r>
          </w:p>
        </w:tc>
        <w:tc>
          <w:tcPr>
            <w:tcW w:w="4876" w:type="dxa"/>
            <w:tcBorders>
              <w:top w:val="nil"/>
              <w:left w:val="nil"/>
              <w:bottom w:val="nil"/>
              <w:right w:val="nil"/>
            </w:tcBorders>
          </w:tcPr>
          <w:p>
            <w:pPr>
              <w:pStyle w:val="Normal6a"/>
            </w:pPr>
            <w:r>
              <w:t>4.</w:t>
            </w:r>
            <w:r>
              <w:tab/>
            </w:r>
            <w:r>
              <w:t xml:space="preserve">Jäsenvaltioiden on 30 kalenteripäivän kuluttua EES:n asteittaisesta käyttöönotosta </w:t>
            </w:r>
            <w:r>
              <w:rPr>
                <w:b/>
                <w:i/>
              </w:rPr>
              <w:t>siihen saakka, kun jokin jäsenvaltio käyttää EES:ää täysimittaisesti kaikkien EES:ään rekisteröitävien kolmansien maiden kansalaisten osalta ja samanaikaisesti kaikilla rajanylityspaikoilla mainitussa jäsenvaltiossa,</w:t>
            </w:r>
            <w:r>
              <w:t xml:space="preserve"> toimitettava komissiolle ja eu-LISAlle kuukausittain raportit kansallisten käyttöönottosuunnitelmiensa täytäntöönpanosta, mukaan lukien tarvittaessa korjaavat toimenpiteet 4 artiklassa säädettyjen velvoitteiden noudattamiseksi.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Jäsenvaltiot olisi velvoitettava toimittamaan kuukausittain raportteja käyttöönottosuunnitelmiensa toteuttamisesta ainoastaan siihen hetkeen saakka, kun järjestelmä otetaan täysimittaisesti käyttöön kyseisessä jäsenvaltiossa.</w:t>
      </w:r>
    </w:p>
    <w:p>
      <w:r>
        <w:rPr>
          <w:rStyle w:val="HideTWBExt"/>
        </w:rPr>
        <w:t>&lt;/AmendB&gt;</w:t>
      </w:r>
    </w:p>
    <w:p>
      <w:pPr>
        <w:pStyle w:val="AmNumberTabs"/>
      </w:pPr>
      <w:r>
        <w:rPr>
          <w:rStyle w:val="HideTWBExt"/>
        </w:rPr>
        <w:t>&lt;AmendB&gt;</w:t>
      </w:r>
      <w:r>
        <w:t>Tarkistus</w:t>
      </w:r>
      <w:r>
        <w:tab/>
      </w:r>
      <w:r>
        <w:tab/>
      </w:r>
      <w:r>
        <w:rPr>
          <w:rStyle w:val="HideTWBExt"/>
        </w:rPr>
        <w:t>&lt;NumAmB&gt;</w:t>
      </w:r>
      <w:r>
        <w:t>94</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Jäsenvaltioiden on 30 kalenteripäivän kuluttua EES:n asteittaisesta käyttöönotosta toimitettava komissiolle ja eu-LISAlle kuukausittain raportit kansallisten käyttöönottosuunnitelmiensa täytäntöönpanosta, mukaan lukien tarvittaessa korjaavat toimenpiteet 4 artiklassa säädettyjen velvoitteiden noudattamiseksi.</w:t>
            </w:r>
          </w:p>
        </w:tc>
        <w:tc>
          <w:tcPr>
            <w:tcW w:w="4876" w:type="dxa"/>
            <w:tcBorders>
              <w:top w:val="nil"/>
              <w:left w:val="nil"/>
              <w:bottom w:val="nil"/>
              <w:right w:val="nil"/>
            </w:tcBorders>
          </w:tcPr>
          <w:p>
            <w:pPr>
              <w:pStyle w:val="Normal6a"/>
            </w:pPr>
            <w:r>
              <w:t>4.</w:t>
            </w:r>
            <w:r>
              <w:tab/>
            </w:r>
            <w:r>
              <w:t>Jäsenvaltioiden on 30 kalenteripäivän kuluttua EES:n asteittaisesta käyttöönotosta toimitettava komissiolle</w:t>
            </w:r>
            <w:r>
              <w:rPr>
                <w:b/>
                <w:i/>
              </w:rPr>
              <w:t>, Euroopan parlamentille</w:t>
            </w:r>
            <w:r>
              <w:t xml:space="preserve"> ja eu-LISAlle kuukausittain raportit kansallisten käyttöönottosuunnitelmiensa täytäntöönpanosta, mukaan lukien tarvittaessa korjaavat toimenpiteet 4 artiklassa säädettyjen velvoitteiden noudattamiseksi.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95</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Sophie Wilmès,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eu-LISA toimittaa komissiolle sen pyynnöstä kansallisten käyttöönottosuunnitelmien seurannassa tarvittavat tilastot asetuksen (EU) 2017/2226 63 artiklan 6 kohdan mukaisesti.</w:t>
            </w:r>
          </w:p>
        </w:tc>
        <w:tc>
          <w:tcPr>
            <w:tcW w:w="4876" w:type="dxa"/>
            <w:tcBorders>
              <w:top w:val="nil"/>
              <w:left w:val="nil"/>
              <w:bottom w:val="nil"/>
              <w:right w:val="nil"/>
            </w:tcBorders>
          </w:tcPr>
          <w:p>
            <w:pPr>
              <w:pStyle w:val="Normal6a"/>
            </w:pPr>
            <w:r>
              <w:t>5.</w:t>
            </w:r>
            <w:r>
              <w:tab/>
            </w:r>
            <w:r>
              <w:t xml:space="preserve">eu-LISA toimittaa komissiolle sen pyynnöstä kansallisten käyttöönottosuunnitelmien </w:t>
            </w:r>
            <w:r>
              <w:rPr>
                <w:b/>
                <w:i/>
              </w:rPr>
              <w:t>onnistuneen ja oikea-aikaisen täytäntöönpanon sekä korkean tason käyttöönottosuunnitelman </w:t>
            </w:r>
            <w:r>
              <w:t>seurannassa tarvittavat tilastot asetuksen (EU) 2017/2226 63 artiklan 6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96</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eu-LISAn hallintoneuvosto hyväksyy tämän artiklan 1 kohdassa tarkoitetun eu-LISAn korkean tason käyttöönottosuunnitelman.</w:t>
            </w:r>
            <w:r>
              <w:t xml:space="preserve"> </w:t>
            </w:r>
            <w:r>
              <w:rPr>
                <w:b/>
                <w:i/>
              </w:rPr>
              <w:t>eu-LISAn hallintoneuvosto seuraa myös EES:n keskusjärjestelmän kehittämistä asetuksen (EU) 2018/1726 19 artiklan mukaisesti, erityisesti siltä osin kuin on kyse asteittaisesta käyttöönotosta.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Komissio antaa Euroopan tietosuojavaltuutettua kuullen ohjeita henkilötietojen käsittelystä EES:ssä asteittaisen käyttöönoton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98</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3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Jäsenvaltioiden tämän asetuksen nojalla laatimien kansallisten käyttöönottosuunnitelmien on oltava ytimekkäitä ja oikeasuhteisia, eikä niillä saa asettaa tarpeetonta hallinnollista taakkaa.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99</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Poiketen siitä, mitä asetuksen (EU) 2017/2226 66 artiklan 6 kohdassa säädetään, </w:t>
            </w:r>
            <w:r>
              <w:rPr>
                <w:b/>
                <w:i/>
              </w:rPr>
              <w:t>jäsenvaltioiden on</w:t>
            </w:r>
            <w:r>
              <w:t xml:space="preserve"> EES:n asteittaisen käyttöönoton aikana </w:t>
            </w:r>
            <w:r>
              <w:rPr>
                <w:b/>
                <w:i/>
              </w:rPr>
              <w:t>käytettävä</w:t>
            </w:r>
            <w:r>
              <w:t xml:space="preserve"> EES:ää tämän artiklan mukaisesti.</w:t>
            </w:r>
          </w:p>
        </w:tc>
        <w:tc>
          <w:tcPr>
            <w:tcW w:w="4876" w:type="dxa"/>
            <w:tcBorders>
              <w:top w:val="nil"/>
              <w:left w:val="nil"/>
              <w:bottom w:val="nil"/>
              <w:right w:val="nil"/>
            </w:tcBorders>
          </w:tcPr>
          <w:p>
            <w:pPr>
              <w:pStyle w:val="Normal6a"/>
            </w:pPr>
            <w:r>
              <w:t>1.</w:t>
            </w:r>
            <w:r>
              <w:tab/>
            </w:r>
            <w:r>
              <w:t xml:space="preserve">Poiketen siitä, mitä asetuksen (EU) 2017/2226 66 artiklan 6 kohdassa säädetään, </w:t>
            </w:r>
            <w:r>
              <w:rPr>
                <w:b/>
                <w:i/>
              </w:rPr>
              <w:t>jäsenvaltiot voivat</w:t>
            </w:r>
            <w:r>
              <w:t xml:space="preserve"> EES:n asteittaisen käyttöönoton aikana </w:t>
            </w:r>
            <w:r>
              <w:rPr>
                <w:b/>
                <w:i/>
              </w:rPr>
              <w:t>käyttää</w:t>
            </w:r>
            <w:r>
              <w:t xml:space="preserve"> EES:ää tämän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Jäsenvaltioiden olisi voitava vapaasti soveltaa EES:ää täysimittaisesti kaikilla rajanylityspaikoilla ensimmäisestä päivästä lähtien, jos se on niiden suosima lähestymistapa.</w:t>
      </w:r>
    </w:p>
    <w:p>
      <w:r>
        <w:rPr>
          <w:rStyle w:val="HideTWBExt"/>
        </w:rPr>
        <w:t>&lt;/AmendB&gt;</w:t>
      </w:r>
    </w:p>
    <w:p>
      <w:pPr>
        <w:pStyle w:val="AmNumberTabs"/>
      </w:pPr>
      <w:r>
        <w:rPr>
          <w:rStyle w:val="HideTWBExt"/>
        </w:rPr>
        <w:t>&lt;AmendB&gt;</w:t>
      </w:r>
      <w:r>
        <w:t>Tarkistus</w:t>
      </w:r>
      <w:r>
        <w:tab/>
      </w:r>
      <w:r>
        <w:tab/>
      </w:r>
      <w:r>
        <w:rPr>
          <w:rStyle w:val="HideTWBExt"/>
        </w:rPr>
        <w:t>&lt;NumAmB&gt;</w:t>
      </w:r>
      <w:r>
        <w:t>100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Kunkin jäsenvaltion on EES:n asteittaisen käyttöönoton </w:t>
            </w:r>
            <w:r>
              <w:rPr>
                <w:b/>
                <w:i/>
              </w:rPr>
              <w:t>alusta alkaen</w:t>
            </w:r>
            <w:r>
              <w:t xml:space="preserve">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rekisteröitävä EES:ään vähintään </w:t>
            </w:r>
            <w:r>
              <w:rPr>
                <w:b/>
                <w:i/>
              </w:rPr>
              <w:t>10</w:t>
            </w:r>
            <w:r>
              <w:t xml:space="preserve"> prosenttia arvioidusta rajanylitysten lukumäärästä kyseisessä jäsenvaltiossa.</w:t>
            </w:r>
          </w:p>
        </w:tc>
        <w:tc>
          <w:tcPr>
            <w:tcW w:w="4876" w:type="dxa"/>
            <w:tcBorders>
              <w:top w:val="nil"/>
              <w:left w:val="nil"/>
              <w:bottom w:val="nil"/>
              <w:right w:val="nil"/>
            </w:tcBorders>
          </w:tcPr>
          <w:p>
            <w:pPr>
              <w:pStyle w:val="Normal6a"/>
            </w:pPr>
            <w:r>
              <w:t xml:space="preserve">Kunkin jäsenvaltion on </w:t>
            </w:r>
            <w:r>
              <w:rPr>
                <w:b/>
                <w:i/>
              </w:rPr>
              <w:t>30 päivän kuluttua</w:t>
            </w:r>
            <w:r>
              <w:t xml:space="preserve"> EES:n asteittaisen käyttöönoton </w:t>
            </w:r>
            <w:r>
              <w:rPr>
                <w:b/>
                <w:i/>
              </w:rPr>
              <w:t>aloittamisesta</w:t>
            </w:r>
            <w:r>
              <w:t xml:space="preserve">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rekisteröitävä EES:ään vähintään </w:t>
            </w:r>
            <w:r>
              <w:rPr>
                <w:b/>
                <w:i/>
              </w:rPr>
              <w:t>2</w:t>
            </w:r>
            <w:r>
              <w:t xml:space="preserve"> prosenttia arvioidusta rajanylitysten lukumäärästä kyseisessä jäsenvaltiossa.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Kunkin jäsenvaltion on EES:n asteittaisen käyttöönoton alusta alkaen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rekisteröitävä EES:ään vähintään 10 prosenttia arvioidusta rajanylitysten lukumäärästä kyseisessä jäsenvaltiossa.</w:t>
            </w:r>
          </w:p>
        </w:tc>
        <w:tc>
          <w:tcPr>
            <w:tcW w:w="4876" w:type="dxa"/>
            <w:tcBorders>
              <w:top w:val="nil"/>
              <w:left w:val="nil"/>
              <w:bottom w:val="nil"/>
              <w:right w:val="nil"/>
            </w:tcBorders>
          </w:tcPr>
          <w:p>
            <w:pPr>
              <w:pStyle w:val="Normal6a"/>
            </w:pPr>
            <w:r>
              <w:t xml:space="preserve">Kunkin jäsenvaltion on EES:n asteittaisen käyttöönoton alusta alkaen käytettävä EES:ää maahantulon ja maastalähdön yhteydessä yhdellä tai useammalla rajanylityspaikalla, jotka mahdollisuuksien mukaan ja soveltuvin osin sijaitsevat ilma-, maa- ja merirajoilla, asetuksen (EU) 2017/2226 2 artiklan 1 ja 2 kohdassa tarkoitettujen kolmansien maiden kansalaisten tietojen kirjaamista ja tallentamista varten. Jäsenvaltioiden on </w:t>
            </w:r>
            <w:r>
              <w:rPr>
                <w:b/>
                <w:i/>
              </w:rPr>
              <w:t>viimeistään 30 kalenteripäivän kuluttua EES:n asteittaisen käyttöönoton aloittamisesta</w:t>
            </w:r>
            <w:r>
              <w:t xml:space="preserve"> rekisteröitävä EES:ään vähintään 10 prosenttia arvioidusta rajanylitysten lukumäärästä kyseisessä jäsenvaltiossa.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Esittelijän lähestymistapaa (tarkistus 20) noudattaen ehdotamme asteittaista lähestymistapaa 30 ensimmäisen päivän aikana, minkä ehdotuksen komissio voi hyväksyä.</w:t>
      </w:r>
    </w:p>
    <w:p>
      <w:r>
        <w:rPr>
          <w:rStyle w:val="HideTWBExt"/>
        </w:rPr>
        <w:t>&lt;/AmendB&gt;</w:t>
      </w:r>
    </w:p>
    <w:p>
      <w:pPr>
        <w:pStyle w:val="AmNumberTabs"/>
      </w:pPr>
      <w:r>
        <w:rPr>
          <w:rStyle w:val="HideTWBExt"/>
        </w:rPr>
        <w:t>&lt;AmendB&gt;</w:t>
      </w:r>
      <w:r>
        <w:t>Tarkistus</w:t>
      </w:r>
      <w:r>
        <w:tab/>
      </w:r>
      <w:r>
        <w:tab/>
      </w:r>
      <w:r>
        <w:rPr>
          <w:rStyle w:val="HideTWBExt"/>
        </w:rPr>
        <w:t>&lt;NumAmB&gt;</w:t>
      </w:r>
      <w:r>
        <w:t>102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2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Jäsenvaltiot voivat EES:n asteittaisen käyttöönoton ensimmäisten </w:t>
            </w:r>
            <w:r>
              <w:rPr>
                <w:b/>
                <w:i/>
              </w:rPr>
              <w:t>60</w:t>
            </w:r>
            <w:r>
              <w:t xml:space="preserve"> kalenteripäivän aikana käyttää EES:ää ilman biometrisiä toimintoja, ja kansalliset viranomaiset voivat luoda tai päivittää henkilökohtaisia tiedostoja ilman biometrisiä tietoja.</w:t>
            </w:r>
          </w:p>
        </w:tc>
        <w:tc>
          <w:tcPr>
            <w:tcW w:w="4876" w:type="dxa"/>
            <w:tcBorders>
              <w:top w:val="nil"/>
              <w:left w:val="nil"/>
              <w:bottom w:val="nil"/>
              <w:right w:val="nil"/>
            </w:tcBorders>
          </w:tcPr>
          <w:p>
            <w:pPr>
              <w:pStyle w:val="Normal6a"/>
            </w:pPr>
            <w:r>
              <w:t xml:space="preserve">Jäsenvaltiot voivat EES:n asteittaisen käyttöönoton ensimmäisten </w:t>
            </w:r>
            <w:r>
              <w:rPr>
                <w:b/>
                <w:i/>
              </w:rPr>
              <w:t>180</w:t>
            </w:r>
            <w:r>
              <w:t xml:space="preserve"> kalenteripäivän aikana käyttää EES:ää ilman biometrisiä toimintoja, ja kansalliset viranomaiset voivat luoda tai päivittää henkilökohtaisia tiedostoja ilman biometrisiä tietoja.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103</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Jäsenvaltioiden on käytettävä EES:n biometrisiä toimintoja vähintään </w:t>
            </w:r>
            <w:r>
              <w:rPr>
                <w:b/>
                <w:i/>
              </w:rPr>
              <w:t>puolessa</w:t>
            </w:r>
            <w:r>
              <w:t xml:space="preserve"> rajanylityspaikoistaan viimeistään </w:t>
            </w:r>
            <w:r>
              <w:rPr>
                <w:b/>
                <w:i/>
              </w:rPr>
              <w:t>90</w:t>
            </w:r>
            <w:r>
              <w:t xml:space="preserve"> kalenteripäivän kuluttua asteittaisen käyttöönoton aloittamisesta. Jäsenvaltioiden on rekisteröitävä EES:ään vähintään </w:t>
            </w:r>
            <w:r>
              <w:rPr>
                <w:b/>
                <w:i/>
              </w:rPr>
              <w:t>50</w:t>
            </w:r>
            <w:r>
              <w:t xml:space="preserve"> prosenttia arvioidusta rajanylitysten lukumäärästä kyseisessä jäsenvaltiossa. Asetuksen (EU) 2017/2226 2 artiklan 1 ja 2 kohdassa tarkoitettujen, EES:ään rekisteröityjen kolmansien maiden kansalaisten henkilökohtaisissa tiedostoissa </w:t>
            </w:r>
            <w:r>
              <w:rPr>
                <w:b/>
                <w:i/>
              </w:rPr>
              <w:t>on oltava biometriset tiedot</w:t>
            </w:r>
            <w:r>
              <w:t>.</w:t>
            </w:r>
          </w:p>
        </w:tc>
        <w:tc>
          <w:tcPr>
            <w:tcW w:w="4876" w:type="dxa"/>
            <w:tcBorders>
              <w:top w:val="nil"/>
              <w:left w:val="nil"/>
              <w:bottom w:val="nil"/>
              <w:right w:val="nil"/>
            </w:tcBorders>
          </w:tcPr>
          <w:p>
            <w:pPr>
              <w:pStyle w:val="Normal6a"/>
            </w:pPr>
            <w:r>
              <w:t>3.</w:t>
            </w:r>
            <w:r>
              <w:tab/>
            </w:r>
            <w:r>
              <w:t xml:space="preserve">Jäsenvaltioiden on käytettävä EES:n biometrisiä toimintoja vähintään </w:t>
            </w:r>
            <w:r>
              <w:rPr>
                <w:b/>
                <w:i/>
              </w:rPr>
              <w:t>10 prosentissa</w:t>
            </w:r>
            <w:r>
              <w:t xml:space="preserve"> rajanylityspaikoistaan viimeistään </w:t>
            </w:r>
            <w:r>
              <w:rPr>
                <w:b/>
                <w:i/>
              </w:rPr>
              <w:t>180</w:t>
            </w:r>
            <w:r>
              <w:t xml:space="preserve"> kalenteripäivän kuluttua asteittaisen käyttöönoton aloittamisesta. Jäsenvaltioiden on rekisteröitävä EES:ään vähintään </w:t>
            </w:r>
            <w:r>
              <w:rPr>
                <w:b/>
                <w:i/>
              </w:rPr>
              <w:t>10</w:t>
            </w:r>
            <w:r>
              <w:t xml:space="preserve"> prosenttia arvioidusta rajanylitysten lukumäärästä kyseisessä jäsenvaltiossa. Asetuksen (EU) 2017/2226 2 artiklan 1 ja 2 kohdassa tarkoitettujen, EES:ään rekisteröityjen kolmansien maiden kansalaisten henkilökohtaisissa tiedostoissa </w:t>
            </w:r>
            <w:r>
              <w:rPr>
                <w:b/>
                <w:i/>
              </w:rPr>
              <w:t>voi olla biometrisiä tietoja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Jäsenvaltioiden on käytettävä EES:n biometrisiä toimintoja vähintään puolessa rajanylityspaikoistaan viimeistään 90 kalenteripäivän kuluttua asteittaisen käyttöönoton aloittamisesta. Jäsenvaltioiden on rekisteröitävä EES:ään vähintään 50 prosenttia arvioidusta rajanylitysten lukumäärästä kyseisessä jäsenvaltiossa. Asetuksen (EU) 2017/2226 2 artiklan 1 ja 2 kohdassa tarkoitettujen, EES:ään rekisteröityjen kolmansien maiden kansalaisten henkilökohtaisissa tiedostoissa on oltava biometriset tiedot.</w:t>
            </w:r>
          </w:p>
        </w:tc>
        <w:tc>
          <w:tcPr>
            <w:tcW w:w="4876" w:type="dxa"/>
            <w:tcBorders>
              <w:top w:val="nil"/>
              <w:left w:val="nil"/>
              <w:bottom w:val="nil"/>
              <w:right w:val="nil"/>
            </w:tcBorders>
          </w:tcPr>
          <w:p>
            <w:pPr>
              <w:pStyle w:val="Normal6a"/>
            </w:pPr>
            <w:r>
              <w:t>3.</w:t>
            </w:r>
            <w:r>
              <w:tab/>
            </w:r>
            <w:r>
              <w:t xml:space="preserve">Jäsenvaltioiden on käytettävä EES:n biometrisiä toimintoja vähintään puolessa rajanylityspaikoistaan viimeistään 90 kalenteripäivän kuluttua asteittaisen käyttöönoton aloittamisesta. Jäsenvaltioiden on rekisteröitävä EES:ään vähintään 50 prosenttia arvioidusta rajanylitysten lukumäärästä kyseisessä jäsenvaltiossa. Asetuksen (EU) 2017/2226 2 artiklan 1 ja 2 kohdassa tarkoitettujen, </w:t>
            </w:r>
            <w:r>
              <w:rPr>
                <w:b/>
                <w:i/>
              </w:rPr>
              <w:t>biometristen toimintojen kanssa käytettävään</w:t>
            </w:r>
            <w:r>
              <w:t xml:space="preserve"> EES:ään rekisteröityjen kolmansien maiden kansalaisten henkilökohtaisissa tiedostoissa on oltava biometriset tiedot.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Jäsenvaltioiden on käytettävä EES:n biometrisiä toimintoja </w:t>
            </w:r>
            <w:r>
              <w:rPr>
                <w:b/>
                <w:i/>
              </w:rPr>
              <w:t>kaikilla rajanylityspaikoillaan</w:t>
            </w:r>
            <w:r>
              <w:t xml:space="preserve"> viimeistään </w:t>
            </w:r>
            <w:r>
              <w:rPr>
                <w:b/>
                <w:i/>
              </w:rPr>
              <w:t>150</w:t>
            </w:r>
            <w:r>
              <w:t xml:space="preserve"> kalenteripäivän kuluttua EES:n asteittaisesta käyttöönotosta ja rekisteröitävä EES:ään </w:t>
            </w:r>
            <w:r>
              <w:rPr>
                <w:b/>
                <w:i/>
              </w:rPr>
              <w:t>edelleen</w:t>
            </w:r>
            <w:r>
              <w:t xml:space="preserve"> vähintään 50 prosenttia arvioidusta rajanylitysten lukumäärästä kyseisessä jäsenvaltiossa.</w:t>
            </w:r>
          </w:p>
        </w:tc>
        <w:tc>
          <w:tcPr>
            <w:tcW w:w="4876" w:type="dxa"/>
            <w:tcBorders>
              <w:top w:val="nil"/>
              <w:left w:val="nil"/>
              <w:bottom w:val="nil"/>
              <w:right w:val="nil"/>
            </w:tcBorders>
          </w:tcPr>
          <w:p>
            <w:pPr>
              <w:pStyle w:val="Normal6a"/>
            </w:pPr>
            <w:r>
              <w:t>4.</w:t>
            </w:r>
            <w:r>
              <w:tab/>
            </w:r>
            <w:r>
              <w:t xml:space="preserve">Jäsenvaltioiden on käytettävä EES:n biometrisiä toimintoja </w:t>
            </w:r>
            <w:r>
              <w:rPr>
                <w:b/>
                <w:i/>
              </w:rPr>
              <w:t>puolessa rajanylityspaikoistaan</w:t>
            </w:r>
            <w:r>
              <w:t xml:space="preserve"> viimeistään </w:t>
            </w:r>
            <w:r>
              <w:rPr>
                <w:b/>
                <w:i/>
              </w:rPr>
              <w:t>300</w:t>
            </w:r>
            <w:r>
              <w:t> kalenteripäivän kuluttua EES:n asteittaisesta käyttöönotosta ja rekisteröitävä EES:ään vähintään 50 prosenttia arvioidusta rajanylitysten lukumäärästä kyseisessä jäsenvaltiossa.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5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Jäsenvaltioiden on käytettävä EES:n biometrisiä toimintoja kaikilla rajanylityspaikoillaan viimeistään </w:t>
            </w:r>
            <w:r>
              <w:rPr>
                <w:b/>
                <w:i/>
              </w:rPr>
              <w:t>170</w:t>
            </w:r>
            <w:r>
              <w:t xml:space="preserve"> kalenteripäivän kuluttua EES:n asteittaisesta käyttöönotosta ja rekisteröitävä EES:ään kaikki asetuksen (EU) 2017/2226 2 artiklan 1 ja 2 kohdassa tarkoitetut kolmansien maiden kansalaiset.</w:t>
            </w:r>
          </w:p>
        </w:tc>
        <w:tc>
          <w:tcPr>
            <w:tcW w:w="4876" w:type="dxa"/>
            <w:tcBorders>
              <w:top w:val="nil"/>
              <w:left w:val="nil"/>
              <w:bottom w:val="nil"/>
              <w:right w:val="nil"/>
            </w:tcBorders>
          </w:tcPr>
          <w:p>
            <w:pPr>
              <w:pStyle w:val="Normal6a"/>
            </w:pPr>
            <w:r>
              <w:t>5.</w:t>
            </w:r>
            <w:r>
              <w:tab/>
            </w:r>
            <w:r>
              <w:t xml:space="preserve">Jäsenvaltioiden on käytettävä EES:n biometrisiä toimintoja kaikilla rajanylityspaikoillaan viimeistään </w:t>
            </w:r>
            <w:r>
              <w:rPr>
                <w:b/>
                <w:i/>
              </w:rPr>
              <w:t>320</w:t>
            </w:r>
            <w:r>
              <w:t> kalenteripäivän kuluttua EES:n asteittaisesta käyttöönotosta ja rekisteröitävä EES:ään kaikki asetuksen (EU) 2017/2226 2 artiklan 1 ja 2 kohdassa tarkoitetut kolmansien maiden kansalaiset.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Biometristen tietojen rekisteröinti EES:ään ei muodosta EES:ään rekisteröitävien kolmansien maiden kansalaisten maahantulon edellytystä asteittaisen käyttöönoton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Maahantulon epäämiset, joista päätetään sellaisella rajanylityspaikalla, jossa käytetään EES:ää, on kirjattava EES:ään asetuksen (EU) 2017/2226 18 artiklan mukaisesti. </w:t>
            </w:r>
            <w:r>
              <w:rPr>
                <w:b/>
                <w:i/>
              </w:rPr>
              <w:t>Jos EES:ää käytetään biometristen toimintojen kanssa, pääsyn epäämiset kirjataan biometristen tietojen kanssa.</w:t>
            </w:r>
            <w:r>
              <w:t xml:space="preserve"> </w:t>
            </w:r>
            <w:r>
              <w:rPr>
                <w:b/>
                <w:i/>
              </w:rPr>
              <w:t>Jos EES:ää käytetään ilman biometrisiä toimintoja,</w:t>
            </w:r>
            <w:r>
              <w:t xml:space="preserve"> pääsyn epäämiset kirjataan ilman biometrisiä tietoja.</w:t>
            </w:r>
          </w:p>
        </w:tc>
        <w:tc>
          <w:tcPr>
            <w:tcW w:w="4876" w:type="dxa"/>
            <w:tcBorders>
              <w:top w:val="nil"/>
              <w:left w:val="nil"/>
              <w:bottom w:val="nil"/>
              <w:right w:val="nil"/>
            </w:tcBorders>
          </w:tcPr>
          <w:p>
            <w:pPr>
              <w:pStyle w:val="Normal6a"/>
            </w:pPr>
            <w:r>
              <w:t>6.</w:t>
            </w:r>
            <w:r>
              <w:tab/>
            </w:r>
            <w:r>
              <w:t>Maahantulon epäämiset, joista päätetään sellaisella rajanylityspaikalla, jossa käytetään EES:ää, on kirjattava EES:ään asetuksen (EU) 2017/2226 18 artiklan mukaisesti. Pääsyn epäämiset kirjataan ilman biometrisiä tietoja.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109</w:t>
      </w:r>
      <w:r>
        <w:rPr>
          <w:rStyle w:val="HideTWBExt"/>
        </w:rPr>
        <w:t>&lt;/NumAmB&gt;</w:t>
      </w:r>
    </w:p>
    <w:p>
      <w:pPr>
        <w:pStyle w:val="NormalBold"/>
      </w:pPr>
      <w:r>
        <w:rPr>
          <w:rStyle w:val="HideTWBExt"/>
          <w:b w:val="0"/>
        </w:rPr>
        <w:t>&lt;RepeatBlock-By&gt;</w:t>
      </w:r>
      <w:r>
        <w:rPr>
          <w:rStyle w:val="HideTWBExt"/>
          <w:b w:val="0"/>
        </w:rPr>
        <w:t>&lt;Members&gt;</w:t>
      </w:r>
      <w:r>
        <w:t>Alice Teodorescu Måwe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Maahantulon epäämiset, joista päätetään sellaisella rajanylityspaikalla, jossa käytetään EES:ää, on kirjattava EES:ään asetuksen (EU) 2017/2226 18 artiklan mukaisesti. Jos EES:ää käytetään biometristen toimintojen kanssa, pääsyn epäämiset kirjataan biometristen tietojen kanssa. Jos EES:ää käytetään ilman biometrisiä toimintoja, pääsyn epäämiset kirjataan ilman biometrisiä tietoja.</w:t>
            </w:r>
          </w:p>
        </w:tc>
        <w:tc>
          <w:tcPr>
            <w:tcW w:w="4876" w:type="dxa"/>
            <w:tcBorders>
              <w:top w:val="nil"/>
              <w:left w:val="nil"/>
              <w:bottom w:val="nil"/>
              <w:right w:val="nil"/>
            </w:tcBorders>
          </w:tcPr>
          <w:p>
            <w:pPr>
              <w:pStyle w:val="Normal6a"/>
            </w:pPr>
            <w:r>
              <w:t>6.</w:t>
            </w:r>
            <w:r>
              <w:tab/>
            </w:r>
            <w:r>
              <w:t>Maahantulon epäämiset, joista päätetään sellaisella rajanylityspaikalla, jossa käytetään EES:ää, on kirjattava EES:ään asetuksen (EU) 2017/2226 18 artiklan mukaisesti. Jos EES:ää käytetään biometristen toimintojen kanssa, pääsyn epäämiset kirjataan biometristen tietojen kanssa. Jos EES:ää käytetään ilman biometrisiä toimintoja, pääsyn epäämiset kirjataan ilman biometrisiä tietoja</w:t>
            </w:r>
            <w:r>
              <w:rPr>
                <w:b/>
                <w:i/>
              </w:rPr>
              <w:t>, paitsi jos tällaiset tiedot voidaan hakea VIS:stä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Europol käyttää EES:ää asetuksen (EU) 2017/2226 mukaisesti EES:n asteittaisen käyttöönoton alusta alkaen.</w:t>
            </w:r>
          </w:p>
        </w:tc>
        <w:tc>
          <w:tcPr>
            <w:tcW w:w="4876" w:type="dxa"/>
            <w:tcBorders>
              <w:top w:val="nil"/>
              <w:left w:val="nil"/>
              <w:bottom w:val="nil"/>
              <w:right w:val="nil"/>
            </w:tcBorders>
          </w:tcPr>
          <w:p>
            <w:pPr>
              <w:pStyle w:val="Normal6a"/>
            </w:pPr>
            <w:r>
              <w:rPr>
                <w:b/>
                <w:i/>
              </w:rPr>
              <w:t>Poistetaan.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4 artikla – 7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Europol käyttää EES:ää asetuksen (EU) 2017/2226 mukaisesti EES:n asteittaisen käyttöönoton </w:t>
            </w:r>
            <w:r>
              <w:rPr>
                <w:b/>
                <w:i/>
              </w:rPr>
              <w:t>alusta alkaen</w:t>
            </w:r>
            <w:r>
              <w:t>.</w:t>
            </w:r>
          </w:p>
        </w:tc>
        <w:tc>
          <w:tcPr>
            <w:tcW w:w="4876" w:type="dxa"/>
            <w:tcBorders>
              <w:top w:val="nil"/>
              <w:left w:val="nil"/>
              <w:bottom w:val="nil"/>
              <w:right w:val="nil"/>
            </w:tcBorders>
          </w:tcPr>
          <w:p>
            <w:pPr>
              <w:pStyle w:val="Normal6a"/>
            </w:pPr>
            <w:r>
              <w:t>7.</w:t>
            </w:r>
            <w:r>
              <w:tab/>
            </w:r>
            <w:r>
              <w:t xml:space="preserve">Europol </w:t>
            </w:r>
            <w:r>
              <w:rPr>
                <w:b/>
                <w:i/>
              </w:rPr>
              <w:t>ei saa</w:t>
            </w:r>
            <w:r>
              <w:t xml:space="preserve"> käyttää EES:ää asetuksen (EU) 2017/2226 mukaisesti EES:n asteittaisen käyttöönoton </w:t>
            </w:r>
            <w:r>
              <w:rPr>
                <w:b/>
                <w:i/>
              </w:rPr>
              <w:t>ensimmäisenä päivänä</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112</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EES:n asteittaisen käyttöönoton aikana sovelletaan 4 artiklan sääntöjen lisäksi tässä artiklassa vahvistettuja sääntöjä.</w:t>
            </w:r>
          </w:p>
        </w:tc>
        <w:tc>
          <w:tcPr>
            <w:tcW w:w="4876" w:type="dxa"/>
            <w:tcBorders>
              <w:top w:val="nil"/>
              <w:left w:val="nil"/>
              <w:bottom w:val="nil"/>
              <w:right w:val="nil"/>
            </w:tcBorders>
          </w:tcPr>
          <w:p>
            <w:pPr>
              <w:pStyle w:val="Normal6a"/>
            </w:pPr>
            <w:r>
              <w:t>1.</w:t>
            </w:r>
            <w:r>
              <w:tab/>
            </w:r>
            <w:r>
              <w:t xml:space="preserve">EES:n asteittaisen käyttöönoton aikana </w:t>
            </w:r>
            <w:r>
              <w:rPr>
                <w:b/>
                <w:i/>
              </w:rPr>
              <w:t>kaikkiin jäsenvaltioihin</w:t>
            </w:r>
            <w:r>
              <w:t xml:space="preserve"> sovelletaan 4 artiklan sääntöjen lisäksi tässä artiklassa vahvistettuja sääntöjä.</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Asetuksen 4 artiklan poikkeuksen olisi tosin oltava valinnainen jäsenvaltioille, mutta niiden on noudatettava 5 artiklassa matkustusasiakirjojen leimauksen osalta vahvistettuja sääntöjä.</w:t>
      </w:r>
    </w:p>
    <w:p>
      <w:r>
        <w:rPr>
          <w:rStyle w:val="HideTWBExt"/>
        </w:rPr>
        <w:t>&lt;/AmendB&gt;</w:t>
      </w:r>
    </w:p>
    <w:p>
      <w:pPr>
        <w:pStyle w:val="AmNumberTabs"/>
      </w:pPr>
      <w:r>
        <w:rPr>
          <w:rStyle w:val="HideTWBExt"/>
        </w:rPr>
        <w:t>&lt;AmendB&gt;</w:t>
      </w:r>
      <w:r>
        <w:t>Tarkistus</w:t>
      </w:r>
      <w:r>
        <w:tab/>
      </w:r>
      <w:r>
        <w:tab/>
      </w:r>
      <w:r>
        <w:rPr>
          <w:rStyle w:val="HideTWBExt"/>
        </w:rPr>
        <w:t>&lt;NumAmB&gt;</w:t>
      </w:r>
      <w:r>
        <w:t>113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Kansallisten viranomaisten, joilla on asetuksen (EU) 2017/2226 23–35 artiklassa säädettyjä käyttötarkoituksia koskeva toimivalta, on EES:n tietojen tallentamista, muuttamista, poistamista ja katsomista varten pidettävä leimoja ensisijaisina EES:ään rekisteröityihin tietoihin nähden myös silloin kun tiedot ovat keskenään ristiriidassa tai kun on kyse mainitun asetuksen 16 artiklan 4 kohdassa tarkoitetuista tapauksista. </w:t>
            </w:r>
            <w:r>
              <w:rPr>
                <w:b/>
                <w:i/>
              </w:rPr>
              <w:t>Jos leima puuttuu, EES:ään tallennetut tiedot ovat etusijalla.</w:t>
            </w:r>
          </w:p>
        </w:tc>
        <w:tc>
          <w:tcPr>
            <w:tcW w:w="4876" w:type="dxa"/>
            <w:tcBorders>
              <w:top w:val="nil"/>
              <w:left w:val="nil"/>
              <w:bottom w:val="nil"/>
              <w:right w:val="nil"/>
            </w:tcBorders>
          </w:tcPr>
          <w:p>
            <w:pPr>
              <w:pStyle w:val="Normal6a"/>
            </w:pPr>
            <w:r>
              <w:t>3.</w:t>
            </w:r>
            <w:r>
              <w:tab/>
            </w:r>
            <w:r>
              <w:t>Kansallisten viranomaisten, joilla on asetuksen (EU) 2017/2226 23–35 artiklassa säädettyjä käyttötarkoituksia koskeva toimivalta, on EES:n tietojen tallentamista, muuttamista, poistamista ja katsomista varten pidettävä leimoja ensisijaisina EES:ään rekisteröityihin tietoihin nähden myös silloin kun tiedot ovat keskenään ristiriidassa tai kun on kyse mainitun asetuksen 16 artiklan 4 kohdassa tarkoitetuista tapauksista.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jäsenvaltioiden alueella olevalla kolmannen maan kansalaisella ei ole matkustusasiakirjaan merkittyä leimaa </w:t>
            </w:r>
            <w:r>
              <w:rPr>
                <w:b/>
                <w:i/>
              </w:rPr>
              <w:t>eikä EES:ään luotua henkilökohtaista tiedostoa</w:t>
            </w:r>
            <w:r>
              <w:t>, kansalliset viranomaiset voivat olettaa, että hän ei täytä tai ei enää täytä maahantulon tai jäsenvaltioissa oleskelun edellytyksiä.</w:t>
            </w:r>
          </w:p>
        </w:tc>
        <w:tc>
          <w:tcPr>
            <w:tcW w:w="4876" w:type="dxa"/>
            <w:tcBorders>
              <w:top w:val="nil"/>
              <w:left w:val="nil"/>
              <w:bottom w:val="nil"/>
              <w:right w:val="nil"/>
            </w:tcBorders>
          </w:tcPr>
          <w:p>
            <w:pPr>
              <w:pStyle w:val="Normal6a"/>
            </w:pPr>
            <w:r>
              <w:t>Jos jäsenvaltioiden alueella olevalla kolmannen maan kansalaisella ei ole matkustusasiakirjaan merkittyä leimaa, kansalliset viranomaiset voivat olettaa, että hän ei täytä tai ei enää täytä maahantulon tai jäsenvaltioissa oleskelun edellytyksiä.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115</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4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Jos jäsenvaltioiden alueella olevalla kolmannen maan kansalaisella ei ole matkustusasiakirjaan merkittyä leimaa eikä EES:ään luotua henkilökohtaista tiedostoa, </w:t>
            </w:r>
            <w:r>
              <w:rPr>
                <w:b/>
                <w:i/>
              </w:rPr>
              <w:t>kansalliset viranomaiset voivat olettaa</w:t>
            </w:r>
            <w:r>
              <w:t>, että hän ei täytä tai ei enää täytä maahantulon tai jäsenvaltioissa oleskelun edellytyksiä.</w:t>
            </w:r>
          </w:p>
        </w:tc>
        <w:tc>
          <w:tcPr>
            <w:tcW w:w="4876" w:type="dxa"/>
            <w:tcBorders>
              <w:top w:val="nil"/>
              <w:left w:val="nil"/>
              <w:bottom w:val="nil"/>
              <w:right w:val="nil"/>
            </w:tcBorders>
          </w:tcPr>
          <w:p>
            <w:pPr>
              <w:pStyle w:val="Normal6a"/>
            </w:pPr>
            <w:r>
              <w:t xml:space="preserve">Jos jäsenvaltioiden alueella olevalla kolmannen maan kansalaisella ei ole matkustusasiakirjaan merkittyä leimaa eikä EES:ään luotua henkilökohtaista tiedostoa, </w:t>
            </w:r>
            <w:r>
              <w:rPr>
                <w:b/>
                <w:i/>
              </w:rPr>
              <w:t>kansallisten viranomaisten on oletettava</w:t>
            </w:r>
            <w:r>
              <w:t>, että hän ei täytä tai ei enää täytä maahantulon tai jäsenvaltioissa oleskelun edellytyksiä.</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6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Kansallisten viranomaisten ja Europolin on jätettävä huomiotta seuraavat seikat:</w:t>
            </w:r>
          </w:p>
        </w:tc>
        <w:tc>
          <w:tcPr>
            <w:tcW w:w="4876" w:type="dxa"/>
            <w:tcBorders>
              <w:top w:val="nil"/>
              <w:left w:val="nil"/>
              <w:bottom w:val="nil"/>
              <w:right w:val="nil"/>
            </w:tcBorders>
          </w:tcPr>
          <w:p>
            <w:pPr>
              <w:pStyle w:val="Normal6a"/>
            </w:pPr>
            <w:r>
              <w:rPr>
                <w:b/>
                <w:i/>
              </w:rPr>
              <w:t>Poistetaan.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automaattisen laskentajärjestelmän tulokset, jotka antavat tietoa asetuksen (EU) 2017/2226 11 artiklassa tarkoitetusta sallitun oleskelun enimmäiskestosta;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automaattisesti luotu luettelo sallitun oleskeluajan ylittäneistä henkilöistä ja oleskeluajan ylittämisen seurauksista, sellaisina kuin niistä säädetään mainitun asetuksen 6 artiklan 1 kohdan c ja h alakohdassa, 12 artiklan 3 kohdassa, 16 artiklan 4 kohdassa, 34 artiklan 3 kohdassa, 50 artiklan 1 kohdan i ja k alakohdassa ja 63 artiklan 1 kohdan e alakohdassa.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9 kohta</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Rajanylitystietojärjestelmä otetaan käyttöön asteittain. Tämän käyttöönottojakson aikana [alkaen ... ] rajanylitystietojärjestelmään ei välttämättä kerätä kaikilla jäsenvaltioiden ulkorajoilla henkilötietojasi, ei myöskään biometrisiä tietoja. </w:t>
            </w:r>
            <w:r>
              <w:rPr>
                <w:b/>
                <w:i/>
              </w:rPr>
              <w:t>Silloin kun näiden tietojen kerääminen on pakollista, mutta et halua antaa niitä, sinulta evätään maahanpääsy</w:t>
            </w:r>
            <w:r>
              <w:t>. Asteittaisen käyttöönoton aikana tietojasi ei automaattisesti lisätä sallitun oleskeluajan ylittäneiden henkilöiden luetteloon. Asteittaisen käyttöönoton aikana ei myöskään ole mahdollista tarkistaa verkkosivuston eikä rajanylityspaikoilla käytettävissä olevien laitteiden avulla, kuinka pitkään sinulla on vielä oikeus oleskella maassa.</w:t>
            </w:r>
          </w:p>
        </w:tc>
        <w:tc>
          <w:tcPr>
            <w:tcW w:w="4876" w:type="dxa"/>
            <w:tcBorders>
              <w:top w:val="nil"/>
              <w:left w:val="nil"/>
              <w:bottom w:val="nil"/>
              <w:right w:val="nil"/>
            </w:tcBorders>
          </w:tcPr>
          <w:p>
            <w:pPr>
              <w:pStyle w:val="Normal6a"/>
            </w:pPr>
            <w:r>
              <w:t xml:space="preserve">Rajanylitystietojärjestelmä otetaan käyttöön asteittain. Tämän käyttöönottojakson aikana [alkaen ... ] rajanylitystietojärjestelmään ei välttämättä kerätä kaikilla jäsenvaltioiden ulkorajoilla henkilötietojasi, ei myöskään biometrisiä tietoja. </w:t>
            </w:r>
            <w:r>
              <w:rPr>
                <w:b/>
                <w:i/>
              </w:rPr>
              <w:t>Niillä rajanylityspaikoilla, joilla rajanylitystietojärjestelmää käytetään biometristen toimintojen kanssa, sinulla on velvoite antaa biometrisiä tietoja.</w:t>
            </w:r>
            <w:r>
              <w:t xml:space="preserve"> </w:t>
            </w:r>
            <w:r>
              <w:rPr>
                <w:b/>
                <w:i/>
              </w:rPr>
              <w:t>Se, että biometrisiä tietoja ei rekisteröidä rajanylitystietojärjestelmän asteittaisen käyttöönoton aikana, ei itsessään johda automaattiseen pääsyn epäämiseen</w:t>
            </w:r>
            <w:r>
              <w:t>. Asteittaisen käyttöönoton aikana tietojasi ei automaattisesti lisätä sallitun oleskeluajan ylittäneiden henkilöiden luetteloon. Asteittaisen käyttöönoton aikana ei myöskään ole mahdollista tarkistaa verkkosivuston eikä rajanylityspaikoilla käytettävissä olevien laitteiden avulla, kuinka pitkään sinulla on vielä oikeus oleskella maassa.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118</w:t>
      </w:r>
      <w:r>
        <w:rPr>
          <w:rStyle w:val="HideTWBExt"/>
        </w:rPr>
        <w:t>&lt;/NumAmB&gt;</w:t>
      </w:r>
    </w:p>
    <w:p>
      <w:pPr>
        <w:pStyle w:val="NormalBold"/>
      </w:pPr>
      <w:r>
        <w:rPr>
          <w:rStyle w:val="HideTWBExt"/>
          <w:b w:val="0"/>
        </w:rPr>
        <w:t>&lt;RepeatBlock-By&gt;</w:t>
      </w:r>
      <w:r>
        <w:rPr>
          <w:rStyle w:val="HideTWBExt"/>
          <w:b w:val="0"/>
        </w:rPr>
        <w:t>&lt;Members&gt;</w:t>
      </w:r>
      <w:r>
        <w:t>Francisco Assis</w:t>
      </w:r>
      <w:r>
        <w:rPr>
          <w:rStyle w:val="HideTWBExt"/>
          <w:b w:val="0"/>
        </w:rPr>
        <w:t>&lt;/Members&gt;</w:t>
      </w:r>
    </w:p>
    <w:p>
      <w:r>
        <w:rPr>
          <w:rStyle w:val="HideTWBExt"/>
          <w:b w:val="0"/>
        </w:rPr>
        <w:t>&lt;AuNomDe&gt;</w:t>
      </w:r>
      <w:r>
        <w:rPr>
          <w:rStyle w:val="HideTWBInt"/>
        </w:rPr>
        <w:t>{S&amp;D}</w:t>
      </w:r>
      <w:r>
        <w:t>S&amp;D-ryhmän puolesta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9 kohta</w:t>
      </w:r>
      <w:r>
        <w:rPr>
          <w:rStyle w:val="HideTWBExt"/>
        </w:rPr>
        <w:t>&lt;/Article&gt;</w:t>
      </w:r>
    </w:p>
    <w:p>
      <w:r>
        <w:rPr>
          <w:rStyle w:val="HideTWBExt"/>
        </w:rPr>
        <w:t>&lt;DocAmend2&gt;</w:t>
      </w:r>
      <w:r>
        <w:t>–</w:t>
      </w:r>
      <w:r>
        <w:rPr>
          <w:rStyle w:val="HideTWBExt"/>
        </w:rPr>
        <w:t>&lt;/DocAmend2&gt;</w:t>
      </w:r>
    </w:p>
    <w:p>
      <w:r>
        <w:rPr>
          <w:rStyle w:val="HideTWBExt"/>
        </w:rPr>
        <w:t>&lt;Article2&gt;</w:t>
      </w:r>
      <w:r>
        <w:t>–</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Rajanylitystietojärjestelmä otetaan käyttöön asteittain. Tämän käyttöönottojakson aikana [alkaen ... ] </w:t>
            </w:r>
            <w:r>
              <w:rPr>
                <w:b/>
                <w:i/>
              </w:rPr>
              <w:t>rajanylitystietojärjestelmään ei välttämättä</w:t>
            </w:r>
            <w:r>
              <w:t xml:space="preserve"> kerätä </w:t>
            </w:r>
            <w:r>
              <w:rPr>
                <w:b/>
                <w:i/>
              </w:rPr>
              <w:t>kaikilla</w:t>
            </w:r>
            <w:r>
              <w:t xml:space="preserve"> jäsenvaltioiden ulkorajoilla </w:t>
            </w:r>
            <w:r>
              <w:rPr>
                <w:b/>
                <w:i/>
              </w:rPr>
              <w:t>henkilötietojasi, ei myöskään biometrisiä tietoja.</w:t>
            </w:r>
            <w:r>
              <w:t xml:space="preserve"> </w:t>
            </w:r>
            <w:r>
              <w:rPr>
                <w:b/>
                <w:i/>
              </w:rPr>
              <w:t>Silloin kun näiden tietojen kerääminen on pakollista</w:t>
            </w:r>
            <w:r>
              <w:t xml:space="preserve">, mutta et halua antaa niitä, sinulta evätään maahanpääsy. Asteittaisen käyttöönoton aikana tietojasi ei automaattisesti lisätä sallitun oleskeluajan ylittäneiden henkilöiden luetteloon. Asteittaisen käyttöönoton aikana </w:t>
            </w:r>
            <w:r>
              <w:rPr>
                <w:b/>
                <w:i/>
              </w:rPr>
              <w:t>ei myöskään ole mahdollista</w:t>
            </w:r>
            <w:r>
              <w:t xml:space="preserve"> tarkistaa verkkosivuston eikä rajanylityspaikoilla käytettävissä olevien laitteiden avulla, kuinka pitkään sinulla on vielä oikeus oleskella maassa.</w:t>
            </w:r>
          </w:p>
        </w:tc>
        <w:tc>
          <w:tcPr>
            <w:tcW w:w="4876" w:type="dxa"/>
            <w:tcBorders>
              <w:top w:val="nil"/>
              <w:left w:val="nil"/>
              <w:bottom w:val="nil"/>
              <w:right w:val="nil"/>
            </w:tcBorders>
          </w:tcPr>
          <w:p>
            <w:pPr>
              <w:pStyle w:val="Normal6a"/>
            </w:pPr>
            <w:r>
              <w:t xml:space="preserve">Rajanylitystietojärjestelmä otetaan käyttöön asteittain. Tämän käyttöönottojakson aikana [alkaen ... ] </w:t>
            </w:r>
            <w:r>
              <w:rPr>
                <w:b/>
                <w:i/>
              </w:rPr>
              <w:t>henkilötietojasi, myös biometrisiä tietoja, saatetaan</w:t>
            </w:r>
            <w:r>
              <w:t xml:space="preserve"> kerätä </w:t>
            </w:r>
            <w:r>
              <w:rPr>
                <w:b/>
                <w:i/>
              </w:rPr>
              <w:t>rajanylitystietojärjestelmään tiettyjen</w:t>
            </w:r>
            <w:r>
              <w:t xml:space="preserve"> jäsenvaltioiden ulkorajoilla </w:t>
            </w:r>
            <w:r>
              <w:rPr>
                <w:b/>
                <w:i/>
              </w:rPr>
              <w:t>ja olla keräämättä muiden jäsenvaltioiden ulkorajoilla.</w:t>
            </w:r>
            <w:r>
              <w:t xml:space="preserve"> </w:t>
            </w:r>
            <w:r>
              <w:rPr>
                <w:b/>
                <w:i/>
              </w:rPr>
              <w:t>Jos jäsenvaltio pyytää sinua sallimaan näiden tietojen keräämisen</w:t>
            </w:r>
            <w:r>
              <w:t xml:space="preserve">, mutta et halua antaa niitä, sinulta evätään maahanpääsy. Asteittaisen käyttöönoton aikana tietojasi ei automaattisesti lisätä </w:t>
            </w:r>
            <w:r>
              <w:rPr>
                <w:b/>
                <w:i/>
              </w:rPr>
              <w:t>mahdollisten</w:t>
            </w:r>
            <w:r>
              <w:t xml:space="preserve"> sallitun oleskeluajan ylittäneiden henkilöiden luetteloon. Asteittaisen käyttöönoton aikana </w:t>
            </w:r>
            <w:r>
              <w:rPr>
                <w:b/>
                <w:i/>
              </w:rPr>
              <w:t>on myöskin mahdotonta</w:t>
            </w:r>
            <w:r>
              <w:t xml:space="preserve"> tarkistaa verkkosivuston eikä rajanylityspaikoilla käytettävissä olevien laitteiden avulla, kuinka pitkään sinulla on vielä oikeus oleskella maassa. </w:t>
            </w:r>
            <w:r>
              <w:rPr>
                <w:b/>
                <w:i/>
              </w:rPr>
              <w:t>Voit osoittaa mahdolliset sallitun oleskelusi kestoa koskevat kyselyt asianomaisille kansallisille viranomaisille ulkorajoilla.</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(Tämä tarkistus koskee ainoastaan tämän asetuksen 5 artiklan 9 kohdassa tarkoitettuja ehdotettuja lisätietoja.)</w:t>
      </w:r>
    </w:p>
    <w:p>
      <w:r>
        <w:rPr>
          <w:rStyle w:val="HideTWBExt"/>
        </w:rPr>
        <w:t>&lt;/AmendB&gt;</w:t>
      </w:r>
    </w:p>
    <w:p>
      <w:pPr>
        <w:pStyle w:val="AmNumberTabs"/>
      </w:pPr>
      <w:r>
        <w:rPr>
          <w:rStyle w:val="HideTWBExt"/>
        </w:rPr>
        <w:t>&lt;AmendB&gt;</w:t>
      </w:r>
      <w:r>
        <w:t>Tarkistus</w:t>
      </w:r>
      <w:r>
        <w:tab/>
      </w:r>
      <w:r>
        <w:tab/>
      </w:r>
      <w:r>
        <w:rPr>
          <w:rStyle w:val="HideTWBExt"/>
        </w:rPr>
        <w:t>&lt;NumAmB&gt;</w:t>
      </w:r>
      <w:r>
        <w:t>119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11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Asetuksen (EU) 2017/2226 51 artiklassa tarkoitetussa EES:n käyttöönottoon liittyvässä tiedotuskampanjassa on otettava huomioon rajanylityspaikoilla vallitsevat erityisolosuhteet ja varmistettava, että asiaankuuluvat tiedot välitetään niille, joita asia koskee, ottaen huomioon tämän asetuksen 4 artiklassa säädetyt vaiheet. Komissio tukee jäsenvaltioita tiedotuskampanjan mukautetun aineiston valmistelussa.</w:t>
            </w:r>
          </w:p>
        </w:tc>
        <w:tc>
          <w:tcPr>
            <w:tcW w:w="4876" w:type="dxa"/>
            <w:tcBorders>
              <w:top w:val="nil"/>
              <w:left w:val="nil"/>
              <w:bottom w:val="nil"/>
              <w:right w:val="nil"/>
            </w:tcBorders>
          </w:tcPr>
          <w:p>
            <w:pPr>
              <w:pStyle w:val="Normal6a"/>
            </w:pPr>
            <w:r>
              <w:t>11.</w:t>
            </w:r>
            <w:r>
              <w:tab/>
            </w:r>
            <w:r>
              <w:t xml:space="preserve">Asetuksen (EU) 2017/2226 51 artiklassa tarkoitetussa EES:n käyttöönottoon liittyvässä tiedotuskampanjassa on otettava huomioon rajanylityspaikoilla vallitsevat erityisolosuhteet ja varmistettava, että asiaankuuluvat tiedot välitetään niille, joita asia koskee, ottaen huomioon tämän asetuksen 4 artiklassa säädetyt vaiheet. Komissio tukee </w:t>
            </w:r>
            <w:r>
              <w:rPr>
                <w:b/>
                <w:i/>
              </w:rPr>
              <w:t>yhteistyössä valvontaviranomaisten ja Euroopan tietosuojavaltuutetun kanssa</w:t>
            </w:r>
            <w:r>
              <w:t xml:space="preserve"> jäsenvaltioita tiedotuskampanjan mukautetun aineiston valmistelussa.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Keskeytetään asetuksen (EU) 2017/2226 12 artiklan 1 </w:t>
            </w:r>
            <w:r>
              <w:rPr>
                <w:b/>
                <w:i/>
              </w:rPr>
              <w:t>ja 2</w:t>
            </w:r>
            <w:r>
              <w:t xml:space="preserve"> kohdan, 13 artiklan 1 ja 2 kohdan, 20 artiklan </w:t>
            </w:r>
            <w:r>
              <w:rPr>
                <w:b/>
                <w:i/>
              </w:rPr>
              <w:t>ja 21</w:t>
            </w:r>
            <w:r>
              <w:t xml:space="preserve"> artiklan soveltaminen.</w:t>
            </w:r>
          </w:p>
        </w:tc>
        <w:tc>
          <w:tcPr>
            <w:tcW w:w="4876" w:type="dxa"/>
            <w:tcBorders>
              <w:top w:val="nil"/>
              <w:left w:val="nil"/>
              <w:bottom w:val="nil"/>
              <w:right w:val="nil"/>
            </w:tcBorders>
          </w:tcPr>
          <w:p>
            <w:pPr>
              <w:pStyle w:val="Normal6a"/>
            </w:pPr>
            <w:r>
              <w:t>12.</w:t>
            </w:r>
            <w:r>
              <w:tab/>
            </w:r>
            <w:r>
              <w:t xml:space="preserve">Keskeytetään asetuksen (EU) 2017/2226 </w:t>
            </w:r>
            <w:r>
              <w:rPr>
                <w:b/>
                <w:i/>
              </w:rPr>
              <w:t>11 artiklan,</w:t>
            </w:r>
            <w:r>
              <w:t xml:space="preserve"> 12 artiklan 1</w:t>
            </w:r>
            <w:r>
              <w:rPr>
                <w:b/>
                <w:i/>
              </w:rPr>
              <w:t>, 2 ja 3</w:t>
            </w:r>
            <w:r>
              <w:t xml:space="preserve"> kohdan, 13 artiklan 1 ja 2 kohdan, 20 artiklan</w:t>
            </w:r>
            <w:r>
              <w:rPr>
                <w:b/>
                <w:i/>
              </w:rPr>
              <w:t>, 21 artiklan ja 63</w:t>
            </w:r>
            <w:r>
              <w:t xml:space="preserve"> artiklan </w:t>
            </w:r>
            <w:r>
              <w:rPr>
                <w:b/>
                <w:i/>
              </w:rPr>
              <w:t>1 kohdan e alakohdan</w:t>
            </w:r>
            <w:r>
              <w:t xml:space="preserve"> soveltaminen</w:t>
            </w:r>
            <w:r>
              <w:rPr>
                <w:b/>
                <w:i/>
              </w:rPr>
              <w:t> EES:n asteittaisen käyttöönoton päättymiseen saakka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121</w:t>
      </w:r>
      <w:r>
        <w:rPr>
          <w:rStyle w:val="HideTWBExt"/>
        </w:rPr>
        <w:t>&lt;/NumAmB&gt;</w:t>
      </w:r>
    </w:p>
    <w:p>
      <w:pPr>
        <w:pStyle w:val="NormalBold"/>
      </w:pPr>
      <w:r>
        <w:rPr>
          <w:rStyle w:val="HideTWBExt"/>
          <w:b w:val="0"/>
        </w:rPr>
        <w:t>&lt;RepeatBlock-By&gt;</w:t>
      </w:r>
      <w:r>
        <w:rPr>
          <w:rStyle w:val="HideTWBExt"/>
          <w:b w:val="0"/>
        </w:rPr>
        <w:t>&lt;Members&gt;</w:t>
      </w:r>
      <w:r>
        <w:t>Marieke Ehlers</w:t>
      </w:r>
      <w:r>
        <w:rPr>
          <w:rStyle w:val="HideTWBExt"/>
          <w:b w:val="0"/>
        </w:rPr>
        <w:t>&lt;/Members&gt;</w:t>
      </w:r>
    </w:p>
    <w:p>
      <w:r>
        <w:rPr>
          <w:rStyle w:val="HideTWBExt"/>
          <w:b w:val="0"/>
        </w:rPr>
        <w:t>&lt;AuNomDe&gt;</w:t>
      </w:r>
      <w:r>
        <w:rPr>
          <w:rStyle w:val="HideTWBInt"/>
        </w:rPr>
        <w:t>{PfE}</w:t>
      </w:r>
      <w:r>
        <w:t>PfE-ryhmän puolesta</w:t>
      </w:r>
      <w:r>
        <w:rPr>
          <w:rStyle w:val="HideTWBExt"/>
          <w:b w:val="0"/>
        </w:rPr>
        <w:t>&lt;/AuNomDe&gt;</w:t>
      </w:r>
    </w:p>
    <w:p>
      <w:pPr>
        <w:pStyle w:val="NormalBold"/>
      </w:pPr>
      <w:r>
        <w:rPr>
          <w:rStyle w:val="HideTWBExt"/>
          <w:b w:val="0"/>
        </w:rPr>
        <w:t>&lt;Members&gt;</w:t>
      </w:r>
      <w:r>
        <w:t>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Poiketen siitä, mitä asetuksen (EU) 2017/2226 22 artiklassa ja asetuksen (EU) 2016/399 12 a artiklassa säädetään, kyseisissä artikloissa säädettyä siirtymäkautta ja siirtymätoimenpiteitä sovelletaan </w:t>
            </w:r>
            <w:r>
              <w:rPr>
                <w:b/>
                <w:i/>
              </w:rPr>
              <w:t>ensimmäisestä päivästä sen jälkeen</w:t>
            </w:r>
            <w:r>
              <w:t>, kun EES:n asteittainen käyttöönotto on päättynyt.</w:t>
            </w:r>
          </w:p>
        </w:tc>
        <w:tc>
          <w:tcPr>
            <w:tcW w:w="4876" w:type="dxa"/>
            <w:tcBorders>
              <w:top w:val="nil"/>
              <w:left w:val="nil"/>
              <w:bottom w:val="nil"/>
              <w:right w:val="nil"/>
            </w:tcBorders>
          </w:tcPr>
          <w:p>
            <w:pPr>
              <w:pStyle w:val="Normal6a"/>
            </w:pPr>
            <w:r>
              <w:t>13.</w:t>
            </w:r>
            <w:r>
              <w:tab/>
            </w:r>
            <w:r>
              <w:t xml:space="preserve">Poiketen siitä, mitä asetuksen (EU) 2017/2226 22 artiklassa ja asetuksen (EU) 2016/399 12 a artiklassa säädetään, kyseisissä artikloissa säädettyä siirtymäkautta ja siirtymätoimenpiteitä sovelletaan </w:t>
            </w:r>
            <w:r>
              <w:rPr>
                <w:b/>
                <w:i/>
              </w:rPr>
              <w:t>90 päivän kuluttua siitä</w:t>
            </w:r>
            <w:r>
              <w:t>, kun EES:n asteittainen käyttöönotto on päättynyt.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EES-asetuksessa säädetään, että Schengen-alueelle ennen EES:n käyttöönottoa saapuvilla henkilöillä on oltava maahantulohetkellä luotu tiedosto.</w:t>
      </w:r>
      <w:r>
        <w:t xml:space="preserve"> </w:t>
      </w:r>
      <w:r>
        <w:t>Maastalähtömenettelyjen virtaviivaistamiseksi ehdotamme, että tämän tiedoston luontia koskevaa vaatimusta Schengen-alueelta lähdettäessä pidennetään 90 päivällä.</w:t>
      </w:r>
    </w:p>
    <w:p>
      <w:r>
        <w:rPr>
          <w:rStyle w:val="HideTWBExt"/>
        </w:rPr>
        <w:t>&lt;/AmendB&gt;</w:t>
      </w:r>
    </w:p>
    <w:p>
      <w:pPr>
        <w:pStyle w:val="AmNumberTabs"/>
      </w:pPr>
      <w:r>
        <w:rPr>
          <w:rStyle w:val="HideTWBExt"/>
        </w:rPr>
        <w:t>&lt;AmendB&gt;</w:t>
      </w:r>
      <w:r>
        <w:t>Tarkistus</w:t>
      </w:r>
      <w:r>
        <w:tab/>
      </w:r>
      <w:r>
        <w:tab/>
      </w:r>
      <w:r>
        <w:rPr>
          <w:rStyle w:val="HideTWBExt"/>
        </w:rPr>
        <w:t>&lt;NumAmB&gt;</w:t>
      </w:r>
      <w:r>
        <w:t>122</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14 kohta – 3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Poiketen siitä, mitä toisessa alakohdassa säädetään, </w:t>
            </w:r>
            <w:r>
              <w:rPr>
                <w:b/>
                <w:i/>
              </w:rPr>
              <w:t>niillä rajanylityspaikoilla, joilla EES:ää käytetään ilman biometrisiä toimintoja,</w:t>
            </w:r>
            <w:r>
              <w:t xml:space="preserve"> ei sovelleta asetuksen (EU) 2016/399 6 artiklan 1 kohdan f alakohdan i alakohtaa eikä 6 artiklan 1 kohdan f alakohdan ii alakohdassa ja 8 artiklan 3 kohdan a ja g alakohdassa tarkoitettuja säännöksiä, jotka koskevat kolmansien maiden kansalaisten todentamista biometristen tietojen perusteella yksinomaan EES:n soveltamista varten.</w:t>
            </w:r>
          </w:p>
        </w:tc>
        <w:tc>
          <w:tcPr>
            <w:tcW w:w="4876" w:type="dxa"/>
            <w:tcBorders>
              <w:top w:val="nil"/>
              <w:left w:val="nil"/>
              <w:bottom w:val="nil"/>
              <w:right w:val="nil"/>
            </w:tcBorders>
          </w:tcPr>
          <w:p>
            <w:pPr>
              <w:pStyle w:val="Normal6a"/>
            </w:pPr>
            <w:r>
              <w:t xml:space="preserve">Poiketen siitä, mitä toisessa alakohdassa säädetään, </w:t>
            </w:r>
            <w:r>
              <w:rPr>
                <w:b/>
                <w:i/>
              </w:rPr>
              <w:t>EES:n asteittaisen käyttöönoton aikana</w:t>
            </w:r>
            <w:r>
              <w:t xml:space="preserve"> ei sovelleta asetuksen (EU) 2016/399 6 artiklan 1 kohdan f alakohdan i alakohtaa eikä 6 artiklan 1 kohdan f alakohdan ii alakohdassa ja 8 artiklan 3 kohdan a ja g alakohdassa tarkoitettuja säännöksiä, jotka koskevat kolmansien maiden kansalaisten todentamista biometristen tietojen perusteella yksinomaan EES:n soveltamista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123</w:t>
      </w:r>
      <w:r>
        <w:rPr>
          <w:rStyle w:val="HideTWBExt"/>
        </w:rPr>
        <w:t>&lt;/NumAmB&gt;</w:t>
      </w:r>
    </w:p>
    <w:p>
      <w:pPr>
        <w:pStyle w:val="NormalBold"/>
      </w:pPr>
      <w:r>
        <w:rPr>
          <w:rStyle w:val="HideTWBExt"/>
          <w:b w:val="0"/>
        </w:rPr>
        <w:t>&lt;RepeatBlock-By&gt;</w:t>
      </w:r>
      <w:r>
        <w:rPr>
          <w:rStyle w:val="HideTWBExt"/>
          <w:b w:val="0"/>
        </w:rPr>
        <w:t>&lt;Members&gt;</w:t>
      </w:r>
      <w:r>
        <w:t>Malik Azmani, Moritz Körner, Jan-Christoph Oetjen,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5 artikla – 14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a.</w:t>
            </w:r>
            <w:r>
              <w:tab/>
            </w:r>
            <w:r>
              <w:rPr>
                <w:b/>
                <w:i/>
              </w:rPr>
              <w:t>Sen varmistamiseksi, että kolmansien maiden kansalaiset ymmärtävät selvästi, missä he voivat rekisteröityä rajanylityspaikoilla, on tärkeää luoda yhteisiä tunnistamispisteitä ja käyttää johdonmukaista viestintää kaikissa jäsenvaltioissa.</w:t>
            </w:r>
            <w:r>
              <w:t xml:space="preserve"> </w:t>
            </w:r>
            <w:r>
              <w:rPr>
                <w:b/>
                <w:i/>
              </w:rPr>
              <w:t>Tämä auttaa estämään sekaannusta ja tarpeetonta ruuhkaa rekisteröinnin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Käyttäessään EES:ään kirjattuja maahantulo- ja maastalähtötietueita EES:n asteittaisen käyttöönoton aikana tehtäviensä suorittamista varten</w:t>
            </w:r>
          </w:p>
        </w:tc>
        <w:tc>
          <w:tcPr>
            <w:tcW w:w="4876" w:type="dxa"/>
            <w:tcBorders>
              <w:top w:val="nil"/>
              <w:left w:val="nil"/>
              <w:bottom w:val="nil"/>
              <w:right w:val="nil"/>
            </w:tcBorders>
          </w:tcPr>
          <w:p>
            <w:pPr>
              <w:pStyle w:val="Normal6a"/>
            </w:pPr>
            <w:r>
              <w:t>1.</w:t>
            </w:r>
            <w:r>
              <w:tab/>
            </w:r>
            <w:r>
              <w:t xml:space="preserve">Käyttäessään EES:ään kirjattuja maahantulo- ja maastalähtötietueita EES:n asteittaisen käyttöönoton aikana </w:t>
            </w:r>
            <w:r>
              <w:rPr>
                <w:b/>
                <w:i/>
              </w:rPr>
              <w:t>kansallisten viranomaisten on</w:t>
            </w:r>
            <w:r>
              <w:t xml:space="preserve"> tehtäviensä suorittamista varten </w:t>
            </w:r>
            <w:r>
              <w:rPr>
                <w:b/>
                <w:i/>
              </w:rPr>
              <w:t>otettava huomioon, että tiedot voivat olla puutteellisia.</w:t>
            </w:r>
            <w:r>
              <w:t xml:space="preserve"> </w:t>
            </w:r>
            <w:r>
              <w:rPr>
                <w:b/>
                <w:i/>
              </w:rPr>
              <w:t>Tätä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kansallisten viranomaisten ja Europolin on otettava huomioon, että tiedot voivat olla puutteellisia, koska EES:n asteittaisen käyttöönoton aikana EES:ää käytetään eri jäsenvaltioissa vaihtelevassa laajuudessa;</w:t>
            </w:r>
          </w:p>
        </w:tc>
        <w:tc>
          <w:tcPr>
            <w:tcW w:w="4876" w:type="dxa"/>
            <w:tcBorders>
              <w:top w:val="nil"/>
              <w:left w:val="nil"/>
              <w:bottom w:val="nil"/>
              <w:right w:val="nil"/>
            </w:tcBorders>
          </w:tcPr>
          <w:p>
            <w:pPr>
              <w:pStyle w:val="Normal6a"/>
            </w:pPr>
            <w:r>
              <w:t>a)</w:t>
            </w:r>
            <w:r>
              <w:tab/>
            </w:r>
            <w:r>
              <w:t xml:space="preserve">kansallisten viranomaisten ja Europolin on otettava huomioon, että tiedot voivat olla puutteellisia </w:t>
            </w:r>
            <w:r>
              <w:rPr>
                <w:b/>
                <w:i/>
              </w:rPr>
              <w:t>tai virheellisiä</w:t>
            </w:r>
            <w:r>
              <w:t>, koska EES:n asteittaisen käyttöönoton aikana EES:ää käytetään eri jäsenvaltioissa vaihtelevassa laajuudessa;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126</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kansallisten viranomaisten ja Europolin on otettava huomioon, että tiedot voivat olla puutteellisia, koska EES:n asteittaisen käyttöönoton aikana EES:ää käytetään eri jäsenvaltioissa vaihtelevassa laajuudessa</w:t>
            </w:r>
            <w:r>
              <w:t>;</w:t>
            </w:r>
          </w:p>
        </w:tc>
        <w:tc>
          <w:tcPr>
            <w:tcW w:w="4876" w:type="dxa"/>
            <w:tcBorders>
              <w:top w:val="nil"/>
              <w:left w:val="nil"/>
              <w:bottom w:val="nil"/>
              <w:right w:val="nil"/>
            </w:tcBorders>
          </w:tcPr>
          <w:p>
            <w:pPr>
              <w:pStyle w:val="Normal6a"/>
            </w:pPr>
            <w:r>
              <w:t>a)</w:t>
            </w:r>
            <w:r>
              <w:tab/>
            </w:r>
            <w:r>
              <w:rPr>
                <w:b/>
                <w:i/>
              </w:rPr>
              <w:t>kansalliset viranomaiset eivät saa tehdä yksilöihin kielteisesti vaikuttavia päätöksiä yksinomaan EES:ään rekisteröityjen tietojen perusteella tai sen seikan perusteella, että maahantulon tai maastalähdön rekisteröinti puuttuu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kansallisten viranomaisten on </w:t>
            </w:r>
            <w:r>
              <w:rPr>
                <w:b/>
                <w:i/>
              </w:rPr>
              <w:t>otettava huomioon, että tiedot voivat olla puutteellisia, kun ne toimittavat</w:t>
            </w:r>
            <w:r>
              <w:t xml:space="preserve"> tietoja asetuksen (EU) 2017/2226 41 ja 42 artiklan mukaisesti;</w:t>
            </w:r>
          </w:p>
        </w:tc>
        <w:tc>
          <w:tcPr>
            <w:tcW w:w="4876" w:type="dxa"/>
            <w:tcBorders>
              <w:top w:val="nil"/>
              <w:left w:val="nil"/>
              <w:bottom w:val="nil"/>
              <w:right w:val="nil"/>
            </w:tcBorders>
          </w:tcPr>
          <w:p>
            <w:pPr>
              <w:pStyle w:val="Normal6a"/>
            </w:pPr>
            <w:r>
              <w:t>b)</w:t>
            </w:r>
            <w:r>
              <w:tab/>
            </w:r>
            <w:r>
              <w:t xml:space="preserve">kansallisten viranomaisten on </w:t>
            </w:r>
            <w:r>
              <w:rPr>
                <w:b/>
                <w:i/>
              </w:rPr>
              <w:t>vältettävä toimittamasta</w:t>
            </w:r>
            <w:r>
              <w:t xml:space="preserve"> tietoja asetuksen (EU) 2017/2226 41 ja 42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kansallisten viranomaisten on otettava huomioon, että tiedot voivat olla puutteellisia, kun ne toimittavat tietoja asetuksen (EU) 2017/2226 41 ja 42 artiklan mukaisesti;</w:t>
            </w:r>
          </w:p>
        </w:tc>
        <w:tc>
          <w:tcPr>
            <w:tcW w:w="4876" w:type="dxa"/>
            <w:tcBorders>
              <w:top w:val="nil"/>
              <w:left w:val="nil"/>
              <w:bottom w:val="nil"/>
              <w:right w:val="nil"/>
            </w:tcBorders>
          </w:tcPr>
          <w:p>
            <w:pPr>
              <w:pStyle w:val="Normal6a"/>
            </w:pPr>
            <w:r>
              <w:t>b)</w:t>
            </w:r>
            <w:r>
              <w:tab/>
            </w:r>
            <w:r>
              <w:t xml:space="preserve">kansallisten viranomaisten on otettava huomioon, että tiedot voivat olla puutteellisia </w:t>
            </w:r>
            <w:r>
              <w:rPr>
                <w:b/>
                <w:i/>
              </w:rPr>
              <w:t>tai virheellisiä</w:t>
            </w:r>
            <w:r>
              <w:t>, kun ne toimittavat tietoja asetuksen (EU) 2017/2226 41 ja 42 artiklan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129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ETIAS-keskusyksikön on</w:t>
            </w:r>
            <w:r>
              <w:t xml:space="preserve"> asetuksen (EU) 2017/2226 25 a artiklan 2 kohdan mukaisia tarkistuksia suorittaessaan </w:t>
            </w:r>
            <w:r>
              <w:rPr>
                <w:b/>
                <w:i/>
              </w:rPr>
              <w:t>otettava huomioon, että EES:ään sen asteittaisen käyttöönoton aikana rekisteröidyt maahantulo- ja maastalähtötietueet voivat sisältää epätäydellisiä tietokokonaisuuksia</w:t>
            </w:r>
            <w:r>
              <w:t>.</w:t>
            </w:r>
          </w:p>
        </w:tc>
        <w:tc>
          <w:tcPr>
            <w:tcW w:w="4876" w:type="dxa"/>
            <w:tcBorders>
              <w:top w:val="nil"/>
              <w:left w:val="nil"/>
              <w:bottom w:val="nil"/>
              <w:right w:val="nil"/>
            </w:tcBorders>
          </w:tcPr>
          <w:p>
            <w:pPr>
              <w:pStyle w:val="Normal6a"/>
            </w:pPr>
            <w:r>
              <w:t>c)</w:t>
            </w:r>
            <w:r>
              <w:tab/>
            </w:r>
            <w:r>
              <w:rPr>
                <w:b/>
                <w:i/>
              </w:rPr>
              <w:t>ETIAS-keskusyksikkö pidättyy käyttämästä EES:n tietoja</w:t>
            </w:r>
            <w:r>
              <w:t> asetuksen (EU) 2017/2226 25 a artiklan 2 kohdan mukaisia tarkistuksia suorittaessaan.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ETIAS-keskusyksikön on asetuksen (EU) 2017/2226 25 a artiklan 2 kohdan mukaisia tarkistuksia suorittaessaan otettava huomioon, että EES:ään sen asteittaisen käyttöönoton aikana rekisteröidyt maahantulo- ja maastalähtötietueet voivat sisältää epätäydellisiä tietokokonaisuuksia.</w:t>
            </w:r>
          </w:p>
        </w:tc>
        <w:tc>
          <w:tcPr>
            <w:tcW w:w="4876" w:type="dxa"/>
            <w:tcBorders>
              <w:top w:val="nil"/>
              <w:left w:val="nil"/>
              <w:bottom w:val="nil"/>
              <w:right w:val="nil"/>
            </w:tcBorders>
          </w:tcPr>
          <w:p>
            <w:pPr>
              <w:pStyle w:val="Normal6a"/>
            </w:pPr>
            <w:r>
              <w:t>c)</w:t>
            </w:r>
            <w:r>
              <w:tab/>
            </w:r>
            <w:r>
              <w:t xml:space="preserve">ETIAS-keskusyksikön on asetuksen (EU) 2017/2226 25 a artiklan 2 kohdan mukaisia tarkistuksia suorittaessaan otettava huomioon, että EES:ään sen asteittaisen käyttöönoton aikana rekisteröidyt maahantulo- ja maastalähtötietueet voivat sisältää epätäydellisiä </w:t>
            </w:r>
            <w:r>
              <w:rPr>
                <w:b/>
                <w:i/>
              </w:rPr>
              <w:t>tai virheellisiä</w:t>
            </w:r>
            <w:r>
              <w:t xml:space="preserve"> tietokokonaisuuksia.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131</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1 kohta – 1 alakohta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Päätöksiä, jotka voisivat vaikuttaa haitallisesti yksilöihin, ei voida siten tehdä yksinomaan sillä perusteella, että väitetyn maahantulon tai maastalähdön rekisteröinti puuttuu EES:stä.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Toimivaltaisten viranomaisten, komission ja asiaankuuluvien unionin virastojen on otettava huomioon, että EES:ään sen asteittaisen käyttöönoton aikana rekisteröidyt tiedot voivat olla puutteellisia, kun ne käyttävät tietoja asetuksen (EU) 2017/2226 63 artiklassa tarkoitettua raportointia ja tilastointia varten.</w:t>
            </w:r>
          </w:p>
        </w:tc>
        <w:tc>
          <w:tcPr>
            <w:tcW w:w="4876" w:type="dxa"/>
            <w:tcBorders>
              <w:top w:val="nil"/>
              <w:left w:val="nil"/>
              <w:bottom w:val="nil"/>
              <w:right w:val="nil"/>
            </w:tcBorders>
          </w:tcPr>
          <w:p>
            <w:pPr>
              <w:pStyle w:val="Normal6a"/>
            </w:pPr>
            <w:r>
              <w:t>2.</w:t>
            </w:r>
            <w:r>
              <w:tab/>
            </w:r>
            <w:r>
              <w:t xml:space="preserve">Toimivaltaisten viranomaisten, komission ja asiaankuuluvien unionin virastojen on otettava huomioon, että EES:ään sen asteittaisen käyttöönoton aikana rekisteröidyt tiedot voivat olla puutteellisia </w:t>
            </w:r>
            <w:r>
              <w:rPr>
                <w:b/>
                <w:i/>
              </w:rPr>
              <w:t>tai virheellisiä</w:t>
            </w:r>
            <w:r>
              <w:t>, kun ne käyttävät tietoja asetuksen (EU) 2017/2226 63 artiklassa tarkoitettua raportointia ja tilastointia varten.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133</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4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Kun jäsenvaltiot noudattavat asetuksen (EU) 2017/2226 35 ja 52 artiklassa tarkoitettuja velvollisuuksia, jotka liittyvät EES:ään tallennettujen henkilötietojen täydentämiseen, niiden on täydennettävä asiaankuuluvia tietoja vain siinä määrin kuin se on mahdollista EES:n asteittaisen käyttöönoton aikana kerättyjen tietokokonaisuuksien rajallisen saatavuuden vuoksi. Asetuksen (EU) 2017/2226 52 artiklan 4 kohdassa tarkoitetussa hallinnollisessa päätöksessä on tarvittaessa viitattava tämän asetuksen 4 artiklassa vahvistettuihin edellytyksiin, joissa sallitaan epätäydellisten tiedostojen rekisteröinti.</w:t>
            </w:r>
          </w:p>
        </w:tc>
        <w:tc>
          <w:tcPr>
            <w:tcW w:w="4876" w:type="dxa"/>
            <w:tcBorders>
              <w:top w:val="nil"/>
              <w:left w:val="nil"/>
              <w:bottom w:val="nil"/>
              <w:right w:val="nil"/>
            </w:tcBorders>
          </w:tcPr>
          <w:p>
            <w:pPr>
              <w:pStyle w:val="Normal6a"/>
            </w:pPr>
            <w:r>
              <w:t>4.</w:t>
            </w:r>
            <w:r>
              <w:tab/>
            </w:r>
            <w:r>
              <w:t xml:space="preserve">Kun jäsenvaltiot noudattavat asetuksen (EU) 2017/2226 35 ja 52 artiklassa tarkoitettuja velvollisuuksia, jotka liittyvät EES:ään tallennettujen henkilötietojen täydentämiseen, niiden on täydennettävä asiaankuuluvia tietoja vain siinä määrin kuin se on mahdollista EES:n asteittaisen käyttöönoton aikana kerättyjen tietokokonaisuuksien rajallisen saatavuuden vuoksi. Asetuksen (EU) 2017/2226 52 artiklan 4 kohdassa tarkoitetussa hallinnollisessa päätöksessä on tarvittaessa viitattava tämän asetuksen 4 artiklassa vahvistettuihin edellytyksiin, joissa sallitaan epätäydellisten tiedostojen rekisteröinti. </w:t>
            </w:r>
            <w:r>
              <w:rPr>
                <w:b/>
                <w:i/>
              </w:rPr>
              <w:t>EES:ään tallennettujen tietojen asteittaisesta käyttöönotosta johtuva mahdollinen epätäydellisyys ei missään olosuhteissa saa olla peruste poikkeamiseen asetuksen (EU) 2017/2226 52 ja 53 artiklassa vahvistetuista säännöistä.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134</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6 artikla – 5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a.</w:t>
            </w:r>
            <w:r>
              <w:tab/>
            </w:r>
            <w:r>
              <w:rPr>
                <w:b/>
                <w:i/>
              </w:rPr>
              <w:t>Poiketen siitä, mitä asetuksen (EU) 2017/2226 33 artiklassa säädetään, Europolin asianmukaisesti valtuutettu henkilöstö ei saa käyttää EES:ään rekisteröityjä tietoja siinä säädettyihin tarkoituksiin EES:n asteittaisen käyttöönoton aikana.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Jäsenvaltiot voivat EES:n asteittaisen käyttöönoton aikana keskeyttää EES:n käytön kokonaan tai osittain tietyillä rajanylityspaikoilla </w:t>
            </w:r>
            <w:r>
              <w:rPr>
                <w:b/>
                <w:i/>
              </w:rPr>
              <w:t>poikkeuksellisissa olosuhteissa</w:t>
            </w:r>
            <w:r>
              <w:t>, jotka liittyvät EES:n keskusjärjestelmän, kansallisten järjestelmien tai viestintäinfrastruktuurin toimintahäiriöihin tai tapahtumiin, jotka johtavat niin intensiiviseen liikenteeseen, että odotusaika rajanylityspaikalla käy liian pitkäksi.</w:t>
            </w:r>
          </w:p>
        </w:tc>
        <w:tc>
          <w:tcPr>
            <w:tcW w:w="4876" w:type="dxa"/>
            <w:tcBorders>
              <w:top w:val="nil"/>
              <w:left w:val="nil"/>
              <w:bottom w:val="nil"/>
              <w:right w:val="nil"/>
            </w:tcBorders>
          </w:tcPr>
          <w:p>
            <w:pPr>
              <w:pStyle w:val="Normal6a"/>
            </w:pPr>
            <w:r>
              <w:t xml:space="preserve">Jäsenvaltiot voivat EES:n asteittaisen käyttöönoton aikana keskeyttää EES:n käytön kokonaan tai osittain tietyillä rajanylityspaikoilla </w:t>
            </w:r>
            <w:r>
              <w:rPr>
                <w:b/>
                <w:i/>
              </w:rPr>
              <w:t>tapauksissa</w:t>
            </w:r>
            <w:r>
              <w:t>, jotka liittyvät EES:n keskusjärjestelmän, kansallisten järjestelmien tai viestintäinfrastruktuurin toimintahäiriöihin tai tapahtumiin, jotka johtavat niin intensiiviseen liikenteeseen, että odotusaika rajanylityspaikalla käy liian pitkäksi.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136</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 – 1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Jäsenvaltiot voivat EES:n asteittaisen käyttöönoton aikana keskeyttää EES:n käytön kokonaan tai osittain tietyillä rajanylityspaikoilla poikkeuksellisissa olosuhteissa, jotka liittyvät EES:n keskusjärjestelmän, kansallisten järjestelmien tai viestintäinfrastruktuurin toimintahäiriöihin </w:t>
            </w:r>
            <w:r>
              <w:rPr>
                <w:b/>
                <w:i/>
              </w:rPr>
              <w:t>tai tapahtumiin, jotka johtavat niin intensiiviseen liikenteeseen, että odotusaika rajanylityspaikalla käy liian pitkäksi</w:t>
            </w:r>
            <w:r>
              <w:t>.</w:t>
            </w:r>
          </w:p>
        </w:tc>
        <w:tc>
          <w:tcPr>
            <w:tcW w:w="4876" w:type="dxa"/>
            <w:tcBorders>
              <w:top w:val="nil"/>
              <w:left w:val="nil"/>
              <w:bottom w:val="nil"/>
              <w:right w:val="nil"/>
            </w:tcBorders>
          </w:tcPr>
          <w:p>
            <w:pPr>
              <w:pStyle w:val="Normal6a"/>
            </w:pPr>
            <w:r>
              <w:t>Jäsenvaltiot voivat EES:n asteittaisen käyttöönoton aikana keskeyttää EES:n käytön kokonaan tai osittain tietyillä rajanylityspaikoilla poikkeuksellisissa olosuhteissa, jotka liittyvät EES:n keskusjärjestelmän, kansallisten järjestelmien tai viestintäinfrastruktuurin toimintahäiriöihin.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137</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1 kohta – 4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Kummassakin tapauksessa jäsenvaltioiden on viipymättä ja viimeistään kuuden tunnin kuluttua keskeytyksen alkamisesta ilmoitettava komissiolle ja eu-LISAlle keskeyttämisen (osittain tai kokonaan) syy ja sen odotettu kesto sekä varmistettava, että tällaisesta keskeyttämisestä ilmoitetaan asianmukaisesti rajanylityspaikkojen infrastruktuurin ylläpitäjille ja liikenteenharjoittajille. Kun keskeyttämiseen johtaneet </w:t>
            </w:r>
            <w:r>
              <w:rPr>
                <w:b/>
                <w:i/>
              </w:rPr>
              <w:t>poikkeukselliset</w:t>
            </w:r>
            <w:r>
              <w:t xml:space="preserve"> olosuhteet lakkaavat, jäsenvaltioiden on ilmoitettava siitä viipymättä komissiolle ja eu-LISAlle.</w:t>
            </w:r>
          </w:p>
        </w:tc>
        <w:tc>
          <w:tcPr>
            <w:tcW w:w="4876" w:type="dxa"/>
            <w:tcBorders>
              <w:top w:val="nil"/>
              <w:left w:val="nil"/>
              <w:bottom w:val="nil"/>
              <w:right w:val="nil"/>
            </w:tcBorders>
          </w:tcPr>
          <w:p>
            <w:pPr>
              <w:pStyle w:val="Normal6a"/>
            </w:pPr>
            <w:r>
              <w:t>Kummassakin tapauksessa jäsenvaltioiden on viipymättä ja viimeistään kuuden tunnin kuluttua keskeytyksen alkamisesta ilmoitettava komissiolle ja eu-LISAlle keskeyttämisen (osittain tai kokonaan) syy ja sen odotettu kesto sekä varmistettava, että tällaisesta keskeyttämisestä ilmoitetaan asianmukaisesti rajanylityspaikkojen infrastruktuurin ylläpitäjille ja liikenteenharjoittajille. Kun keskeyttämiseen johtaneet olosuhteet lakkaavat, jäsenvaltioiden on ilmoitettava siitä viipymättä komissiolle ja eu-LISAlle.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138</w:t>
      </w:r>
      <w:r>
        <w:rPr>
          <w:rStyle w:val="HideTWBExt"/>
        </w:rPr>
        <w:t>&lt;/NumAmB&gt;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Jäsenvaltiot voivat 60 kalenteripäivän aikana EES:n asteittaisen käyttöönoton päättymisen jälkeen keskeyttää EES:n käytön osittain 1 kohdan toisessa alakohdassa tarkoitetulla tavalla tietyllä rajanylityspaikalla enintään kuudeksi tunniksi ja ainoastaan poikkeuksellisissa olosuhteissa</w:t>
            </w:r>
            <w:r>
              <w:rPr>
                <w:b/>
                <w:i/>
              </w:rPr>
              <w:t>, jotka johtavat niin intensiiviseen liikenteeseen, että odotusaika rajanylityspaikalla käy liian pitkäksi</w:t>
            </w:r>
            <w:r>
              <w:t>. Jäsenvaltiot vapautetaan niille asetuksen (EU) 2017/2226 21 artiklan 1 kohdassa säädetystä velvoitteesta biometristen tietojen osalta. Tällaisissa tapauksissa jäsenvaltioiden on viipymättä ja viimeistään kuuden tunnin kuluttua keskeytyksen alkamisesta ilmoitettava keskeyttämisen syy ja sen arvioitu kesto komissiolle ja eu-LISAlle.</w:t>
            </w:r>
          </w:p>
        </w:tc>
        <w:tc>
          <w:tcPr>
            <w:tcW w:w="4876" w:type="dxa"/>
            <w:tcBorders>
              <w:top w:val="nil"/>
              <w:left w:val="nil"/>
              <w:bottom w:val="nil"/>
              <w:right w:val="nil"/>
            </w:tcBorders>
          </w:tcPr>
          <w:p>
            <w:pPr>
              <w:pStyle w:val="Normal6a"/>
            </w:pPr>
            <w:r>
              <w:t>2.</w:t>
            </w:r>
            <w:r>
              <w:tab/>
            </w:r>
            <w:r>
              <w:t>Jäsenvaltiot voivat 60 kalenteripäivän aikana EES:n asteittaisen käyttöönoton päättymisen jälkeen keskeyttää EES:n käytön osittain 1 kohdan toisessa alakohdassa tarkoitetulla tavalla tietyllä rajanylityspaikalla enintään kuudeksi tunniksi ja ainoastaan poikkeuksellisissa olosuhteissa. Jäsenvaltiot vapautetaan niille asetuksen (EU) 2017/2226 21 artiklan 1 kohdassa säädetystä velvoitteesta biometristen tietojen osalta. Tällaisissa tapauksissa jäsenvaltioiden on viipymättä ja viimeistään kuuden tunnin kuluttua keskeytyksen alkamisesta ilmoitettava keskeyttämisen syy ja sen arvioitu kesto komissiolle ja eu-LISAlle.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139</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Jäsenvaltiot voivat 60 kalenteripäivän aikana EES:n asteittaisen käyttöönoton päättymisen jälkeen keskeyttää EES:n käytön osittain 1 kohdan toisessa alakohdassa tarkoitetulla tavalla tietyllä rajanylityspaikalla enintään </w:t>
            </w:r>
            <w:r>
              <w:rPr>
                <w:b/>
                <w:i/>
              </w:rPr>
              <w:t>kuudeksi</w:t>
            </w:r>
            <w:r>
              <w:t xml:space="preserve"> tunniksi ja ainoastaan poikkeuksellisissa olosuhteissa, jotka johtavat niin intensiiviseen liikenteeseen, että odotusaika rajanylityspaikalla käy liian pitkäksi. Jäsenvaltiot vapautetaan niille asetuksen (EU) 2017/2226 21 artiklan 1 kohdassa säädetystä velvoitteesta biometristen tietojen osalta. Tällaisissa tapauksissa jäsenvaltioiden on viipymättä ja viimeistään kuuden tunnin kuluttua keskeytyksen alkamisesta ilmoitettava keskeyttämisen syy ja sen arvioitu kesto komissiolle ja eu-LISAlle.</w:t>
            </w:r>
          </w:p>
        </w:tc>
        <w:tc>
          <w:tcPr>
            <w:tcW w:w="4876" w:type="dxa"/>
            <w:tcBorders>
              <w:top w:val="nil"/>
              <w:left w:val="nil"/>
              <w:bottom w:val="nil"/>
              <w:right w:val="nil"/>
            </w:tcBorders>
          </w:tcPr>
          <w:p>
            <w:pPr>
              <w:pStyle w:val="Normal6a"/>
            </w:pPr>
            <w:r>
              <w:t>2.</w:t>
            </w:r>
            <w:r>
              <w:tab/>
            </w:r>
            <w:r>
              <w:t xml:space="preserve">Jäsenvaltiot voivat 60 kalenteripäivän aikana EES:n asteittaisen käyttöönoton päättymisen jälkeen keskeyttää EES:n käytön osittain 1 kohdan toisessa alakohdassa tarkoitetulla tavalla tietyllä rajanylityspaikalla enintään </w:t>
            </w:r>
            <w:r>
              <w:rPr>
                <w:b/>
                <w:i/>
              </w:rPr>
              <w:t>neljäksi</w:t>
            </w:r>
            <w:r>
              <w:t xml:space="preserve"> tunniksi </w:t>
            </w:r>
            <w:r>
              <w:rPr>
                <w:b/>
                <w:i/>
              </w:rPr>
              <w:t>yhden päivän aikana</w:t>
            </w:r>
            <w:r>
              <w:t xml:space="preserve"> ja ainoastaan poikkeuksellisissa olosuhteissa, jotka johtavat niin intensiiviseen liikenteeseen, että odotusaika rajanylityspaikalla käy liian pitkäksi. Jäsenvaltiot vapautetaan niille asetuksen (EU) 2017/2226 21 artiklan 1 kohdassa säädetystä velvoitteesta biometristen tietojen osalta. Tällaisissa tapauksissa jäsenvaltioiden on viipymättä ja viimeistään kuuden tunnin kuluttua keskeytyksen alkamisesta ilmoitettava keskeyttämisen syy ja sen arvioitu kesto komissiolle ja eu-LISAlle.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140</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2 a kohta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Tämän artiklan 1 ja 2 kohdassa säädettyjen keskeytysjaksojen aikana ei sovelleta asetuksen (EU) 2016/399 6 artiklan 1 kohdan f alakohdan i alakohtaa eikä 6 artiklan 1 kohdan f alakohdan ii alakohdassa ja 8 artiklan 3 kohdan a ja g alakohdassa tarkoitettuja säännöksiä, jotka koskevat kolmansien maiden kansalaisten todentamista biometristen tietojen perusteella yksinomaan EES:n soveltamista varten.</w:t>
            </w:r>
            <w:r>
              <w:t xml:space="preserve"> </w:t>
            </w:r>
            <w:r>
              <w:rPr>
                <w:b/>
                <w:i/>
              </w:rPr>
              <w:t>Päätöstä maahantulon epäämisestä asetuksen (EU) 2016/399 nojalla ei saa tehdä yksinomaan sillä perusteella, että jäsenvaltio on keskeyttänyt biometristen tietojen rekisteröinnin EES:ään.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141</w:t>
      </w:r>
      <w:r>
        <w:rPr>
          <w:rStyle w:val="HideTWBExt"/>
        </w:rPr>
        <w:t>&lt;/NumAmB&gt;</w:t>
      </w:r>
    </w:p>
    <w:p>
      <w:pPr>
        <w:pStyle w:val="NormalBold"/>
      </w:pPr>
      <w:r>
        <w:rPr>
          <w:rStyle w:val="HideTWBExt"/>
          <w:b w:val="0"/>
        </w:rPr>
        <w:t>&lt;RepeatBlock-By&gt;</w:t>
      </w:r>
      <w:r>
        <w:rPr>
          <w:rStyle w:val="HideTWBExt"/>
          <w:b w:val="0"/>
        </w:rPr>
        <w:t>&lt;Members&gt;</w:t>
      </w:r>
      <w:r>
        <w:t>François-Xavier Bellamy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artikla – 3 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Tämän artiklan 2 kohdassa säädettyä määräaikaa pidennetään automaattisesti </w:t>
            </w:r>
            <w:r>
              <w:rPr>
                <w:b/>
                <w:i/>
              </w:rPr>
              <w:t>60</w:t>
            </w:r>
            <w:r>
              <w:t xml:space="preserve"> kalenteripäivällä, jos alle 80 prosenttia EES:ään sen asteittaisen käyttöönoton aikana rekisteröidyistä henkilökohtaisista tiedostoista sisältää biometrisiä tietoja.</w:t>
            </w:r>
          </w:p>
        </w:tc>
        <w:tc>
          <w:tcPr>
            <w:tcW w:w="4876" w:type="dxa"/>
            <w:tcBorders>
              <w:top w:val="nil"/>
              <w:left w:val="nil"/>
              <w:bottom w:val="nil"/>
              <w:right w:val="nil"/>
            </w:tcBorders>
          </w:tcPr>
          <w:p>
            <w:pPr>
              <w:pStyle w:val="Normal6a"/>
            </w:pPr>
            <w:r>
              <w:t>3.</w:t>
            </w:r>
            <w:r>
              <w:tab/>
            </w:r>
            <w:r>
              <w:t xml:space="preserve">Tämän artiklan 2 kohdassa säädettyä määräaikaa pidennetään automaattisesti </w:t>
            </w:r>
            <w:r>
              <w:rPr>
                <w:b/>
                <w:i/>
              </w:rPr>
              <w:t>90</w:t>
            </w:r>
            <w:r>
              <w:t xml:space="preserve"> kalenteripäivällä, jos alle 80 prosenttia EES:ään sen asteittaisen käyttöönoton aikana rekisteröidyistä henkilökohtaisista tiedostoista sisältää biometrisiä tietoja.</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Perustelu</w:t>
      </w:r>
      <w:r>
        <w:rPr>
          <w:rStyle w:val="HideTWBExt"/>
        </w:rPr>
        <w:t>&lt;/TitreJust&gt;</w:t>
      </w:r>
    </w:p>
    <w:p>
      <w:pPr>
        <w:pStyle w:val="AmJustText"/>
      </w:pPr>
      <w:r>
        <w:t>Määräaikaa pidentämällä tehostettaisiin ja helpotettaisiin EES-järjestelmän käyttöönottoa, koska näin voitaisiin tasoittaa täytäntöönpanon vaikutuksia viivytyksiin rajoilla ja matkustajien odotusaikoihin siirtymäaikana, varsinkin ruuhka-aikoina ja etenkin kesällä.</w:t>
      </w:r>
    </w:p>
    <w:p>
      <w:r>
        <w:rPr>
          <w:rStyle w:val="HideTWBExt"/>
        </w:rPr>
        <w:t>&lt;/AmendB&gt;</w:t>
      </w:r>
    </w:p>
    <w:p>
      <w:pPr>
        <w:pStyle w:val="AmNumberTabs"/>
      </w:pPr>
      <w:r>
        <w:rPr>
          <w:rStyle w:val="HideTWBExt"/>
        </w:rPr>
        <w:t>&lt;AmendB&gt;</w:t>
      </w:r>
      <w:r>
        <w:t>Tarkistus</w:t>
      </w:r>
      <w:r>
        <w:tab/>
      </w:r>
      <w:r>
        <w:tab/>
      </w:r>
      <w:r>
        <w:rPr>
          <w:rStyle w:val="HideTWBExt"/>
        </w:rPr>
        <w:t>&lt;NumAmB&gt;</w:t>
      </w:r>
      <w:r>
        <w:t>142</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7 a artikla (uusi)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7 a artikla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Asteittaisen käyttöönoton päättyminen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EES:n asteittaista käyttöönottoa ei saa päättää, paitsi jos kaikki seuraavista vaatimuksista täyttyvät: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jäsenvaltiot ovat käyttäneet EES:ää 4 artiklan 5 kohdan mukaisesti vähintään 90 peräkkäisen päivän ajan;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mikään jäsenvaltio ei ole hyödyntänyt EES:n käytön keskeyttämistä 7 artiklan mukaisesti vähintään 150 peräkkäisen päivän aikana;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EES:n keskusjärjestelmässä ei ole tapahtunut toimintahäiriötä vähintään 90 peräkkäisen päivän aikana.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Kun komissio on määrittänyt, että 1 kohdan vaatimukset ovat täyttyneet, se ilmoittaa jäsenvaltioille, eu-LISAlle ja Europolille EES:n asteittaisen käyttöönoton päättymisestä.</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143</w:t>
      </w:r>
      <w:r>
        <w:rPr>
          <w:rStyle w:val="HideTWBExt"/>
        </w:rPr>
        <w:t>&lt;/NumAmB&gt;</w:t>
      </w:r>
    </w:p>
    <w:p>
      <w:pPr>
        <w:pStyle w:val="NormalBold"/>
      </w:pPr>
      <w:r>
        <w:rPr>
          <w:rStyle w:val="HideTWBExt"/>
          <w:b w:val="0"/>
        </w:rPr>
        <w:t>&lt;RepeatBlock-By&gt;</w:t>
      </w:r>
      <w:r>
        <w:rPr>
          <w:rStyle w:val="HideTWBExt"/>
          <w:b w:val="0"/>
        </w:rPr>
        <w:t>&lt;Members&gt;</w:t>
      </w:r>
      <w:r>
        <w:t>Jan-Christoph Oetjen, Lucia Yar, Veronika Cifrová Ostrihoňová,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1 kohta – 2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Sitä sovelletaan päivästä, jona EES otetaan käyttöön ja jonka komissio päättää asetuksen (EU) 2017/2226 66 artiklan 1 kohdan mukaisesti.</w:t>
            </w:r>
          </w:p>
        </w:tc>
        <w:tc>
          <w:tcPr>
            <w:tcW w:w="4876" w:type="dxa"/>
            <w:tcBorders>
              <w:top w:val="nil"/>
              <w:left w:val="nil"/>
              <w:bottom w:val="nil"/>
              <w:right w:val="nil"/>
            </w:tcBorders>
          </w:tcPr>
          <w:p>
            <w:pPr>
              <w:pStyle w:val="Normal6a"/>
            </w:pPr>
            <w:r>
              <w:t>Sitä sovelletaan päivästä, jona EES otetaan käyttöön ja jonka komissio päättää asetuksen (EU) 2017/2226 66 artiklan 1 kohdan mukaisesti</w:t>
            </w:r>
            <w:r>
              <w:rPr>
                <w:b/>
                <w:i/>
              </w:rPr>
              <w:t>, viimeistään 90 päivän kuluttua tämän asetuksen voimaantulosta tai 60 päivän kuluessa viimeisen valmiusilmoituksen toimittamisesta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144</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johdantokappale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Tämän asetuksen soveltaminen lakkaa </w:t>
            </w:r>
            <w:r>
              <w:rPr>
                <w:b/>
                <w:i/>
              </w:rPr>
              <w:t>180</w:t>
            </w:r>
            <w:r>
              <w:t xml:space="preserve"> kalenteripäivän kuluttua </w:t>
            </w:r>
            <w:r>
              <w:rPr>
                <w:b/>
                <w:i/>
              </w:rPr>
              <w:t>päivästä, jona EES otetaan käyttöön ja jonka komissio päättää asetuksen (EU) 2017/2226 66</w:t>
            </w:r>
            <w:r>
              <w:t xml:space="preserve"> artiklan </w:t>
            </w:r>
            <w:r>
              <w:rPr>
                <w:b/>
                <w:i/>
              </w:rPr>
              <w:t>1</w:t>
            </w:r>
            <w:r>
              <w:t xml:space="preserve"> kohdan mukaisesti. Tästä poiketen:</w:t>
            </w:r>
          </w:p>
        </w:tc>
        <w:tc>
          <w:tcPr>
            <w:tcW w:w="4876" w:type="dxa"/>
            <w:tcBorders>
              <w:top w:val="nil"/>
              <w:left w:val="nil"/>
              <w:bottom w:val="nil"/>
              <w:right w:val="nil"/>
            </w:tcBorders>
          </w:tcPr>
          <w:p>
            <w:pPr>
              <w:pStyle w:val="Normal6a"/>
            </w:pPr>
            <w:r>
              <w:t xml:space="preserve">Tämän asetuksen soveltaminen lakkaa </w:t>
            </w:r>
            <w:r>
              <w:rPr>
                <w:b/>
                <w:i/>
              </w:rPr>
              <w:t>30</w:t>
            </w:r>
            <w:r>
              <w:t xml:space="preserve"> kalenteripäivän kuluttua </w:t>
            </w:r>
            <w:r>
              <w:rPr>
                <w:b/>
                <w:i/>
              </w:rPr>
              <w:t>siitä, kun komissio on ilmoittanut asiasta jäsenvaltioille, eu-LISAlle ja Europolille 7 a</w:t>
            </w:r>
            <w:r>
              <w:t xml:space="preserve"> artiklan </w:t>
            </w:r>
            <w:r>
              <w:rPr>
                <w:b/>
                <w:i/>
              </w:rPr>
              <w:t>2</w:t>
            </w:r>
            <w:r>
              <w:t xml:space="preserve"> kohdan mukaisesti. Tästä poiketen: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145</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a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5 artiklan 13 kohdan soveltaminen lakkaa viiden vuoden ja 180 kalenteripäivän kuluttua päivästä, jonka komissio päättää </w:t>
            </w:r>
            <w:r>
              <w:rPr>
                <w:b/>
                <w:i/>
              </w:rPr>
              <w:t>asetuksen (EU) 2017/2226 66</w:t>
            </w:r>
            <w:r>
              <w:t xml:space="preserve"> artiklan </w:t>
            </w:r>
            <w:r>
              <w:rPr>
                <w:b/>
                <w:i/>
              </w:rPr>
              <w:t>1</w:t>
            </w:r>
            <w:r>
              <w:t xml:space="preserve"> kohdan mukaisesti;</w:t>
            </w:r>
          </w:p>
        </w:tc>
        <w:tc>
          <w:tcPr>
            <w:tcW w:w="4876" w:type="dxa"/>
            <w:tcBorders>
              <w:top w:val="nil"/>
              <w:left w:val="nil"/>
              <w:bottom w:val="nil"/>
              <w:right w:val="nil"/>
            </w:tcBorders>
          </w:tcPr>
          <w:p>
            <w:pPr>
              <w:pStyle w:val="Normal6a"/>
            </w:pPr>
            <w:r>
              <w:t>a)</w:t>
            </w:r>
            <w:r>
              <w:tab/>
            </w:r>
            <w:r>
              <w:t xml:space="preserve">5 artiklan 13 kohdan soveltaminen lakkaa viiden vuoden ja 180 kalenteripäivän kuluttua päivästä, jonka komissio päättää </w:t>
            </w:r>
            <w:r>
              <w:rPr>
                <w:b/>
                <w:i/>
              </w:rPr>
              <w:t>7 a</w:t>
            </w:r>
            <w:r>
              <w:t xml:space="preserve"> artiklan </w:t>
            </w:r>
            <w:r>
              <w:rPr>
                <w:b/>
                <w:i/>
              </w:rPr>
              <w:t>2</w:t>
            </w:r>
            <w:r>
              <w:t xml:space="preserve">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146</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6 artiklan 1, 2, 4 ja 5 kohdan soveltaminen lakkaa viiden vuoden ja 180 kalenteripäivän kuluttua päivästä, jonka komissio päättää </w:t>
            </w:r>
            <w:r>
              <w:rPr>
                <w:b/>
                <w:i/>
              </w:rPr>
              <w:t>asetuksen (EU) 2017/2226 66</w:t>
            </w:r>
            <w:r>
              <w:t xml:space="preserve"> artiklan </w:t>
            </w:r>
            <w:r>
              <w:rPr>
                <w:b/>
                <w:i/>
              </w:rPr>
              <w:t>1</w:t>
            </w:r>
            <w:r>
              <w:t xml:space="preserve"> kohdan mukaisesti;</w:t>
            </w:r>
          </w:p>
        </w:tc>
        <w:tc>
          <w:tcPr>
            <w:tcW w:w="4876" w:type="dxa"/>
            <w:tcBorders>
              <w:top w:val="nil"/>
              <w:left w:val="nil"/>
              <w:bottom w:val="nil"/>
              <w:right w:val="nil"/>
            </w:tcBorders>
          </w:tcPr>
          <w:p>
            <w:pPr>
              <w:pStyle w:val="Normal6a"/>
            </w:pPr>
            <w:r>
              <w:t>b)</w:t>
            </w:r>
            <w:r>
              <w:tab/>
            </w:r>
            <w:r>
              <w:t xml:space="preserve">6 artiklan 1, 2, 4 ja 5 kohdan soveltaminen lakkaa viiden vuoden ja 180 kalenteripäivän kuluttua päivästä, jonka komissio päättää </w:t>
            </w:r>
            <w:r>
              <w:rPr>
                <w:b/>
                <w:i/>
              </w:rPr>
              <w:t>7 a</w:t>
            </w:r>
            <w:r>
              <w:t xml:space="preserve"> artiklan </w:t>
            </w:r>
            <w:r>
              <w:rPr>
                <w:b/>
                <w:i/>
              </w:rPr>
              <w:t>2</w:t>
            </w:r>
            <w:r>
              <w:t xml:space="preserve">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147</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b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6 artiklan 1, 2, 4 </w:t>
            </w:r>
            <w:r>
              <w:rPr>
                <w:b/>
                <w:i/>
              </w:rPr>
              <w:t>ja 5</w:t>
            </w:r>
            <w:r>
              <w:t xml:space="preserve"> kohdan soveltaminen lakkaa viiden vuoden ja 180 kalenteripäivän kuluttua päivästä, jonka komissio päättää asetuksen (EU) 2017/2226 66 artiklan 1 kohdan mukaisesti;</w:t>
            </w:r>
          </w:p>
        </w:tc>
        <w:tc>
          <w:tcPr>
            <w:tcW w:w="4876" w:type="dxa"/>
            <w:tcBorders>
              <w:top w:val="nil"/>
              <w:left w:val="nil"/>
              <w:bottom w:val="nil"/>
              <w:right w:val="nil"/>
            </w:tcBorders>
          </w:tcPr>
          <w:p>
            <w:pPr>
              <w:pStyle w:val="Normal6a"/>
            </w:pPr>
            <w:r>
              <w:t>b)</w:t>
            </w:r>
            <w:r>
              <w:tab/>
            </w:r>
            <w:r>
              <w:t>6 artiklan 1, 2, 4</w:t>
            </w:r>
            <w:r>
              <w:rPr>
                <w:b/>
                <w:i/>
              </w:rPr>
              <w:t>, 5 ja 5 a</w:t>
            </w:r>
            <w:r>
              <w:t xml:space="preserve"> kohdan soveltaminen lakkaa viiden vuoden ja 180 kalenteripäivän kuluttua päivästä, jonka komissio päättää asetuksen (EU) 2017/2226 66 artiklan 1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148</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c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6 artiklan 3 kohdan toisen alakohdan soveltaminen lakkaa 360 kalenteripäivän kuluttua päivästä, jonka komissio päättää </w:t>
            </w:r>
            <w:r>
              <w:rPr>
                <w:b/>
                <w:i/>
              </w:rPr>
              <w:t>asetuksen (EU) 2017/2226 66</w:t>
            </w:r>
            <w:r>
              <w:t xml:space="preserve"> artiklan </w:t>
            </w:r>
            <w:r>
              <w:rPr>
                <w:b/>
                <w:i/>
              </w:rPr>
              <w:t>1</w:t>
            </w:r>
            <w:r>
              <w:t xml:space="preserve"> kohdan mukaisesti;</w:t>
            </w:r>
          </w:p>
        </w:tc>
        <w:tc>
          <w:tcPr>
            <w:tcW w:w="4876" w:type="dxa"/>
            <w:tcBorders>
              <w:top w:val="nil"/>
              <w:left w:val="nil"/>
              <w:bottom w:val="nil"/>
              <w:right w:val="nil"/>
            </w:tcBorders>
          </w:tcPr>
          <w:p>
            <w:pPr>
              <w:pStyle w:val="Normal6a"/>
            </w:pPr>
            <w:r>
              <w:t>c)</w:t>
            </w:r>
            <w:r>
              <w:tab/>
            </w:r>
            <w:r>
              <w:t xml:space="preserve">6 artiklan 3 kohdan toisen alakohdan soveltaminen lakkaa 360 kalenteripäivän kuluttua päivästä, jonka komissio päättää </w:t>
            </w:r>
            <w:r>
              <w:rPr>
                <w:b/>
                <w:i/>
              </w:rPr>
              <w:t>7 a</w:t>
            </w:r>
            <w:r>
              <w:t xml:space="preserve"> artiklan </w:t>
            </w:r>
            <w:r>
              <w:rPr>
                <w:b/>
                <w:i/>
              </w:rPr>
              <w:t>2</w:t>
            </w:r>
            <w:r>
              <w:t xml:space="preserve">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149</w:t>
      </w:r>
      <w:r>
        <w:rPr>
          <w:rStyle w:val="HideTWBExt"/>
        </w:rPr>
        <w:t>&lt;/NumAmB&gt;</w:t>
      </w:r>
    </w:p>
    <w:p>
      <w:pPr>
        <w:pStyle w:val="NormalBold"/>
      </w:pPr>
      <w:r>
        <w:rPr>
          <w:rStyle w:val="HideTWBExt"/>
          <w:b w:val="0"/>
        </w:rPr>
        <w:t>&lt;RepeatBlock-By&gt;</w:t>
      </w:r>
      <w:r>
        <w:rPr>
          <w:rStyle w:val="HideTWBExt"/>
          <w:b w:val="0"/>
        </w:rPr>
        <w:t>&lt;Members&gt;</w:t>
      </w:r>
      <w:r>
        <w:t>Erik Marquardt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7 artiklan 2 ja 3 kohdan soveltaminen lakkaa 300 kalenteripäivän kuluttua päivästä, jonka komissio päättää asetuksen (EU) 2017/2226 66 artiklan 1 kohdan mukaisesti;</w:t>
            </w:r>
          </w:p>
        </w:tc>
        <w:tc>
          <w:tcPr>
            <w:tcW w:w="4876" w:type="dxa"/>
            <w:tcBorders>
              <w:top w:val="nil"/>
              <w:left w:val="nil"/>
              <w:bottom w:val="nil"/>
              <w:right w:val="nil"/>
            </w:tcBorders>
          </w:tcPr>
          <w:p>
            <w:pPr>
              <w:pStyle w:val="Normal6a"/>
            </w:pPr>
            <w:r>
              <w:t>d)</w:t>
            </w:r>
            <w:r>
              <w:tab/>
            </w:r>
            <w:r>
              <w:t>7 artiklan 2</w:t>
            </w:r>
            <w:r>
              <w:rPr>
                <w:b/>
                <w:i/>
              </w:rPr>
              <w:t>, 2 a</w:t>
            </w:r>
            <w:r>
              <w:t xml:space="preserve"> ja 3 kohdan soveltaminen lakkaa 300 kalenteripäivän kuluttua päivästä, jonka komissio päättää asetuksen (EU) 2017/2226 66 artiklan 1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150</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d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7 artiklan 2 ja 3 kohdan soveltaminen lakkaa 300 kalenteripäivän kuluttua päivästä, jonka komissio päättää </w:t>
            </w:r>
            <w:r>
              <w:rPr>
                <w:b/>
                <w:i/>
              </w:rPr>
              <w:t>asetuksen (EU) 2017/2226 66</w:t>
            </w:r>
            <w:r>
              <w:t xml:space="preserve"> artiklan </w:t>
            </w:r>
            <w:r>
              <w:rPr>
                <w:b/>
                <w:i/>
              </w:rPr>
              <w:t>1</w:t>
            </w:r>
            <w:r>
              <w:t xml:space="preserve"> kohdan mukaisesti;</w:t>
            </w:r>
          </w:p>
        </w:tc>
        <w:tc>
          <w:tcPr>
            <w:tcW w:w="4876" w:type="dxa"/>
            <w:tcBorders>
              <w:top w:val="nil"/>
              <w:left w:val="nil"/>
              <w:bottom w:val="nil"/>
              <w:right w:val="nil"/>
            </w:tcBorders>
          </w:tcPr>
          <w:p>
            <w:pPr>
              <w:pStyle w:val="Normal6a"/>
            </w:pPr>
            <w:r>
              <w:t>d)</w:t>
            </w:r>
            <w:r>
              <w:tab/>
            </w:r>
            <w:r>
              <w:t xml:space="preserve">7 artiklan 2 ja 3 kohdan soveltaminen lakkaa 300 kalenteripäivän kuluttua päivästä, jonka komissio päättää </w:t>
            </w:r>
            <w:r>
              <w:rPr>
                <w:b/>
                <w:i/>
              </w:rPr>
              <w:t>7 a</w:t>
            </w:r>
            <w:r>
              <w:t xml:space="preserve"> artiklan </w:t>
            </w:r>
            <w:r>
              <w:rPr>
                <w:b/>
                <w:i/>
              </w:rPr>
              <w:t>2</w:t>
            </w:r>
            <w:r>
              <w:t xml:space="preserve">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pPr>
        <w:pStyle w:val="AmNumberTabs"/>
      </w:pPr>
      <w:r>
        <w:rPr>
          <w:rStyle w:val="HideTWBExt"/>
        </w:rPr>
        <w:t>&lt;AmendB&gt;</w:t>
      </w:r>
      <w:r>
        <w:t>Tarkistus</w:t>
      </w:r>
      <w:r>
        <w:tab/>
      </w:r>
      <w:r>
        <w:tab/>
      </w:r>
      <w:r>
        <w:rPr>
          <w:rStyle w:val="HideTWBExt"/>
        </w:rPr>
        <w:t>&lt;NumAmB&gt;</w:t>
      </w:r>
      <w:r>
        <w:t>151</w:t>
      </w:r>
      <w:r>
        <w:rPr>
          <w:rStyle w:val="HideTWBExt"/>
        </w:rPr>
        <w:t>&lt;/NumAmB&gt;</w:t>
      </w:r>
    </w:p>
    <w:p>
      <w:pPr>
        <w:pStyle w:val="NormalBold"/>
      </w:pPr>
      <w:r>
        <w:rPr>
          <w:rStyle w:val="HideTWBExt"/>
          <w:b w:val="0"/>
        </w:rPr>
        <w:t>&lt;RepeatBlock-By&gt;</w:t>
      </w:r>
      <w:r>
        <w:rPr>
          <w:rStyle w:val="HideTWBExt"/>
          <w:b w:val="0"/>
        </w:rPr>
        <w:t>&lt;Members&gt;</w:t>
      </w:r>
      <w:r>
        <w:t>Özlem Demirel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Ehdotus asetukseksi</w:t>
      </w:r>
      <w:r>
        <w:rPr>
          <w:rStyle w:val="HideTWBExt"/>
        </w:rPr>
        <w:t>&lt;/DocAmend&gt;</w:t>
      </w:r>
    </w:p>
    <w:p>
      <w:pPr>
        <w:pStyle w:val="NormalBold"/>
      </w:pPr>
      <w:r>
        <w:rPr>
          <w:rStyle w:val="HideTWBExt"/>
        </w:rPr>
        <w:t>&lt;Article&gt;</w:t>
      </w:r>
      <w:r>
        <w:t>8 artikla – 2 kohta – 1 alakohta – e alakohta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Komission teksti</w:t>
            </w:r>
          </w:p>
        </w:tc>
        <w:tc>
          <w:tcPr>
            <w:tcW w:w="4876" w:type="dxa"/>
            <w:tcBorders>
              <w:top w:val="nil"/>
              <w:left w:val="nil"/>
              <w:bottom w:val="nil"/>
              <w:right w:val="nil"/>
            </w:tcBorders>
          </w:tcPr>
          <w:p>
            <w:pPr>
              <w:pStyle w:val="AmColumnHeading"/>
            </w:pPr>
            <w:r>
              <w:t>Tarkistus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7 artiklan 4 kohdan soveltaminen lakkaa 210 kalenteripäivän kuluttua päivästä, jonka komissio päättää </w:t>
            </w:r>
            <w:r>
              <w:rPr>
                <w:b/>
                <w:i/>
              </w:rPr>
              <w:t>asetuksen (EU) 2017/2226 66</w:t>
            </w:r>
            <w:r>
              <w:t xml:space="preserve"> artiklan </w:t>
            </w:r>
            <w:r>
              <w:rPr>
                <w:b/>
                <w:i/>
              </w:rPr>
              <w:t>1</w:t>
            </w:r>
            <w:r>
              <w:t xml:space="preserve"> kohdan mukaisesti.</w:t>
            </w:r>
          </w:p>
        </w:tc>
        <w:tc>
          <w:tcPr>
            <w:tcW w:w="4876" w:type="dxa"/>
            <w:tcBorders>
              <w:top w:val="nil"/>
              <w:left w:val="nil"/>
              <w:bottom w:val="nil"/>
              <w:right w:val="nil"/>
            </w:tcBorders>
          </w:tcPr>
          <w:p>
            <w:pPr>
              <w:pStyle w:val="Normal6a"/>
            </w:pPr>
            <w:r>
              <w:t>e)</w:t>
            </w:r>
            <w:r>
              <w:tab/>
            </w:r>
            <w:r>
              <w:t xml:space="preserve">7 artiklan 4 kohdan soveltaminen lakkaa 210 kalenteripäivän kuluttua päivästä, jonka komissio päättää </w:t>
            </w:r>
            <w:r>
              <w:rPr>
                <w:b/>
                <w:i/>
              </w:rPr>
              <w:t>7 a</w:t>
            </w:r>
            <w:r>
              <w:t xml:space="preserve"> artiklan </w:t>
            </w:r>
            <w:r>
              <w:rPr>
                <w:b/>
                <w:i/>
              </w:rPr>
              <w:t>2</w:t>
            </w:r>
            <w:r>
              <w:t xml:space="preserve"> kohdan mukaisesti.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&lt;/AmendB&gt;</w:t>
      </w:r>
    </w:p>
    <w:p>
      <w:r>
        <w:rPr>
          <w:rStyle w:val="HideTWBExt"/>
        </w:rPr>
        <w:t>&lt;/RepeatBlock-AmendB&gt;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772.011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AM\1318321FI.docx</w:t>
    </w:r>
    <w:r>
      <w:rPr>
        <w:rStyle w:val="HideTWBExt"/>
      </w:rPr>
      <w:t>&lt;/PathFdR&gt;</w:t>
    </w:r>
  </w:p>
  <w:p>
    <w:pPr>
      <w:pStyle w:val="EPFooter2"/>
    </w:pPr>
    <w:r>
      <w:t>FI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AM\1318321FI.docx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ab/>
    </w:r>
    <w:r>
      <w:tab/>
    </w:r>
    <w:r>
      <w:t>FI</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AM\1318321FI.docx</w:t>
    </w:r>
    <w:r>
      <w:rPr>
        <w:rStyle w:val="HideTWBExt"/>
      </w:rPr>
      <w:t>&lt;/PathFdR&gt;</w:t>
    </w:r>
    <w:r>
      <w:tab/>
    </w:r>
    <w:r>
      <w:tab/>
    </w:r>
    <w:r>
      <w:t>PE</w:t>
    </w:r>
    <w:r>
      <w:rPr>
        <w:rStyle w:val="HideTWBExt"/>
      </w:rPr>
      <w:t>&lt;NoPE&gt;</w:t>
    </w:r>
    <w:r>
      <w:t>772.011</w:t>
    </w:r>
    <w:r>
      <w:rPr>
        <w:rStyle w:val="HideTWBExt"/>
      </w:rPr>
      <w:t>&lt;/NoPE&gt;</w:t>
    </w:r>
    <w:r>
      <w:rPr>
        <w:rStyle w:val="HideTWBExt"/>
      </w:rPr>
      <w:t>&lt;Version&gt;</w:t>
    </w:r>
    <w:r>
      <w:t>v01-00</w:t>
    </w:r>
    <w:r>
      <w:rPr>
        <w:rStyle w:val="HideTWBExt"/>
      </w:rPr>
      <w:t>&lt;/Version&gt;</w:t>
    </w:r>
  </w:p>
  <w:p>
    <w:pPr>
      <w:pStyle w:val="EPFooter2"/>
    </w:pPr>
    <w:r>
      <w:t>FI</w:t>
    </w:r>
    <w:r>
      <w:tab/>
    </w:r>
    <w:r>
      <w:rPr>
        <w:rStyle w:val="EPFooter2Motto"/>
      </w:rPr>
      <w:t>Moninaisuudessaan yhtenäinen</w:t>
    </w:r>
    <w:r>
      <w:tab/>
    </w:r>
    <w:r>
      <w:t>FI</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fi-FI"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15228</Words>
  <Characters>126372</Characters>
  <Application>Microsoft Office Word</Application>
  <DocSecurity>0</DocSecurity>
  <Lines>1</Lines>
  <Paragraphs>1200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1318321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160921</vt:lpwstr>
  </property>
  <property fmtid="{D5CDD505-2E9C-101B-9397-08002B2CF9AE}" pid="7" name="dmxml.render.traceId">
    <vt:lpwstr>67f6159065f40f691d7d90af7bd75988</vt:lpwstr>
  </property>
  <property fmtid="{D5CDD505-2E9C-101B-9397-08002B2CF9AE}" pid="8" name="FooterPath">
    <vt:lpwstr>AM\1318321FI.docx</vt:lpwstr>
  </property>
  <property fmtid="{D5CDD505-2E9C-101B-9397-08002B2CF9AE}" pid="9" name="PE Number">
    <vt:lpwstr>772.011</vt:lpwstr>
  </property>
  <property fmtid="{D5CDD505-2E9C-101B-9397-08002B2CF9AE}" pid="10" name="UID">
    <vt:lpwstr>eu.europa.europarl-DIN1-2025-0000065457_02.00-fi-01.00_text-xml</vt:lpwstr>
  </property>
</Properties>
</file>