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Privremeno odstupanje od određenih odredaba Uredbe (EU) 2017/2226 i Uredbe (EU) 2016/399 u pogledu postupnog početka rada sustava ulaska/izlaska</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Amandman</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Nacrt zakonodavne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Nacrt zakonodavne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usvaja niže navedeno stajalište u prvom čitanju</w:t>
            </w:r>
            <w:r>
              <w:t>;</w:t>
            </w:r>
          </w:p>
        </w:tc>
        <w:tc>
          <w:tcPr>
            <w:tcW w:w="4876" w:type="dxa"/>
            <w:tcBorders>
              <w:top w:val="nil"/>
              <w:left w:val="nil"/>
              <w:bottom w:val="nil"/>
              <w:right w:val="nil"/>
            </w:tcBorders>
          </w:tcPr>
          <w:p>
            <w:pPr>
              <w:pStyle w:val="Normal6a"/>
            </w:pPr>
            <w:r>
              <w:t>1.</w:t>
            </w:r>
            <w:r>
              <w:tab/>
            </w:r>
            <w:r>
              <w:rPr>
                <w:b/>
                <w:i/>
              </w:rPr>
              <w:t>odbija Prijedlog Komisije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Amandman</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Međutim, Komisija nije primila sve obavijesti u skladu s člankom 66. stavkom 1. točkom (c) Uredbe (EU) 2017/2226, što je jedan od uvjeta za odluku o početku rada EES-a.</w:t>
            </w:r>
          </w:p>
        </w:tc>
        <w:tc>
          <w:tcPr>
            <w:tcW w:w="4876" w:type="dxa"/>
            <w:tcBorders>
              <w:top w:val="nil"/>
              <w:left w:val="nil"/>
              <w:bottom w:val="nil"/>
              <w:right w:val="nil"/>
            </w:tcBorders>
          </w:tcPr>
          <w:p>
            <w:pPr>
              <w:pStyle w:val="Normal6a"/>
            </w:pPr>
            <w:r>
              <w:t>(2)</w:t>
            </w:r>
            <w:r>
              <w:tab/>
            </w:r>
            <w:r>
              <w:t xml:space="preserve">Međutim, Komisija nije primila sve obavijesti u skladu s člankom 66. stavkom 1. točkom (c) Uredbe (EU) 2017/2226, što je jedan od uvjeta za odluku o početku rada EES-a. </w:t>
            </w:r>
            <w:r>
              <w:rPr>
                <w:b/>
                <w:i/>
              </w:rPr>
              <w:t>Nadalje, početkom primjene pristupa „velikog praska“ na temelju pokretanja punog obima operacija preko noći mogla bi se ugroziti opća otpornost sustava.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Neovisno o primljenim obavijestima poželjno je primijeniti progresivan pristup pri uvođenju složenog sustava povezanog s kritičnom infrastrukturom.</w:t>
      </w:r>
    </w:p>
    <w:p>
      <w:r>
        <w:rPr>
          <w:rStyle w:val="HideTWBExt"/>
        </w:rPr>
        <w:t>&lt;/AmendB&gt;</w:t>
      </w:r>
    </w:p>
    <w:p>
      <w:pPr>
        <w:pStyle w:val="AmNumberTabs"/>
      </w:pPr>
      <w:r>
        <w:rPr>
          <w:rStyle w:val="HideTWBExt"/>
        </w:rPr>
        <w:t>&lt;AmendB&gt;</w:t>
      </w:r>
      <w:r>
        <w:t>Amandman</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Kako bi se državama članicama omogućila potrebna fleksibilnost za početak upotrebe EES-a ovisno o njihovoj razini spremnosti te kako bi se olakšale tehničke i operativne prilagodbe na početku rada EES-a, potrebno je utvrditi pravila za postupni početak rada EES-a. Kako bi se osiguralo da te prilagodbe uzimaju u obzir moguće tokove putovanja i sezonska vršna razdoblja, takav postupni početak trebao bi </w:t>
            </w:r>
            <w:r>
              <w:rPr>
                <w:b/>
                <w:i/>
              </w:rPr>
              <w:t>trajati 180 kalendarskih dana</w:t>
            </w:r>
            <w:r>
              <w:t>.</w:t>
            </w:r>
          </w:p>
        </w:tc>
        <w:tc>
          <w:tcPr>
            <w:tcW w:w="4876" w:type="dxa"/>
            <w:tcBorders>
              <w:top w:val="nil"/>
              <w:left w:val="nil"/>
              <w:bottom w:val="nil"/>
              <w:right w:val="nil"/>
            </w:tcBorders>
          </w:tcPr>
          <w:p>
            <w:pPr>
              <w:pStyle w:val="Normal6a"/>
            </w:pPr>
            <w:r>
              <w:t>(4)</w:t>
            </w:r>
            <w:r>
              <w:tab/>
            </w:r>
            <w:r>
              <w:t xml:space="preserve">Kako bi se državama članicama omogućila potrebna fleksibilnost za početak upotrebe EES-a ovisno o njihovoj razini spremnosti te kako bi se olakšale tehničke i operativne prilagodbe na početku rada EES-a, potrebno je utvrditi pravila za postupni početak rada EES-a. Kako bi se osiguralo da te prilagodbe uzimaju u obzir moguće tokove putovanja i sezonska vršna razdoblja, takav postupni početak trebao bi </w:t>
            </w:r>
            <w:r>
              <w:rPr>
                <w:b/>
                <w:i/>
              </w:rPr>
              <w:t>se okončati tek nakon uspostave dobrog funkcioniranja EES-a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Kako bi se državama članicama omogućila potrebna fleksibilnost za početak upotrebe EES-a ovisno o njihovoj razini spremnosti te kako bi se olakšale tehničke i operativne prilagodbe na početku rada EES-a, potrebno je utvrditi pravila za </w:t>
            </w:r>
            <w:r>
              <w:rPr>
                <w:b/>
                <w:i/>
              </w:rPr>
              <w:t>postupni</w:t>
            </w:r>
            <w:r>
              <w:t xml:space="preserve"> početak rada EES-a. Kako bi se osiguralo da te prilagodbe uzimaju u obzir moguće tokove putovanja i sezonska vršna razdoblja, takav postupni početak trebao bi trajati 180 kalendarskih dana.</w:t>
            </w:r>
          </w:p>
        </w:tc>
        <w:tc>
          <w:tcPr>
            <w:tcW w:w="4876" w:type="dxa"/>
            <w:tcBorders>
              <w:top w:val="nil"/>
              <w:left w:val="nil"/>
              <w:bottom w:val="nil"/>
              <w:right w:val="nil"/>
            </w:tcBorders>
          </w:tcPr>
          <w:p>
            <w:pPr>
              <w:pStyle w:val="Normal6a"/>
            </w:pPr>
            <w:r>
              <w:t>(4)</w:t>
            </w:r>
            <w:r>
              <w:tab/>
            </w:r>
            <w:r>
              <w:t xml:space="preserve">Kako bi se državama članicama omogućila potrebna fleksibilnost za početak upotrebe EES-a ovisno o njihovoj razini spremnosti </w:t>
            </w:r>
            <w:r>
              <w:rPr>
                <w:b/>
                <w:i/>
              </w:rPr>
              <w:t>u jasno definiranom vremenskom razdoblju</w:t>
            </w:r>
            <w:r>
              <w:t xml:space="preserve"> te kako bi se olakšale tehničke i operativne prilagodbe na početku rada EES-a, potrebno je utvrditi pravila za </w:t>
            </w:r>
            <w:r>
              <w:rPr>
                <w:b/>
                <w:i/>
              </w:rPr>
              <w:t>postupan</w:t>
            </w:r>
            <w:r>
              <w:t xml:space="preserve"> početak rada EES-a. Kako bi se osiguralo da te prilagodbe uzimaju u obzir moguće tokove putovanja i sezonska vršna razdoblja, takav postupni početak trebao bi trajati 180 kalendarskih 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Kako bi se </w:t>
            </w:r>
            <w:r>
              <w:rPr>
                <w:b/>
                <w:i/>
              </w:rPr>
              <w:t>državama članicama omogućila potrebna fleksibilnost za početak upotrebe EES-a ovisno o njihovoj razini spremnosti te kako bi se</w:t>
            </w:r>
            <w:r>
              <w:t xml:space="preserve"> olakšale tehničke i operativne prilagodbe na početku rada EES-a, potrebno je utvrditi pravila za postupni početak rada EES-a. Kako bi se osiguralo da te prilagodbe uzimaju u obzir moguće tokove putovanja i sezonska vršna razdoblja, takav postupni početak trebao bi trajati 180 kalendarskih dana.</w:t>
            </w:r>
          </w:p>
        </w:tc>
        <w:tc>
          <w:tcPr>
            <w:tcW w:w="4876" w:type="dxa"/>
            <w:tcBorders>
              <w:top w:val="nil"/>
              <w:left w:val="nil"/>
              <w:bottom w:val="nil"/>
              <w:right w:val="nil"/>
            </w:tcBorders>
          </w:tcPr>
          <w:p>
            <w:pPr>
              <w:pStyle w:val="Normal6a"/>
            </w:pPr>
            <w:r>
              <w:t>(4)</w:t>
            </w:r>
            <w:r>
              <w:tab/>
            </w:r>
            <w:r>
              <w:t xml:space="preserve">Kako bi se </w:t>
            </w:r>
            <w:r>
              <w:rPr>
                <w:b/>
                <w:i/>
              </w:rPr>
              <w:t>kašnjenje svelo na najmanju moguću mjeru te</w:t>
            </w:r>
            <w:r>
              <w:t xml:space="preserve"> olakšale tehničke i operativne prilagodbe na početku rada EES-a, potrebno je utvrditi pravila za postupni početak rada EES-a</w:t>
            </w:r>
            <w:r>
              <w:rPr>
                <w:b/>
                <w:i/>
              </w:rPr>
              <w:t> kako bi se olakšalo pravodobno uvođenje u svim državama članicama</w:t>
            </w:r>
            <w:r>
              <w:t>. Kako bi se osiguralo da te prilagodbe uzimaju u obzir moguće tokove putovanja i sezonska vršna razdoblja, takav postupni početak trebao bi trajati 180 kalendarskih 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Kako bi se </w:t>
            </w:r>
            <w:r>
              <w:rPr>
                <w:b/>
                <w:i/>
              </w:rPr>
              <w:t>državama članicama omogućila potrebna fleksibilnost za početak upotrebe EES-a ovisno o njihovoj razini spremnosti te kako bi se olakšale</w:t>
            </w:r>
            <w:r>
              <w:t xml:space="preserve"> tehničke i operativne prilagodbe </w:t>
            </w:r>
            <w:r>
              <w:rPr>
                <w:b/>
                <w:i/>
              </w:rPr>
              <w:t>na početku rada EES-a</w:t>
            </w:r>
            <w:r>
              <w:t>, potrebno je utvrditi pravila za postupni početak rada EES-a. Kako bi se osiguralo da te prilagodbe uzimaju u obzir moguće tokove putovanja i sezonska vršna razdoblja, takav postupni početak trebao bi trajati 180 kalendarskih dana.</w:t>
            </w:r>
          </w:p>
        </w:tc>
        <w:tc>
          <w:tcPr>
            <w:tcW w:w="4876" w:type="dxa"/>
            <w:tcBorders>
              <w:top w:val="nil"/>
              <w:left w:val="nil"/>
              <w:bottom w:val="nil"/>
              <w:right w:val="nil"/>
            </w:tcBorders>
          </w:tcPr>
          <w:p>
            <w:pPr>
              <w:pStyle w:val="Normal6a"/>
            </w:pPr>
            <w:r>
              <w:t>(4)</w:t>
            </w:r>
            <w:r>
              <w:tab/>
            </w:r>
            <w:r>
              <w:t xml:space="preserve">Kako bi se </w:t>
            </w:r>
            <w:r>
              <w:rPr>
                <w:b/>
                <w:i/>
              </w:rPr>
              <w:t>osiguralo neometano pokretanje EES-a, državama članicama pružila određena razina fleksibilnosti kada prvi put počnu upotrebljavati EES te omogućile</w:t>
            </w:r>
            <w:r>
              <w:t xml:space="preserve"> tehničke i operativne prilagodbe </w:t>
            </w:r>
            <w:r>
              <w:rPr>
                <w:b/>
                <w:i/>
              </w:rPr>
              <w:t>nakon puštanja EES-a u rad</w:t>
            </w:r>
            <w:r>
              <w:t>, potrebno je utvrditi pravila za postupni početak rada EES-a. Kako bi se osiguralo da te prilagodbe uzimaju u obzir moguće tokove putovanja i sezonska vršna razdoblja, takav postupni početak trebao bi trajati 180 kalendarskih 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Kako bi se omogućio postupan početak rada EES-a, potrebno je odstupiti od određenih odredaba Uredbe (EU) 2017/2226 i Uredbe (EU) 2016/399 Europskog parlamenta i Vijeća</w:t>
            </w:r>
            <w:r>
              <w:rPr>
                <w:vertAlign w:val="superscript"/>
              </w:rPr>
              <w:t>3</w:t>
            </w:r>
            <w:r>
              <w:t xml:space="preserve">(„Zakonik o schengenskim granicama”). Druga pravila utvrđena u Uredbi (EU) 2017/2226 na koja ova Uredba ne utječe primjenjuju se kako je predviđeno u toj uredbi. </w:t>
            </w:r>
            <w:r>
              <w:rPr>
                <w:b/>
                <w:i/>
              </w:rPr>
              <w:t>Konkretno, podaci zabilježeni u EES-u tijekom postupnog početka rada u skladu su s pravilima utvrđenima u Uredbi (EU) 2017/2226 te se smatraju pouzdanima i točnima.</w:t>
            </w:r>
          </w:p>
        </w:tc>
        <w:tc>
          <w:tcPr>
            <w:tcW w:w="4876" w:type="dxa"/>
            <w:tcBorders>
              <w:top w:val="nil"/>
              <w:left w:val="nil"/>
              <w:bottom w:val="nil"/>
              <w:right w:val="nil"/>
            </w:tcBorders>
          </w:tcPr>
          <w:p>
            <w:pPr>
              <w:pStyle w:val="Normal6a"/>
            </w:pPr>
            <w:r>
              <w:t>(5)</w:t>
            </w:r>
            <w:r>
              <w:tab/>
            </w:r>
            <w:r>
              <w:t>Kako bi se omogućio postupan početak rada EES-a, potrebno je odstupiti od određenih odredaba Uredbe (EU) 2017/2226 i Uredbe (EU) 2016/399 Europskog parlamenta i Vijeća</w:t>
            </w:r>
            <w:r>
              <w:rPr>
                <w:vertAlign w:val="superscript"/>
              </w:rPr>
              <w:t>3</w:t>
            </w:r>
            <w:r>
              <w:t xml:space="preserve"> („Zakonik o schengenskim granicama”). Druga pravila utvrđena u Uredbi (EU) 2017/2226 na koja ova Uredba ne utječe primjenjuju se kako je predviđeno u toj uredbi.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(EU) 2016/399 Europskog parlamenta i Vijeća od 9. ožujka 2016. o Zakoniku Unije o pravilima kojima se uređuje kretanje osoba preko granica (Zakonik o schengenskim granicama) (SL L 77, 23.3.2016., str.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Uredba (EU) 2016/399 Europskog parlamenta i Vijeća od 9. ožujka 2016. o Zakoniku Unije o pravilima kojima se uređuje kretanje osoba preko granica (Zakonik o schengenskim granicama) (SL L 77, 23.3.2016., str.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Kako bi se omogućio postupan početak rada EES-a, potrebno je odstupiti od određenih odredaba Uredbe (EU) 2017/2226 i Uredbe (EU) 2016/399 Europskog parlamenta i Vijeća</w:t>
            </w:r>
            <w:r>
              <w:rPr>
                <w:vertAlign w:val="superscript"/>
              </w:rPr>
              <w:t>3</w:t>
            </w:r>
            <w:r>
              <w:t xml:space="preserve">(„Zakonik o schengenskim granicama”). Druga pravila utvrđena u Uredbi (EU) 2017/2226 na koja ova Uredba ne utječe primjenjuju se kako je predviđeno u toj uredbi. </w:t>
            </w:r>
            <w:r>
              <w:rPr>
                <w:b/>
                <w:i/>
              </w:rPr>
              <w:t>Konkretno, podaci zabilježeni u EES-u tijekom postupnog početka rada u skladu su s pravilima utvrđenima u Uredbi (EU) 2017/2226 te se smatraju pouzdanima i točnima.</w:t>
            </w:r>
          </w:p>
        </w:tc>
        <w:tc>
          <w:tcPr>
            <w:tcW w:w="4876" w:type="dxa"/>
            <w:tcBorders>
              <w:top w:val="nil"/>
              <w:left w:val="nil"/>
              <w:bottom w:val="nil"/>
              <w:right w:val="nil"/>
            </w:tcBorders>
          </w:tcPr>
          <w:p>
            <w:pPr>
              <w:pStyle w:val="Normal6a"/>
            </w:pPr>
            <w:r>
              <w:t>(5)</w:t>
            </w:r>
            <w:r>
              <w:tab/>
            </w:r>
            <w:r>
              <w:t>Kako bi se omogućio postupan početak rada EES-a, potrebno je odstupiti od određenih odredaba Uredbe (EU) 2017/2226 i Uredbe (EU) 2016/399 Europskog parlamenta i Vijeća</w:t>
            </w:r>
            <w:r>
              <w:rPr>
                <w:vertAlign w:val="superscript"/>
              </w:rPr>
              <w:t>3</w:t>
            </w:r>
            <w:r>
              <w:t xml:space="preserve"> („Zakonik o schengenskim granicama”). Druga pravila utvrđena u Uredbi (EU) 2017/2226 na koja ova Uredba ne utječe primjenjuju se kako je predviđeno u toj uredbi.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(EU) 2016/399 Europskog parlamenta i Vijeća od 9. ožujka 2016. o Zakoniku Unije o pravilima kojima se uređuje kretanje osoba preko granica (Zakonik o schengenskim granicama) (SL L 77, 23.3.2016., str.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Uredba (EU) 2016/399 Europskog parlamenta i Vijeća od 9. ožujka 2016. o Zakoniku Unije o pravilima kojima se uređuje kretanje osoba preko granica (Zakonik o schengenskim granicama) (SL L 77, 23.3.2016., str.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Države članice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postupan početak rada trebao bi se provoditi u fazama, pri čemu bi se trebali utvrditi minimalni zahtjevi koje države članice moraju ispuniti. Države članice imat će mogućnost ubrzati provedbu na nacionalnoj razini ili početi upotrebljavati EES u potpunosti od početka postupnog pristupa.</w:t>
            </w:r>
          </w:p>
        </w:tc>
        <w:tc>
          <w:tcPr>
            <w:tcW w:w="4876" w:type="dxa"/>
            <w:tcBorders>
              <w:top w:val="nil"/>
              <w:left w:val="nil"/>
              <w:bottom w:val="nil"/>
              <w:right w:val="nil"/>
            </w:tcBorders>
          </w:tcPr>
          <w:p>
            <w:pPr>
              <w:pStyle w:val="Normal6a"/>
            </w:pPr>
            <w:r>
              <w:t>(6)</w:t>
            </w:r>
            <w:r>
              <w:tab/>
            </w:r>
            <w:r>
              <w:t xml:space="preserve">Države članice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postupan početak rada trebao bi se provoditi u fazama, pri čemu bi se trebali utvrditi minimalni zahtjevi koje države članice moraju ispuniti. Države članice imat će mogućnost ubrzati provedbu na nacionalnoj razini ili početi upotrebljavati EES u potpunosti od početka postupnog pristupa. </w:t>
            </w:r>
            <w:r>
              <w:rPr>
                <w:b/>
                <w:i/>
              </w:rPr>
              <w:t>Postupna obrada podataka u EES-u trebala bi se provoditi uz puno poštovanje prava ispitanika kako je utvrđeno u Uredbi (EU) 2016/679 Europskog parlamenta i Vijeća</w:t>
            </w:r>
            <w:r>
              <w:rPr>
                <w:b/>
                <w:i/>
                <w:vertAlign w:val="superscript"/>
              </w:rPr>
              <w:t>1a</w:t>
            </w:r>
            <w:r>
              <w:t xml:space="preserve"> </w:t>
            </w:r>
            <w:r>
              <w:rPr>
                <w:b/>
                <w:i/>
              </w:rPr>
              <w:t>i ne bi trebala izravno ili neizravno voditi do bilo kakvog oblika diskriminacije ili izrade profila.</w:t>
            </w:r>
            <w:r>
              <w:t xml:space="preserve"> </w:t>
            </w:r>
            <w:r>
              <w:rPr>
                <w:b/>
                <w:i/>
              </w:rPr>
              <w:t>Komisija bi, uz savjetovanje s Europskim nadzornikom za zaštitu podataka, trebala izdati smjernice o obradi osobnih podataka u EES-u tijekom postupnog početka rada.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2016/679 Europskog parlamenta i Vijeća od 27. travnja 2016. o zaštiti pojedinaca u vezi s obradom osobnih podataka i o slobodnom kretanju takvih podataka te o stavljanju izvan snage Direktive 95/46/EZ (SL L 119, 4.5.2016., str.</w:t>
            </w:r>
            <w:r>
              <w:t xml:space="preserve"> </w:t>
            </w:r>
            <w:r>
              <w:rPr>
                <w:b/>
                <w:i/>
              </w:rPr>
              <w:t>1.-88., ELI: http://data.europa.eu/eli/reg/2016/679/2016-05-04).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Države članice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postupan početak rada </w:t>
            </w:r>
            <w:r>
              <w:rPr>
                <w:b/>
                <w:i/>
              </w:rPr>
              <w:t>trebao</w:t>
            </w:r>
            <w:r>
              <w:t xml:space="preserve"> bi se provoditi u fazama, pri čemu bi se trebali utvrditi minimalni zahtjevi koje države članice moraju ispuniti. Države članice </w:t>
            </w:r>
            <w:r>
              <w:rPr>
                <w:b/>
                <w:i/>
              </w:rPr>
              <w:t>imat</w:t>
            </w:r>
            <w:r>
              <w:t xml:space="preserve"> će mogućnost </w:t>
            </w:r>
            <w:r>
              <w:rPr>
                <w:b/>
                <w:i/>
              </w:rPr>
              <w:t>ubrzati provedbu</w:t>
            </w:r>
            <w:r>
              <w:t xml:space="preserve"> na nacionalnoj razini ili </w:t>
            </w:r>
            <w:r>
              <w:rPr>
                <w:b/>
                <w:i/>
              </w:rPr>
              <w:t>početi upotrebljavati EES</w:t>
            </w:r>
            <w:r>
              <w:t xml:space="preserve"> u potpunosti od početka </w:t>
            </w:r>
            <w:r>
              <w:rPr>
                <w:b/>
                <w:i/>
              </w:rPr>
              <w:t>postupnog pristupa</w:t>
            </w:r>
            <w:r>
              <w:t>.</w:t>
            </w:r>
          </w:p>
        </w:tc>
        <w:tc>
          <w:tcPr>
            <w:tcW w:w="4876" w:type="dxa"/>
            <w:tcBorders>
              <w:top w:val="nil"/>
              <w:left w:val="nil"/>
              <w:bottom w:val="nil"/>
              <w:right w:val="nil"/>
            </w:tcBorders>
          </w:tcPr>
          <w:p>
            <w:pPr>
              <w:pStyle w:val="Normal6a"/>
            </w:pPr>
            <w:r>
              <w:t>(6)</w:t>
            </w:r>
            <w:r>
              <w:tab/>
            </w:r>
            <w:r>
              <w:t xml:space="preserve">Države članice </w:t>
            </w:r>
            <w:r>
              <w:rPr>
                <w:b/>
                <w:i/>
              </w:rPr>
              <w:t>koje ne namjeravaju u potpunosti upotrebljavati EES za sve državljane trećih zemalja koji podliježu registraciji u EES-u i istodobno upotrebljavati EES na svim svojim graničnim prijelazima od početka rada</w:t>
            </w:r>
            <w:r>
              <w:t xml:space="preserv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w:t>
            </w:r>
            <w:r>
              <w:rPr>
                <w:b/>
                <w:i/>
              </w:rPr>
              <w:t>ako se države članice odluče na</w:t>
            </w:r>
            <w:r>
              <w:t xml:space="preserve"> postupan početak rada</w:t>
            </w:r>
            <w:r>
              <w:rPr>
                <w:b/>
                <w:i/>
              </w:rPr>
              <w:t>, on</w:t>
            </w:r>
            <w:r>
              <w:t xml:space="preserve"> bi se </w:t>
            </w:r>
            <w:r>
              <w:rPr>
                <w:b/>
                <w:i/>
              </w:rPr>
              <w:t>trebao</w:t>
            </w:r>
            <w:r>
              <w:t xml:space="preserve"> provoditi u fazama, pri čemu bi se trebali utvrditi minimalni zahtjevi koje </w:t>
            </w:r>
            <w:r>
              <w:rPr>
                <w:b/>
                <w:i/>
              </w:rPr>
              <w:t>dotične</w:t>
            </w:r>
            <w:r>
              <w:t xml:space="preserve"> države članice moraju ispuniti. Države članice </w:t>
            </w:r>
            <w:r>
              <w:rPr>
                <w:b/>
                <w:i/>
              </w:rPr>
              <w:t>zadržat</w:t>
            </w:r>
            <w:r>
              <w:t xml:space="preserve"> će mogućnost </w:t>
            </w:r>
            <w:r>
              <w:rPr>
                <w:b/>
                <w:i/>
              </w:rPr>
              <w:t>ubrzanja provedbe</w:t>
            </w:r>
            <w:r>
              <w:t xml:space="preserve"> na nacionalnoj razini ili </w:t>
            </w:r>
            <w:r>
              <w:rPr>
                <w:b/>
                <w:i/>
              </w:rPr>
              <w:t>početka upotrebe EES-a</w:t>
            </w:r>
            <w:r>
              <w:t xml:space="preserve"> u potpunosti od početka </w:t>
            </w:r>
            <w:r>
              <w:rPr>
                <w:b/>
                <w:i/>
              </w:rPr>
              <w:t>rada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Države članice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postupan početak rada trebao bi se provoditi u fazama, pri čemu bi se trebali utvrditi minimalni zahtjevi koje države članice moraju ispuniti. Države članice imat će mogućnost ubrzati provedbu na nacionalnoj razini ili početi upotrebljavati EES u potpunosti od početka postupnog pristupa.</w:t>
            </w:r>
          </w:p>
        </w:tc>
        <w:tc>
          <w:tcPr>
            <w:tcW w:w="4876" w:type="dxa"/>
            <w:tcBorders>
              <w:top w:val="nil"/>
              <w:left w:val="nil"/>
              <w:bottom w:val="nil"/>
              <w:right w:val="nil"/>
            </w:tcBorders>
          </w:tcPr>
          <w:p>
            <w:pPr>
              <w:pStyle w:val="Normal6a"/>
            </w:pPr>
            <w:r>
              <w:t>(6)</w:t>
            </w:r>
            <w:r>
              <w:tab/>
            </w:r>
            <w:r>
              <w:t xml:space="preserve">Države članice trebale bi postupno početi upotrebljavati EES kako bi pri ulasku i izlasku bilježile podatke o državljanima trećih zemalja koji podliježu registraciji u EES-u na jednom ili više graničnih prijelaza </w:t>
            </w:r>
            <w:r>
              <w:rPr>
                <w:b/>
                <w:i/>
              </w:rPr>
              <w:t>i na jednoj ili više traka na tim graničnim prijelazima</w:t>
            </w:r>
            <w:r>
              <w:t>.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postupan početak rada trebao bi se provoditi u fazama, pri čemu bi se trebali utvrditi minimalni zahtjevi koje države članice moraju ispuniti. Države članice imat će mogućnost ubrzati provedbu na nacionalnoj razini ili početi upotrebljavati EES u potpunosti od početka postupnog pristupa.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Amandmanom se nastoji pojasniti navedeno stajalište Komisije da se EES može uvesti u za to utvrđene trake na graničnim prijelazima.</w:t>
      </w:r>
    </w:p>
    <w:p>
      <w:r>
        <w:rPr>
          <w:rStyle w:val="HideTWBExt"/>
        </w:rPr>
        <w:t>&lt;/AmendB&gt;</w:t>
      </w:r>
    </w:p>
    <w:p>
      <w:pPr>
        <w:pStyle w:val="AmNumberTabs"/>
      </w:pPr>
      <w:r>
        <w:rPr>
          <w:rStyle w:val="HideTWBExt"/>
        </w:rPr>
        <w:t>&lt;AmendB&gt;</w:t>
      </w:r>
      <w:r>
        <w:t>Amandman</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Države članice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postupno uvoditi sve funkcionalnosti EES-a i postupno registrirati podatke o svim državljanima trećih zemalja koji podliježu registraciji u EES-u. Kako bi se zajamčio koordinirani pristup, postupan početak rada trebao bi se provoditi u fazama, pri čemu bi se trebali utvrditi minimalni zahtjevi koje države članice moraju ispuniti. Države članice imat će mogućnost ubrzati provedbu na nacionalnoj razini ili početi upotrebljavati EES u potpunosti od početka postupnog pristupa.</w:t>
            </w:r>
          </w:p>
        </w:tc>
        <w:tc>
          <w:tcPr>
            <w:tcW w:w="4876" w:type="dxa"/>
            <w:tcBorders>
              <w:top w:val="nil"/>
              <w:left w:val="nil"/>
              <w:bottom w:val="nil"/>
              <w:right w:val="nil"/>
            </w:tcBorders>
          </w:tcPr>
          <w:p>
            <w:pPr>
              <w:pStyle w:val="Normal6a"/>
            </w:pPr>
            <w:r>
              <w:t>(6)</w:t>
            </w:r>
            <w:r>
              <w:tab/>
            </w:r>
            <w:r>
              <w:t xml:space="preserve">Države članice trebale bi postupno početi upotrebljavati EES kako bi pri ulasku i izlasku bilježile podatke o državljanima trećih zemalja koji podliježu registraciji u EES-u na jednom ili više graničnih prijelaza. Ako je to moguće i primjenjivo, države članice trebale bi uključiti kombinaciju graničnih prijelaza na zračnim, kopnenim i morskim granicama. Kako bi se osiguralo kontrolirano pokretanje EES-a te kako bi se bolje upravljalo granicama i izbjeglo potencijalno duga vremena čekanja, države članice trebale bi, prema potrebi </w:t>
            </w:r>
            <w:r>
              <w:rPr>
                <w:b/>
                <w:i/>
              </w:rPr>
              <w:t>i ako je to nužno</w:t>
            </w:r>
            <w:r>
              <w:t>, postupno uvoditi sve funkcionalnosti EES-a i postupno registrirati podatke o svim državljanima trećih zemalja koji podliježu registraciji u EES-u. Kako bi se zajamčio koordinirani pristup, postupan početak rada trebao bi se provoditi u fazama, pri čemu bi se trebali utvrditi minimalni zahtjevi koje države članice moraju ispuniti. Države članice imat će mogućnost ubrzati provedbu na nacionalnoj razini ili početi upotrebljavati EES u potpunosti od početka postupnog pristupa.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Kako bi se u najvećoj mjeri povećale sigurnosne koristi EES-a od početka njegove postupne provedbe, države članice trebale bi dati prednost radu EES-a na graničnim prijelazima koji su najčešće pogođeni problemima nezakonitih migracija, nezakonitih prelazaka granica ili organiziranog kriminala.</w:t>
            </w:r>
            <w:r>
              <w:t xml:space="preserve"> </w:t>
            </w:r>
            <w:r>
              <w:rPr>
                <w:b/>
                <w:i/>
              </w:rPr>
              <w:t>Takvo određivanje prioriteta potrebno je kako bi se ojačala opća sigurnost schengenskog područja te istodobno zadržala fleksibilnost za prilagodbu na operativnu spremnost.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Kako bi se olakšalo </w:t>
            </w:r>
            <w:r>
              <w:rPr>
                <w:b/>
                <w:i/>
              </w:rPr>
              <w:t>uredno</w:t>
            </w:r>
            <w:r>
              <w:t xml:space="preserve"> uvođenje EES-a, Agencija Europske unije za operativno upravljanje opsežnim informacijskim sustavima u području slobode, sigurnosti i pravde (eu-LISA) trebala bi izraditi plan uvođenja na visokoj razini kako bi državama članicama i agencijama Unije pružila smjernice o planiranju i provedbi uvođenja EES-a tijekom postupnog početka rada te bi ga trebala dostaviti Komisiji, državama članicama i agencijama Unije. </w:t>
            </w:r>
            <w:r>
              <w:rPr>
                <w:b/>
                <w:i/>
              </w:rPr>
              <w:t>Taj bi plan trebao uključivati ograničenja kapaciteta središnjeg sustava</w:t>
            </w:r>
            <w:r>
              <w:t xml:space="preserve"> kako ih je </w:t>
            </w:r>
            <w:r>
              <w:rPr>
                <w:b/>
                <w:i/>
              </w:rPr>
              <w:t>utvrdila</w:t>
            </w:r>
            <w:r>
              <w:t xml:space="preserve"> agencija eu-LISA za svaku fazu uvođenja. Pri donošenju odluka država članica o početku ili ubrzanju rada trebalo bi uzeti u obzir kapacitet središnjeg sustava kako je navedeno u planu uvođenja na visokoj razini.</w:t>
            </w:r>
          </w:p>
        </w:tc>
        <w:tc>
          <w:tcPr>
            <w:tcW w:w="4876" w:type="dxa"/>
            <w:tcBorders>
              <w:top w:val="nil"/>
              <w:left w:val="nil"/>
              <w:bottom w:val="nil"/>
              <w:right w:val="nil"/>
            </w:tcBorders>
          </w:tcPr>
          <w:p>
            <w:pPr>
              <w:pStyle w:val="Normal6a"/>
            </w:pPr>
            <w:r>
              <w:t>(7)</w:t>
            </w:r>
            <w:r>
              <w:tab/>
            </w:r>
            <w:r>
              <w:t xml:space="preserve">Kako bi se olakšalo </w:t>
            </w:r>
            <w:r>
              <w:rPr>
                <w:b/>
                <w:i/>
              </w:rPr>
              <w:t>neometano</w:t>
            </w:r>
            <w:r>
              <w:t xml:space="preserve"> uvođenje EES-a, Agencija Europske unije za operativno upravljanje opsežnim informacijskim sustavima u području slobode, sigurnosti i pravde (eu-LISA) trebala bi izraditi plan uvođenja na visokoj razini kako bi državama članicama i agencijama Unije pružila smjernice o planiranju i provedbi uvođenja EES-a tijekom postupnog početka rada </w:t>
            </w:r>
            <w:r>
              <w:rPr>
                <w:b/>
                <w:i/>
              </w:rPr>
              <w:t>(„plan uvođenja na visokoj razini agencije eu-LISA”)</w:t>
            </w:r>
            <w:r>
              <w:t xml:space="preserve"> te bi ga trebala dostaviti Komisiji, državama članicama i agencijama Unije. </w:t>
            </w:r>
            <w:r>
              <w:rPr>
                <w:b/>
                <w:i/>
              </w:rPr>
              <w:t>Tim bi se planom trebala potvrditi opća stabilnost EES-a kao i ciljevi u pogledu učinkovitosti i dostupnosti za središnji sustav</w:t>
            </w:r>
            <w:r>
              <w:t xml:space="preserve"> kako ih je </w:t>
            </w:r>
            <w:r>
              <w:rPr>
                <w:b/>
                <w:i/>
              </w:rPr>
              <w:t>odredila</w:t>
            </w:r>
            <w:r>
              <w:t xml:space="preserve"> agencija eu-LISA za svaku fazu uvođenja</w:t>
            </w:r>
            <w:r>
              <w:rPr>
                <w:b/>
                <w:i/>
              </w:rPr>
              <w:t>.</w:t>
            </w:r>
            <w:r>
              <w:t xml:space="preserve"> </w:t>
            </w:r>
            <w:r>
              <w:rPr>
                <w:b/>
                <w:i/>
              </w:rPr>
              <w:t>Taj bi plan trebao sadržavati i strategiju za uklanjanje svih funkcionalnih manjih, većih i blokirajućih nedostataka,</w:t>
            </w:r>
            <w:r>
              <w:t xml:space="preserve"> </w:t>
            </w:r>
            <w:r>
              <w:rPr>
                <w:b/>
                <w:i/>
              </w:rPr>
              <w:t>a trebao bi ga donijeti Upravni odbor agencije eu-LISA</w:t>
            </w:r>
            <w:r>
              <w:t>. Pri donošenju odluka država članica o početku ili ubrzanju rada trebalo bi uzeti u obzir kapacitet središnjeg sustava kako je navedeno u planu uvođenja na visokoj razini.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osiguralo uspješno uvođenje EES-a, ključno je imati robustan središnji sustav te jasnu strategiju za rješavanje problema mogućih propusta.</w:t>
      </w:r>
    </w:p>
    <w:p>
      <w:r>
        <w:rPr>
          <w:rStyle w:val="HideTWBExt"/>
        </w:rPr>
        <w:t>&lt;/AmendB&gt;</w:t>
      </w:r>
    </w:p>
    <w:p>
      <w:pPr>
        <w:pStyle w:val="AmNumberTabs"/>
      </w:pPr>
      <w:r>
        <w:rPr>
          <w:rStyle w:val="HideTWBExt"/>
        </w:rPr>
        <w:t>&lt;AmendB&gt;</w:t>
      </w:r>
      <w:r>
        <w:t>Amandman</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Kako bi se olakšalo uredno uvođenje EES-a, Agencija Europske unije za operativno upravljanje opsežnim informacijskim sustavima u području slobode, sigurnosti i pravde (eu-LISA) trebala bi izraditi plan uvođenja na visokoj razini kako bi državama članicama i agencijama Unije pružila smjernice o planiranju i provedbi uvođenja EES-a tijekom postupnog početka rada te bi ga trebala dostaviti Komisiji, državama članicama i agencijama Unije. Taj bi plan trebao uključivati ograničenja kapaciteta središnjeg sustava kako ih je utvrdila agencija eu-LISA za svaku fazu uvođenja. Pri donošenju odluka država članica o početku ili ubrzanju rada trebalo bi uzeti u obzir kapacitet središnjeg sustava kako je navedeno u planu uvođenja na visokoj razini.</w:t>
            </w:r>
          </w:p>
        </w:tc>
        <w:tc>
          <w:tcPr>
            <w:tcW w:w="4876" w:type="dxa"/>
            <w:tcBorders>
              <w:top w:val="nil"/>
              <w:left w:val="nil"/>
              <w:bottom w:val="nil"/>
              <w:right w:val="nil"/>
            </w:tcBorders>
          </w:tcPr>
          <w:p>
            <w:pPr>
              <w:pStyle w:val="Normal6a"/>
            </w:pPr>
            <w:r>
              <w:t>(7)</w:t>
            </w:r>
            <w:r>
              <w:tab/>
            </w:r>
            <w:r>
              <w:t xml:space="preserve">Kako bi se olakšalo uredno uvođenje EES-a, Agencija Europske unije za operativno upravljanje opsežnim informacijskim sustavima u području slobode, sigurnosti i pravde (eu-LISA) trebala bi izraditi plan uvođenja na visokoj razini kako bi državama članicama i agencijama Unije pružila smjernice o planiranju i provedbi uvođenja EES-a tijekom postupnog početka rada te bi ga trebala dostaviti Komisiji, </w:t>
            </w:r>
            <w:r>
              <w:rPr>
                <w:b/>
                <w:i/>
              </w:rPr>
              <w:t>Europskom parlamentu,</w:t>
            </w:r>
            <w:r>
              <w:t xml:space="preserve"> državama članicama i agencijama Unije. Taj bi plan trebao uključivati ograničenja kapaciteta središnjeg sustava kako ih je utvrdila agencija eu-LISA za svaku fazu uvođenja. Pri donošenju odluka država članica o početku ili ubrzanju rada trebalo bi uzeti u obzir kapacitet središnjeg sustava kako je navedeno u planu uvođenja na visokoj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Kako bi se olakšalo uredno uvođenje EES-a, države članice trebale bi izraditi nacionalne planove uvođenja uz savjetovanje s Komisijom i agencijom eu-LISA. Za svaku fazu postupnog početka rada EES-a nacionalni planovi uvođenja trebali bi uključivati informacije o utvrđenim pragovima i zahtjevima, a posebno: i. datum početka rada EES-a na svakom graničnom prijelazu; 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potiču se da se na odgovarajući način koordiniraju s operatorima infrastrukture za smještaj graničnih prijelaza. Kako bi se pratila usklađenost s postupnim početkom rada, države članice trebale bi Komisiji i agenciji eu-LISA dostavljati mjesečna izvješća o provedbi svojih planova uvođenja. Takva mjesečna izvješća trebala bi, prema potrebi, uključivati korektivne mjere kako bi se osigurala usklađenost s postupnim početkom rada.</w:t>
            </w:r>
          </w:p>
        </w:tc>
        <w:tc>
          <w:tcPr>
            <w:tcW w:w="4876" w:type="dxa"/>
            <w:tcBorders>
              <w:top w:val="nil"/>
              <w:left w:val="nil"/>
              <w:bottom w:val="nil"/>
              <w:right w:val="nil"/>
            </w:tcBorders>
          </w:tcPr>
          <w:p>
            <w:pPr>
              <w:pStyle w:val="Normal6a"/>
            </w:pPr>
            <w:r>
              <w:t>(8)</w:t>
            </w:r>
            <w:r>
              <w:tab/>
            </w:r>
            <w:r>
              <w:t>Kako bi se olakšalo uredno uvođenje EES-a, države članice trebale bi izraditi nacionalne planove uvođenja uz savjetovanje s Komisijom i agencijom eu-LISA. Za svaku fazu postupnog početka rada EES-a nacionalni planovi uvođenja trebali bi uključivati informacije o utvrđenim pragovima i zahtjevima, a posebno:i. datum početka rada EES-a na svakom graničnom prijelazu;ii.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w:t>
            </w:r>
            <w:r>
              <w:rPr>
                <w:b/>
                <w:i/>
              </w:rPr>
              <w:t>.</w:t>
            </w:r>
            <w:r>
              <w:t xml:space="preserve"> </w:t>
            </w:r>
            <w:r>
              <w:rPr>
                <w:b/>
                <w:i/>
              </w:rPr>
              <w:t>Pri pripremi svojih nacionalnih planova uvođenja države članice uzimaju u obzir davanje prednosti radu EES-a na graničnim prijelazima koji su najčešće pogođeni problemima nezakonitih migracija, nezakonitih prelazaka granica ili organiziranog kriminala kako bi se od samog početka u najvećoj mjeri povećale sigurnosne koristi EES-a</w:t>
            </w:r>
            <w:r>
              <w:t>. Pri pripremi nacionalnih planova uvođenja države članice potiču se da se na odgovarajući način koordiniraju s operatorima infrastrukture za smještaj graničnih prijelaza. Kako bi se pratila usklađenost s postupnim početkom rada, države članice trebale bi Komisiji i agenciji eu-LISA dostavljati mjesečna izvješća o provedbi svojih planova uvođenja. Takva mjesečna izvješća trebala bi, prema potrebi, uključivati korektivne mjere kako bi se osigurala usklađenost s postupnim početkom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Kako bi se olakšalo uredno uvođenje EES-a, države članice trebale bi izraditi nacionalne planove uvođenja uz savjetovanje s Komisijom i agencijom eu-LISA. Za svaku fazu postupnog početka rada EES-a nacionalni planovi uvođenja trebali bi uključivati informacije o utvrđenim pragovima i zahtjevima, a posebno: i. datum početka rada EES-a na svakom graničnom prijelazu; 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potiču se da se na odgovarajući način koordiniraju s operatorima infrastrukture za smještaj graničnih prijelaza. Kako bi se pratila usklađenost s postupnim početkom rada, države članice trebale bi Komisiji i agenciji eu-LISA dostavljati mjesečna izvješća o provedbi svojih planova uvođenja. Takva mjesečna izvješća trebala bi, prema potrebi, uključivati korektivne mjere kako bi se osigurala usklađenost s postupnim početkom rada.</w:t>
            </w:r>
          </w:p>
        </w:tc>
        <w:tc>
          <w:tcPr>
            <w:tcW w:w="4876" w:type="dxa"/>
            <w:tcBorders>
              <w:top w:val="nil"/>
              <w:left w:val="nil"/>
              <w:bottom w:val="nil"/>
              <w:right w:val="nil"/>
            </w:tcBorders>
          </w:tcPr>
          <w:p>
            <w:pPr>
              <w:pStyle w:val="Normal6a"/>
            </w:pPr>
            <w:r>
              <w:t>(8)</w:t>
            </w:r>
            <w:r>
              <w:tab/>
            </w:r>
            <w:r>
              <w:t xml:space="preserve">Kako bi se olakšalo uredno uvođenje EES-a, države članice trebale bi izraditi nacionalne planove uvođenja uz savjetovanje s Komisijom i agencijom eu-LISA. </w:t>
            </w:r>
            <w:r>
              <w:rPr>
                <w:b/>
                <w:i/>
              </w:rPr>
              <w:t>Agencija eu-LISA trebala bi procijeniti jesu li nacionalni planovi uvođenja usklađeni s planom uvođenja na visokoj razini i potvrditi da nemaju nedostatke koji bi mogli dodatno odgoditi početak rada EES-a.</w:t>
            </w:r>
            <w:r>
              <w:t xml:space="preserve"> Za svaku fazu postupnog početka rada EES-a nacionalni planovi uvođenja trebali bi uključivati informacije o utvrđenim pragovima i zahtjevima, a posebno:i. datum početka rada EES-a na svakom graničnom prijelazu;ii.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potiču se da se na odgovarajući način koordiniraju s operatorima infrastrukture za smještaj graničnih prijelaza. Kako bi se pratila usklađenost s postupnim početkom rada, države članice trebale bi Komisiji i agenciji eu-LISA dostavljati mjesečna izvješća o provedbi svojih planova uvođenja. Takva mjesečna izvješća trebala bi, prema potrebi, uključivati korektivne mjere kako bi se osigurala usklađenost s postupnim početkom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Kako bi se olakšalo uredno uvođenje EES-a, države članice trebale bi izraditi nacionalne planove uvođenja uz savjetovanje s Komisijom i agencijom eu-LISA. Za svaku fazu postupnog početka rada EES-a nacionalni planovi uvođenja trebali bi uključivati informacije o utvrđenim pragovima i zahtjevima, a posebno: i. datum početka rada EES-a na svakom graničnom prijelazu; 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potiču se da se na odgovarajući način koordiniraju s operatorima infrastrukture za smještaj graničnih prijelaza. Kako bi se pratila usklađenost s postupnim početkom rada, države članice trebale bi Komisiji i agenciji eu-LISA dostavljati mjesečna izvješća o provedbi svojih planova uvođenja. Takva mjesečna izvješća trebala bi, prema potrebi, uključivati korektivne mjere kako bi se osigurala usklađenost s postupnim početkom rada.</w:t>
            </w:r>
          </w:p>
        </w:tc>
        <w:tc>
          <w:tcPr>
            <w:tcW w:w="4876" w:type="dxa"/>
            <w:tcBorders>
              <w:top w:val="nil"/>
              <w:left w:val="nil"/>
              <w:bottom w:val="nil"/>
              <w:right w:val="nil"/>
            </w:tcBorders>
          </w:tcPr>
          <w:p>
            <w:pPr>
              <w:pStyle w:val="Normal6a"/>
            </w:pPr>
            <w:r>
              <w:t>(8)</w:t>
            </w:r>
            <w:r>
              <w:tab/>
            </w:r>
            <w:r>
              <w:t>Kako bi se olakšalo uredno uvođenje EES-a, države članice trebale bi izraditi nacionalne planove uvođenja uz savjetovanje s Komisijom i agencijom eu-LISA. Za svaku fazu postupnog početka rada EES-a nacionalni planovi uvođenja trebali bi uključivati informacije o utvrđenim pragovima i zahtjevima, a posebno:i. datum početka rada EES-a na svakom graničnom prijelazu;ii.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potiču se da se na odgovarajući način koordiniraju s operatorima infrastrukture za smještaj graničnih prijelaza. Kako bi se pratila usklađenost s postupnim početkom rada, države članice trebale bi Komisiji i agenciji eu-LISA dostavljati mjesečna izvješća o provedbi svojih planova uvođenja</w:t>
            </w:r>
            <w:r>
              <w:rPr>
                <w:b/>
                <w:i/>
              </w:rPr>
              <w:t>, osim ako i dok god se EES u potpunosti ne primjenjuje na sve državljane trećih zemalja koji podliježu registraciji u EES-u te istodobno ne upotrebljava na svim graničnim prijelazima u državi članici</w:t>
            </w:r>
            <w:r>
              <w:t>. Takva mjesečna izvješća trebala bi, prema potrebi, uključivati korektivne mjere kako bi se osigurala usklađenost s postupnim početkom rada.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Države članice trebale bi biti obvezne dostavljati mjesečna izvješća o provedbi svojih planova uvođenja samo dok sustav nije u potpunosti uveden u dotičnoj državi članici.</w:t>
      </w:r>
    </w:p>
    <w:p>
      <w:r>
        <w:rPr>
          <w:rStyle w:val="HideTWBExt"/>
        </w:rPr>
        <w:t>&lt;/AmendB&gt;</w:t>
      </w:r>
    </w:p>
    <w:p>
      <w:pPr>
        <w:pStyle w:val="AmNumberTabs"/>
      </w:pPr>
      <w:r>
        <w:rPr>
          <w:rStyle w:val="HideTWBExt"/>
        </w:rPr>
        <w:t>&lt;AmendB&gt;</w:t>
      </w:r>
      <w:r>
        <w:t>Amandman</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Kako bi se olakšalo uredno uvođenje EES-a, države članice trebale bi izraditi nacionalne planove uvođenja uz savjetovanje s Komisijom i agencijom eu-LISA. Za svaku fazu postupnog početka rada EES-a nacionalni planovi uvođenja trebali bi uključivati informacije o utvrđenim pragovima i zahtjevima, a posebno: i. datum početka rada EES-a na svakom graničnom prijelazu; 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w:t>
            </w:r>
            <w:r>
              <w:rPr>
                <w:b/>
                <w:i/>
              </w:rPr>
              <w:t>potiču se da</w:t>
            </w:r>
            <w:r>
              <w:t xml:space="preserve"> se na odgovarajući način </w:t>
            </w:r>
            <w:r>
              <w:rPr>
                <w:b/>
                <w:i/>
              </w:rPr>
              <w:t>koordiniraju</w:t>
            </w:r>
            <w:r>
              <w:t xml:space="preserve"> s operatorima infrastrukture za smještaj graničnih prijelaza. Kako bi se pratila usklađenost s postupnim početkom rada, države članice trebale bi Komisiji i agenciji eu-LISA dostavljati mjesečna izvješća o provedbi svojih planova uvođenja. Takva mjesečna izvješća trebala bi, prema potrebi, uključivati korektivne mjere kako bi se osigurala usklađenost s postupnim početkom rada.</w:t>
            </w:r>
          </w:p>
        </w:tc>
        <w:tc>
          <w:tcPr>
            <w:tcW w:w="4876" w:type="dxa"/>
            <w:tcBorders>
              <w:top w:val="nil"/>
              <w:left w:val="nil"/>
              <w:bottom w:val="nil"/>
              <w:right w:val="nil"/>
            </w:tcBorders>
          </w:tcPr>
          <w:p>
            <w:pPr>
              <w:pStyle w:val="Normal6a"/>
            </w:pPr>
            <w:r>
              <w:t>(8)</w:t>
            </w:r>
            <w:r>
              <w:tab/>
            </w:r>
            <w:r>
              <w:t xml:space="preserve">Kako bi se olakšalo uredno uvođenje EES-a, države članice trebale bi izraditi nacionalne planove uvođenja uz savjetovanje s Komisijom i agencijom eu-LISA. </w:t>
            </w:r>
            <w:r>
              <w:rPr>
                <w:b/>
                <w:i/>
              </w:rPr>
              <w:t>Te bi planove trebalo objaviti i podijeliti s Komisijom, Europskim parlamentom i dionicima iz industrije.</w:t>
            </w:r>
            <w:r>
              <w:t xml:space="preserve"> Za svaku fazu postupnog početka rada EES-a nacionalni planovi uvođenja trebali bi uključivati informacije o utvrđenim pragovima i zahtjevima, a posebno:i. datum početka rada EES-a na svakom graničnom prijelazu;ii. postotak procijenjenog broja prelazaka granice koji će se registrirati u EES-u u odnosu na ukupni broj državljana trećih zemalja koji podliježu registraciji u EES-u; i iii. prema potrebi, biometrijske funkcionalnosti koje će biti dostupne na svakom odabranom graničnom prijelazu. Pri pripremi nacionalnih planova uvođenja države članice </w:t>
            </w:r>
            <w:r>
              <w:rPr>
                <w:b/>
                <w:i/>
              </w:rPr>
              <w:t>trebale bi</w:t>
            </w:r>
            <w:r>
              <w:t xml:space="preserve"> se na odgovarajući način </w:t>
            </w:r>
            <w:r>
              <w:rPr>
                <w:b/>
                <w:i/>
              </w:rPr>
              <w:t>koordinirati</w:t>
            </w:r>
            <w:r>
              <w:t xml:space="preserve"> s operatorima infrastrukture za smještaj graničnih prijelaza. Kako bi se pratila usklađenost s postupnim početkom rada, države članice trebale bi Komisiji</w:t>
            </w:r>
            <w:r>
              <w:rPr>
                <w:b/>
                <w:i/>
              </w:rPr>
              <w:t>, Europskom parlamentu</w:t>
            </w:r>
            <w:r>
              <w:t xml:space="preserve"> i agenciji eu-LISA dostavljati mjesečna izvješća o provedbi svojih planova uvođenja. Takva mjesečna izvješća trebala bi, prema potrebi, uključivati korektivne mjere kako bi se osigurala usklađenost s postupnim početkom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Kako bi se olakšalo neometano uvođenje EES-a, trebalo bi osigurati da se završetak postupnog početka rada EES-a ne podudara s vršnim sezonama putovanja ljeti (od lipnja do kolovoza) ili zimi (od prosinca do veljače).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Nacionalni planovi uvođenja koje države članice trebaju uspostaviti u skladu s ovom Uredbom trebali bi biti sažeti i razmjerni te se njima ne bi smjelo nametnuti nepotrebno administrativno opterećenje.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Zbog postupnog početka rada EES-a i moguće nepotpunosti podataka zabilježenih u EES-u, u putne isprave državljana trećih zemalja trebalo bi sustavno otiskivati pečat pri ulasku i izlasku tijekom postupnog početka rada EES-a. Nacionalna tijela trebala bi uzeti u obzir moguću nepotpunost bilježaka o ulasku/izlasku ili bilježaka o odbijanju ulaska te bi trebala smatrati da pečati imaju prednost pred informacijama registriranima u EES-u. Osim toga, pri pružanju informacija državljanima trećih zemalja o maksimalnom preostalom trajanju njihova dopuštenog boravka nacionalna tijela trebala bi svoju procjenu temeljiti na pečatima u putnim ispravama. </w:t>
            </w:r>
            <w:r>
              <w:rPr>
                <w:b/>
                <w:i/>
              </w:rPr>
              <w:t>Ako nedostaje pečat, prednost bi trebali imati podaci zabilježeni u EES-u</w:t>
            </w:r>
            <w:r>
              <w:t>.</w:t>
            </w:r>
          </w:p>
        </w:tc>
        <w:tc>
          <w:tcPr>
            <w:tcW w:w="4876" w:type="dxa"/>
            <w:tcBorders>
              <w:top w:val="nil"/>
              <w:left w:val="nil"/>
              <w:bottom w:val="nil"/>
              <w:right w:val="nil"/>
            </w:tcBorders>
          </w:tcPr>
          <w:p>
            <w:pPr>
              <w:pStyle w:val="Normal6a"/>
            </w:pPr>
            <w:r>
              <w:t>(9)</w:t>
            </w:r>
            <w:r>
              <w:tab/>
            </w:r>
            <w:r>
              <w:t xml:space="preserve">Zbog postupnog početka rada EES-a i moguće nepotpunosti podataka zabilježenih u EES-u, u putne isprave državljana trećih zemalja trebalo bi sustavno otiskivati pečat pri ulasku i izlasku tijekom postupnog početka rada EES-a. Nacionalna tijela trebala bi uzeti u obzir moguću nepotpunost bilježaka o ulasku/izlasku ili bilježaka o odbijanju ulaska te bi trebala smatrati da pečati imaju prednost pred informacijama registriranima u EES-u. Osim toga, pri pružanju informacija državljanima trećih zemalja o maksimalnom preostalom trajanju njihova dopuštenog boravka nacionalna tijela trebala bi svoju procjenu temeljiti na pečatima u putnim ispravama. </w:t>
            </w:r>
            <w:r>
              <w:rPr>
                <w:b/>
                <w:i/>
              </w:rPr>
              <w:t>Podaci zabilježeni u EES-u trebali bi se upotrebljavati za izračun najduljeg preostalog trajanja samo ako nedostaje pečat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Informacijama iz EES-a ni u kojemu slučaju tijekom postupnog početka rada ne treba davati prednost jer će one vrlo vjerojatno biti nepotpune.</w:t>
      </w:r>
    </w:p>
    <w:p>
      <w:r>
        <w:rPr>
          <w:rStyle w:val="HideTWBExt"/>
        </w:rPr>
        <w:t>&lt;/AmendB&gt;</w:t>
      </w:r>
    </w:p>
    <w:p>
      <w:pPr>
        <w:pStyle w:val="AmNumberTabs"/>
      </w:pPr>
      <w:r>
        <w:rPr>
          <w:rStyle w:val="HideTWBExt"/>
        </w:rPr>
        <w:t>&lt;AmendB&gt;</w:t>
      </w:r>
      <w:r>
        <w:t>Amandman</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Zbog postupnog početka rada EES-a i moguće nepotpunosti podataka zabilježenih u EES-u, u putne isprave državljana trećih zemalja trebalo bi sustavno otiskivati pečat pri ulasku i izlasku tijekom postupnog početka rada EES-a. Nacionalna tijela trebala bi uzeti u obzir moguću nepotpunost bilježaka o ulasku/izlasku ili bilježaka o odbijanju ulaska te bi trebala smatrati da pečati imaju prednost pred informacijama registriranima u EES-u. Osim toga, pri pružanju informacija državljanima trećih zemalja o maksimalnom preostalom trajanju njihova dopuštenog boravka nacionalna tijela trebala bi svoju procjenu temeljiti na pečatima u putnim ispravama. Ako nedostaje pečat, prednost bi trebali imati podaci zabilježeni u EES-u.</w:t>
            </w:r>
          </w:p>
        </w:tc>
        <w:tc>
          <w:tcPr>
            <w:tcW w:w="4876" w:type="dxa"/>
            <w:tcBorders>
              <w:top w:val="nil"/>
              <w:left w:val="nil"/>
              <w:bottom w:val="nil"/>
              <w:right w:val="nil"/>
            </w:tcBorders>
          </w:tcPr>
          <w:p>
            <w:pPr>
              <w:pStyle w:val="Normal6a"/>
            </w:pPr>
            <w:r>
              <w:t>(9)</w:t>
            </w:r>
            <w:r>
              <w:tab/>
            </w:r>
            <w:r>
              <w:t xml:space="preserve">Zbog postupnog početka rada EES-a i moguće nepotpunosti </w:t>
            </w:r>
            <w:r>
              <w:rPr>
                <w:b/>
                <w:i/>
              </w:rPr>
              <w:t>te netočnosti</w:t>
            </w:r>
            <w:r>
              <w:t xml:space="preserve"> podataka zabilježenih u EES-u, u putne isprave državljana trećih zemalja trebalo bi sustavno otiskivati pečat pri ulasku i izlasku tijekom postupnog početka rada EES-a. Nacionalna tijela trebala bi uzeti u obzir moguću nepotpunost bilježaka o ulasku/izlasku ili bilježaka o odbijanju ulaska te bi trebala smatrati da pečati imaju prednost pred informacijama registriranima u EES-u. Osim toga, pri pružanju informacija državljanima trećih zemalja o maksimalnom preostalom trajanju njihova dopuštenog boravka nacionalna tijela trebala bi svoju procjenu temeljiti na pečatima u putnim ispravama. Ako nedostaje pečat, prednost bi trebali imati podaci zabilježeni u EES-u.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 obzirom na to da bi podaci registrirani u EES-u tijekom postupnog početka rada EES-a mogli biti nepotpuni, </w:t>
            </w:r>
            <w:r>
              <w:rPr>
                <w:b/>
                <w:i/>
              </w:rPr>
              <w:t>nacionalna tijela</w:t>
            </w:r>
            <w:r>
              <w:t xml:space="preserve"> ne bi </w:t>
            </w:r>
            <w:r>
              <w:rPr>
                <w:b/>
                <w:i/>
              </w:rPr>
              <w:t>trebala uzimati u obzir rezultate automatiziranog kalkulatora</w:t>
            </w:r>
            <w:r>
              <w:t xml:space="preserve"> o maksimalnom preostalom trajanju dopuštenog boravka državljana trećih zemalja registriranih u EES-u. Slično tome, </w:t>
            </w:r>
            <w:r>
              <w:rPr>
                <w:b/>
                <w:i/>
              </w:rPr>
              <w:t>pri obavljanju svojih zadaća nacionalna tijela ne bi trebala uzimati u obzir</w:t>
            </w:r>
            <w:r>
              <w:t xml:space="preserve"> automatizirani mehanizam za utvrđivanje ili signaliziranje nepostojanja bilješke o izlasku nakon datuma isteka dopuštenog boravka ili bilješke da je prekoračeno maksimalno trajanje dopuštenog boravka, prema kojima se sastavljaju popisi osoba za koje je utvrđeno da su prekoračile trajanje dopuštenog boravka.</w:t>
            </w:r>
          </w:p>
        </w:tc>
        <w:tc>
          <w:tcPr>
            <w:tcW w:w="4876" w:type="dxa"/>
            <w:tcBorders>
              <w:top w:val="nil"/>
              <w:left w:val="nil"/>
              <w:bottom w:val="nil"/>
              <w:right w:val="nil"/>
            </w:tcBorders>
          </w:tcPr>
          <w:p>
            <w:pPr>
              <w:pStyle w:val="Normal6a"/>
            </w:pPr>
            <w:r>
              <w:t>(10)</w:t>
            </w:r>
            <w:r>
              <w:tab/>
            </w:r>
            <w:r>
              <w:t xml:space="preserve">S obzirom na to da bi podaci registrirani u EES-u tijekom postupnog početka rada EES-a mogli biti nepotpuni, </w:t>
            </w:r>
            <w:r>
              <w:rPr>
                <w:b/>
                <w:i/>
              </w:rPr>
              <w:t>podaci zabilježeni u EES-u</w:t>
            </w:r>
            <w:r>
              <w:t xml:space="preserve"> ne bi </w:t>
            </w:r>
            <w:r>
              <w:rPr>
                <w:b/>
                <w:i/>
              </w:rPr>
              <w:t>se trebali obrađivati automatiziranim kalkulatorom kada je riječ</w:t>
            </w:r>
            <w:r>
              <w:t xml:space="preserve"> o maksimalnom preostalom trajanju dopuštenog boravka državljana trećih zemalja registriranih u EES-u. Slično tome, automatizirani mehanizam za utvrđivanje ili signaliziranje nepostojanja bilješke o izlasku nakon datuma isteka dopuštenog boravka ili bilješke da je prekoračeno maksimalno trajanje dopuštenog boravka, prema kojima se sastavljaju popisi osoba za koje je utvrđeno da su prekoračile trajanje dopuštenog boravka</w:t>
            </w:r>
            <w:r>
              <w:rPr>
                <w:b/>
                <w:i/>
              </w:rPr>
              <w:t>, trebalo bi suspendirati tijekom postupnog početka rada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 obzirom na to da bi podaci registrirani u EES-u tijekom postupnog početka rada EES-a mogli biti nepotpuni, nacionalna tijela ne bi trebala uzimati u obzir rezultate automatiziranog kalkulatora o maksimalnom preostalom trajanju dopuštenog boravka državljana trećih zemalja registriranih u EES-u. Slično tome, pri obavljanju svojih zadaća nacionalna tijela ne bi trebala uzimati u obzir automatizirani mehanizam za utvrđivanje ili signaliziranje nepostojanja bilješke o izlasku nakon datuma isteka dopuštenog boravka ili bilješke da je prekoračeno maksimalno trajanje dopuštenog boravka</w:t>
            </w:r>
            <w:r>
              <w:rPr>
                <w:b/>
                <w:i/>
              </w:rPr>
              <w:t>, prema kojima se sastavljaju popisi osoba za koje je utvrđeno da su prekoračile trajanje dopuštenog boravka</w:t>
            </w:r>
            <w:r>
              <w:t>.</w:t>
            </w:r>
          </w:p>
        </w:tc>
        <w:tc>
          <w:tcPr>
            <w:tcW w:w="4876" w:type="dxa"/>
            <w:tcBorders>
              <w:top w:val="nil"/>
              <w:left w:val="nil"/>
              <w:bottom w:val="nil"/>
              <w:right w:val="nil"/>
            </w:tcBorders>
          </w:tcPr>
          <w:p>
            <w:pPr>
              <w:pStyle w:val="Normal6a"/>
            </w:pPr>
            <w:r>
              <w:t>(10)</w:t>
            </w:r>
            <w:r>
              <w:tab/>
            </w:r>
            <w:r>
              <w:t>S obzirom na to da bi podaci registrirani u EES-u tijekom postupnog početka rada EES-a mogli biti nepotpuni, nacionalna tijela ne bi trebala uzimati u obzir rezultate automatiziranog kalkulatora o maksimalnom preostalom trajanju dopuštenog boravka državljana trećih zemalja registriranih u EES-u. Slično tome, pri obavljanju svojih zadaća nacionalna tijela ne bi trebala uzimati u obzir automatizirani mehanizam za utvrđivanje ili signaliziranje nepostojanja bilješke o izlasku nakon datuma isteka dopuštenog boravka ili bilješke da je prekoračeno maksimalno trajanje dopuštenog boravka.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Tijekom postupnog početka rada ne bi trebao postojati popis osoba koje su prekoračile trajanje dopuštenog boravka.</w:t>
      </w:r>
    </w:p>
    <w:p>
      <w:r>
        <w:rPr>
          <w:rStyle w:val="HideTWBExt"/>
        </w:rPr>
        <w:t>&lt;/AmendB&gt;</w:t>
      </w:r>
    </w:p>
    <w:p>
      <w:pPr>
        <w:pStyle w:val="AmNumberTabs"/>
      </w:pPr>
      <w:r>
        <w:rPr>
          <w:rStyle w:val="HideTWBExt"/>
        </w:rPr>
        <w:t>&lt;AmendB&gt;</w:t>
      </w:r>
      <w:r>
        <w:t>Amandman</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Kako bi se državama članicama dalo dovoljno vremena za prilagodbu početku rada EES-a, upotreba biometrijskih funkcionalnosti na graničnim prijelazima ne bi trebala biti obvezna u prvih </w:t>
            </w:r>
            <w:r>
              <w:rPr>
                <w:b/>
                <w:i/>
              </w:rPr>
              <w:t>60</w:t>
            </w:r>
            <w:r>
              <w:t xml:space="preserve"> kalendarskih dana postupnog početka rada. Najkasnije </w:t>
            </w:r>
            <w:r>
              <w:rPr>
                <w:b/>
                <w:i/>
              </w:rPr>
              <w:t>90</w:t>
            </w:r>
            <w:r>
              <w:t xml:space="preserve"> kalendarskih dana nakon postupnog početka rada države članice trebale bi upotrebljavati EES s biometrijskim funkcionalnostima barem na </w:t>
            </w:r>
            <w:r>
              <w:rPr>
                <w:b/>
                <w:i/>
              </w:rPr>
              <w:t>polovini</w:t>
            </w:r>
            <w:r>
              <w:t xml:space="preserve"> svojih graničnih prijelaza. Pružanje biometrijskih podataka ne bi trebalo biti uvjet za ulazak državljana trećih zemalja koji podliježu registraciji u EES-u na graničnim prijelazima na kojima se EES upotrebljava bez biometrijskih funkcionalnosti.</w:t>
            </w:r>
          </w:p>
        </w:tc>
        <w:tc>
          <w:tcPr>
            <w:tcW w:w="4876" w:type="dxa"/>
            <w:tcBorders>
              <w:top w:val="nil"/>
              <w:left w:val="nil"/>
              <w:bottom w:val="nil"/>
              <w:right w:val="nil"/>
            </w:tcBorders>
          </w:tcPr>
          <w:p>
            <w:pPr>
              <w:pStyle w:val="Normal6a"/>
            </w:pPr>
            <w:r>
              <w:t>(11)</w:t>
            </w:r>
            <w:r>
              <w:tab/>
            </w:r>
            <w:r>
              <w:t xml:space="preserve">Kako bi se državama članicama dalo dovoljno vremena za prilagodbu početku rada EES-a, upotreba biometrijskih funkcionalnosti na graničnim prijelazima ne bi trebala biti obvezna u prvih </w:t>
            </w:r>
            <w:r>
              <w:rPr>
                <w:b/>
                <w:i/>
              </w:rPr>
              <w:t>180</w:t>
            </w:r>
            <w:r>
              <w:t xml:space="preserve"> kalendarskih dana postupnog početka rada. Najkasnije </w:t>
            </w:r>
            <w:r>
              <w:rPr>
                <w:b/>
                <w:i/>
              </w:rPr>
              <w:t>180</w:t>
            </w:r>
            <w:r>
              <w:t xml:space="preserve"> kalendarskih dana nakon postupnog početka rada države članice trebale bi upotrebljavati EES s biometrijskim funkcionalnostima barem na </w:t>
            </w:r>
            <w:r>
              <w:rPr>
                <w:b/>
                <w:i/>
              </w:rPr>
              <w:t>10 %</w:t>
            </w:r>
            <w:r>
              <w:t xml:space="preserve"> svojih graničnih prijelaza. Pružanje biometrijskih podataka ne bi trebalo biti uvjet za ulazak državljana trećih zemalja koji podliježu registraciji u EES-u na graničnim prijelazima na kojima se EES upotrebljava bez biometrijskih funkcionalnosti.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Kako bi se državama članicama dalo dovoljno vremena za prilagodbu početku rada EES-a, upotreba biometrijskih funkcionalnosti na graničnim prijelazima ne bi trebala biti obvezna u prvih 60 kalendarskih dana postupnog početka rada. Najkasnije 90 kalendarskih dana nakon postupnog početka rada države članice trebale bi upotrebljavati EES s biometrijskim funkcionalnostima barem na polovini svojih graničnih prijelaza. Pružanje biometrijskih podataka ne bi trebalo biti uvjet za ulazak državljana trećih zemalja koji podliježu registraciji u EES-u </w:t>
            </w:r>
            <w:r>
              <w:rPr>
                <w:b/>
                <w:i/>
              </w:rPr>
              <w:t>na graničnim prijelazima na kojima se EES upotrebljava bez biometrijskih funkcionalnosti</w:t>
            </w:r>
            <w:r>
              <w:t>.</w:t>
            </w:r>
          </w:p>
        </w:tc>
        <w:tc>
          <w:tcPr>
            <w:tcW w:w="4876" w:type="dxa"/>
            <w:tcBorders>
              <w:top w:val="nil"/>
              <w:left w:val="nil"/>
              <w:bottom w:val="nil"/>
              <w:right w:val="nil"/>
            </w:tcBorders>
          </w:tcPr>
          <w:p>
            <w:pPr>
              <w:pStyle w:val="Normal6a"/>
            </w:pPr>
            <w:r>
              <w:t>(11)</w:t>
            </w:r>
            <w:r>
              <w:tab/>
            </w:r>
            <w:r>
              <w:t xml:space="preserve">Kako bi se državama članicama dalo dovoljno vremena za prilagodbu početku rada EES-a, upotreba biometrijskih funkcionalnosti na graničnim prijelazima ne bi trebala biti obvezna u prvih 60 kalendarskih dana postupnog početka rada. Najkasnije 90 kalendarskih dana nakon postupnog početka rada države članice trebale bi upotrebljavati EES s biometrijskim funkcionalnostima barem na polovini svojih graničnih prijelaza. Pružanje biometrijskih podataka ne bi trebalo biti uvjet za ulazak državljana trećih zemalja koji podliježu registraciji u EES-u </w:t>
            </w:r>
            <w:r>
              <w:rPr>
                <w:b/>
                <w:i/>
              </w:rPr>
              <w:t>tijekom postupnog početka rada i u slučaju suspenzije EES-a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Kako bi se državama članicama dalo dovoljno vremena za prilagodbu početku rada EES-a, upotreba biometrijskih funkcionalnosti na graničnim prijelazima ne bi trebala biti obvezna u prvih 60 kalendarskih dana postupnog početka rada. Najkasnije 90 kalendarskih dana nakon postupnog početka rada države članice trebale bi upotrebljavati EES s biometrijskim funkcionalnostima barem na polovini svojih graničnih prijelaza. Pružanje biometrijskih podataka ne bi trebalo biti uvjet za ulazak državljana trećih zemalja koji podliježu registraciji u EES-u na graničnim prijelazima na kojima se EES upotrebljava bez biometrijskih funkcionalnosti.</w:t>
            </w:r>
          </w:p>
        </w:tc>
        <w:tc>
          <w:tcPr>
            <w:tcW w:w="4876" w:type="dxa"/>
            <w:tcBorders>
              <w:top w:val="nil"/>
              <w:left w:val="nil"/>
              <w:bottom w:val="nil"/>
              <w:right w:val="nil"/>
            </w:tcBorders>
          </w:tcPr>
          <w:p>
            <w:pPr>
              <w:pStyle w:val="Normal6a"/>
            </w:pPr>
            <w:r>
              <w:t>(11)</w:t>
            </w:r>
            <w:r>
              <w:tab/>
            </w:r>
            <w:r>
              <w:t xml:space="preserve">Kako bi se državama članicama dalo dovoljno vremena za prilagodbu početku rada EES-a, upotreba biometrijskih funkcionalnosti na graničnim prijelazima ne bi trebala biti obvezna u prvih 60 kalendarskih dana postupnog početka rada. Najkasnije 90 kalendarskih dana nakon postupnog početka rada države članice trebale bi upotrebljavati EES s biometrijskim funkcionalnostima barem na polovini svojih graničnih prijelaza. </w:t>
            </w:r>
            <w:r>
              <w:rPr>
                <w:b/>
                <w:i/>
              </w:rPr>
              <w:t>Ako je to primjenjivo, države članice trebale bi dati prednost upotrebi EES-a s biometrijskim funkcijama na graničnim prijelazima za koje je u njihovim nacionalnim planovima uvođenja utvrđeno da su najčešće pogođeni problemima nezakonitih migracija, nezakonitih prelazaka granica ili organiziranog kriminala.</w:t>
            </w:r>
            <w:r>
              <w:t xml:space="preserve"> Pružanje biometrijskih podataka ne bi trebalo biti uvjet za ulazak državljana trećih zemalja koji podliježu registraciji u EES-u na graničnim prijelazima na kojima se EES upotrebljava bez biometrijskih funkcionalnosti.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Kako bi se državama članicama dalo dovoljno vremena za prilagodbu početku rada EES-a, upotreba biometrijskih funkcionalnosti na graničnim prijelazima ne bi trebala biti obvezna u prvih 60 kalendarskih dana postupnog početka rada. Najkasnije 90 kalendarskih dana nakon postupnog početka rada države članice trebale bi upotrebljavati EES s biometrijskim funkcionalnostima barem na polovini svojih graničnih prijelaza. Pružanje biometrijskih podataka ne bi trebalo biti uvjet za ulazak državljana trećih zemalja koji podliježu registraciji u EES-u na graničnim prijelazima na kojima se EES upotrebljava bez biometrijskih funkcionalnosti.</w:t>
            </w:r>
          </w:p>
        </w:tc>
        <w:tc>
          <w:tcPr>
            <w:tcW w:w="4876" w:type="dxa"/>
            <w:tcBorders>
              <w:top w:val="nil"/>
              <w:left w:val="nil"/>
              <w:bottom w:val="nil"/>
              <w:right w:val="nil"/>
            </w:tcBorders>
          </w:tcPr>
          <w:p>
            <w:pPr>
              <w:pStyle w:val="Normal6a"/>
            </w:pPr>
            <w:r>
              <w:t>(11)</w:t>
            </w:r>
            <w:r>
              <w:tab/>
            </w:r>
            <w:r>
              <w:t xml:space="preserve">Kako bi se državama članicama dalo dovoljno vremena za prilagodbu početku rada EES-a, upotreba biometrijskih funkcionalnosti na graničnim prijelazima ne bi trebala biti obvezna u prvih 60 kalendarskih dana postupnog početka rada. </w:t>
            </w:r>
            <w:r>
              <w:rPr>
                <w:b/>
                <w:i/>
              </w:rPr>
              <w:t>Međutim, države članice snažno se potiču da se tijekom navedenog razdoblja koriste dotičnim funkcijama kako bi poduprle neometanu operativnu tranziciju i omogućile pravodobno otkrivanje i rješavanje svih mogućih problema u provedbi.</w:t>
            </w:r>
            <w:r>
              <w:t xml:space="preserve"> Najkasnije 90 kalendarskih dana nakon postupnog početka rada države članice trebale bi upotrebljavati EES s biometrijskim funkcionalnostima barem na polovini svojih graničnih prijelaza. Pružanje biometrijskih podataka ne bi trebalo biti uvjet za ulazak državljana trećih zemalja koji podliježu registraciji u EES-u na graničnim prijelazima na kojima se EES upotrebljava bez biometrijskih funkcionalnosti.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Državljane trećih zemalja čiji se podaci trebaju bilježiti u EES-u trebalo bi obavijestiti o njihovim pravima i obvezama u pogledu obrade njihovih podataka u obliku obrasca kako je predviđeno u članku 50. stavku 5. Uredbe (EU) 2017/2226. Informacije koje treba pružiti državljanima trećih zemalja koji podliježu registraciji u EES-u trebale bi se odnositi na postupni početak rada EES-a. Taj bi obrazac trebao sadržavati informacije za državljane trećih zemalja o njihovoj obvezi pružanja biometrijskih podataka na graničnim prijelazima ako to predstavlja uvjet za ulazak. Trebao bi sadržavati i informacije o posljedicama nepružanja biometrijskih podataka. Osim toga, trebalo bi ih obavijestiti da neće moći automatski provjeriti preostalo trajanje dopuštenog boravka.</w:t>
            </w:r>
          </w:p>
        </w:tc>
        <w:tc>
          <w:tcPr>
            <w:tcW w:w="4876" w:type="dxa"/>
            <w:tcBorders>
              <w:top w:val="nil"/>
              <w:left w:val="nil"/>
              <w:bottom w:val="nil"/>
              <w:right w:val="nil"/>
            </w:tcBorders>
          </w:tcPr>
          <w:p>
            <w:pPr>
              <w:pStyle w:val="Normal6a"/>
            </w:pPr>
            <w:r>
              <w:t>(14)</w:t>
            </w:r>
            <w:r>
              <w:tab/>
            </w:r>
            <w:r>
              <w:t xml:space="preserve">Državljane trećih zemalja čiji se podaci trebaju bilježiti u EES-u trebalo bi obavijestiti o njihovim pravima i obvezama u pogledu obrade njihovih podataka u obliku obrasca kako je predviđeno u članku 50. stavku 5.Uredbe (EU) </w:t>
            </w:r>
            <w:r>
              <w:rPr>
                <w:b/>
                <w:i/>
              </w:rPr>
              <w:t>2017/2226 te o tome da je prikupljanje podataka obvezno za provjeru uvjeta ulaska kao i o činjenici da će ulazak biti odbijen u slučaju da državljanin treće zemlje odbije pružiti zatražene biometrijske podatke za registraciju, provjeru ili identifikaciju u EES-u, kako je predviđeno u članku 50. stavku 1. točkama (d) i (e) Uredbe</w:t>
            </w:r>
            <w:r>
              <w:t xml:space="preserve"> 2017/2226. Informacije koje treba pružiti državljanima trećih zemalja koji podliježu registraciji u EES-u trebale bi se odnositi na postupni početak rada EES-a. Taj bi obrazac trebao sadržavati informacije za državljane trećih zemalja o njihovoj obvezi pružanja biometrijskih podataka na graničnim prijelazima ako to predstavlja uvjet za ulazak. Trebao bi sadržavati i informacije o posljedicama nepružanja biometrijskih podataka. Osim toga, trebalo bi ih obavijestiti da neće moći automatski provjeriti preostalo trajanje dopuštenog boravka.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Državljane trećih zemalja čiji se podaci trebaju bilježiti u EES-u trebalo bi obavijestiti o njihovim pravima i obvezama u pogledu obrade njihovih podataka u obliku obrasca kako je predviđeno u članku 50. stavku 5. Uredbe (EU) 2017/2226. Informacije koje treba pružiti državljanima trećih zemalja koji podliježu registraciji u EES-u trebale bi se odnositi na postupni početak rada EES-a. Taj bi obrazac trebao sadržavati informacije za državljane trećih zemalja o njihovoj obvezi pružanja biometrijskih podataka na graničnim prijelazima ako to predstavlja uvjet za ulazak. Trebao bi sadržavati i informacije o posljedicama nepružanja biometrijskih podataka. Osim toga, trebalo bi ih obavijestiti da neće moći automatski provjeriti preostalo trajanje dopuštenog boravka.</w:t>
            </w:r>
          </w:p>
        </w:tc>
        <w:tc>
          <w:tcPr>
            <w:tcW w:w="4876" w:type="dxa"/>
            <w:tcBorders>
              <w:top w:val="nil"/>
              <w:left w:val="nil"/>
              <w:bottom w:val="nil"/>
              <w:right w:val="nil"/>
            </w:tcBorders>
          </w:tcPr>
          <w:p>
            <w:pPr>
              <w:pStyle w:val="Normal6a"/>
            </w:pPr>
            <w:r>
              <w:t>(14)</w:t>
            </w:r>
            <w:r>
              <w:tab/>
            </w:r>
            <w:r>
              <w:t xml:space="preserve">Državljane trećih zemalja čiji se podaci trebaju bilježiti u EES-u trebalo bi obavijestiti o njihovim pravima i obvezama u pogledu obrade njihovih podataka u obliku obrasca kako je predviđeno u članku 50. stavku 5. Uredbe (EU) 2017/2226. Informacije koje treba pružiti državljanima trećih zemalja koji podliježu registraciji u EES-u trebale bi se odnositi na postupni početak rada EES-a. Taj bi obrazac trebao sadržavati informacije za državljane trećih zemalja o njihovoj obvezi pružanja biometrijskih podataka na graničnim prijelazima ako to predstavlja uvjet za ulazak. Trebao bi sadržavati i informacije o posljedicama nepružanja biometrijskih podataka. Osim toga, trebalo bi ih obavijestiti da neće moći automatski provjeriti preostalo trajanje dopuštenog boravka. </w:t>
            </w:r>
            <w:r>
              <w:rPr>
                <w:b/>
                <w:i/>
              </w:rPr>
              <w:t>Nacionalna tijela trebala bi uložiti sve razumne napore kako bi tim državljanima trećih zemalja dostavila informacije o trajanju njihova dopuštenog boravka na temelju pečata u njihovim putnim ispravama.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Putnici koji su državljani trećih zemalja prema EES-u će imati obveze, a neće ostvarivati koristi, barem tijekom postupnog početka rada.</w:t>
      </w:r>
      <w:r>
        <w:t xml:space="preserve"> </w:t>
      </w:r>
      <w:r>
        <w:t>U tim okolnostima nacionalna tijela država članica trebala bi uložiti sve razumne napore kako bi državljane trećih zemalja obavještavala o preostalom trajanju njihova dopuštenog boravka.</w:t>
      </w:r>
    </w:p>
    <w:p>
      <w:r>
        <w:rPr>
          <w:rStyle w:val="HideTWBExt"/>
        </w:rPr>
        <w:t>&lt;/AmendB&gt;</w:t>
      </w:r>
    </w:p>
    <w:p>
      <w:pPr>
        <w:pStyle w:val="AmNumberTabs"/>
      </w:pPr>
      <w:r>
        <w:rPr>
          <w:rStyle w:val="HideTWBExt"/>
        </w:rPr>
        <w:t>&lt;AmendB&gt;</w:t>
      </w:r>
      <w:r>
        <w:t>Amandman</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obzirom na postupan početak rada EES-a, Komisija bi trebala adekvatno ažurirati internetske stranice EES-a.</w:t>
            </w:r>
          </w:p>
        </w:tc>
        <w:tc>
          <w:tcPr>
            <w:tcW w:w="4876" w:type="dxa"/>
            <w:tcBorders>
              <w:top w:val="nil"/>
              <w:left w:val="nil"/>
              <w:bottom w:val="nil"/>
              <w:right w:val="nil"/>
            </w:tcBorders>
          </w:tcPr>
          <w:p>
            <w:pPr>
              <w:pStyle w:val="Normal6a"/>
            </w:pPr>
            <w:r>
              <w:t>(15)</w:t>
            </w:r>
            <w:r>
              <w:tab/>
            </w:r>
            <w:r>
              <w:t>S obzirom na postupan početak rada EES-a, Komisija bi trebala</w:t>
            </w:r>
            <w:r>
              <w:rPr>
                <w:b/>
                <w:i/>
              </w:rPr>
              <w:t>, najmanje jedanput mjesečno,</w:t>
            </w:r>
            <w:r>
              <w:t xml:space="preserve"> adekvatno ažurirati internetske stranice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Cilj da se državljane trećih zemalja informira o njihovim posebnim pravima i obvezama najbolje bi se postigao ako bi države članice prilagodile provedbu kampanje tome kako će se EES upotrebljavati na njihovim granicama u skladu s člankom 4.</w:t>
            </w:r>
            <w:r>
              <w:t xml:space="preserve"> </w:t>
            </w:r>
            <w:r>
              <w:rPr>
                <w:b/>
                <w:i/>
              </w:rPr>
              <w:t>Uredbe (EU) 2017/2226.</w:t>
            </w:r>
            <w:r>
              <w:t xml:space="preserve"> Informativne materijale koje je Komisija izradila uz potporu država članica u kontekstu članka 51. Uredbe (EU) 2017/2226 trebalo bi stoga prilagoditi za provedbu informativne kampanje koja prati postupni početak rada.</w:t>
            </w:r>
          </w:p>
        </w:tc>
        <w:tc>
          <w:tcPr>
            <w:tcW w:w="4876" w:type="dxa"/>
            <w:tcBorders>
              <w:top w:val="nil"/>
              <w:left w:val="nil"/>
              <w:bottom w:val="nil"/>
              <w:right w:val="nil"/>
            </w:tcBorders>
          </w:tcPr>
          <w:p>
            <w:pPr>
              <w:pStyle w:val="Normal6a"/>
            </w:pPr>
            <w:r>
              <w:t>(16)</w:t>
            </w:r>
            <w:r>
              <w:tab/>
            </w:r>
            <w:r>
              <w:t>Informativne materijale koje je Komisija izradila uz potporu država članica u kontekstu članka 51. Uredbe (EU) 2017/2226 trebalo bi stoga prilagoditi za provedbu informativne kampanje koja prati postupni početak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Cilj da se državljane trećih zemalja informira o njihovim posebnim pravima i obvezama najbolje bi se postigao ako bi države članice prilagodile provedbu kampanje tome kako će se EES upotrebljavati na njihovim granicama u skladu s člankom 4. Uredbe (EU) 2017/2226. Informativne materijale koje je Komisija izradila uz potporu država članica u kontekstu članka 51. Uredbe (EU) 2017/2226 trebalo bi stoga prilagoditi za provedbu informativne kampanje koja prati postupni početak rada.</w:t>
            </w:r>
          </w:p>
        </w:tc>
        <w:tc>
          <w:tcPr>
            <w:tcW w:w="4876" w:type="dxa"/>
            <w:tcBorders>
              <w:top w:val="nil"/>
              <w:left w:val="nil"/>
              <w:bottom w:val="nil"/>
              <w:right w:val="nil"/>
            </w:tcBorders>
          </w:tcPr>
          <w:p>
            <w:pPr>
              <w:pStyle w:val="Normal6a"/>
            </w:pPr>
            <w:r>
              <w:t>(16)</w:t>
            </w:r>
            <w:r>
              <w:tab/>
            </w:r>
            <w:r>
              <w:t xml:space="preserve">Cilj da se državljane trećih zemalja informira o njihovim posebnim pravima i obvezama najbolje bi se postigao ako bi države članice prilagodile provedbu kampanje tome kako će se EES upotrebljavati na njihovim granicama u skladu s člankom 4. Uredbe (EU) 2017/2226. Informativne materijale koje je Komisija izradila </w:t>
            </w:r>
            <w:r>
              <w:rPr>
                <w:b/>
                <w:i/>
              </w:rPr>
              <w:t>u suradnji s nadzornim tijelima i Europskim nadzornikom za zaštitu podataka te</w:t>
            </w:r>
            <w:r>
              <w:t xml:space="preserve"> uz potporu država članica u kontekstu članka 51. Uredbe (EU) 2017/2226 trebalo bi stoga prilagoditi za provedbu informativne kampanje koja prati postupni početak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Cilj da se državljane trećih zemalja informira o njihovim posebnim pravima i obvezama najbolje bi se postigao ako bi države članice prilagodile provedbu kampanje tome kako će se EES upotrebljavati na njihovim granicama u skladu s člankom 4. Uredbe (EU) 2017/2226. </w:t>
            </w:r>
            <w:r>
              <w:rPr>
                <w:b/>
                <w:i/>
              </w:rPr>
              <w:t>Informativne materijale koje je Komisija izradila</w:t>
            </w:r>
            <w:r>
              <w:t xml:space="preserve"> uz potporu država članica u kontekstu članka 51. Uredbe (EU) 2017/2226 </w:t>
            </w:r>
            <w:r>
              <w:rPr>
                <w:b/>
                <w:i/>
              </w:rPr>
              <w:t>trebalo bi stoga prilagoditi za provedbu</w:t>
            </w:r>
            <w:r>
              <w:t xml:space="preserve"> informativne kampanje </w:t>
            </w:r>
            <w:r>
              <w:rPr>
                <w:b/>
                <w:i/>
              </w:rPr>
              <w:t>koja prati postupni početak rada</w:t>
            </w:r>
            <w:r>
              <w:t>.</w:t>
            </w:r>
          </w:p>
        </w:tc>
        <w:tc>
          <w:tcPr>
            <w:tcW w:w="4876" w:type="dxa"/>
            <w:tcBorders>
              <w:top w:val="nil"/>
              <w:left w:val="nil"/>
              <w:bottom w:val="nil"/>
              <w:right w:val="nil"/>
            </w:tcBorders>
          </w:tcPr>
          <w:p>
            <w:pPr>
              <w:pStyle w:val="Normal6a"/>
            </w:pPr>
            <w:r>
              <w:t>(16)</w:t>
            </w:r>
            <w:r>
              <w:tab/>
            </w:r>
            <w:r>
              <w:t xml:space="preserve">Cilj da se državljane trećih zemalja informira o njihovim posebnim pravima i obvezama najbolje bi se postigao ako bi države članice prilagodile provedbu kampanje tome kako će se EES upotrebljavati na njihovim granicama u skladu s člankom 4. Uredbe (EU) 2017/2226. </w:t>
            </w:r>
            <w:r>
              <w:rPr>
                <w:b/>
                <w:i/>
              </w:rPr>
              <w:t>Komisija bi stoga trebala prilagoditi svoje informativne materijale izrađene</w:t>
            </w:r>
            <w:r>
              <w:t xml:space="preserve"> uz potporu država članica u kontekstu članka 51. Uredbe (EU) 2017/2226 </w:t>
            </w:r>
            <w:r>
              <w:rPr>
                <w:b/>
                <w:i/>
              </w:rPr>
              <w:t>kako bi osigurala da se postupni početak rada odvija uz</w:t>
            </w:r>
            <w:r>
              <w:t xml:space="preserve"> informativne kampanje </w:t>
            </w:r>
            <w:r>
              <w:rPr>
                <w:b/>
                <w:i/>
              </w:rPr>
              <w:t>s točnim informacijama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Tijekom postupnog početka rada EES-a državljani trećih zemalja neće moći koristiti mrežnu uslugu da elektronički provjere točno trajanje svojeg dopuštenog boravka.</w:t>
            </w:r>
          </w:p>
        </w:tc>
        <w:tc>
          <w:tcPr>
            <w:tcW w:w="4876" w:type="dxa"/>
            <w:tcBorders>
              <w:top w:val="nil"/>
              <w:left w:val="nil"/>
              <w:bottom w:val="nil"/>
              <w:right w:val="nil"/>
            </w:tcBorders>
          </w:tcPr>
          <w:p>
            <w:pPr>
              <w:pStyle w:val="Normal6a"/>
            </w:pPr>
            <w:r>
              <w:t>(17)</w:t>
            </w:r>
            <w:r>
              <w:tab/>
            </w:r>
            <w:r>
              <w:t xml:space="preserve">Tijekom postupnog početka rada EES-a državljani trećih zemalja neće moći koristiti mrežnu uslugu da elektronički provjere točno trajanje svojeg dopuštenog boravka. </w:t>
            </w:r>
            <w:r>
              <w:rPr>
                <w:b/>
                <w:i/>
              </w:rPr>
              <w:t>Ne dovodeći u pitanje tu činjenicu, države članice trebale bi biti u stanju, u suradnji s Komisijom i agencijom eu-LISA, uvesti privremene ili predoperativne verzije mrežne usluge s ograničenim funkcijama u svrhu testiranja, demonstracije i rane potvrde sposobnosti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Tijekom postupnog početka rada EES-a državljani trećih zemalja neće moći koristiti mrežnu uslugu da elektronički provjere točno trajanje svojeg dopuštenog boravka.</w:t>
            </w:r>
          </w:p>
        </w:tc>
        <w:tc>
          <w:tcPr>
            <w:tcW w:w="4876" w:type="dxa"/>
            <w:tcBorders>
              <w:top w:val="nil"/>
              <w:left w:val="nil"/>
              <w:bottom w:val="nil"/>
              <w:right w:val="nil"/>
            </w:tcBorders>
          </w:tcPr>
          <w:p>
            <w:pPr>
              <w:pStyle w:val="Normal6a"/>
            </w:pPr>
            <w:r>
              <w:t>(17)</w:t>
            </w:r>
            <w:r>
              <w:tab/>
            </w:r>
            <w:r>
              <w:t xml:space="preserve">Tijekom postupnog početka rada EES-a državljani trećih zemalja neće moći koristiti mrežnu uslugu da elektronički provjere točno trajanje svojeg dopuštenog boravka. </w:t>
            </w:r>
            <w:r>
              <w:rPr>
                <w:b/>
                <w:i/>
              </w:rPr>
              <w:t>Nacionalna tijela trebala bi uložiti sve razumne napore kako bi tim državljanima trećih zemalja dostavila informacije o trajanju njihova dopuštenog boravka na temelju pečata u njihovim putnim ispravama.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Državljani trećih zemalja prema EES-u će imati obveze, a neće ostvarivati koristi, barem tijekom postupnog početka rada.</w:t>
      </w:r>
      <w:r>
        <w:t xml:space="preserve"> </w:t>
      </w:r>
      <w:r>
        <w:t>U tim okolnostima nacionalna tijela država članica trebala bi uložiti sve razumne napore kako bi državljane trećih zemalja obavještavala o preostalom trajanju njihova dopuštenog boravka.</w:t>
      </w:r>
    </w:p>
    <w:p>
      <w:r>
        <w:rPr>
          <w:rStyle w:val="HideTWBExt"/>
        </w:rPr>
        <w:t>&lt;/AmendB&gt;</w:t>
      </w:r>
    </w:p>
    <w:p>
      <w:pPr>
        <w:pStyle w:val="AmNumberTabs"/>
      </w:pPr>
      <w:r>
        <w:rPr>
          <w:rStyle w:val="HideTWBExt"/>
        </w:rPr>
        <w:t>&lt;AmendB&gt;</w:t>
      </w:r>
      <w:r>
        <w:t>Amandman</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Ova Uredba ne utječe na obveze zračnih prijevoznika, pomorskih prijevoznika i međunarodnih prijevoznika koji prevoze skupine autobusom kopnenim putem kako je utvrđeno u članku 26. stavku 1. Konvencije o provedbi Schengenskog sporazuma</w:t>
            </w:r>
            <w:r>
              <w:rPr>
                <w:vertAlign w:val="superscript"/>
              </w:rPr>
              <w:t>5</w:t>
            </w:r>
            <w:r>
              <w:t>i Direktivi Vijeća 2001/51/EZ</w:t>
            </w:r>
            <w:r>
              <w:rPr>
                <w:vertAlign w:val="superscript"/>
              </w:rPr>
              <w:t>6</w:t>
            </w:r>
            <w:r>
              <w:t>. U tom bi pogledu prijevoznici trebali provjeravati pečate u putnim ispravama. Kako bi komunikacija s prijevoznicima o različitoj primjeni EES-a na graničnim prijelazima bila učinkovita (što u konačnici koristi putnicima), od presudne je važnosti da države članice budu transparentne u pogledu uvođenja EES-a na graničnim prijelazima.</w:t>
            </w:r>
          </w:p>
        </w:tc>
        <w:tc>
          <w:tcPr>
            <w:tcW w:w="4876" w:type="dxa"/>
            <w:tcBorders>
              <w:top w:val="nil"/>
              <w:left w:val="nil"/>
              <w:bottom w:val="nil"/>
              <w:right w:val="nil"/>
            </w:tcBorders>
          </w:tcPr>
          <w:p>
            <w:pPr>
              <w:pStyle w:val="Normal6a"/>
            </w:pPr>
            <w:r>
              <w:t>(18)</w:t>
            </w:r>
            <w:r>
              <w:tab/>
            </w:r>
            <w:r>
              <w:t>Ova Uredba ne utječe na obveze zračnih prijevoznika, pomorskih prijevoznika i međunarodnih prijevoznika koji prevoze skupine autobusom kopnenim putem kako je utvrđeno u članku 26. stavku 1. Konvencije o provedbi Schengenskog sporazuma</w:t>
            </w:r>
            <w:r>
              <w:rPr>
                <w:vertAlign w:val="superscript"/>
              </w:rPr>
              <w:t>5</w:t>
            </w:r>
            <w:r>
              <w:t xml:space="preserve"> i Direktivi Vijeća 2001/51/EZ</w:t>
            </w:r>
            <w:r>
              <w:rPr>
                <w:vertAlign w:val="superscript"/>
              </w:rPr>
              <w:t>6</w:t>
            </w:r>
            <w:r>
              <w:t xml:space="preserve">. U tom bi pogledu prijevoznici trebali provjeravati pečate u putnim ispravama. Kako bi komunikacija s prijevoznicima o različitoj primjeni EES-a na graničnim prijelazima bila učinkovita (što u konačnici koristi putnicima), od presudne je važnosti da države članice budu transparentne u pogledu uvođenja EES-a na graničnim prijelazima </w:t>
            </w:r>
            <w:r>
              <w:rPr>
                <w:b/>
                <w:i/>
              </w:rPr>
              <w:t>i da svoje nacionalne planove uvođenja dijele s dionicima iz industrije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Konvencija o provedbi Schengenskog sporazuma od 14. lipnja 1985. između vlada država Gospodarske unije Beneluksa, Savezne Republike Njemačke i Francuske Republike o postupnom ukidanju kontrola na zajedničkim granicama („Konvencija o provedbi Schengenskog sporazuma”) (SL L 239, 22.9.2000., str.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Konvencija o provedbi Schengenskog sporazuma od 14. lipnja 1985. između vlada država Gospodarske unije Beneluksa, Savezne Republike Njemačke i Francuske Republike o postupnom ukidanju kontrola na zajedničkim granicama („Konvencija o provedbi Schengenskog sporazuma”) (SL L 239, 22.9.2000., str.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Direktiva Vijeća 2001/51/EZ od 28. lipnja 2001. o dopuni odredaba članka 26. Konvencije o primjeni Sporazuma iz Schengena od 14. lipnja 1985. (SL L 187, 10.7.2001., str.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Direktiva Vijeća 2001/51/EZ od 28. lipnja 2001. o dopuni odredaba članka 26. Konvencije o primjeni Sporazuma iz Schengena od 14. lipnja 1985. (SL L 187, 10.7.2001., str.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Člankom 22. Uredbe (EU) 2017/2226 i člankom 12.a Uredbe (EU) 2016/399 predviđaju se prijelazno razdoblje i prijelazne mjere za početak rada EES-a. Potrebno je odstupiti od tih članaka kako bi se prijelazno razdoblje i prijelazne mjere primjenjivali tek od kraja postupnog početka rada. </w:t>
            </w:r>
            <w:r>
              <w:rPr>
                <w:b/>
                <w:i/>
              </w:rPr>
              <w:t>To bi se odstupanje trebalo prestati primjenjivati pet godina i 180 kalendarskih dana nakon datuma koji Komisija odredi u skladu s člankom 66. stavkom 1.</w:t>
            </w:r>
            <w:r>
              <w:t xml:space="preserve"> </w:t>
            </w:r>
            <w:r>
              <w:rPr>
                <w:b/>
                <w:i/>
              </w:rPr>
              <w:t>Uredbe (EU) 2017/2226.</w:t>
            </w:r>
          </w:p>
        </w:tc>
        <w:tc>
          <w:tcPr>
            <w:tcW w:w="4876" w:type="dxa"/>
            <w:tcBorders>
              <w:top w:val="nil"/>
              <w:left w:val="nil"/>
              <w:bottom w:val="nil"/>
              <w:right w:val="nil"/>
            </w:tcBorders>
          </w:tcPr>
          <w:p>
            <w:pPr>
              <w:pStyle w:val="Normal6a"/>
            </w:pPr>
            <w:r>
              <w:t>(19)</w:t>
            </w:r>
            <w:r>
              <w:tab/>
            </w:r>
            <w:r>
              <w:t>Člankom 22. Uredbe (EU) 2017/2226 i člankom 12.a Uredbe (EU) 2016/399 predviđaju se prijelazno razdoblje i prijelazne mjere za početak rada EES-a. Potrebno je odstupiti od tih članaka kako bi se prijelazno razdoblje i prijelazne mjere primjenjivali tek od kraja postupnog početka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Nacionalna tijela i agencije EU-a trebali bi uzeti u obzir da osobni dosjei registrirani u EES-u mogu sadržavati nepotpune skupove podataka kako pri obavljanju svojih zadaća ne bi donosili odluke isključivo na temelju podataka registriranih u EES-u. </w:t>
            </w:r>
            <w:r>
              <w:rPr>
                <w:b/>
                <w:i/>
              </w:rPr>
              <w:t>To odstupanje trebalo bi se prestati primjenjivati pet godina nakon datuma koji Komisija odredi u skladu s člankom 66. stavkom 1.</w:t>
            </w:r>
            <w:r>
              <w:t xml:space="preserve"> </w:t>
            </w:r>
            <w:r>
              <w:rPr>
                <w:b/>
                <w:i/>
              </w:rPr>
              <w:t>Uredbe (EU) 2017/2226 da bi se uzelo u obzir petogodišnje razdoblje zadržavanja za skupove podataka za koje nedostaje bilješka o izlasku kako je utvrđeno u članku 34. stavku 3. te uredbe.</w:t>
            </w:r>
          </w:p>
        </w:tc>
        <w:tc>
          <w:tcPr>
            <w:tcW w:w="4876" w:type="dxa"/>
            <w:tcBorders>
              <w:top w:val="nil"/>
              <w:left w:val="nil"/>
              <w:bottom w:val="nil"/>
              <w:right w:val="nil"/>
            </w:tcBorders>
          </w:tcPr>
          <w:p>
            <w:pPr>
              <w:pStyle w:val="Normal6a"/>
            </w:pPr>
            <w:r>
              <w:t>(20)</w:t>
            </w:r>
            <w:r>
              <w:tab/>
            </w:r>
            <w:r>
              <w:t xml:space="preserve">Nacionalna tijela i agencije EU-a trebali bi uzeti u obzir da osobni dosjei registrirani u EES-u mogu sadržavati nepotpune </w:t>
            </w:r>
            <w:r>
              <w:rPr>
                <w:b/>
                <w:i/>
              </w:rPr>
              <w:t>ili netočne</w:t>
            </w:r>
            <w:r>
              <w:t xml:space="preserve"> skupove podataka kako pri obavljanju svojih zadaća ne bi donosili odluke isključivo na temelju podataka registriranih u EES-u.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Nacionalna tijela i agencije EU-a trebali bi uzeti u obzir da</w:t>
            </w:r>
            <w:r>
              <w:t xml:space="preserve"> osobni dosjei registrirani u EES-u mogu sadržavati nepotpune skupove podataka </w:t>
            </w:r>
            <w:r>
              <w:rPr>
                <w:b/>
                <w:i/>
              </w:rPr>
              <w:t>kako pri obavljanju svojih zadaća ne bi donosili odluke</w:t>
            </w:r>
            <w:r>
              <w:t xml:space="preserve"> isključivo na temelju podataka registriranih u EES-u. To odstupanje trebalo bi se prestati primjenjivati pet godina nakon datuma koji Komisija odredi u skladu s člankom 66. stavkom 1. Uredbe (EU) 2017/2226 da bi se uzelo u obzir petogodišnje razdoblje zadržavanja za skupove podataka za koje nedostaje bilješka o izlasku kako je utvrđeno u članku 34. stavku 3. te uredbe.</w:t>
            </w:r>
          </w:p>
        </w:tc>
        <w:tc>
          <w:tcPr>
            <w:tcW w:w="4876" w:type="dxa"/>
            <w:tcBorders>
              <w:top w:val="nil"/>
              <w:left w:val="nil"/>
              <w:bottom w:val="nil"/>
              <w:right w:val="nil"/>
            </w:tcBorders>
          </w:tcPr>
          <w:p>
            <w:pPr>
              <w:pStyle w:val="Normal6a"/>
            </w:pPr>
            <w:r>
              <w:t>(20)</w:t>
            </w:r>
            <w:r>
              <w:tab/>
            </w:r>
            <w:r>
              <w:rPr>
                <w:b/>
                <w:i/>
              </w:rPr>
              <w:t>Uzimajući u obzir da tijekom postupnog početka rada</w:t>
            </w:r>
            <w:r>
              <w:t xml:space="preserve"> osobni dosjei registrirani u EES-u mogu sadržavati nepotpune skupove podataka</w:t>
            </w:r>
            <w:r>
              <w:rPr>
                <w:b/>
                <w:i/>
              </w:rPr>
              <w:t>, nacionalna tijela ne bi trebala donositi odluke koje negativno utječu na pojedince</w:t>
            </w:r>
            <w:r>
              <w:t xml:space="preserve"> isključivo na temelju podataka registriranih u EES-u </w:t>
            </w:r>
            <w:r>
              <w:rPr>
                <w:b/>
                <w:i/>
              </w:rPr>
              <w:t>ili na temelju činjenice da nema registracije ulaska ili izlaska</w:t>
            </w:r>
            <w:r>
              <w:t>. To odstupanje trebalo bi se prestati primjenjivati pet godina nakon datuma koji Komisija odredi u skladu s člankom 66. stavkom 1. Uredbe (EU) 2017/2226 da bi se uzelo u obzir petogodišnje razdoblje zadržavanja za skupove podataka za koje nedostaje bilješka o izlasku kako je utvrđeno u članku 34. stavku 3. te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Nacionalna tijela i agencije EU-a trebali bi uzeti u obzir da osobni dosjei registrirani u EES-u mogu sadržavati nepotpune skupove podataka kako pri obavljanju svojih zadaća ne bi donosili odluke isključivo na temelju podataka registriranih u EES-u. To odstupanje trebalo bi se prestati primjenjivati pet godina nakon datuma koji Komisija odredi u skladu s člankom 66. stavkom 1. Uredbe (EU) 2017/2226 da bi se uzelo u obzir petogodišnje razdoblje zadržavanja za skupove podataka za koje nedostaje bilješka o izlasku kako je utvrđeno u članku 34. stavku 3. te uredbe.</w:t>
            </w:r>
          </w:p>
        </w:tc>
        <w:tc>
          <w:tcPr>
            <w:tcW w:w="4876" w:type="dxa"/>
            <w:tcBorders>
              <w:top w:val="nil"/>
              <w:left w:val="nil"/>
              <w:bottom w:val="nil"/>
              <w:right w:val="nil"/>
            </w:tcBorders>
          </w:tcPr>
          <w:p>
            <w:pPr>
              <w:pStyle w:val="Normal6a"/>
            </w:pPr>
            <w:r>
              <w:t>(20)</w:t>
            </w:r>
            <w:r>
              <w:tab/>
            </w:r>
            <w:r>
              <w:t xml:space="preserve">Nacionalna tijela i agencije EU-a trebali bi uzeti u obzir da osobni dosjei registrirani u EES-u mogu sadržavati nepotpune skupove podataka kako pri obavljanju svojih zadaća ne bi donosili odluke isključivo na temelju podataka registriranih u EES-u. To odstupanje trebalo bi se prestati primjenjivati pet godina nakon datuma koji Komisija odredi u skladu s člankom 66. stavkom 1. Uredbe (EU) 2017/2226 da bi se uzelo u obzir petogodišnje razdoblje zadržavanja za skupove podataka za koje nedostaje bilješka o izlasku kako je utvrđeno u članku 34. stavku 3. te uredbe. </w:t>
            </w:r>
            <w:r>
              <w:rPr>
                <w:b/>
                <w:i/>
              </w:rPr>
              <w:t>Bilješke o ulasku i izlasku izrađene tijekom postupnog početka rada ne bi se trebale upotrebljavati za automatizirano izvješćivanje ni za automatizirane postupke, uključujući automatizirano ostvarivanje uvida u podatke iz ETIAS-a.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Amandmanom se nastoji postići ravnoteža između potpunog brisanja podataka i stvaranja lažno pozitivnih rezultata na temelju nepotpunih podataka.</w:t>
      </w:r>
    </w:p>
    <w:p>
      <w:r>
        <w:rPr>
          <w:rStyle w:val="HideTWBExt"/>
        </w:rPr>
        <w:t>&lt;/AmendB&gt;</w:t>
      </w:r>
    </w:p>
    <w:p>
      <w:pPr>
        <w:pStyle w:val="AmNumberTabs"/>
      </w:pPr>
      <w:r>
        <w:rPr>
          <w:rStyle w:val="HideTWBExt"/>
        </w:rPr>
        <w:t>&lt;AmendB&gt;</w:t>
      </w:r>
      <w:r>
        <w:t>Amandman</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Nacionalna tijela i agencije EU-a trebali bi </w:t>
            </w:r>
            <w:r>
              <w:rPr>
                <w:b/>
                <w:i/>
              </w:rPr>
              <w:t>uzeti u obzir</w:t>
            </w:r>
            <w:r>
              <w:t xml:space="preserve"> da osobni dosjei registrirani u EES-u mogu sadržavati nepotpune skupove podataka kako pri obavljanju svojih zadaća ne bi donosili odluke isključivo na temelju podataka registriranih u EES-u. To odstupanje trebalo bi se prestati primjenjivati pet godina nakon datuma koji Komisija odredi u skladu s člankom 66. stavkom 1. Uredbe (EU) 2017/2226 da bi se uzelo u obzir petogodišnje razdoblje zadržavanja za skupove podataka za koje nedostaje bilješka o izlasku kako je utvrđeno u članku 34. stavku 3. te uredbe.</w:t>
            </w:r>
          </w:p>
        </w:tc>
        <w:tc>
          <w:tcPr>
            <w:tcW w:w="4876" w:type="dxa"/>
            <w:tcBorders>
              <w:top w:val="nil"/>
              <w:left w:val="nil"/>
              <w:bottom w:val="nil"/>
              <w:right w:val="nil"/>
            </w:tcBorders>
          </w:tcPr>
          <w:p>
            <w:pPr>
              <w:pStyle w:val="Normal6a"/>
            </w:pPr>
            <w:r>
              <w:t>(20)</w:t>
            </w:r>
            <w:r>
              <w:tab/>
            </w:r>
            <w:r>
              <w:t xml:space="preserve">Nacionalna tijela i agencije EU-a trebali bi </w:t>
            </w:r>
            <w:r>
              <w:rPr>
                <w:b/>
                <w:i/>
              </w:rPr>
              <w:t>voditi računa o tome</w:t>
            </w:r>
            <w:r>
              <w:t xml:space="preserve"> da osobni dosjei registrirani u EES-u mogu sadržavati nepotpune skupove podataka kako pri obavljanju svojih zadaća ne bi donosili odluke isključivo </w:t>
            </w:r>
            <w:r>
              <w:rPr>
                <w:b/>
                <w:i/>
              </w:rPr>
              <w:t>ili prvenstveno</w:t>
            </w:r>
            <w:r>
              <w:t xml:space="preserve"> na temelju podataka registriranih u EES-u. To odstupanje trebalo bi se prestati primjenjivati pet godina nakon datuma koji Komisija odredi u skladu s člankom 66. stavkom 1. Uredbe (EU) 2017/2226 da bi se uzelo u obzir petogodišnje razdoblje zadržavanja za skupove podataka za koje nedostaje bilješka o izlasku kako je utvrđeno u članku 34. stavku 3. te uredbe.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Trebalo bi pojasniti da se nacionalna tijela i agencije EU-a ne mogu osloniti na informacije iz EES-a u razdoblju od pet godina s obzirom na postupni početak rada i, posljedično, nepotpune skupove podataka.</w:t>
      </w:r>
    </w:p>
    <w:p>
      <w:r>
        <w:rPr>
          <w:rStyle w:val="HideTWBExt"/>
        </w:rPr>
        <w:t>&lt;/AmendB&gt;</w:t>
      </w:r>
    </w:p>
    <w:p>
      <w:pPr>
        <w:pStyle w:val="AmNumberTabs"/>
      </w:pPr>
      <w:r>
        <w:rPr>
          <w:rStyle w:val="HideTWBExt"/>
        </w:rPr>
        <w:t>&lt;AmendB&gt;</w:t>
      </w:r>
      <w:r>
        <w:t>Amandman</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Agencija za europsku graničnu i obalnu stražu trebala bi se suzdržati od korištenja podataka registriranih u EES-u tijekom postupnog početka operacija za provedbu analiza rizika i procjena osjetljivosti jer su podaci nepotpuni i mogli bi dovesti do obmanjujućih procjena rizika i osjetljivosti.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Agencija za europsku graničnu i obalnu stražu trebala bi se suzdržati od korištenja podataka registriranih u EES-u tijekom postupnog početka operacija za provedbu analiza rizika i procjena osjetljivosti jer su podaci nepotpuni i mogli bi dovesti do obmanjujućih procjena rizika i osjetljivosti.</w:t>
            </w:r>
          </w:p>
        </w:tc>
        <w:tc>
          <w:tcPr>
            <w:tcW w:w="4876" w:type="dxa"/>
            <w:tcBorders>
              <w:top w:val="nil"/>
              <w:left w:val="nil"/>
              <w:bottom w:val="nil"/>
              <w:right w:val="nil"/>
            </w:tcBorders>
          </w:tcPr>
          <w:p>
            <w:pPr>
              <w:pStyle w:val="Normal6a"/>
            </w:pPr>
            <w:r>
              <w:t>(22)</w:t>
            </w:r>
            <w:r>
              <w:tab/>
            </w:r>
            <w:r>
              <w:t xml:space="preserve">Agencija za europsku graničnu i obalnu stražu trebala bi se suzdržati od korištenja podataka registriranih u EES-u tijekom postupnog početka operacija za provedbu analiza rizika i procjena osjetljivosti jer su podaci nepotpuni i mogli bi dovesti do obmanjujućih procjena rizika i osjetljivosti. </w:t>
            </w:r>
            <w:r>
              <w:rPr>
                <w:b/>
                <w:i/>
              </w:rPr>
              <w:t>Slično tome, u skladu s načelom točnosti i kako bi se izbjegao rizik od netočnih podudaranja, Europolu bi za potrebe kaznenog progona trebalo onemogućiti pristup podacima registriranima u EES-u do kraja postupnog početka rada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Kako bi upravljanje vanjskim granicama tijekom postupnog početka rada EES-a bilo djelotvorno, na graničnim prijelazima na kojima se ne upotrebljava EES trebalo bi provoditi graničnu kontrolu u skladu s Uredbom (EU) 2016/399 kako se primjenjuje [dan prije datuma početka rada EES-a koji je odredila Komisija u skladu s člankom 66. stavkom 1. Uredbe (EU) 2017/2226]. Na graničnim prijelazima na kojima se upotrebljava EES granična kontrola trebala bi se provoditi u skladu s Uredbom (EU) 2017/2226 i Zakonikom o schengenskim granicama. Međutim, za provjere na graničnim prijelazima na kojima se EES upotrebljava bez biometrijskih funkcionalnosti trebala bi se primjenjivati posebna odstupanja od tih uredbi kako bi se omogućio postupan početak rada. To bi se trebalo odvijati ne dovodeći u pitanje provjere nositelja viza upotrebom otisaka prstiju, u skladu s Uredbom (EZ) br. 787/2008.</w:t>
            </w:r>
          </w:p>
        </w:tc>
        <w:tc>
          <w:tcPr>
            <w:tcW w:w="4876" w:type="dxa"/>
            <w:tcBorders>
              <w:top w:val="nil"/>
              <w:left w:val="nil"/>
              <w:bottom w:val="nil"/>
              <w:right w:val="nil"/>
            </w:tcBorders>
          </w:tcPr>
          <w:p>
            <w:pPr>
              <w:pStyle w:val="Normal6a"/>
            </w:pPr>
            <w:r>
              <w:t>(23)</w:t>
            </w:r>
            <w:r>
              <w:tab/>
            </w:r>
            <w:r>
              <w:rPr>
                <w:b/>
                <w:i/>
              </w:rPr>
              <w:t>Učinkovito upravljanje vanjskim granicama ključno je za schengensko područje bez unutarnjih graničnih kontrola jer se njime olakšavaju zakoniti prelasci granica, osigurava učinkovito upravljanje migracijama, poboljšava unutarnja sigurnost na temelju otkrivanja i sprečavanja prijetnji na vanjskim granicama te poštuje načelo slobodnog kretanja osoba.</w:t>
            </w:r>
            <w:r>
              <w:t xml:space="preserve"> Kako bi upravljanje vanjskim granicama tijekom postupnog početka rada EES-a bilo djelotvorno, na graničnim prijelazima na kojima se ne upotrebljava EES trebalo bi provoditi graničnu kontrolu u skladu s Uredbom (EU) 2016/399 kako se primjenjuje [dan prije datuma početka rada EES-a koji je odredila Komisija u skladu s člankom 66. stavkom 1. Uredbe (EU) 2017/2226]. Na graničnim prijelazima na kojima se upotrebljava EES granična kontrola trebala bi se provoditi u skladu s Uredbom (EU) 2017/2226 i Zakonikom o schengenskim granicama. Međutim, za provjere na graničnim prijelazima na kojima se EES upotrebljava bez biometrijskih funkcionalnosti trebala bi se primjenjivati posebna odstupanja od tih uredbi kako bi se omogućio postupan početak rada. To bi se trebalo odvijati ne dovodeći u pitanje provjere nositelja viza upotrebom otisaka prstiju, u skladu s Uredbom (EZ) br. 787/2008.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Kako bi se omogućile djelotvorne tehničke i organizacijske prilagodbe tijekom postupnog početka rada EES-a u svakoj državi članici i reagiralo na iznimne okolnosti kvara središnjeg sustava EES-a, nacionalnih sustava ili komunikacijske infrastrukture ili predugo vrijeme čekanja na njihovim granicama, države članice trebale bi imati mogućnost da potpuno ili djelomično suspendiraju rad EES-a na određenim graničnim prijelazima. U slučaju djelomične suspenzije trebalo bi suspendirati registraciju biometrijskih podataka u EES-u. U slučaju potpune suspenzije u EES-u se ne bi smjeli registrirati podaci. Kako bi se ublažili dodatni rizici povezani s uvođenjem EES-a s biometrijskim funkcionalnostima, države članice trebale bi imati mogućnost da u iznimnim okolnostima koje uzrokuju tako gust promet da vrijeme čekanja na granicama postane predugo suspendiraju registraciju biometrijskih podataka u EES-u nakon završetka postupnog početka rada. Takva suspenzija trebala bi biti moguća u ograničenom razdoblju od 60 dana nakon završetka postupnog početka rada EES-a i trebala bi se produljiti za 60 dana ako manje od 80 % osobnih dosjea registriranih u EES-u tijekom postupnog početka rada EES-a sadržava biometrijske podatke.</w:t>
            </w:r>
          </w:p>
        </w:tc>
        <w:tc>
          <w:tcPr>
            <w:tcW w:w="4876" w:type="dxa"/>
            <w:tcBorders>
              <w:top w:val="nil"/>
              <w:left w:val="nil"/>
              <w:bottom w:val="nil"/>
              <w:right w:val="nil"/>
            </w:tcBorders>
          </w:tcPr>
          <w:p>
            <w:pPr>
              <w:pStyle w:val="Normal6a"/>
            </w:pPr>
            <w:r>
              <w:t>(24)</w:t>
            </w:r>
            <w:r>
              <w:tab/>
            </w:r>
            <w:r>
              <w:t xml:space="preserve">Kako bi se omogućile djelotvorne tehničke i organizacijske prilagodbe tijekom postupnog početka rada EES-a u svakoj državi članici i reagiralo na iznimne okolnosti kvara središnjeg sustava EES-a, nacionalnih sustava ili komunikacijske infrastrukture ili predugo vrijeme čekanja na njihovim granicama, države članice trebale bi imati mogućnost da potpuno ili djelomično suspendiraju rad EES-a na određenim graničnim prijelazima. U slučaju djelomične suspenzije trebalo bi suspendirati registraciju biometrijskih podataka u EES-u. U slučaju potpune suspenzije u EES-u se ne bi smjeli registrirati podaci. Kako bi se ublažili dodatni rizici povezani s uvođenjem EES-a s biometrijskim funkcionalnostima, države članice trebale bi imati mogućnost da u iznimnim okolnostima koje uzrokuju tako gust promet da vrijeme čekanja na granicama postane predugo suspendiraju registraciju biometrijskih podataka u EES-u nakon završetka postupnog početka rada. Takva suspenzija trebala bi biti moguća u ograničenom razdoblju od 60 dana nakon završetka postupnog početka rada EES-a i trebala bi se produljiti za 60 dana ako manje od 80 % osobnih dosjea registriranih u EES-u tijekom postupnog početka rada EES-a sadržava biometrijske podatke. </w:t>
            </w:r>
            <w:r>
              <w:rPr>
                <w:b/>
                <w:i/>
              </w:rPr>
              <w:t>Suspenzija registracije biometrijskih podataka u EES-u ne bi trebala negativno utjecati na prava i uvjete ulaska državljana trećih zemalja koji podliježu registraciji u EES-u.</w:t>
            </w:r>
            <w:r>
              <w:t xml:space="preserve"> </w:t>
            </w:r>
            <w:r>
              <w:rPr>
                <w:b/>
                <w:i/>
              </w:rPr>
              <w:t>Odluka o odbijanju ulaska na temelju Uredbe (EU) 2016/399 ne bi se trebala donositi isključivo na temelju toga što je država članica suspendirala registraciju biometrijskih podataka u EES-u.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Kako bi se omogućile djelotvorne tehničke i organizacijske prilagodbe tijekom postupnog početka rada EES-a u svakoj državi članici i reagiralo na </w:t>
            </w:r>
            <w:r>
              <w:rPr>
                <w:b/>
                <w:i/>
              </w:rPr>
              <w:t>iznimne okolnosti</w:t>
            </w:r>
            <w:r>
              <w:t xml:space="preserve"> kvara središnjeg sustava EES-a, nacionalnih sustava ili komunikacijske infrastrukture ili predugo vrijeme čekanja na njihovim granicama, države članice trebale bi imati mogućnost da potpuno ili djelomično suspendiraju rad EES-a na određenim graničnim prijelazima. U slučaju djelomične suspenzije trebalo bi suspendirati registraciju biometrijskih podataka u EES-u. U slučaju potpune suspenzije u EES-u se ne bi smjeli registrirati podaci. Kako bi se ublažili dodatni rizici povezani s uvođenjem EES-a s biometrijskim funkcionalnostima, države članice trebale bi imati mogućnost da u iznimnim okolnostima koje uzrokuju tako gust promet da vrijeme čekanja na granicama postane predugo suspendiraju registraciju biometrijskih podataka u EES-u nakon završetka postupnog početka rada. Takva suspenzija trebala bi biti moguća u ograničenom razdoblju od 60 dana nakon završetka postupnog početka rada EES-a i trebala bi se produljiti za 60 dana ako manje od 80 % osobnih dosjea registriranih u EES-u tijekom postupnog početka rada EES-a sadržava biometrijske podatke.</w:t>
            </w:r>
          </w:p>
        </w:tc>
        <w:tc>
          <w:tcPr>
            <w:tcW w:w="4876" w:type="dxa"/>
            <w:tcBorders>
              <w:top w:val="nil"/>
              <w:left w:val="nil"/>
              <w:bottom w:val="nil"/>
              <w:right w:val="nil"/>
            </w:tcBorders>
          </w:tcPr>
          <w:p>
            <w:pPr>
              <w:pStyle w:val="Normal6a"/>
            </w:pPr>
            <w:r>
              <w:t>(24)</w:t>
            </w:r>
            <w:r>
              <w:tab/>
            </w:r>
            <w:r>
              <w:t xml:space="preserve">Kako bi se omogućile djelotvorne tehničke i organizacijske prilagodbe tijekom postupnog početka rada EES-a u svakoj državi članici i reagiralo na </w:t>
            </w:r>
            <w:r>
              <w:rPr>
                <w:b/>
                <w:i/>
              </w:rPr>
              <w:t>slučajeve</w:t>
            </w:r>
            <w:r>
              <w:t xml:space="preserve"> kvara središnjeg sustava EES-a, nacionalnih sustava ili komunikacijske infrastrukture ili predugo vrijeme čekanja na njihovim granicama, države članice trebale bi imati mogućnost da potpuno ili djelomično suspendiraju rad EES-a na određenim graničnim prijelazima. U slučaju djelomične suspenzije trebalo bi suspendirati registraciju biometrijskih podataka u EES-u. U slučaju potpune suspenzije u EES-u se ne bi smjeli registrirati podaci. Kako bi se ublažili dodatni rizici povezani s uvođenjem EES-a s biometrijskim funkcionalnostima, države članice trebale bi imati mogućnost da u iznimnim okolnostima koje uzrokuju tako gust promet da vrijeme čekanja na granicama postane predugo suspendiraju registraciju biometrijskih podataka u EES-u nakon završetka postupnog početka rada. Takva suspenzija trebala bi biti moguća u ograničenom razdoblju od 60 dana nakon završetka postupnog početka rada EES-a i trebala bi se produljiti za 60 dana ako manje od 80 % osobnih dosjea registriranih u EES-u tijekom postupnog početka rada EES-a sadržava biometrijske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Agencija eu-LISA trebala bi izdavati izvješća sa statističkim podacima o upotrebi sustava, koja bi trebala služiti za evaluaciju učinkovitosti sustava, ocjenjivanje usklađenosti država članica s planovima uvođenja, utvrđivanje područja u kojima su potrebna poboljšanja, praćenje usklađenosti s postupnim početkom rada EES-a i potporu u donošenju odluka o daljnjem razvoju i optimizaciji sustava.</w:t>
            </w:r>
          </w:p>
        </w:tc>
        <w:tc>
          <w:tcPr>
            <w:tcW w:w="4876" w:type="dxa"/>
            <w:tcBorders>
              <w:top w:val="nil"/>
              <w:left w:val="nil"/>
              <w:bottom w:val="nil"/>
              <w:right w:val="nil"/>
            </w:tcBorders>
          </w:tcPr>
          <w:p>
            <w:pPr>
              <w:pStyle w:val="Normal6a"/>
            </w:pPr>
            <w:r>
              <w:t>(25)</w:t>
            </w:r>
            <w:r>
              <w:tab/>
            </w:r>
            <w:r>
              <w:t xml:space="preserve">Agencija eu-LISA trebala bi izdavati izvješća sa statističkim podacima o upotrebi sustava, koja bi trebala služiti za evaluaciju učinkovitosti sustava, ocjenjivanje usklađenosti država članica s planovima uvođenja </w:t>
            </w:r>
            <w:r>
              <w:rPr>
                <w:b/>
                <w:i/>
              </w:rPr>
              <w:t>na visokoj razini agencije eu-LISA i nacionalnim planovima uvođenja</w:t>
            </w:r>
            <w:r>
              <w:t xml:space="preserve">, utvrđivanje područja u kojima su potrebna poboljšanja, praćenje usklađenosti s postupnim početkom rada EES-a i potporu u donošenju odluka o daljnjem razvoju i optimizaciji sustava. </w:t>
            </w:r>
            <w:r>
              <w:rPr>
                <w:b/>
                <w:i/>
              </w:rPr>
              <w:t>Nadalje, agencija eu-LISA trebala bi nastaviti redovito izvješćivati svoj Upravni odbor, koji će pak nadzirati postupno uvođenje rada EES-a.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Amandmanom se želi potvrditi da je plan uvođenja na visokoj razini usklađen s nacionalnim planom te ojačati ulogu Upravnog odbora.</w:t>
      </w:r>
    </w:p>
    <w:p>
      <w:r>
        <w:rPr>
          <w:rStyle w:val="HideTWBExt"/>
        </w:rPr>
        <w:t>&lt;/AmendB&gt;</w:t>
      </w:r>
    </w:p>
    <w:p>
      <w:pPr>
        <w:pStyle w:val="AmNumberTabs"/>
      </w:pPr>
      <w:r>
        <w:rPr>
          <w:rStyle w:val="HideTWBExt"/>
        </w:rPr>
        <w:t>&lt;AmendB&gt;</w:t>
      </w:r>
      <w:r>
        <w:t>Amandman</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Agencija eu-LISA trebala bi </w:t>
            </w:r>
            <w:r>
              <w:rPr>
                <w:b/>
                <w:i/>
              </w:rPr>
              <w:t>izdavati</w:t>
            </w:r>
            <w:r>
              <w:t xml:space="preserve"> izvješća sa statističkim podacima o upotrebi sustava, koja bi trebala služiti za evaluaciju učinkovitosti sustava, ocjenjivanje usklađenosti država članica s planovima uvođenja, utvrđivanje područja u kojima su potrebna poboljšanja, praćenje usklađenosti s postupnim početkom rada EES-a i potporu u donošenju odluka o daljnjem razvoju i optimizaciji sustava.</w:t>
            </w:r>
          </w:p>
        </w:tc>
        <w:tc>
          <w:tcPr>
            <w:tcW w:w="4876" w:type="dxa"/>
            <w:tcBorders>
              <w:top w:val="nil"/>
              <w:left w:val="nil"/>
              <w:bottom w:val="nil"/>
              <w:right w:val="nil"/>
            </w:tcBorders>
          </w:tcPr>
          <w:p>
            <w:pPr>
              <w:pStyle w:val="Normal6a"/>
            </w:pPr>
            <w:r>
              <w:t>(25)</w:t>
            </w:r>
            <w:r>
              <w:tab/>
            </w:r>
            <w:r>
              <w:t xml:space="preserve">Agencija eu-LISA trebala bi </w:t>
            </w:r>
            <w:r>
              <w:rPr>
                <w:b/>
                <w:i/>
              </w:rPr>
              <w:t>objavljivati</w:t>
            </w:r>
            <w:r>
              <w:t xml:space="preserve"> izvješća sa statističkim podacima o upotrebi sustava, koja bi trebala služiti za evaluaciju učinkovitosti sustava, ocjenjivanje usklađenosti država članica s planovima uvođenja, utvrđivanje područja u kojima su potrebna poboljšanja, praćenje usklađenosti s postupnim početkom rada EES-a i potporu u donošenju odluka o daljnjem razvoju i optimizaciji sustava.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Pripremne radnje povezane s planovima uvođenja trebale bi započeti na datum stupanja na snagu ove Uredbe. Postupni početak rada trebao bi se primjenjivati od datuma koji Komisija odredi u skladu s člankom 66. stavkom 1. Uredbe o EES-u. </w:t>
            </w:r>
            <w:r>
              <w:rPr>
                <w:b/>
                <w:i/>
              </w:rPr>
              <w:t>Ova Uredba, kojom su predviđena privremena odstupanja, trebala bi se prestati primjenjivati 180 kalendarskih dana nakon datuma koji Komisija odredi u skladu s člankom 66. stavkom 1.</w:t>
            </w:r>
            <w:r>
              <w:t xml:space="preserve"> </w:t>
            </w:r>
            <w:r>
              <w:rPr>
                <w:b/>
                <w:i/>
              </w:rPr>
              <w:t>Uredbe (EU) 2017/2226.</w:t>
            </w:r>
            <w:r>
              <w:t xml:space="preserve"> Međutim, pravila o odstupanju u pogledu primjene prijelaznog razdoblja i prijelaznih mjera, pristupa podacima iz EES-a, provjere pečata u putnim ispravama od strane prijevoznika i suspenzije EES-a trebala bi se primjenjivati u ograničenom razdoblju nakon završetka postupnog početka rada.</w:t>
            </w:r>
          </w:p>
        </w:tc>
        <w:tc>
          <w:tcPr>
            <w:tcW w:w="4876" w:type="dxa"/>
            <w:tcBorders>
              <w:top w:val="nil"/>
              <w:left w:val="nil"/>
              <w:bottom w:val="nil"/>
              <w:right w:val="nil"/>
            </w:tcBorders>
          </w:tcPr>
          <w:p>
            <w:pPr>
              <w:pStyle w:val="Normal6a"/>
            </w:pPr>
            <w:r>
              <w:t>(26)</w:t>
            </w:r>
            <w:r>
              <w:tab/>
            </w:r>
            <w:r>
              <w:t>Pripremne radnje povezane s planovima uvođenja trebale bi započeti na datum stupanja na snagu ove Uredbe. Postupni početak rada trebao bi se primjenjivati od datuma koji Komisija odredi u skladu s člankom 66. stavkom 1. Uredbe o EES-u. Međutim, pravila o odstupanju u pogledu primjene prijelaznog razdoblja i prijelaznih mjera, pristupa podacima iz EES-a, provjere pečata u putnim ispravama od strane prijevoznika i suspenzije EES-a trebala bi se primjenjivati u ograničenom razdoblju nakon završetka postupnog početka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Pripremne radnje povezane s planovima uvođenja trebale bi započeti na datum stupanja na snagu ove Uredbe. Postupni početak rada trebao bi se primjenjivati od datuma koji Komisija odredi u skladu s člankom 66. stavkom 1. Uredbe o EES-u. </w:t>
            </w:r>
            <w:r>
              <w:rPr>
                <w:b/>
                <w:i/>
              </w:rPr>
              <w:t>Ova Uredba, kojom su predviđena</w:t>
            </w:r>
            <w:r>
              <w:t xml:space="preserve"> privremena odstupanja, </w:t>
            </w:r>
            <w:r>
              <w:rPr>
                <w:b/>
                <w:i/>
              </w:rPr>
              <w:t>trebala</w:t>
            </w:r>
            <w:r>
              <w:t xml:space="preserve"> bi se </w:t>
            </w:r>
            <w:r>
              <w:rPr>
                <w:b/>
                <w:i/>
              </w:rPr>
              <w:t>prestati</w:t>
            </w:r>
            <w:r>
              <w:t xml:space="preserve"> primjenjivati </w:t>
            </w:r>
            <w:r>
              <w:rPr>
                <w:b/>
                <w:i/>
              </w:rPr>
              <w:t>180 kalendarskih dana nakon datuma koji Komisija odredi</w:t>
            </w:r>
            <w:r>
              <w:t xml:space="preserve"> u skladu s </w:t>
            </w:r>
            <w:r>
              <w:rPr>
                <w:b/>
                <w:i/>
              </w:rPr>
              <w:t>člankom 66. stavkom 1.</w:t>
            </w:r>
            <w:r>
              <w:t xml:space="preserve"> </w:t>
            </w:r>
            <w:r>
              <w:rPr>
                <w:b/>
                <w:i/>
              </w:rPr>
              <w:t>Uredbe (EU) 2017/2226.</w:t>
            </w:r>
            <w:r>
              <w:t xml:space="preserve"> </w:t>
            </w:r>
            <w:r>
              <w:rPr>
                <w:b/>
                <w:i/>
              </w:rPr>
              <w:t>Međutim, pravila o odstupanju u pogledu primjene prijelaznog razdoblja i prijelaznih mjera, pristupa podacima iz EES-a, provjere pečata u putnim ispravama od strane prijevoznika i suspenzije EES-a trebala bi se primjenjivati u ograničenom razdoblju nakon završetka postupnog početka rada</w:t>
            </w:r>
            <w:r>
              <w:t>.</w:t>
            </w:r>
          </w:p>
        </w:tc>
        <w:tc>
          <w:tcPr>
            <w:tcW w:w="4876" w:type="dxa"/>
            <w:tcBorders>
              <w:top w:val="nil"/>
              <w:left w:val="nil"/>
              <w:bottom w:val="nil"/>
              <w:right w:val="nil"/>
            </w:tcBorders>
          </w:tcPr>
          <w:p>
            <w:pPr>
              <w:pStyle w:val="Normal6a"/>
            </w:pPr>
            <w:r>
              <w:t>(26)</w:t>
            </w:r>
            <w:r>
              <w:tab/>
            </w:r>
            <w:r>
              <w:t xml:space="preserve">Pripremne radnje povezane s planovima uvođenja trebale bi započeti na datum stupanja na snagu ove Uredbe. Postupni početak rada trebao bi se primjenjivati od datuma koji Komisija odredi u skladu s člankom 66. stavkom 1. Uredbe o EES-u. </w:t>
            </w:r>
            <w:r>
              <w:rPr>
                <w:b/>
                <w:i/>
              </w:rPr>
              <w:t>Budući da se ovom Uredbom predviđaju</w:t>
            </w:r>
            <w:r>
              <w:t xml:space="preserve"> privremena odstupanja, </w:t>
            </w:r>
            <w:r>
              <w:rPr>
                <w:b/>
                <w:i/>
              </w:rPr>
              <w:t>ona</w:t>
            </w:r>
            <w:r>
              <w:t xml:space="preserve"> bi se </w:t>
            </w:r>
            <w:r>
              <w:rPr>
                <w:b/>
                <w:i/>
              </w:rPr>
              <w:t>trebala</w:t>
            </w:r>
            <w:r>
              <w:t xml:space="preserve"> primjenjivati </w:t>
            </w:r>
            <w:r>
              <w:rPr>
                <w:b/>
                <w:i/>
              </w:rPr>
              <w:t>samo dok su primjenjiva</w:t>
            </w:r>
            <w:r>
              <w:t xml:space="preserve"> u skladu s </w:t>
            </w:r>
            <w:r>
              <w:rPr>
                <w:b/>
                <w:i/>
              </w:rPr>
              <w:t>ovom Uredbom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Odstupanja povezana s odredbama Zakonika o schengenskim granicama (2016/399) i same Uredbe o EES-u (2017/2226) primjenjuju se u razdoblju od pet godina.</w:t>
      </w:r>
      <w:r>
        <w:t xml:space="preserve"> </w:t>
      </w:r>
      <w:r>
        <w:t>Odstupanja povezana s upotrebom podataka u agencijama EU-a pri obavljanju zadaća primjenjuju se tijekom pet godina.</w:t>
      </w:r>
      <w:r>
        <w:t xml:space="preserve"> </w:t>
      </w:r>
      <w:r>
        <w:t>Budući da će nepotpuni skupovi podataka biti prisutni do pet godina, tijela država članica u tom se razdoblju ne bi trebala u pogledu osoba koje su prekoračile trajanje dopuštenog boravka oslanjati na automatizirani mehanizam.</w:t>
      </w:r>
      <w:r>
        <w:t xml:space="preserve"> </w:t>
      </w:r>
      <w:r>
        <w:t>Ta različita razdoblja odstupanja ne odražavaju se u ograničenju od 180 kalendarskih dana za odstupanja predloženom u ovoj uvodnoj izjavi.</w:t>
      </w:r>
    </w:p>
    <w:p>
      <w:r>
        <w:rPr>
          <w:rStyle w:val="HideTWBExt"/>
        </w:rPr>
        <w:t>&lt;/AmendB&gt;</w:t>
      </w:r>
    </w:p>
    <w:p>
      <w:pPr>
        <w:pStyle w:val="AmNumberTabs"/>
      </w:pPr>
      <w:r>
        <w:rPr>
          <w:rStyle w:val="HideTWBExt"/>
        </w:rPr>
        <w:t>&lt;AmendB&gt;</w:t>
      </w:r>
      <w:r>
        <w:t>Amandman</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Pripremne radnje povezane s planovima uvođenja trebale bi započeti na datum stupanja na snagu ove Uredbe. Postupni početak rada trebao bi se primjenjivati od datuma koji Komisija odredi u skladu s člankom 66. stavkom 1. Uredbe o EES-u. Ova Uredba, kojom su predviđena privremena odstupanja, trebala bi se prestati primjenjivati 180 kalendarskih dana nakon datuma koji Komisija odredi u skladu s člankom 66. stavkom 1. Uredbe (EU) 2017/2226. Međutim, pravila o odstupanju u pogledu primjene prijelaznog razdoblja i prijelaznih mjera, pristupa podacima iz EES-a, provjere pečata u putnim ispravama od strane prijevoznika i suspenzije EES-a trebala bi se primjenjivati u ograničenom razdoblju nakon završetka postupnog početka rada.</w:t>
            </w:r>
          </w:p>
        </w:tc>
        <w:tc>
          <w:tcPr>
            <w:tcW w:w="4876" w:type="dxa"/>
            <w:tcBorders>
              <w:top w:val="nil"/>
              <w:left w:val="nil"/>
              <w:bottom w:val="nil"/>
              <w:right w:val="nil"/>
            </w:tcBorders>
          </w:tcPr>
          <w:p>
            <w:pPr>
              <w:pStyle w:val="Normal6a"/>
            </w:pPr>
            <w:r>
              <w:t>(26)</w:t>
            </w:r>
            <w:r>
              <w:tab/>
            </w:r>
            <w:r>
              <w:t xml:space="preserve">Pripremne radnje povezane s planovima uvođenja trebale bi započeti na datum stupanja na snagu ove Uredbe. </w:t>
            </w:r>
            <w:r>
              <w:rPr>
                <w:b/>
                <w:i/>
              </w:rPr>
              <w:t>Države članice koje još nisu podnijele svoju izjavu o spremnosti pozivaju se da to učine u roku od 30 dana od stupanja na snagu ove Uredbe.</w:t>
            </w:r>
            <w:r>
              <w:t xml:space="preserve"> Postupni početak rada trebao bi se primjenjivati od datuma koji Komisija odredi u skladu s člankom 66. stavkom 1. Uredbe o EES-u</w:t>
            </w:r>
            <w:r>
              <w:rPr>
                <w:b/>
                <w:i/>
              </w:rPr>
              <w:t>.</w:t>
            </w:r>
            <w:r>
              <w:t xml:space="preserve"> </w:t>
            </w:r>
            <w:r>
              <w:rPr>
                <w:b/>
                <w:i/>
              </w:rPr>
              <w:t>Kao datum bi trebalo odrediti najkasnije 60 dana nakon podnošenja posljednje izjave o spremnosti ili 90 dana od datuma stupanja na snagu ove Uredbe, ovisno o tome što nastupi prije</w:t>
            </w:r>
            <w:r>
              <w:t>. Ova Uredba, kojom su predviđena privremena odstupanja, trebala bi se prestati primjenjivati 180 kalendarskih dana nakon datuma koji Komisija odredi u skladu s člankom 66. stavkom 1. Uredbe (EU) 2017/2226. Međutim, pravila o odstupanju u pogledu primjene prijelaznog razdoblja i prijelaznih mjera, pristupa podacima iz EES-a, provjere pečata u putnim ispravama od strane prijevoznika i suspenzije EES-a trebala bi se primjenjivati u ograničenom razdoblju nakon završetka postupnog početka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„postupan početak rada EES-a” znači razdoblje od </w:t>
            </w:r>
            <w:r>
              <w:rPr>
                <w:b/>
                <w:i/>
              </w:rPr>
              <w:t>180 kalendarskih dana koje počinje od</w:t>
            </w:r>
            <w:r>
              <w:t xml:space="preserve"> datuma koji Komisija odredi u skladu s člankom 66. stavkom 1. Uredbe (EU) 2017/2226;</w:t>
            </w:r>
          </w:p>
        </w:tc>
        <w:tc>
          <w:tcPr>
            <w:tcW w:w="4876" w:type="dxa"/>
            <w:tcBorders>
              <w:top w:val="nil"/>
              <w:left w:val="nil"/>
              <w:bottom w:val="nil"/>
              <w:right w:val="nil"/>
            </w:tcBorders>
          </w:tcPr>
          <w:p>
            <w:pPr>
              <w:pStyle w:val="Normal6a"/>
            </w:pPr>
            <w:r>
              <w:t>(a)</w:t>
            </w:r>
            <w:r>
              <w:tab/>
            </w:r>
            <w:r>
              <w:t xml:space="preserve">„postupan početak rada EES-a” znači razdoblje od datuma koji Komisija odredi u skladu s člankom 66. stavkom 1. Uredbe (EU) 2017/2226 </w:t>
            </w:r>
            <w:r>
              <w:rPr>
                <w:b/>
                <w:i/>
              </w:rPr>
              <w:t>do ispunjenja svih zahtjeva utvrđenih u članku 7.a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„postupan početak rada EES-a” znači razdoblje od 180 kalendarskih dana koje počinje od datuma koji Komisija odredi u skladu s člankom 66. stavkom 1. Uredbe (EU) 2017/2226;</w:t>
            </w:r>
          </w:p>
        </w:tc>
        <w:tc>
          <w:tcPr>
            <w:tcW w:w="4876" w:type="dxa"/>
            <w:tcBorders>
              <w:top w:val="nil"/>
              <w:left w:val="nil"/>
              <w:bottom w:val="nil"/>
              <w:right w:val="nil"/>
            </w:tcBorders>
          </w:tcPr>
          <w:p>
            <w:pPr>
              <w:pStyle w:val="Normal6a"/>
            </w:pPr>
            <w:r>
              <w:t>(a)</w:t>
            </w:r>
            <w:r>
              <w:tab/>
            </w:r>
            <w:r>
              <w:t>„postupan početak rada EES-a” znači razdoblje od 180 kalendarskih dana koje počinje od datuma koji Komisija odredi u skladu s člankom 66. stavkom 1.Uredbe (EU) 2017/2226</w:t>
            </w:r>
            <w:r>
              <w:rPr>
                <w:b/>
                <w:i/>
              </w:rPr>
              <w:t>, a najkasnije 60 dana nakon podnošenja posljednje izjave o spremnosti ili 90 dana nakon stupanja na snagu ove Uredbe, ovisno o tome što nastupi prije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Agencija Europske unije za operativno upravljanje opsežnim informacijskim sustavima u području slobode, sigurnosti i pravde (eu-LISA) do [</w:t>
            </w:r>
            <w:r>
              <w:rPr>
                <w:b/>
                <w:i/>
              </w:rPr>
              <w:t>30</w:t>
            </w:r>
            <w:r>
              <w:t>. kalendarskog dana nakon stupanja na snagu ove Uredbe] dostavlja Komisiji, državama članicama i Europolu plan uvođenja na visokoj razini za postupan početak rada EES-a, uzimajući u obzir faze utvrđene u članku 4. Taj plan uvođenja obuhvaća smjernice o upotrebi EES-a za države članice i Europol, uključujući ograničenja kapaciteta središnjeg sustava EES-a.</w:t>
            </w:r>
          </w:p>
        </w:tc>
        <w:tc>
          <w:tcPr>
            <w:tcW w:w="4876" w:type="dxa"/>
            <w:tcBorders>
              <w:top w:val="nil"/>
              <w:left w:val="nil"/>
              <w:bottom w:val="nil"/>
              <w:right w:val="nil"/>
            </w:tcBorders>
          </w:tcPr>
          <w:p>
            <w:pPr>
              <w:pStyle w:val="Normal6a"/>
            </w:pPr>
            <w:r>
              <w:t>1.</w:t>
            </w:r>
            <w:r>
              <w:tab/>
            </w:r>
            <w:r>
              <w:t>Agencija Europske unije za operativno upravljanje opsežnim informacijskim sustavima u području slobode, sigurnosti i pravde (eu-LISA) do [</w:t>
            </w:r>
            <w:r>
              <w:rPr>
                <w:b/>
                <w:i/>
              </w:rPr>
              <w:t>91</w:t>
            </w:r>
            <w:r>
              <w:t xml:space="preserve">. kalendarskog dana nakon stupanja na snagu ove Uredbe] dostavlja Komisiji, državama članicama i Europolu plan uvođenja na visokoj razini za postupan početak rada EES-a, uzimajući u obzir faze utvrđene u članku 4. Taj plan uvođenja obuhvaća smjernice o upotrebi EES-a za države članice i Europol, uključujući ograničenja kapaciteta </w:t>
            </w:r>
            <w:r>
              <w:rPr>
                <w:b/>
                <w:i/>
              </w:rPr>
              <w:t>i druga relevantna ograničenja</w:t>
            </w:r>
            <w:r>
              <w:t xml:space="preserve"> središnjeg sustava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Agencija Europske unije za operativno upravljanje opsežnim informacijskim sustavima u području slobode, sigurnosti i pravde (eu-LISA) do [30. kalendarskog dana nakon stupanja na snagu ove Uredbe] dostavlja Komisiji, državama članicama i Europolu plan uvođenja na visokoj razini za postupan početak rada EES-a, uzimajući u obzir faze utvrđene u članku 4. Taj plan uvođenja obuhvaća smjernice o upotrebi EES-a za države članice i Europol, uključujući ograničenja kapaciteta središnjeg sustava EES-a.</w:t>
            </w:r>
          </w:p>
        </w:tc>
        <w:tc>
          <w:tcPr>
            <w:tcW w:w="4876" w:type="dxa"/>
            <w:tcBorders>
              <w:top w:val="nil"/>
              <w:left w:val="nil"/>
              <w:bottom w:val="nil"/>
              <w:right w:val="nil"/>
            </w:tcBorders>
          </w:tcPr>
          <w:p>
            <w:pPr>
              <w:pStyle w:val="Normal6a"/>
            </w:pPr>
            <w:r>
              <w:t>1.</w:t>
            </w:r>
            <w:r>
              <w:tab/>
            </w:r>
            <w:r>
              <w:t xml:space="preserve">Agencija Europske unije za operativno upravljanje opsežnim informacijskim sustavima u području slobode, sigurnosti i pravde (eu-LISA) do [30. kalendarskog dana nakon stupanja na snagu ove Uredbe] dostavlja Komisiji, </w:t>
            </w:r>
            <w:r>
              <w:rPr>
                <w:b/>
                <w:i/>
              </w:rPr>
              <w:t>Europskom parlamentu,</w:t>
            </w:r>
            <w:r>
              <w:t xml:space="preserve"> državama članicama i Europolu plan uvođenja na visokoj razini za postupan početak rada EES-a, uzimajući u obzir faze utvrđene u članku 4. Taj plan uvođenja obuhvaća smjernice o upotrebi EES-a za države članice i Europol, uključujući ograničenja kapaciteta središnjeg sustava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Agencija Europske unije za operativno upravljanje opsežnim informacijskim sustavima u području slobode, sigurnosti i pravde (eu-LISA) do [30. kalendarskog dana nakon stupanja na snagu ove Uredbe] dostavlja Komisiji, državama članicama i Europolu plan uvođenja na visokoj razini za postupan početak rada EES-a, uzimajući u obzir faze utvrđene u članku 4. Taj plan uvođenja obuhvaća smjernice o upotrebi EES-a za države članice i Europol, uključujući ograničenja kapaciteta središnjeg sustava EES-a.</w:t>
            </w:r>
          </w:p>
        </w:tc>
        <w:tc>
          <w:tcPr>
            <w:tcW w:w="4876" w:type="dxa"/>
            <w:tcBorders>
              <w:top w:val="nil"/>
              <w:left w:val="nil"/>
              <w:bottom w:val="nil"/>
              <w:right w:val="nil"/>
            </w:tcBorders>
          </w:tcPr>
          <w:p>
            <w:pPr>
              <w:pStyle w:val="Normal6a"/>
            </w:pPr>
            <w:r>
              <w:t>1.</w:t>
            </w:r>
            <w:r>
              <w:tab/>
            </w:r>
            <w:r>
              <w:t xml:space="preserve">Agencija Europske unije za operativno upravljanje opsežnim informacijskim sustavima u području slobode, sigurnosti i pravde (eu-LISA) do [30. kalendarskog dana nakon stupanja na snagu ove Uredbe] dostavlja Komisiji, </w:t>
            </w:r>
            <w:r>
              <w:rPr>
                <w:b/>
                <w:i/>
              </w:rPr>
              <w:t>Europskom parlamentu,</w:t>
            </w:r>
            <w:r>
              <w:t xml:space="preserve"> državama članicama i Europolu plan uvođenja na visokoj razini za postupan početak rada EES-a, uzimajući u obzir faze utvrđene u članku 4. Taj plan uvođenja obuhvaća smjernice o upotrebi EES-a za države članice i Europol, uključujući ograničenja kapaciteta središnjeg sustava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Agencija Europske unije za operativno upravljanje opsežnim informacijskim sustavima u području slobode, sigurnosti i pravde (eu-LISA) do [30. kalendarskog dana nakon stupanja na snagu ove Uredbe] dostavlja Komisiji, državama članicama i Europolu plan uvođenja na visokoj razini za postupan početak rada EES-a, uzimajući u obzir faze utvrđene u članku 4. Taj plan uvođenja obuhvaća smjernice o upotrebi EES-a za države članice </w:t>
            </w:r>
            <w:r>
              <w:rPr>
                <w:b/>
                <w:i/>
              </w:rPr>
              <w:t>i Europol</w:t>
            </w:r>
            <w:r>
              <w:t>, uključujući ograničenja kapaciteta središnjeg sustava EES-a.</w:t>
            </w:r>
          </w:p>
        </w:tc>
        <w:tc>
          <w:tcPr>
            <w:tcW w:w="4876" w:type="dxa"/>
            <w:tcBorders>
              <w:top w:val="nil"/>
              <w:left w:val="nil"/>
              <w:bottom w:val="nil"/>
              <w:right w:val="nil"/>
            </w:tcBorders>
          </w:tcPr>
          <w:p>
            <w:pPr>
              <w:pStyle w:val="Normal6a"/>
            </w:pPr>
            <w:r>
              <w:t>1.</w:t>
            </w:r>
            <w:r>
              <w:tab/>
            </w:r>
            <w:r>
              <w:t>Agencija Europske unije za operativno upravljanje opsežnim informacijskim sustavima u području slobode, sigurnosti i pravde (eu-LISA) do [30. kalendarskog dana nakon stupanja na snagu ove Uredbe] dostavlja Komisiji, državama članicama i Europolu plan uvođenja na visokoj razini za postupan početak rada EES-a, uzimajući u obzir faze utvrđene u članku 4. Taj plan uvođenja obuhvaća smjernice o upotrebi EES-a za države članice, uključujući ograničenja kapaciteta središnjeg sustava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 [</w:t>
            </w:r>
            <w:r>
              <w:rPr>
                <w:b/>
                <w:i/>
              </w:rPr>
              <w:t>60</w:t>
            </w:r>
            <w:r>
              <w:t>. kalendarskog dana nakon stupanja na snagu ove Uredbe] države članice, uz savjetovanje s Komisijom i agencijom eu-LISA, izrađuju nacionalni plan uvođenja za postupan početak rada EES-a uzimajući u obzir plan uvođenja na visokoj razini iz stavka 1. ovog članka i faze utvrđene u članku 4.</w:t>
            </w:r>
          </w:p>
        </w:tc>
        <w:tc>
          <w:tcPr>
            <w:tcW w:w="4876" w:type="dxa"/>
            <w:tcBorders>
              <w:top w:val="nil"/>
              <w:left w:val="nil"/>
              <w:bottom w:val="nil"/>
              <w:right w:val="nil"/>
            </w:tcBorders>
          </w:tcPr>
          <w:p>
            <w:pPr>
              <w:pStyle w:val="Normal6a"/>
            </w:pPr>
            <w:r>
              <w:t>2.</w:t>
            </w:r>
            <w:r>
              <w:tab/>
            </w:r>
            <w:r>
              <w:t>Do [</w:t>
            </w:r>
            <w:r>
              <w:rPr>
                <w:b/>
                <w:i/>
              </w:rPr>
              <w:t>180</w:t>
            </w:r>
            <w:r>
              <w:t>. kalendarskog dana nakon stupanja na snagu ove Uredbe] države članice, uz savjetovanje s Komisijom i agencijom eu-LISA, izrađuju nacionalni plan uvođenja za postupan početak rada EES-a uzimajući u obzir plan uvođenja na visokoj razini iz stavka 1. ovog članka i faze utvrđene u članku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 [60. kalendarskog dana nakon stupanja na snagu ove Uredbe] države članice, uz savjetovanje s Komisijom i agencijom eu-LISA, </w:t>
            </w:r>
            <w:r>
              <w:rPr>
                <w:b/>
                <w:i/>
              </w:rPr>
              <w:t>izrađuju</w:t>
            </w:r>
            <w:r>
              <w:t xml:space="preserve"> nacionalni plan uvođenja za postupan početak rada EES-a uzimajući u obzir plan uvođenja na visokoj razini iz stavka 1. ovog članka i faze utvrđene u članku 4.</w:t>
            </w:r>
          </w:p>
        </w:tc>
        <w:tc>
          <w:tcPr>
            <w:tcW w:w="4876" w:type="dxa"/>
            <w:tcBorders>
              <w:top w:val="nil"/>
              <w:left w:val="nil"/>
              <w:bottom w:val="nil"/>
              <w:right w:val="nil"/>
            </w:tcBorders>
          </w:tcPr>
          <w:p>
            <w:pPr>
              <w:pStyle w:val="Normal6a"/>
            </w:pPr>
            <w:r>
              <w:t>2.</w:t>
            </w:r>
            <w:r>
              <w:tab/>
            </w:r>
            <w:r>
              <w:t xml:space="preserve">Do [60. kalendarskog dana nakon stupanja na snagu ove Uredbe] države članice, uz savjetovanje s Komisijom i agencijom eu-LISA, </w:t>
            </w:r>
            <w:r>
              <w:rPr>
                <w:b/>
                <w:i/>
              </w:rPr>
              <w:t>objavljuju</w:t>
            </w:r>
            <w:r>
              <w:t xml:space="preserve"> nacionalni plan uvođenja za postupan početak rada EES-a </w:t>
            </w:r>
            <w:r>
              <w:rPr>
                <w:b/>
                <w:i/>
              </w:rPr>
              <w:t>i dijele ga s Komisijom, Europskim parlamentom i dionicima iz industrije,</w:t>
            </w:r>
            <w:r>
              <w:t xml:space="preserve"> uzimajući u obzir plan uvođenja na visokoj razini iz stavka 1. ovog članka i faze utvrđene u članku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 [60. kalendarskog dana nakon stupanja na snagu ove Uredbe] države članice, uz savjetovanje s Komisijom i agencijom eu-LISA, izrađuju nacionalni plan uvođenja za postupan početak rada EES-a uzimajući u obzir plan uvođenja na visokoj razini iz stavka 1. ovog članka i faze utvrđene u članku 4.</w:t>
            </w:r>
          </w:p>
        </w:tc>
        <w:tc>
          <w:tcPr>
            <w:tcW w:w="4876" w:type="dxa"/>
            <w:tcBorders>
              <w:top w:val="nil"/>
              <w:left w:val="nil"/>
              <w:bottom w:val="nil"/>
              <w:right w:val="nil"/>
            </w:tcBorders>
          </w:tcPr>
          <w:p>
            <w:pPr>
              <w:pStyle w:val="Normal6a"/>
            </w:pPr>
            <w:r>
              <w:t>2.</w:t>
            </w:r>
            <w:r>
              <w:tab/>
            </w:r>
            <w:r>
              <w:t xml:space="preserve">Do [60. kalendarskog dana nakon stupanja na snagu ove Uredbe] države članice, uz savjetovanje s Komisijom i agencijom eu-LISA, izrađuju nacionalni plan uvođenja za postupan početak rada EES-a uzimajući u obzir plan uvođenja na visokoj razini iz stavka 1. ovog članka i faze utvrđene u članku 4. </w:t>
            </w:r>
            <w:r>
              <w:rPr>
                <w:b/>
                <w:i/>
              </w:rPr>
              <w:t>Agencija eu-LISA procjenjuje jesu li nacionalni planovi uvođenja usklađeni s planom uvođenja na visokoj razini i potvrđuje da ne sadržavaju nedostatke koji bi mogli dovesti do daljnje odgode početka rada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 pripremi svojih nacionalnih planova uvođenja iz stavka 2. države članice prema potrebi se savjetuju s Agencijom za europsku graničnu i obalnu stražu kako bi utvrdile granične prijelaze koji su najčešće pogođeni problemom nezakonitih migracija ili nezakonitih prelazaka granica.</w:t>
            </w:r>
            <w:r>
              <w:t xml:space="preserve"> </w:t>
            </w:r>
            <w:r>
              <w:rPr>
                <w:b/>
                <w:i/>
              </w:rPr>
              <w:t>Prema potrebi, može se savjetovati i s Europolom kako bi se ispitala uključenost mreža organiziranog kriminala, u prvom redu kada je riječ o olakšavanju takvih prelazaka granice.</w:t>
            </w:r>
            <w:r>
              <w:t xml:space="preserve"> </w:t>
            </w:r>
            <w:r>
              <w:rPr>
                <w:b/>
                <w:i/>
              </w:rPr>
              <w:t>Svrha takvih savjetovanja jest osigurati da se određivanjem prioriteta u radu EES-a na tim graničnim prijelazima u najvećoj mjeri povećaju sigurnosne koristi EES-a od samog početka.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 svaku fazu iz članka 4. nacionalni planovi uvođenja uključuju informacije o </w:t>
            </w:r>
            <w:r>
              <w:rPr>
                <w:b/>
                <w:i/>
              </w:rPr>
              <w:t>pragovima i zahtjevima utvrđenima</w:t>
            </w:r>
            <w:r>
              <w:t xml:space="preserve"> u tom članku.</w:t>
            </w:r>
          </w:p>
        </w:tc>
        <w:tc>
          <w:tcPr>
            <w:tcW w:w="4876" w:type="dxa"/>
            <w:tcBorders>
              <w:top w:val="nil"/>
              <w:left w:val="nil"/>
              <w:bottom w:val="nil"/>
              <w:right w:val="nil"/>
            </w:tcBorders>
          </w:tcPr>
          <w:p>
            <w:pPr>
              <w:pStyle w:val="Normal6a"/>
            </w:pPr>
            <w:r>
              <w:t>3.</w:t>
            </w:r>
            <w:r>
              <w:tab/>
            </w:r>
            <w:r>
              <w:t xml:space="preserve">Za svaku fazu iz članka 4. nacionalni planovi uvođenja uključuju informacije o </w:t>
            </w:r>
            <w:r>
              <w:rPr>
                <w:b/>
                <w:i/>
              </w:rPr>
              <w:t>ostvarivanju vrijednosti iz pragova i zahtjeva utvrđenih</w:t>
            </w:r>
            <w:r>
              <w:t xml:space="preserve"> u tom članku.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Od 30. kalendarskog dana nakon postupnog početka rada EES-a države članice Komisiji i agenciji eu-LISA dostavljaju mjesečna izvješća o provedbi nacionalnih planova uvođenja, uključujući korektivne mjere ako je to potrebno za ispunjavanje obveza utvrđenih u članku 4.</w:t>
            </w:r>
          </w:p>
        </w:tc>
        <w:tc>
          <w:tcPr>
            <w:tcW w:w="4876" w:type="dxa"/>
            <w:tcBorders>
              <w:top w:val="nil"/>
              <w:left w:val="nil"/>
              <w:bottom w:val="nil"/>
              <w:right w:val="nil"/>
            </w:tcBorders>
          </w:tcPr>
          <w:p>
            <w:pPr>
              <w:pStyle w:val="Normal6a"/>
            </w:pPr>
            <w:r>
              <w:t>4.</w:t>
            </w:r>
            <w:r>
              <w:tab/>
            </w:r>
            <w:r>
              <w:t xml:space="preserve">Od 30. kalendarskog dana nakon postupnog početka rada EES-a </w:t>
            </w:r>
            <w:r>
              <w:rPr>
                <w:b/>
                <w:i/>
              </w:rPr>
              <w:t>do potpune upotrebe EES-a u državi članici za sve državljane trećih zemalja koji podliježu registraciji u EES-u i istodobno na svim graničnim prijelazima u toj državi članici,</w:t>
            </w:r>
            <w:r>
              <w:t xml:space="preserve"> države članice Komisiji i agenciji eu-LISA dostavljaju mjesečna izvješća o provedbi nacionalnih planova uvođenja, uključujući korektivne mjere ako je to potrebno za ispunjavanje obveza utvrđenih u članku 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Države članice trebale bi imati dužnost dostavljanja mjesečnih izvješća o provedbi svojih planova uvođenja samo dok sustav nije u potpunosti uveden u dotičnoj državi članici.</w:t>
      </w:r>
    </w:p>
    <w:p>
      <w:r>
        <w:rPr>
          <w:rStyle w:val="HideTWBExt"/>
        </w:rPr>
        <w:t>&lt;/AmendB&gt;</w:t>
      </w:r>
    </w:p>
    <w:p>
      <w:pPr>
        <w:pStyle w:val="AmNumberTabs"/>
      </w:pPr>
      <w:r>
        <w:rPr>
          <w:rStyle w:val="HideTWBExt"/>
        </w:rPr>
        <w:t>&lt;AmendB&gt;</w:t>
      </w:r>
      <w:r>
        <w:t>Amandman</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Od 30. kalendarskog dana nakon postupnog početka rada EES-a države članice Komisiji i agenciji eu-LISA dostavljaju mjesečna izvješća o provedbi nacionalnih planova uvođenja, uključujući korektivne mjere ako je to potrebno za ispunjavanje obveza utvrđenih u članku 4.</w:t>
            </w:r>
          </w:p>
        </w:tc>
        <w:tc>
          <w:tcPr>
            <w:tcW w:w="4876" w:type="dxa"/>
            <w:tcBorders>
              <w:top w:val="nil"/>
              <w:left w:val="nil"/>
              <w:bottom w:val="nil"/>
              <w:right w:val="nil"/>
            </w:tcBorders>
          </w:tcPr>
          <w:p>
            <w:pPr>
              <w:pStyle w:val="Normal6a"/>
            </w:pPr>
            <w:r>
              <w:t>4.</w:t>
            </w:r>
            <w:r>
              <w:tab/>
            </w:r>
            <w:r>
              <w:t>Od 30. kalendarskog dana nakon postupnog početka rada EES-a države članice Komisiji</w:t>
            </w:r>
            <w:r>
              <w:rPr>
                <w:b/>
                <w:i/>
              </w:rPr>
              <w:t>, Europskom parlamentu</w:t>
            </w:r>
            <w:r>
              <w:t xml:space="preserve"> i agenciji eu-LISA dostavljaju mjesečna izvješća o provedbi nacionalnih planova uvođenja, uključujući korektivne mjere ako je to potrebno za ispunjavanje obveza utvrđenih u članku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 zahtjev Komisije agencija eu-LISA dostavlja Komisiji statističke podatke potrebne za praćenje nacionalnih planova uvođenja u skladu s člankom 63. stavkom 6. Uredbe (EU) 2017/2226.</w:t>
            </w:r>
          </w:p>
        </w:tc>
        <w:tc>
          <w:tcPr>
            <w:tcW w:w="4876" w:type="dxa"/>
            <w:tcBorders>
              <w:top w:val="nil"/>
              <w:left w:val="nil"/>
              <w:bottom w:val="nil"/>
              <w:right w:val="nil"/>
            </w:tcBorders>
          </w:tcPr>
          <w:p>
            <w:pPr>
              <w:pStyle w:val="Normal6a"/>
            </w:pPr>
            <w:r>
              <w:t>5.</w:t>
            </w:r>
            <w:r>
              <w:tab/>
            </w:r>
            <w:r>
              <w:t xml:space="preserve">Na zahtjev Komisije agencija eu-LISA dostavlja Komisiji statističke podatke potrebne za praćenje </w:t>
            </w:r>
            <w:r>
              <w:rPr>
                <w:b/>
                <w:i/>
              </w:rPr>
              <w:t>uspješne i pravodobne provedbe</w:t>
            </w:r>
            <w:r>
              <w:t xml:space="preserve"> nacionalnih planova uvođenja </w:t>
            </w:r>
            <w:r>
              <w:rPr>
                <w:b/>
                <w:i/>
              </w:rPr>
              <w:t>kao i plana uvođenja na visokoj razini,</w:t>
            </w:r>
            <w:r>
              <w:t xml:space="preserve"> u skladu s člankom 63. stavkom 6.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Upravni odbor agencije eu-LISA donosi plan uvođenja na visokoj razini agencije eu-LISA iz ovog članka stavka 1.</w:t>
            </w:r>
            <w:r>
              <w:t xml:space="preserve"> </w:t>
            </w:r>
            <w:r>
              <w:rPr>
                <w:b/>
                <w:i/>
              </w:rPr>
              <w:t>Upravni odbor agencije eu-LISA ujedno prati razvoj središnjeg sustava EES-a u skladu s člankom 19. Uredbe (EU) 2018/1726, osobito u pogledu postupnog početka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Komisija, uz savjetovanje s Europskim nadzornikom za zaštitu podataka, izdaje smjernice o obradi osobnih podataka u EES-u tijekom postupnog početka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Nacionalni planovi uvođenja koje države članice trebaju uspostaviti u skladu s ovom Uredbom sažeti su i razmjerni te se njima ne nameće nepotrebno administrativno opterećenje.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Odstupajući od članka 66. stavka 6. Uredbe (EU) 2017/2226 države članice tijekom postupnog početka rada EES-a </w:t>
            </w:r>
            <w:r>
              <w:rPr>
                <w:b/>
                <w:i/>
              </w:rPr>
              <w:t>upotrebljavaju</w:t>
            </w:r>
            <w:r>
              <w:t xml:space="preserve"> EES kako je utvrđeno u ovom članku.</w:t>
            </w:r>
          </w:p>
        </w:tc>
        <w:tc>
          <w:tcPr>
            <w:tcW w:w="4876" w:type="dxa"/>
            <w:tcBorders>
              <w:top w:val="nil"/>
              <w:left w:val="nil"/>
              <w:bottom w:val="nil"/>
              <w:right w:val="nil"/>
            </w:tcBorders>
          </w:tcPr>
          <w:p>
            <w:pPr>
              <w:pStyle w:val="Normal6a"/>
            </w:pPr>
            <w:r>
              <w:t>1.</w:t>
            </w:r>
            <w:r>
              <w:tab/>
            </w:r>
            <w:r>
              <w:t xml:space="preserve">Odstupajući od članka 66. stavka 6. Uredbe (EU) 2017/2226 države članice tijekom postupnog početka rada EES-a </w:t>
            </w:r>
            <w:r>
              <w:rPr>
                <w:b/>
                <w:i/>
              </w:rPr>
              <w:t>mogu upotrebljavati</w:t>
            </w:r>
            <w:r>
              <w:t xml:space="preserve"> EES kako je utvrđeno u ovom članku.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Države članice trebale bi i dalje moći u potpunosti primjenjivati EES na svim graničnim prijelazima od prvog dana, ako je to za njih najpoželjniji pristup.</w:t>
      </w:r>
    </w:p>
    <w:p>
      <w:r>
        <w:rPr>
          <w:rStyle w:val="HideTWBExt"/>
        </w:rPr>
        <w:t>&lt;/AmendB&gt;</w:t>
      </w:r>
    </w:p>
    <w:p>
      <w:pPr>
        <w:pStyle w:val="AmNumberTabs"/>
      </w:pPr>
      <w:r>
        <w:rPr>
          <w:rStyle w:val="HideTWBExt"/>
        </w:rPr>
        <w:t>&lt;AmendB&gt;</w:t>
      </w:r>
      <w:r>
        <w:t>Amandman</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Od </w:t>
            </w:r>
            <w:r>
              <w:rPr>
                <w:b/>
                <w:i/>
              </w:rPr>
              <w:t>prvog</w:t>
            </w:r>
            <w:r>
              <w:t xml:space="preserve"> dana postupnog početka rada EES-a svaka država članica počinje upotrebljavati EES pri ulasku </w:t>
            </w:r>
            <w:r>
              <w:rPr>
                <w:b/>
                <w:i/>
              </w:rPr>
              <w:t>i</w:t>
            </w:r>
            <w:r>
              <w:t xml:space="preserve"> izlasku na jednom ili više graničnih prijelaza pri čemu kombinira zračne, kopnene i morske granične prijelaze, ako je to moguće i primjenjivo, za bilježenje i pohranu podataka o državljanima trećih zemalja iz članka 2. stavaka 1. i 2. Uredbe (EU) 2017/2226. Države članice registriraju u EES-u najmanje </w:t>
            </w:r>
            <w:r>
              <w:rPr>
                <w:b/>
                <w:i/>
              </w:rPr>
              <w:t>10</w:t>
            </w:r>
            <w:r>
              <w:t xml:space="preserve"> % procijenjenog broja prelazaka granice u toj državi članici.</w:t>
            </w:r>
          </w:p>
        </w:tc>
        <w:tc>
          <w:tcPr>
            <w:tcW w:w="4876" w:type="dxa"/>
            <w:tcBorders>
              <w:top w:val="nil"/>
              <w:left w:val="nil"/>
              <w:bottom w:val="nil"/>
              <w:right w:val="nil"/>
            </w:tcBorders>
          </w:tcPr>
          <w:p>
            <w:pPr>
              <w:pStyle w:val="Normal6a"/>
            </w:pPr>
            <w:r>
              <w:t xml:space="preserve">Od </w:t>
            </w:r>
            <w:r>
              <w:rPr>
                <w:b/>
                <w:i/>
              </w:rPr>
              <w:t>tridesetog</w:t>
            </w:r>
            <w:r>
              <w:t xml:space="preserve"> dana postupnog početka rada EES-a svaka država članica počinje upotrebljavati EES pri ulasku </w:t>
            </w:r>
            <w:r>
              <w:rPr>
                <w:b/>
                <w:i/>
              </w:rPr>
              <w:t>ili</w:t>
            </w:r>
            <w:r>
              <w:t xml:space="preserve"> izlasku na jednom ili više graničnih prijelaza pri čemu kombinira zračne, kopnene i morske granične prijelaze, ako je to moguće i primjenjivo, za bilježenje i pohranu podataka o državljanima trećih zemalja iz članka 2. stavaka 1. i 2. Uredbe (EU) 2017/2226. Države članice registriraju u EES-u najmanje </w:t>
            </w:r>
            <w:r>
              <w:rPr>
                <w:b/>
                <w:i/>
              </w:rPr>
              <w:t>2</w:t>
            </w:r>
            <w:r>
              <w:t> % procijenjenog broja prelazaka granice u toj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Od prvog dana postupnog početka rada EES-a svaka država članica počinje upotrebljavati EES pri ulasku i izlasku na jednom ili više graničnih prijelaza pri čemu kombinira zračne, kopnene i morske granične prijelaze, ako je to moguće i primjenjivo, za bilježenje i pohranu podataka o državljanima trećih zemalja iz članka 2. stavaka 1. i 2. Uredbe (EU) 2017/2226. Države članice registriraju u EES-u najmanje 10 % procijenjenog broja prelazaka granice u toj državi članici.</w:t>
            </w:r>
          </w:p>
        </w:tc>
        <w:tc>
          <w:tcPr>
            <w:tcW w:w="4876" w:type="dxa"/>
            <w:tcBorders>
              <w:top w:val="nil"/>
              <w:left w:val="nil"/>
              <w:bottom w:val="nil"/>
              <w:right w:val="nil"/>
            </w:tcBorders>
          </w:tcPr>
          <w:p>
            <w:pPr>
              <w:pStyle w:val="Normal6a"/>
            </w:pPr>
            <w:r>
              <w:t xml:space="preserve">Od prvog dana postupnog početka rada EES-a svaka država članica počinje upotrebljavati EES pri ulasku i izlasku na jednom ili više graničnih prijelaza pri čemu kombinira zračne, kopnene i morske granične prijelaze, ako je to moguće i primjenjivo, za bilježenje i pohranu podataka o državljanima trećih zemalja iz članka 2. stavaka 1. i 2. Uredbe (EU) 2017/2226. </w:t>
            </w:r>
            <w:r>
              <w:rPr>
                <w:b/>
                <w:i/>
              </w:rPr>
              <w:t>Najkasnije do 30. kalendarskog dana od postupnog početka rada EES-a</w:t>
            </w:r>
            <w:r>
              <w:t xml:space="preserve"> države članice registriraju u EES-u najmanje 10 % procijenjenog broja prelazaka granice u toj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skladu s pristupom izvjestitelja (amandman 20), predlažemo postupan pristup tijekom prvih 30 dana, što je prijedlog koji Komisija može prihvatiti.</w:t>
      </w:r>
    </w:p>
    <w:p>
      <w:r>
        <w:rPr>
          <w:rStyle w:val="HideTWBExt"/>
        </w:rPr>
        <w:t>&lt;/AmendB&gt;</w:t>
      </w:r>
    </w:p>
    <w:p>
      <w:pPr>
        <w:pStyle w:val="AmNumberTabs"/>
      </w:pPr>
      <w:r>
        <w:rPr>
          <w:rStyle w:val="HideTWBExt"/>
        </w:rPr>
        <w:t>&lt;AmendB&gt;</w:t>
      </w:r>
      <w:r>
        <w:t>Amandman</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 prvih </w:t>
            </w:r>
            <w:r>
              <w:rPr>
                <w:b/>
                <w:i/>
              </w:rPr>
              <w:t>60</w:t>
            </w:r>
            <w:r>
              <w:t xml:space="preserve"> kalendarskih dana postupnog početka rada EES-a države članice mogu upotrebljavati EES bez biometrijskih funkcionalnosti, a nacionalna tijela mogu otvarati ili ažurirati osobne dosjee bez biometrijskih podataka.</w:t>
            </w:r>
          </w:p>
        </w:tc>
        <w:tc>
          <w:tcPr>
            <w:tcW w:w="4876" w:type="dxa"/>
            <w:tcBorders>
              <w:top w:val="nil"/>
              <w:left w:val="nil"/>
              <w:bottom w:val="nil"/>
              <w:right w:val="nil"/>
            </w:tcBorders>
          </w:tcPr>
          <w:p>
            <w:pPr>
              <w:pStyle w:val="Normal6a"/>
            </w:pPr>
            <w:r>
              <w:t xml:space="preserve">U prvih </w:t>
            </w:r>
            <w:r>
              <w:rPr>
                <w:b/>
                <w:i/>
              </w:rPr>
              <w:t>180</w:t>
            </w:r>
            <w:r>
              <w:t xml:space="preserve"> kalendarskih dana postupnog početka rada EES-a države članice mogu upotrebljavati EES bez biometrijskih funkcionalnosti, a nacionalna tijela mogu otvarati ili ažurirati osobne dosjee bez biometrijskih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Najkasnije </w:t>
            </w:r>
            <w:r>
              <w:rPr>
                <w:b/>
                <w:i/>
              </w:rPr>
              <w:t>90</w:t>
            </w:r>
            <w:r>
              <w:t xml:space="preserve"> kalendarskih dana nakon postupnog početka rada EES-a države članice upotrebljavaju EES s biometrijskim funkcionalnostima barem na </w:t>
            </w:r>
            <w:r>
              <w:rPr>
                <w:b/>
                <w:i/>
              </w:rPr>
              <w:t>polovini</w:t>
            </w:r>
            <w:r>
              <w:t xml:space="preserve"> svojih graničnih prijelaza. Svaka država članica registrira najmanje </w:t>
            </w:r>
            <w:r>
              <w:rPr>
                <w:b/>
                <w:i/>
              </w:rPr>
              <w:t>50</w:t>
            </w:r>
            <w:r>
              <w:t xml:space="preserve"> % procijenjenog broja prelazaka granice u toj državi članici. Osobni dosjei državljana trećih zemalja iz članka 2. stavaka 1. i 2. Uredbe (EU) 2017/2226 koji su registrirani u EES-u </w:t>
            </w:r>
            <w:r>
              <w:rPr>
                <w:b/>
                <w:i/>
              </w:rPr>
              <w:t>sadržavaju</w:t>
            </w:r>
            <w:r>
              <w:t xml:space="preserve"> biometrijske podatke.</w:t>
            </w:r>
          </w:p>
        </w:tc>
        <w:tc>
          <w:tcPr>
            <w:tcW w:w="4876" w:type="dxa"/>
            <w:tcBorders>
              <w:top w:val="nil"/>
              <w:left w:val="nil"/>
              <w:bottom w:val="nil"/>
              <w:right w:val="nil"/>
            </w:tcBorders>
          </w:tcPr>
          <w:p>
            <w:pPr>
              <w:pStyle w:val="Normal6a"/>
            </w:pPr>
            <w:r>
              <w:t>3.</w:t>
            </w:r>
            <w:r>
              <w:tab/>
            </w:r>
            <w:r>
              <w:t xml:space="preserve">Najkasnije </w:t>
            </w:r>
            <w:r>
              <w:rPr>
                <w:b/>
                <w:i/>
              </w:rPr>
              <w:t>180</w:t>
            </w:r>
            <w:r>
              <w:t xml:space="preserve"> kalendarskih dana nakon postupnog početka rada EES-a države članice upotrebljavaju EES s biometrijskim funkcionalnostima barem na </w:t>
            </w:r>
            <w:r>
              <w:rPr>
                <w:b/>
                <w:i/>
              </w:rPr>
              <w:t>10 %</w:t>
            </w:r>
            <w:r>
              <w:t xml:space="preserve"> svojih graničnih prijelaza. Svaka država članica registrira najmanje </w:t>
            </w:r>
            <w:r>
              <w:rPr>
                <w:b/>
                <w:i/>
              </w:rPr>
              <w:t>10</w:t>
            </w:r>
            <w:r>
              <w:t xml:space="preserve"> % procijenjenog broja prelazaka granice u toj državi članici. Osobni dosjei državljana trećih zemalja iz članka 2. stavaka 1. i 2. Uredbe (EU) 2017/2226 koji su registrirani u EES-u </w:t>
            </w:r>
            <w:r>
              <w:rPr>
                <w:b/>
                <w:i/>
              </w:rPr>
              <w:t>mogu sadržavati</w:t>
            </w:r>
            <w:r>
              <w:t xml:space="preserve"> biometrijske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Najkasnije 90 kalendarskih dana nakon postupnog početka rada EES-a države članice upotrebljavaju EES s biometrijskim funkcionalnostima barem na polovini svojih graničnih prijelaza. Svaka država članica registrira najmanje 50 % procijenjenog broja prelazaka granice u toj državi članici. Osobni dosjei državljana trećih zemalja iz članka 2. stavaka 1. i 2. Uredbe (EU) 2017/2226 koji su registrirani u EES-u sadržavaju biometrijske podatke.</w:t>
            </w:r>
          </w:p>
        </w:tc>
        <w:tc>
          <w:tcPr>
            <w:tcW w:w="4876" w:type="dxa"/>
            <w:tcBorders>
              <w:top w:val="nil"/>
              <w:left w:val="nil"/>
              <w:bottom w:val="nil"/>
              <w:right w:val="nil"/>
            </w:tcBorders>
          </w:tcPr>
          <w:p>
            <w:pPr>
              <w:pStyle w:val="Normal6a"/>
            </w:pPr>
            <w:r>
              <w:t>3.</w:t>
            </w:r>
            <w:r>
              <w:tab/>
            </w:r>
            <w:r>
              <w:t xml:space="preserve">Najkasnije 90 kalendarskih dana nakon postupnog početka rada EES-a države članice upotrebljavaju EES s biometrijskim funkcionalnostima barem na polovini svojih graničnih prijelaza. Svaka država članica registrira najmanje 50 % procijenjenog broja prelazaka granice u toj državi članici. Osobni dosjei državljana trećih zemalja iz članka 2. stavaka 1. i 2. Uredbe (EU) 2017/2226 koji su registrirani u EES-u </w:t>
            </w:r>
            <w:r>
              <w:rPr>
                <w:b/>
                <w:i/>
              </w:rPr>
              <w:t>koji se upotrebljava s biometrijskim funkcionalnostima</w:t>
            </w:r>
            <w:r>
              <w:t xml:space="preserve"> sadržavaju biometrijske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Najkasnije </w:t>
            </w:r>
            <w:r>
              <w:rPr>
                <w:b/>
                <w:i/>
              </w:rPr>
              <w:t>150</w:t>
            </w:r>
            <w:r>
              <w:t xml:space="preserve">. kalendarskog dana nakon postupnog početka rada EES-a svaka država članica upotrebljava EES s biometrijskim funkcionalnostima na </w:t>
            </w:r>
            <w:r>
              <w:rPr>
                <w:b/>
                <w:i/>
              </w:rPr>
              <w:t>svim svojim graničnim prijelazima i nastavlja registrirati</w:t>
            </w:r>
            <w:r>
              <w:t xml:space="preserve"> u EES-u najmanje 50 % procijenjenog broja prelazaka granice u toj državi članici.</w:t>
            </w:r>
          </w:p>
        </w:tc>
        <w:tc>
          <w:tcPr>
            <w:tcW w:w="4876" w:type="dxa"/>
            <w:tcBorders>
              <w:top w:val="nil"/>
              <w:left w:val="nil"/>
              <w:bottom w:val="nil"/>
              <w:right w:val="nil"/>
            </w:tcBorders>
          </w:tcPr>
          <w:p>
            <w:pPr>
              <w:pStyle w:val="Normal6a"/>
            </w:pPr>
            <w:r>
              <w:t>4.</w:t>
            </w:r>
            <w:r>
              <w:tab/>
            </w:r>
            <w:r>
              <w:t xml:space="preserve">Najkasnije </w:t>
            </w:r>
            <w:r>
              <w:rPr>
                <w:b/>
                <w:i/>
              </w:rPr>
              <w:t>300</w:t>
            </w:r>
            <w:r>
              <w:t xml:space="preserve">. kalendarskog dana nakon postupnog početka rada EES-a svaka država članica upotrebljava EES s biometrijskim funkcionalnostima na </w:t>
            </w:r>
            <w:r>
              <w:rPr>
                <w:b/>
                <w:i/>
              </w:rPr>
              <w:t>polovini svojih graničnih prijelaza i registrira</w:t>
            </w:r>
            <w:r>
              <w:t xml:space="preserve"> u EES-u najmanje 50 % procijenjenog broja prelazaka granice u toj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Najkasnije </w:t>
            </w:r>
            <w:r>
              <w:rPr>
                <w:b/>
                <w:i/>
              </w:rPr>
              <w:t>170</w:t>
            </w:r>
            <w:r>
              <w:t>. kalendarskog dana nakon postupnog početka rada EES-a države članice upotrebljavaju EES s biometrijskim funkcijama na svim svojim graničnim prijelazima i u EES-u registriraju sve državljane trećih zemalja iz članka 2. stavaka 1. i 2. Uredbe (EU) 2017/2226.</w:t>
            </w:r>
          </w:p>
        </w:tc>
        <w:tc>
          <w:tcPr>
            <w:tcW w:w="4876" w:type="dxa"/>
            <w:tcBorders>
              <w:top w:val="nil"/>
              <w:left w:val="nil"/>
              <w:bottom w:val="nil"/>
              <w:right w:val="nil"/>
            </w:tcBorders>
          </w:tcPr>
          <w:p>
            <w:pPr>
              <w:pStyle w:val="Normal6a"/>
            </w:pPr>
            <w:r>
              <w:t>5.</w:t>
            </w:r>
            <w:r>
              <w:tab/>
            </w:r>
            <w:r>
              <w:t xml:space="preserve">Najkasnije </w:t>
            </w:r>
            <w:r>
              <w:rPr>
                <w:b/>
                <w:i/>
              </w:rPr>
              <w:t>320</w:t>
            </w:r>
            <w:r>
              <w:t>. kalendarskog dana nakon postupnog početka rada EES-a države članice upotrebljavaju EES s biometrijskim funkcijama na svim svojim graničnim prijelazima i u EES-u registriraju sve državljane trećih zemalja iz članka 2. stavaka 1. i 2.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Registracija biometrijskih podataka u EES ne predstavlja uvjet ulaska za državljane trećih zemalja koji podliježu registraciji u EES-u tijekom postupnog početka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Odbijanja ulaska o kojima je donesena odluka na graničnom prijelazu na kojem se upotrebljava EES bilježe se u EES-u, kako je utvrđeno u članku 18. Uredbe (EU) 2017/2226. </w:t>
            </w:r>
            <w:r>
              <w:rPr>
                <w:b/>
                <w:i/>
              </w:rPr>
              <w:t>Ako se EES upotrebljava s biometrijskim funkcionalnostima, odbijanja ulaska bilježe se s biometrijskim podacima.</w:t>
            </w:r>
            <w:r>
              <w:t xml:space="preserve"> </w:t>
            </w:r>
            <w:r>
              <w:rPr>
                <w:b/>
                <w:i/>
              </w:rPr>
              <w:t>Ako se EES upotrebljava bez biometrijskih funkcionalnosti, odbijanja</w:t>
            </w:r>
            <w:r>
              <w:t xml:space="preserve"> ulaska bilježe se bez biometrijskih podataka.</w:t>
            </w:r>
          </w:p>
        </w:tc>
        <w:tc>
          <w:tcPr>
            <w:tcW w:w="4876" w:type="dxa"/>
            <w:tcBorders>
              <w:top w:val="nil"/>
              <w:left w:val="nil"/>
              <w:bottom w:val="nil"/>
              <w:right w:val="nil"/>
            </w:tcBorders>
          </w:tcPr>
          <w:p>
            <w:pPr>
              <w:pStyle w:val="Normal6a"/>
            </w:pPr>
            <w:r>
              <w:t>6.</w:t>
            </w:r>
            <w:r>
              <w:tab/>
            </w:r>
            <w:r>
              <w:t xml:space="preserve">Odbijanja ulaska o kojima je donesena odluka na graničnom prijelazu na kojem se upotrebljava EES bilježe se u EES-u, kako je utvrđeno u članku 18. Uredbe (EU) 2017/2226. </w:t>
            </w:r>
            <w:r>
              <w:rPr>
                <w:b/>
                <w:i/>
              </w:rPr>
              <w:t>Zabrane</w:t>
            </w:r>
            <w:r>
              <w:t xml:space="preserve"> ulaska bilježe se bez biometrijskih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Odbijanja ulaska o kojima je donesena odluka na graničnom prijelazu na kojem se upotrebljava EES bilježe se u EES-u, kako je utvrđeno u članku 18. Uredbe (EU) 2017/2226. Ako se EES upotrebljava s biometrijskim funkcionalnostima, odbijanja ulaska bilježe se s biometrijskim podacima. Ako se EES upotrebljava bez biometrijskih funkcionalnosti, odbijanja ulaska bilježe se bez biometrijskih podataka.</w:t>
            </w:r>
          </w:p>
        </w:tc>
        <w:tc>
          <w:tcPr>
            <w:tcW w:w="4876" w:type="dxa"/>
            <w:tcBorders>
              <w:top w:val="nil"/>
              <w:left w:val="nil"/>
              <w:bottom w:val="nil"/>
              <w:right w:val="nil"/>
            </w:tcBorders>
          </w:tcPr>
          <w:p>
            <w:pPr>
              <w:pStyle w:val="Normal6a"/>
            </w:pPr>
            <w:r>
              <w:t>6.</w:t>
            </w:r>
            <w:r>
              <w:tab/>
            </w:r>
            <w:r>
              <w:t>Odbijanja ulaska o kojima je donesena odluka na graničnom prijelazu na kojem se upotrebljava EES bilježe se u EES-u, kako je utvrđeno u članku 18. Uredbe (EU) 2017/2226. Ako se EES upotrebljava s biometrijskim funkcionalnostima, odbijanja ulaska bilježe se s biometrijskim podacima. Ako se EES upotrebljava bez biometrijskih funkcionalnosti, odbijanja ulaska bilježe se bez biometrijskih podataka</w:t>
            </w:r>
            <w:r>
              <w:rPr>
                <w:b/>
                <w:i/>
              </w:rPr>
              <w:t>, osim ako se takvi podaci ne mogu preuzeti iz VIS-a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Od prvog dana postupnog početka rada EES-a Europol upotrebljava EES kako je predviđeno u Uredbi (EU) 2017/2226.</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Od</w:t>
            </w:r>
            <w:r>
              <w:t xml:space="preserve"> prvog dana postupnog početka rada EES-a Europol upotrebljava EES kako je predviđeno u Uredbi (EU) 2017/2226.</w:t>
            </w:r>
          </w:p>
        </w:tc>
        <w:tc>
          <w:tcPr>
            <w:tcW w:w="4876" w:type="dxa"/>
            <w:tcBorders>
              <w:top w:val="nil"/>
              <w:left w:val="nil"/>
              <w:bottom w:val="nil"/>
              <w:right w:val="nil"/>
            </w:tcBorders>
          </w:tcPr>
          <w:p>
            <w:pPr>
              <w:pStyle w:val="Normal6a"/>
            </w:pPr>
            <w:r>
              <w:t>7.</w:t>
            </w:r>
            <w:r>
              <w:tab/>
            </w:r>
            <w:r>
              <w:rPr>
                <w:b/>
                <w:i/>
              </w:rPr>
              <w:t>Tijekom</w:t>
            </w:r>
            <w:r>
              <w:t xml:space="preserve"> prvog dana postupnog početka rada EES-a Europol upotrebljava EES kako je predviđeno u Uredbi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 pravila iz članka 4., pravila utvrđena u ovom članku primjenjuju se tijekom postupnog početka rada EES-a.</w:t>
            </w:r>
          </w:p>
        </w:tc>
        <w:tc>
          <w:tcPr>
            <w:tcW w:w="4876" w:type="dxa"/>
            <w:tcBorders>
              <w:top w:val="nil"/>
              <w:left w:val="nil"/>
              <w:bottom w:val="nil"/>
              <w:right w:val="nil"/>
            </w:tcBorders>
          </w:tcPr>
          <w:p>
            <w:pPr>
              <w:pStyle w:val="Normal6a"/>
            </w:pPr>
            <w:r>
              <w:t>1.</w:t>
            </w:r>
            <w:r>
              <w:tab/>
            </w:r>
            <w:r>
              <w:t xml:space="preserve">Uz pravila iz članka 4., pravila utvrđena u ovom članku primjenjuju se </w:t>
            </w:r>
            <w:r>
              <w:rPr>
                <w:b/>
                <w:i/>
              </w:rPr>
              <w:t>na sve države članice</w:t>
            </w:r>
            <w:r>
              <w:t xml:space="preserve"> tijekom postupnog početka rada EES-a.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Iako bi odstupanje iz članka 4. trebalo biti opcionalno za države članice, ono mora biti u skladu s pravilima utvrđenima u članku 5. o otiskivanju pečata u putne isprave.</w:t>
      </w:r>
    </w:p>
    <w:p>
      <w:r>
        <w:rPr>
          <w:rStyle w:val="HideTWBExt"/>
        </w:rPr>
        <w:t>&lt;/AmendB&gt;</w:t>
      </w:r>
    </w:p>
    <w:p>
      <w:pPr>
        <w:pStyle w:val="AmNumberTabs"/>
      </w:pPr>
      <w:r>
        <w:rPr>
          <w:rStyle w:val="HideTWBExt"/>
        </w:rPr>
        <w:t>&lt;AmendB&gt;</w:t>
      </w:r>
      <w:r>
        <w:t>Amandman</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 unos, izmjenu, brisanje i ostvarivanje uvida u podatke u EES-u nacionalna tijela koja su nadležna za potrebe utvrđene u stavcima od 23. do 35. Uredbe (EU) 2017/2226 smatraju da pečati imaju prednost pred podacima iz EES-a, među ostalim u slučajevima nepodudaranja ili u slučajevima iz članka 16. stavka 4. te uredbe. </w:t>
            </w:r>
            <w:r>
              <w:rPr>
                <w:b/>
                <w:i/>
              </w:rPr>
              <w:t>Ako nedostaje pečat, prednost imaju podaci zabilježeni u EES-u.</w:t>
            </w:r>
          </w:p>
        </w:tc>
        <w:tc>
          <w:tcPr>
            <w:tcW w:w="4876" w:type="dxa"/>
            <w:tcBorders>
              <w:top w:val="nil"/>
              <w:left w:val="nil"/>
              <w:bottom w:val="nil"/>
              <w:right w:val="nil"/>
            </w:tcBorders>
          </w:tcPr>
          <w:p>
            <w:pPr>
              <w:pStyle w:val="Normal6a"/>
            </w:pPr>
            <w:r>
              <w:t>3.</w:t>
            </w:r>
            <w:r>
              <w:tab/>
            </w:r>
            <w:r>
              <w:t>Za unos, izmjenu, brisanje i ostvarivanje uvida u podatke u EES-u nacionalna tijela koja su nadležna za potrebe utvrđene u stavcima od 23. do 35. Uredbe (EU) 2017/2226 smatraju da pečati imaju prednost pred podacima iz EES-a, među ostalim u slučajevima nepodudaranja ili u slučajevima iz članka 16. stavka 4. te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4.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Ako u putnoj ispravi nema pečata </w:t>
            </w:r>
            <w:r>
              <w:rPr>
                <w:b/>
                <w:i/>
              </w:rPr>
              <w:t>i</w:t>
            </w:r>
            <w:r>
              <w:t xml:space="preserve"> za državljanina treće zemlje koji se nalazi na državnom području država članica </w:t>
            </w:r>
            <w:r>
              <w:rPr>
                <w:b/>
                <w:i/>
              </w:rPr>
              <w:t>nije otvoren osobni dosje u EES-u</w:t>
            </w:r>
            <w:r>
              <w:t>, nacionalna tijela mogu pretpostaviti da državljanin treće zemlje ne ispunjava ili više ne ispunjava uvjete koji se odnose na ulazak ili boravak u državama članicama.</w:t>
            </w:r>
          </w:p>
        </w:tc>
        <w:tc>
          <w:tcPr>
            <w:tcW w:w="4876" w:type="dxa"/>
            <w:tcBorders>
              <w:top w:val="nil"/>
              <w:left w:val="nil"/>
              <w:bottom w:val="nil"/>
              <w:right w:val="nil"/>
            </w:tcBorders>
          </w:tcPr>
          <w:p>
            <w:pPr>
              <w:pStyle w:val="Normal6a"/>
            </w:pPr>
            <w:r>
              <w:t>Ako u putnoj ispravi nema pečata za državljanina treće zemlje koji se nalazi na državnom području država članica, nacionalna tijela mogu pretpostaviti da državljanin treće zemlje ne ispunjava ili više ne ispunjava uvjete koji se odnose na ulazak ili boravak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4.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Ako u putnoj ispravi nema pečata i za državljanina treće zemlje koji se nalazi na državnom području država članica nije otvoren osobni dosje u EES-u, nacionalna tijela </w:t>
            </w:r>
            <w:r>
              <w:rPr>
                <w:b/>
                <w:i/>
              </w:rPr>
              <w:t>mogu</w:t>
            </w:r>
            <w:r>
              <w:t xml:space="preserve"> pretpostaviti da državljanin treće zemlje ne ispunjava ili više ne ispunjava uvjete koji se odnose na ulazak ili boravak u državama članicama.</w:t>
            </w:r>
          </w:p>
        </w:tc>
        <w:tc>
          <w:tcPr>
            <w:tcW w:w="4876" w:type="dxa"/>
            <w:tcBorders>
              <w:top w:val="nil"/>
              <w:left w:val="nil"/>
              <w:bottom w:val="nil"/>
              <w:right w:val="nil"/>
            </w:tcBorders>
          </w:tcPr>
          <w:p>
            <w:pPr>
              <w:pStyle w:val="Normal6a"/>
            </w:pPr>
            <w:r>
              <w:t xml:space="preserve">Ako u putnoj ispravi nema pečata i za državljanina treće zemlje koji se nalazi na državnom području država članica nije otvoren osobni dosje u EES-u, nacionalna tijela </w:t>
            </w:r>
            <w:r>
              <w:rPr>
                <w:b/>
                <w:i/>
              </w:rPr>
              <w:t>moraju</w:t>
            </w:r>
            <w:r>
              <w:t xml:space="preserve"> pretpostaviti da državljanin treće zemlje ne ispunjava ili više ne ispunjava uvjete koji se odnose na ulazak ili boravak u državama članicama.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Nacionalna tijela i Europol zanemaruju sljedeće: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rezultate automatiziranog kalkulatora koji pokazuje maksimalno trajanje dopuštenog boravka iz članka 11.</w:t>
            </w:r>
            <w:r>
              <w:rPr>
                <w:b/>
                <w:i/>
              </w:rPr>
              <w:t xml:space="preserve"> </w:t>
            </w:r>
            <w:r>
              <w:rPr>
                <w:b/>
                <w:i/>
              </w:rPr>
              <w:t>Uredbe (EU) 2017/2226;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automatski sastavljeni popis osoba koje su prekoračile trajanje dopuštenog boravka i njegove posljedice, posebno iz članka 6. stavka 1. točaka (c) i (h), članka 12. stavka 3., članka 16. stavka 4., članka 34. stavka 3., članka 50. stavka 1. točaka (i) i (k), članka 63. stavka 1. točke (e) te uredbe.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 tijeku je postupno uvođenje sustava ulaska/izlaska. Za vrijeme tog razdoblja uvođenja [od...] Vaši osobni podaci, uključujući biometrijske podatke, možda se neće prikupljati za potrebe sustava ulaska/izlaska na vanjskim granicama svih država članica. </w:t>
            </w:r>
            <w:r>
              <w:rPr>
                <w:b/>
                <w:i/>
              </w:rPr>
              <w:t>Ako moramo obvezno prikupiti te informacije, a Vi ih ne navedete, ulazak će Vam biti odbijen</w:t>
            </w:r>
            <w:r>
              <w:t>. U razdoblju postupnog uvođenja Vaši podaci neće se automatski dodavati na popis osoba koje su prekoračile trajanje dopuštenog boravka. Osim toga, na internetskim stranicama ili uz pomoć opreme dostupne na graničnim prijelazima nećete moći provjeriti koliko Vam je još dopušteno ostati.</w:t>
            </w:r>
          </w:p>
        </w:tc>
        <w:tc>
          <w:tcPr>
            <w:tcW w:w="4876" w:type="dxa"/>
            <w:tcBorders>
              <w:top w:val="nil"/>
              <w:left w:val="nil"/>
              <w:bottom w:val="nil"/>
              <w:right w:val="nil"/>
            </w:tcBorders>
          </w:tcPr>
          <w:p>
            <w:pPr>
              <w:pStyle w:val="Normal6a"/>
            </w:pPr>
            <w:r>
              <w:t xml:space="preserve">U tijeku je postupno uvođenje sustava ulaska/izlaska. Za vrijeme tog razdoblja uvođenja [od...] Vaši osobni podaci, uključujući biometrijske podatke, možda se neće prikupljati za potrebe sustava ulaska/izlaska na vanjskim granicama svih država članica. </w:t>
            </w:r>
            <w:r>
              <w:rPr>
                <w:b/>
                <w:i/>
              </w:rPr>
              <w:t>Na graničnim prijelazima na kojima sustav ulaska/izlaska upotrebljava s biometrijskim funkcijama obvezni ste dati biometrijske podatke.</w:t>
            </w:r>
            <w:r>
              <w:t xml:space="preserve"> </w:t>
            </w:r>
            <w:r>
              <w:rPr>
                <w:b/>
                <w:i/>
              </w:rPr>
              <w:t>Izostanak registracije biometrijskih podataka tijekom razdoblja postupnog početka rada sustava ulaska/izlaska neće sam po sebi dovesti do automatskog odbijanja ulaska</w:t>
            </w:r>
            <w:r>
              <w:t>. U razdoblju postupnog uvođenja Vaši podaci neće se automatski dodavati na popis osoba koje su prekoračile trajanje dopuštenog boravka. Osim toga, na internetskim stranicama ili uz pomoć opreme dostupne na graničnim prijelazima nećete moći provjeriti koliko Vam je još dopušteno ostati.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u ime Kluba zastupnika S&amp;D-a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 tijeku je postupno uvođenje sustava ulaska/izlaska. Za vrijeme tog razdoblja uvođenja [od...] Vaši osobni podaci, uključujući biometrijske podatke, možda </w:t>
            </w:r>
            <w:r>
              <w:rPr>
                <w:b/>
                <w:i/>
              </w:rPr>
              <w:t>se neće</w:t>
            </w:r>
            <w:r>
              <w:t xml:space="preserve"> prikupljati za potrebe sustava ulaska/izlaska na vanjskim granicama </w:t>
            </w:r>
            <w:r>
              <w:rPr>
                <w:b/>
                <w:i/>
              </w:rPr>
              <w:t>svih</w:t>
            </w:r>
            <w:r>
              <w:t xml:space="preserve"> država članica. Ako </w:t>
            </w:r>
            <w:r>
              <w:rPr>
                <w:b/>
                <w:i/>
              </w:rPr>
              <w:t>moramo obvezno prikupiti te informacije, a</w:t>
            </w:r>
            <w:r>
              <w:t xml:space="preserve"> Vi ih </w:t>
            </w:r>
            <w:r>
              <w:rPr>
                <w:b/>
                <w:i/>
              </w:rPr>
              <w:t>ne navedete</w:t>
            </w:r>
            <w:r>
              <w:t>, ulazak će Vam biti odbijen. U razdoblju postupnog uvođenja Vaši podaci neće se automatski dodavati na popis osoba koje su prekoračile trajanje dopuštenog boravka. Osim toga, na internetskim stranicama ili uz pomoć opreme dostupne na graničnim prijelazima nećete moći provjeriti koliko Vam je još dopušteno ostati.</w:t>
            </w:r>
          </w:p>
        </w:tc>
        <w:tc>
          <w:tcPr>
            <w:tcW w:w="4876" w:type="dxa"/>
            <w:tcBorders>
              <w:top w:val="nil"/>
              <w:left w:val="nil"/>
              <w:bottom w:val="nil"/>
              <w:right w:val="nil"/>
            </w:tcBorders>
          </w:tcPr>
          <w:p>
            <w:pPr>
              <w:pStyle w:val="Normal6a"/>
            </w:pPr>
            <w:r>
              <w:t xml:space="preserve">U tijeku je postupno uvođenje sustava ulaska/izlaska. Za vrijeme tog razdoblja uvođenja [od...] Vaši osobni podaci, uključujući biometrijske podatke, možda </w:t>
            </w:r>
            <w:r>
              <w:rPr>
                <w:b/>
                <w:i/>
              </w:rPr>
              <w:t>će se</w:t>
            </w:r>
            <w:r>
              <w:t xml:space="preserve"> prikupljati za potrebe sustava ulaska/izlaska na vanjskim granicama </w:t>
            </w:r>
            <w:r>
              <w:rPr>
                <w:b/>
                <w:i/>
              </w:rPr>
              <w:t>određenih država članica te se možda neće prikupljati na vanjskim granicama drugih</w:t>
            </w:r>
            <w:r>
              <w:t xml:space="preserve"> država članica. Ako </w:t>
            </w:r>
            <w:r>
              <w:rPr>
                <w:b/>
                <w:i/>
              </w:rPr>
              <w:t>država članica od Vas zatraži da dopustite prikupljanje tih informacija i</w:t>
            </w:r>
            <w:r>
              <w:t xml:space="preserve"> Vi ih </w:t>
            </w:r>
            <w:r>
              <w:rPr>
                <w:b/>
                <w:i/>
              </w:rPr>
              <w:t>odlučite ne dostaviti</w:t>
            </w:r>
            <w:r>
              <w:t xml:space="preserve">, ulazak će Vam biti odbijen. U razdoblju postupnog uvođenja Vaši podaci neće se automatski dodavati na popis osoba koje su </w:t>
            </w:r>
            <w:r>
              <w:rPr>
                <w:b/>
                <w:i/>
              </w:rPr>
              <w:t>potencijalno</w:t>
            </w:r>
            <w:r>
              <w:t xml:space="preserve"> prekoračile trajanje dopuštenog boravka. Osim toga, na internetskim stranicama ili uz pomoć opreme dostupne na graničnim prijelazima nećete moći provjeriti koliko Vam je još dopušteno ostati. </w:t>
            </w:r>
            <w:r>
              <w:rPr>
                <w:b/>
                <w:i/>
              </w:rPr>
              <w:t>Sva pitanja o trajanju Vašeg dopuštenog boravka možete uputiti nadležnim nacionalnim tijelima na vanjskim granicama.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(Ovaj se amandman primjenjuje samo na predložene dodatne podatke iz članka 5. stavka 9. ove Uredbe.)</w:t>
      </w:r>
    </w:p>
    <w:p>
      <w:r>
        <w:rPr>
          <w:rStyle w:val="HideTWBExt"/>
        </w:rPr>
        <w:t>&lt;/AmendB&gt;</w:t>
      </w:r>
    </w:p>
    <w:p>
      <w:pPr>
        <w:pStyle w:val="AmNumberTabs"/>
      </w:pPr>
      <w:r>
        <w:rPr>
          <w:rStyle w:val="HideTWBExt"/>
        </w:rPr>
        <w:t>&lt;AmendB&gt;</w:t>
      </w:r>
      <w:r>
        <w:t>Amandman</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 informativnoj kampanji iz članka 51. Uredbe (EU) 2017/2226 koja prati početak rada EES-a vodi se računa o posebnim uvjetima na graničnim prijelazima i o tome da osobe na koje se to odnosi dobiju sve relevantne informacije, uzimajući u obzir faze utvrđene u članku 4. ove Uredbe. Komisija </w:t>
            </w:r>
            <w:r>
              <w:rPr>
                <w:b/>
                <w:i/>
              </w:rPr>
              <w:t>pomaže državama članicama</w:t>
            </w:r>
            <w:r>
              <w:t xml:space="preserve"> u pripremi prilagođenih materijala za informativnu kampanju.</w:t>
            </w:r>
          </w:p>
        </w:tc>
        <w:tc>
          <w:tcPr>
            <w:tcW w:w="4876" w:type="dxa"/>
            <w:tcBorders>
              <w:top w:val="nil"/>
              <w:left w:val="nil"/>
              <w:bottom w:val="nil"/>
              <w:right w:val="nil"/>
            </w:tcBorders>
          </w:tcPr>
          <w:p>
            <w:pPr>
              <w:pStyle w:val="Normal6a"/>
            </w:pPr>
            <w:r>
              <w:t>11.</w:t>
            </w:r>
            <w:r>
              <w:tab/>
            </w:r>
            <w:r>
              <w:t xml:space="preserve">U informativnoj kampanji iz članka 51. Uredbe (EU) 2017/2226 koja prati početak rada EES-a vodi se računa o posebnim uvjetima na graničnim prijelazima i o tome da osobe na koje se to odnosi dobiju sve relevantne informacije, uzimajući u obzir faze utvrđene u članku 4. ove Uredbe. Komisija </w:t>
            </w:r>
            <w:r>
              <w:rPr>
                <w:b/>
                <w:i/>
              </w:rPr>
              <w:t>u suradnji s nadzornim tijelima i Europskim nadzornikom za zaštitu podataka podupire države članice</w:t>
            </w:r>
            <w:r>
              <w:t xml:space="preserve"> u pripremi prilagođenih materijala za informativnu kampanju.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Suspendira se primjena</w:t>
            </w:r>
            <w:r>
              <w:t xml:space="preserve"> članka 12. stavaka 1</w:t>
            </w:r>
            <w:r>
              <w:rPr>
                <w:b/>
                <w:i/>
              </w:rPr>
              <w:t>. i 2</w:t>
            </w:r>
            <w:r>
              <w:t xml:space="preserve">., članka 13. stavaka 1. i 2., članka 20. i članka </w:t>
            </w:r>
            <w:r>
              <w:rPr>
                <w:b/>
                <w:i/>
              </w:rPr>
              <w:t>21.</w:t>
            </w:r>
            <w:r>
              <w:t xml:space="preserve"> Uredbe (EU) 2017/2226.</w:t>
            </w:r>
          </w:p>
        </w:tc>
        <w:tc>
          <w:tcPr>
            <w:tcW w:w="4876" w:type="dxa"/>
            <w:tcBorders>
              <w:top w:val="nil"/>
              <w:left w:val="nil"/>
              <w:bottom w:val="nil"/>
              <w:right w:val="nil"/>
            </w:tcBorders>
          </w:tcPr>
          <w:p>
            <w:pPr>
              <w:pStyle w:val="Normal6a"/>
            </w:pPr>
            <w:r>
              <w:t>12.</w:t>
            </w:r>
            <w:r>
              <w:tab/>
            </w:r>
            <w:r>
              <w:rPr>
                <w:b/>
                <w:i/>
              </w:rPr>
              <w:t>Primjena članka 11.,</w:t>
            </w:r>
            <w:r>
              <w:t xml:space="preserve"> članka 12. stavaka 1</w:t>
            </w:r>
            <w:r>
              <w:rPr>
                <w:b/>
                <w:i/>
              </w:rPr>
              <w:t>., 2. i 3</w:t>
            </w:r>
            <w:r>
              <w:t>., članka 13. stavaka 1. i 2., članka 20.</w:t>
            </w:r>
            <w:r>
              <w:rPr>
                <w:b/>
                <w:i/>
              </w:rPr>
              <w:t>, članka 21.</w:t>
            </w:r>
            <w:r>
              <w:t xml:space="preserve"> i članka </w:t>
            </w:r>
            <w:r>
              <w:rPr>
                <w:b/>
                <w:i/>
              </w:rPr>
              <w:t>63. stavka 1. točke (e)</w:t>
            </w:r>
            <w:r>
              <w:t xml:space="preserve"> Uredbe (EU) 2017/2226 </w:t>
            </w:r>
            <w:r>
              <w:rPr>
                <w:b/>
                <w:i/>
              </w:rPr>
              <w:t>suspendira se do kraja postupnog početka rada EES-a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Odstupajući od članka 22. Uredbe (EU) 2017/2226 i članka 12.a Uredbe (EU) 2016/399, prijelazno razdoblje i prijelazne mjere utvrđeni u tim člancima primjenjuju se </w:t>
            </w:r>
            <w:r>
              <w:rPr>
                <w:b/>
                <w:i/>
              </w:rPr>
              <w:t>od prvog</w:t>
            </w:r>
            <w:r>
              <w:t xml:space="preserve"> dana nakon završetka postupnog početka rada EES-a.</w:t>
            </w:r>
          </w:p>
        </w:tc>
        <w:tc>
          <w:tcPr>
            <w:tcW w:w="4876" w:type="dxa"/>
            <w:tcBorders>
              <w:top w:val="nil"/>
              <w:left w:val="nil"/>
              <w:bottom w:val="nil"/>
              <w:right w:val="nil"/>
            </w:tcBorders>
          </w:tcPr>
          <w:p>
            <w:pPr>
              <w:pStyle w:val="Normal6a"/>
            </w:pPr>
            <w:r>
              <w:t>13.</w:t>
            </w:r>
            <w:r>
              <w:tab/>
            </w:r>
            <w:r>
              <w:t xml:space="preserve">Odstupajući od članka 22. Uredbe (EU) 2017/2226 i članka 12.a Uredbe (EU) 2016/399, prijelazno razdoblje i prijelazne mjere utvrđeni u tim člancima primjenjuju se </w:t>
            </w:r>
            <w:r>
              <w:rPr>
                <w:b/>
                <w:i/>
              </w:rPr>
              <w:t>90</w:t>
            </w:r>
            <w:r>
              <w:t xml:space="preserve"> dana nakon završetka postupnog početka rada EES-a.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Uredbom o EES-u propisano je da pojedinci koji ulaze u schengensko područje prije nego što EES postane operativan moraju imati dosje pripremljen pri ulasku.</w:t>
      </w:r>
      <w:r>
        <w:t xml:space="preserve"> </w:t>
      </w:r>
      <w:r>
        <w:t>Kako bi se pojednostavnili postupci izlaska, predlažemo da se zahtjev za izradu dosjea pri napuštanju schengenskog područja produži za 90 dana.</w:t>
      </w:r>
    </w:p>
    <w:p>
      <w:r>
        <w:rPr>
          <w:rStyle w:val="HideTWBExt"/>
        </w:rPr>
        <w:t>&lt;/AmendB&gt;</w:t>
      </w:r>
    </w:p>
    <w:p>
      <w:pPr>
        <w:pStyle w:val="AmNumberTabs"/>
      </w:pPr>
      <w:r>
        <w:rPr>
          <w:rStyle w:val="HideTWBExt"/>
        </w:rPr>
        <w:t>&lt;AmendB&gt;</w:t>
      </w:r>
      <w:r>
        <w:t>Amandman</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14. – podstavak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Odstupajući od drugog podstavka, </w:t>
            </w:r>
            <w:r>
              <w:rPr>
                <w:b/>
                <w:i/>
              </w:rPr>
              <w:t>na graničnim prijelazima na kojima se EES upotrebljava bez biometrijskih funkcionalnosti</w:t>
            </w:r>
            <w:r>
              <w:t xml:space="preserve"> ne primjenjuju se članak 6. stavak 1. točka (f) podtočka i. i odredbe o provjeri državljana trećih zemalja na temelju biometrijskih podataka isključivo za potrebe EES-a iz članka 6. točke (f) podtočke ii. i članka 8. stavka 3. točaka (a) i (g) Uredbe (EU) 2016/399.</w:t>
            </w:r>
          </w:p>
        </w:tc>
        <w:tc>
          <w:tcPr>
            <w:tcW w:w="4876" w:type="dxa"/>
            <w:tcBorders>
              <w:top w:val="nil"/>
              <w:left w:val="nil"/>
              <w:bottom w:val="nil"/>
              <w:right w:val="nil"/>
            </w:tcBorders>
          </w:tcPr>
          <w:p>
            <w:pPr>
              <w:pStyle w:val="Normal6a"/>
            </w:pPr>
            <w:r>
              <w:t xml:space="preserve">Odstupajući od drugog podstavka, </w:t>
            </w:r>
            <w:r>
              <w:rPr>
                <w:b/>
                <w:i/>
              </w:rPr>
              <w:t>tijekom postupnog početka rada EES-a</w:t>
            </w:r>
            <w:r>
              <w:t xml:space="preserve"> ne primjenjuju se članak 6. stavak 1. točka (f) podtočka i. i odredbe o provjeri državljana trećih zemalja na temelju biometrijskih podataka isključivo za potrebe EES-a iz članka 6. točke (f) podtočke ii. i članka 8. stavka 3. točaka (a) i (g) Uredbe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Kako bi se osiguralo da državljani trećih zemalja jasno shvaćaju gdje se mogu registrirati na graničnim prijelazima, važno je uspostaviti zajedničke identifikacijske točke i upotrebljavati dosljednu komunikaciju u svim državama članicama.</w:t>
            </w:r>
            <w:r>
              <w:t xml:space="preserve"> </w:t>
            </w:r>
            <w:r>
              <w:rPr>
                <w:b/>
                <w:i/>
              </w:rPr>
              <w:t>To pomaže u sprečavanju zabuna i nepotrebnog zagušenja tijekom registracije.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Kad pristupaju bilješkama o ulasku i izlasku registriranima u EES-u tijekom postupnog početka rada EES-a pri obavljanju svojih zadaća:</w:t>
            </w:r>
          </w:p>
        </w:tc>
        <w:tc>
          <w:tcPr>
            <w:tcW w:w="4876" w:type="dxa"/>
            <w:tcBorders>
              <w:top w:val="nil"/>
              <w:left w:val="nil"/>
              <w:bottom w:val="nil"/>
              <w:right w:val="nil"/>
            </w:tcBorders>
          </w:tcPr>
          <w:p>
            <w:pPr>
              <w:pStyle w:val="Normal6a"/>
            </w:pPr>
            <w:r>
              <w:t>1.</w:t>
            </w:r>
            <w:r>
              <w:tab/>
            </w:r>
            <w:r>
              <w:t>Kad pristupaju bilješkama o ulasku i izlasku registriranima u EES-u tijekom postupnog početka rada EES-a</w:t>
            </w:r>
            <w:r>
              <w:rPr>
                <w:b/>
                <w:i/>
              </w:rPr>
              <w:t>, nacionalna tijela</w:t>
            </w:r>
            <w:r>
              <w:t xml:space="preserve"> pri obavljanju svojih zadaća </w:t>
            </w:r>
            <w:r>
              <w:rPr>
                <w:b/>
                <w:i/>
              </w:rPr>
              <w:t>vode računa o tome da bi podaci mogli biti nepotpuni.</w:t>
            </w:r>
            <w:r>
              <w:t xml:space="preserve"> </w:t>
            </w:r>
            <w:r>
              <w:rPr>
                <w:b/>
                <w:i/>
              </w:rPr>
              <w:t>U tom pogledu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nacionalna tijela i Europol uzimaju u obzir da bi zbog različite razine upotrebe EES-a u pojedinim državama članicama tijekom postupnog početka rada EES-a podaci mogli biti nepotpuni;</w:t>
            </w:r>
          </w:p>
        </w:tc>
        <w:tc>
          <w:tcPr>
            <w:tcW w:w="4876" w:type="dxa"/>
            <w:tcBorders>
              <w:top w:val="nil"/>
              <w:left w:val="nil"/>
              <w:bottom w:val="nil"/>
              <w:right w:val="nil"/>
            </w:tcBorders>
          </w:tcPr>
          <w:p>
            <w:pPr>
              <w:pStyle w:val="Normal6a"/>
            </w:pPr>
            <w:r>
              <w:t>(a)</w:t>
            </w:r>
            <w:r>
              <w:tab/>
            </w:r>
            <w:r>
              <w:t xml:space="preserve">nacionalna tijela i Europol uzimaju u obzir da bi zbog različite razine upotrebe EES-a u pojedinim državama članicama tijekom postupnog početka rada EES-a podaci mogli biti nepotpuni </w:t>
            </w:r>
            <w:r>
              <w:rPr>
                <w:b/>
                <w:i/>
              </w:rPr>
              <w:t>ili netočni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nacionalna tijela </w:t>
            </w:r>
            <w:r>
              <w:rPr>
                <w:b/>
                <w:i/>
              </w:rPr>
              <w:t>i Europol uzimaju u obzir da bi zbog različite razine upotrebe EES-a u pojedinim državama članicama tijekom postupnog početka rada EES-a podaci mogli biti nepotpuni</w:t>
            </w:r>
            <w:r>
              <w:t>;</w:t>
            </w:r>
          </w:p>
        </w:tc>
        <w:tc>
          <w:tcPr>
            <w:tcW w:w="4876" w:type="dxa"/>
            <w:tcBorders>
              <w:top w:val="nil"/>
              <w:left w:val="nil"/>
              <w:bottom w:val="nil"/>
              <w:right w:val="nil"/>
            </w:tcBorders>
          </w:tcPr>
          <w:p>
            <w:pPr>
              <w:pStyle w:val="Normal6a"/>
            </w:pPr>
            <w:r>
              <w:t>(a)</w:t>
            </w:r>
            <w:r>
              <w:tab/>
            </w:r>
            <w:r>
              <w:t xml:space="preserve">nacionalna tijela </w:t>
            </w:r>
            <w:r>
              <w:rPr>
                <w:b/>
                <w:i/>
              </w:rPr>
              <w:t>ne donose odluke koje negativno utječu na pojedince isključivo na temelju podataka registriranih u EES-u ili na temelju izostanka registracije ulaska ili izlaska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nacionalna tijela </w:t>
            </w:r>
            <w:r>
              <w:rPr>
                <w:b/>
                <w:i/>
              </w:rPr>
              <w:t>pri priopćavanju</w:t>
            </w:r>
            <w:r>
              <w:t xml:space="preserve"> podataka u skladu s člancima 41. i 42. Uredbe (EU) 2017/2226 </w:t>
            </w:r>
            <w:r>
              <w:rPr>
                <w:b/>
                <w:i/>
              </w:rPr>
              <w:t>uzimaju u obzir da bi podaci mogli biti nepotpuni</w:t>
            </w:r>
            <w:r>
              <w:t>;</w:t>
            </w:r>
          </w:p>
        </w:tc>
        <w:tc>
          <w:tcPr>
            <w:tcW w:w="4876" w:type="dxa"/>
            <w:tcBorders>
              <w:top w:val="nil"/>
              <w:left w:val="nil"/>
              <w:bottom w:val="nil"/>
              <w:right w:val="nil"/>
            </w:tcBorders>
          </w:tcPr>
          <w:p>
            <w:pPr>
              <w:pStyle w:val="Normal6a"/>
            </w:pPr>
            <w:r>
              <w:t>(b)</w:t>
            </w:r>
            <w:r>
              <w:tab/>
            </w:r>
            <w:r>
              <w:t xml:space="preserve">nacionalna tijela </w:t>
            </w:r>
            <w:r>
              <w:rPr>
                <w:b/>
                <w:i/>
              </w:rPr>
              <w:t>izbjegavaju priopćavanje</w:t>
            </w:r>
            <w:r>
              <w:t xml:space="preserve"> podataka u skladu s člancima 41. i 42.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nacionalna tijela pri priopćavanju podataka u skladu s člancima 41. i 42. Uredbe (EU) 2017/2226 uzimaju u obzir da bi podaci mogli biti nepotpuni;</w:t>
            </w:r>
          </w:p>
        </w:tc>
        <w:tc>
          <w:tcPr>
            <w:tcW w:w="4876" w:type="dxa"/>
            <w:tcBorders>
              <w:top w:val="nil"/>
              <w:left w:val="nil"/>
              <w:bottom w:val="nil"/>
              <w:right w:val="nil"/>
            </w:tcBorders>
          </w:tcPr>
          <w:p>
            <w:pPr>
              <w:pStyle w:val="Normal6a"/>
            </w:pPr>
            <w:r>
              <w:t>(b)</w:t>
            </w:r>
            <w:r>
              <w:tab/>
            </w:r>
            <w:r>
              <w:t xml:space="preserve">nacionalna tijela pri priopćavanju podataka u skladu s člancima 41. i 42. Uredbe (EU) 2017/2226 uzimaju u obzir da bi podaci mogli biti nepotpuni </w:t>
            </w:r>
            <w:r>
              <w:rPr>
                <w:b/>
                <w:i/>
              </w:rPr>
              <w:t>ili netočni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središnja jedinica ETIAS-a </w:t>
            </w:r>
            <w:r>
              <w:rPr>
                <w:b/>
                <w:i/>
              </w:rPr>
              <w:t>uzima u obzir da bi bilješke o ulasku i izlasku registrirane u EES-u tijekom postupnog početka rada EES-a mogle uključivati nepotpune skupove podataka</w:t>
            </w:r>
            <w:r>
              <w:t xml:space="preserve"> za potrebe provjere u skladu s člankom 25.a stavkom 2. Uredbe (EU) 2017/2226.</w:t>
            </w:r>
          </w:p>
        </w:tc>
        <w:tc>
          <w:tcPr>
            <w:tcW w:w="4876" w:type="dxa"/>
            <w:tcBorders>
              <w:top w:val="nil"/>
              <w:left w:val="nil"/>
              <w:bottom w:val="nil"/>
              <w:right w:val="nil"/>
            </w:tcBorders>
          </w:tcPr>
          <w:p>
            <w:pPr>
              <w:pStyle w:val="Normal6a"/>
            </w:pPr>
            <w:r>
              <w:t>(c)</w:t>
            </w:r>
            <w:r>
              <w:tab/>
            </w:r>
            <w:r>
              <w:t xml:space="preserve">središnja jedinica ETIAS-a </w:t>
            </w:r>
            <w:r>
              <w:rPr>
                <w:b/>
                <w:i/>
              </w:rPr>
              <w:t>suzdržava se od upotrebe podataka iz EES-a</w:t>
            </w:r>
            <w:r>
              <w:t xml:space="preserve"> za potrebe provjere u skladu s člankom 25.a stavkom 2.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središnja jedinica ETIAS-a uzima u obzir da bi bilješke o ulasku i izlasku registrirane u EES-u tijekom postupnog početka rada EES-a mogle uključivati nepotpune skupove podataka za potrebe provjere u skladu s člankom 25.a stavkom 2. Uredbe (EU) 2017/2226.</w:t>
            </w:r>
          </w:p>
        </w:tc>
        <w:tc>
          <w:tcPr>
            <w:tcW w:w="4876" w:type="dxa"/>
            <w:tcBorders>
              <w:top w:val="nil"/>
              <w:left w:val="nil"/>
              <w:bottom w:val="nil"/>
              <w:right w:val="nil"/>
            </w:tcBorders>
          </w:tcPr>
          <w:p>
            <w:pPr>
              <w:pStyle w:val="Normal6a"/>
            </w:pPr>
            <w:r>
              <w:t>(c)</w:t>
            </w:r>
            <w:r>
              <w:tab/>
            </w:r>
            <w:r>
              <w:t xml:space="preserve">središnja jedinica ETIAS-a uzima u obzir da bi bilješke o ulasku i izlasku registrirane u EES-u tijekom postupnog početka rada EES-a mogle uključivati nepotpune </w:t>
            </w:r>
            <w:r>
              <w:rPr>
                <w:b/>
                <w:i/>
              </w:rPr>
              <w:t>ili netočne</w:t>
            </w:r>
            <w:r>
              <w:t xml:space="preserve"> skupove podataka za potrebe provjere u skladu s člankom 25.a stavkom 2.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Odluke koje bi mogle negativno utjecati na pojedince stoga se ne mogu donositi samo na temelju toga što u EES-u nema registracije navodnog ulaska ili izlaska.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Nadležna tijela, Komisija i relevantne agencije Unije uzimaju u obzir pri pristupu podacima za izvješćivanje i u statističke svrhe iz članka 63. Uredbe (EU) 2017/2226 da podaci registrirani u EES-u tijekom postupnog početka rada EES-a mogu biti nepotpuni.</w:t>
            </w:r>
          </w:p>
        </w:tc>
        <w:tc>
          <w:tcPr>
            <w:tcW w:w="4876" w:type="dxa"/>
            <w:tcBorders>
              <w:top w:val="nil"/>
              <w:left w:val="nil"/>
              <w:bottom w:val="nil"/>
              <w:right w:val="nil"/>
            </w:tcBorders>
          </w:tcPr>
          <w:p>
            <w:pPr>
              <w:pStyle w:val="Normal6a"/>
            </w:pPr>
            <w:r>
              <w:t>2.</w:t>
            </w:r>
            <w:r>
              <w:tab/>
            </w:r>
            <w:r>
              <w:t xml:space="preserve">Nadležna tijela, Komisija i relevantne agencije Unije uzimaju u obzir pri pristupu podacima za izvješćivanje i u statističke svrhe iz članka 63. Uredbe (EU) 2017/2226 da podaci registrirani u EES-u tijekom postupnog početka rada EES-a mogu biti nepotpuni </w:t>
            </w:r>
            <w:r>
              <w:rPr>
                <w:b/>
                <w:i/>
              </w:rPr>
              <w:t>ili netočni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Pri ispunjavanju obveza iz članaka 35. i 52. Uredbe (EU) 2017/2226 u vezi s dopunom osobnih podataka zabilježenih u EES-u države članice dopunjuju relevantne podatke samo u mjeri u kojoj je to moguće, uzimajući u obzir ograničenu dostupnost skupova podataka prikupljenih tijekom postupnog početka rada EES-a. Ako je primjenjivo, upravna odluka iz članka 52. stavka 4. Uredbe (EU) 2017/2226 odnosi se na uvjete utvrđene u članku 4. ove Uredbe koji omogućuju registraciju nepotpunih dosjea.</w:t>
            </w:r>
          </w:p>
        </w:tc>
        <w:tc>
          <w:tcPr>
            <w:tcW w:w="4876" w:type="dxa"/>
            <w:tcBorders>
              <w:top w:val="nil"/>
              <w:left w:val="nil"/>
              <w:bottom w:val="nil"/>
              <w:right w:val="nil"/>
            </w:tcBorders>
          </w:tcPr>
          <w:p>
            <w:pPr>
              <w:pStyle w:val="Normal6a"/>
            </w:pPr>
            <w:r>
              <w:t>4.</w:t>
            </w:r>
            <w:r>
              <w:tab/>
            </w:r>
            <w:r>
              <w:t xml:space="preserve">Pri ispunjavanju obveza iz članaka 35. i 52. Uredbe (EU) 2017/2226 u vezi s dopunom osobnih podataka zabilježenih u EES-u države članice dopunjuju relevantne podatke samo u mjeri u kojoj je to moguće, uzimajući u obzir ograničenu dostupnost skupova podataka prikupljenih tijekom postupnog početka rada EES-a. Ako je primjenjivo, upravna odluka iz članka 52. stavka 4. Uredbe (EU) 2017/2226 odnosi se na uvjete utvrđene u članku 4. ove Uredbe koji omogućuju registraciju nepotpunih dosjea. </w:t>
            </w:r>
            <w:r>
              <w:rPr>
                <w:b/>
                <w:i/>
              </w:rPr>
              <w:t>Moguća nepotpunost podataka zabilježenih u EES-u uslijed postupnog početka rada ni u kojem slučaju nije osnova za odstupanje od pravila utvrđenih u člancima 52. i 53.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Odstupajući od članka 33. Uredbe (EU) 2017/2226, propisno ovlašteno osoblje Europola nema pristup podacima registriranima u EES-u tijekom postupnog početka rada EES-a za potrebe utvrđene u njemu.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Tijekom postupnog početka rada EES-a države članice mogu potpuno ili djelomično suspendirati upotrebu EES-a na određenim graničnim prijelazima u </w:t>
            </w:r>
            <w:r>
              <w:rPr>
                <w:b/>
                <w:i/>
              </w:rPr>
              <w:t>iznimnim okolnostima</w:t>
            </w:r>
            <w:r>
              <w:t xml:space="preserve"> kvara središnjeg sustava EES-a, nacionalnih sustava ili komunikacijske infrastrukture ili događaja koji uzrokuju tako gust promet da vrijeme čekanja na graničnom prijelazu postane predugo.</w:t>
            </w:r>
          </w:p>
        </w:tc>
        <w:tc>
          <w:tcPr>
            <w:tcW w:w="4876" w:type="dxa"/>
            <w:tcBorders>
              <w:top w:val="nil"/>
              <w:left w:val="nil"/>
              <w:bottom w:val="nil"/>
              <w:right w:val="nil"/>
            </w:tcBorders>
          </w:tcPr>
          <w:p>
            <w:pPr>
              <w:pStyle w:val="Normal6a"/>
            </w:pPr>
            <w:r>
              <w:t xml:space="preserve">Tijekom postupnog početka rada EES-a države članice mogu potpuno ili djelomično suspendirati upotrebu EES-a na određenim graničnim prijelazima u </w:t>
            </w:r>
            <w:r>
              <w:rPr>
                <w:b/>
                <w:i/>
              </w:rPr>
              <w:t>slučaju</w:t>
            </w:r>
            <w:r>
              <w:t> kvara središnjeg sustava EES-a, nacionalnih sustava ili komunikacijske infrastrukture ili događaja koji uzrokuju tako gust promet da vrijeme čekanja na graničnom prijelazu postane predugo.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podstavak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Tijekom postupnog početka rada EES-a države članice mogu potpuno ili djelomično suspendirati upotrebu EES-a na određenim graničnim prijelazima u iznimnim okolnostima kvara središnjeg sustava EES-a, nacionalnih sustava ili komunikacijske infrastrukture </w:t>
            </w:r>
            <w:r>
              <w:rPr>
                <w:b/>
                <w:i/>
              </w:rPr>
              <w:t>ili događaja koji uzrokuju tako gust promet da vrijeme čekanja na graničnom prijelazu postane predugo</w:t>
            </w:r>
            <w:r>
              <w:t>.</w:t>
            </w:r>
          </w:p>
        </w:tc>
        <w:tc>
          <w:tcPr>
            <w:tcW w:w="4876" w:type="dxa"/>
            <w:tcBorders>
              <w:top w:val="nil"/>
              <w:left w:val="nil"/>
              <w:bottom w:val="nil"/>
              <w:right w:val="nil"/>
            </w:tcBorders>
          </w:tcPr>
          <w:p>
            <w:pPr>
              <w:pStyle w:val="Normal6a"/>
            </w:pPr>
            <w:r>
              <w:t>Tijekom postupnog početka rada EES-a države članice mogu potpuno ili djelomično suspendirati upotrebu EES-a na određenim graničnim prijelazima u iznimnim okolnostima kvara središnjeg sustava EES-a, nacionalnih sustava ili komunikacijske infrastrukture.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podstavak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 oba slučaja države članice odmah, a najkasnije šest sati nakon početka suspenzije, obavješćuju Komisiju i agenciju eu-LISA o razlogu djelomične ili potpune suspenzije i njezinu očekivanom trajanju te osiguravaju da su operatori infrastrukture za smještaj graničnih prijelaza i prijevoznici propisno obaviješteni o takvoj suspenziji. Nakon prestanka </w:t>
            </w:r>
            <w:r>
              <w:rPr>
                <w:b/>
                <w:i/>
              </w:rPr>
              <w:t>iznimnih</w:t>
            </w:r>
            <w:r>
              <w:t xml:space="preserve"> okolnosti koje su uzrokovale suspenziju države članice odmah obavješćuju Komisiju i agenciju eu-LISA.</w:t>
            </w:r>
          </w:p>
        </w:tc>
        <w:tc>
          <w:tcPr>
            <w:tcW w:w="4876" w:type="dxa"/>
            <w:tcBorders>
              <w:top w:val="nil"/>
              <w:left w:val="nil"/>
              <w:bottom w:val="nil"/>
              <w:right w:val="nil"/>
            </w:tcBorders>
          </w:tcPr>
          <w:p>
            <w:pPr>
              <w:pStyle w:val="Normal6a"/>
            </w:pPr>
            <w:r>
              <w:t>U oba slučaja države članice odmah, a najkasnije šest sati nakon početka suspenzije, obavješćuju Komisiju i agenciju eu-LISA o razlogu djelomične ili potpune suspenzije i njezinu očekivanom trajanju te osiguravaju da su operatori infrastrukture za smještaj graničnih prijelaza i prijevoznici propisno obaviješteni o takvoj suspenziji. Nakon prestanka okolnosti koje su uzrokovale suspenziju države članice odmah obavješćuju Komisiju i agenciju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 razdoblju od 60 kalendarskih dana nakon završetka postupnog početka rada EES-a države članice mogu djelomično suspendirati upotrebu EES-a kako je navedeno u stavku 1. drugom podstavku na određenom graničnom prijelazu na ograničeno vrijeme od najviše šest sati i samo u iznimnim okolnostima </w:t>
            </w:r>
            <w:r>
              <w:rPr>
                <w:b/>
                <w:i/>
              </w:rPr>
              <w:t>koje uzrokuju tako gust promet da vrijeme čekanja na graničnom prijelazu postane predugo</w:t>
            </w:r>
            <w:r>
              <w:t>. Države članice oslobađaju se obveze utvrđene u članku 21. stavku 1. Uredbe (EU) 2017/2226 u pogledu biometrijskih podataka. U tim slučajevima države članice odmah, a najkasnije šest sati nakon početka suspenzije, obavješćuju Komisiju i agenciju eu-LISA o razlogu suspenzije i njezinu očekivanom trajanju.</w:t>
            </w:r>
          </w:p>
        </w:tc>
        <w:tc>
          <w:tcPr>
            <w:tcW w:w="4876" w:type="dxa"/>
            <w:tcBorders>
              <w:top w:val="nil"/>
              <w:left w:val="nil"/>
              <w:bottom w:val="nil"/>
              <w:right w:val="nil"/>
            </w:tcBorders>
          </w:tcPr>
          <w:p>
            <w:pPr>
              <w:pStyle w:val="Normal6a"/>
            </w:pPr>
            <w:r>
              <w:t>2.</w:t>
            </w:r>
            <w:r>
              <w:tab/>
            </w:r>
            <w:r>
              <w:t>U razdoblju od 60 kalendarskih dana nakon završetka postupnog početka rada EES-a države članice mogu djelomično suspendirati upotrebu EES-a kako je navedeno u stavku 1. drugom podstavku na određenom graničnom prijelazu na ograničeno vrijeme od najviše šest sati i samo u iznimnim okolnostima. Države članice oslobađaju se obveze utvrđene u članku 21. stavku 1. Uredbe (EU) 2017/2226 u pogledu biometrijskih podataka. U tim slučajevima države članice odmah, a najkasnije šest sati nakon početka suspenzije, obavješćuju Komisiju i agenciju eu-LISA o razlogu suspenzije i njezinu očekivanom trajanju.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 razdoblju od 60 kalendarskih dana nakon završetka postupnog početka rada EES-a države članice mogu djelomično suspendirati upotrebu EES-a kako je navedeno u stavku 1. drugom podstavku na određenom graničnom prijelazu na ograničeno vrijeme od najviše </w:t>
            </w:r>
            <w:r>
              <w:rPr>
                <w:b/>
                <w:i/>
              </w:rPr>
              <w:t>šest sati</w:t>
            </w:r>
            <w:r>
              <w:t xml:space="preserve"> i samo u iznimnim okolnostima koje uzrokuju tako gust promet da vrijeme čekanja na graničnom prijelazu postane predugo. Države članice oslobađaju se obveze utvrđene u članku 21. stavku 1. Uredbe (EU) 2017/2226 u pogledu biometrijskih podataka. U tim slučajevima države članice odmah, a najkasnije šest sati nakon početka suspenzije, obavješćuju Komisiju i agenciju eu-LISA o razlogu suspenzije i njezinu očekivanom trajanju.</w:t>
            </w:r>
          </w:p>
        </w:tc>
        <w:tc>
          <w:tcPr>
            <w:tcW w:w="4876" w:type="dxa"/>
            <w:tcBorders>
              <w:top w:val="nil"/>
              <w:left w:val="nil"/>
              <w:bottom w:val="nil"/>
              <w:right w:val="nil"/>
            </w:tcBorders>
          </w:tcPr>
          <w:p>
            <w:pPr>
              <w:pStyle w:val="Normal6a"/>
            </w:pPr>
            <w:r>
              <w:t>2.</w:t>
            </w:r>
            <w:r>
              <w:tab/>
            </w:r>
            <w:r>
              <w:t xml:space="preserve">U razdoblju od 60 kalendarskih dana nakon završetka postupnog početka rada EES-a države članice mogu djelomično suspendirati upotrebu EES-a kako je navedeno u stavku 1. drugom podstavku na određenom graničnom prijelazu na ograničeno vrijeme od najviše </w:t>
            </w:r>
            <w:r>
              <w:rPr>
                <w:b/>
                <w:i/>
              </w:rPr>
              <w:t>četiri sata u jednom danu</w:t>
            </w:r>
            <w:r>
              <w:t xml:space="preserve"> i samo u iznimnim okolnostima koje uzrokuju tako gust promet da vrijeme čekanja na graničnom prijelazu postane predugo. Države članice oslobađaju se obveze utvrđene u članku 21. stavku 1. Uredbe (EU) 2017/2226 u pogledu biometrijskih podataka. U tim slučajevima države članice odmah, a najkasnije šest sati nakon početka suspenzije, obavješćuju Komisiju i agenciju eu-LISA o razlogu suspenzije i njezinu očekivanom trajanju.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Tijekom razdoblja suspenzije utvrđenih u stavcima 1. i 2. ovog članka ne primjenjuju se članak 6. stavak 1. točka (f) podtočka i. i odredbe o provjeri državljana trećih zemalja na temelju biometrijskih podataka isključivo za potrebe EES-a iz članka 6. točke (f) podtočke ii. i članka 8. stavka 3. točaka (a) i (g) Uredbe (EU) 2016/399.</w:t>
            </w:r>
            <w:r>
              <w:t xml:space="preserve"> </w:t>
            </w:r>
            <w:r>
              <w:rPr>
                <w:b/>
                <w:i/>
              </w:rPr>
              <w:t>Odluka o odbijanju ulaska na temelju Uredbe (EU) 2016/399 ne donosi se isključivo na temelju toga što je država članica suspendirala registraciju biometrijskih podataka u EES-u.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Ako manje od 80 % osobnih dosjea registriranih u EES-u tijekom postupnog početka rada EES-a sadržava biometrijske podatke, razdoblje utvrđeno u stavku 2. ovog članka automatski se produljuje za </w:t>
            </w:r>
            <w:r>
              <w:rPr>
                <w:b/>
                <w:i/>
              </w:rPr>
              <w:t>60</w:t>
            </w:r>
            <w:r>
              <w:t xml:space="preserve"> kalendarskih dana.</w:t>
            </w:r>
          </w:p>
        </w:tc>
        <w:tc>
          <w:tcPr>
            <w:tcW w:w="4876" w:type="dxa"/>
            <w:tcBorders>
              <w:top w:val="nil"/>
              <w:left w:val="nil"/>
              <w:bottom w:val="nil"/>
              <w:right w:val="nil"/>
            </w:tcBorders>
          </w:tcPr>
          <w:p>
            <w:pPr>
              <w:pStyle w:val="Normal6a"/>
            </w:pPr>
            <w:r>
              <w:t>3.</w:t>
            </w:r>
            <w:r>
              <w:tab/>
            </w:r>
            <w:r>
              <w:t xml:space="preserve">Ako manje od 80 % osobnih dosjea registriranih u EES-u tijekom postupnog početka rada EES-a sadržava biometrijske podatke, razdoblje utvrđeno u stavku 2. ovog članka automatski se produljuje za </w:t>
            </w:r>
            <w:r>
              <w:rPr>
                <w:b/>
                <w:i/>
              </w:rPr>
              <w:t>90</w:t>
            </w:r>
            <w:r>
              <w:t xml:space="preserve"> kalendarskih dana.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Tim bi se produljenjem osiguralo učinkovitije i jednostavnije uvođenje sustava EES, čime bi se ublažio učinak provedbe na kašnjenja na granicama i vrijeme čekanja putnika tijekom prijelaznog razdoblja, posebno u razdobljima najvećeg opterećenja, a posebno ljeti.</w:t>
      </w:r>
    </w:p>
    <w:p>
      <w:r>
        <w:rPr>
          <w:rStyle w:val="HideTWBExt"/>
        </w:rPr>
        <w:t>&lt;/AmendB&gt;</w:t>
      </w:r>
    </w:p>
    <w:p>
      <w:pPr>
        <w:pStyle w:val="AmNumberTabs"/>
      </w:pPr>
      <w:r>
        <w:rPr>
          <w:rStyle w:val="HideTWBExt"/>
        </w:rPr>
        <w:t>&lt;AmendB&gt;</w:t>
      </w:r>
      <w:r>
        <w:t>Amandman</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Završetak postupnog početka rada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Razdoblje postupnog početka rada EES-a ne završava ako nisu ispunjeni svi navedeni zahtjevi: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države članice upotrebljavaju EES u skladu s člankom 4. stavkom 5. najmanje 90 uzastopnih dana;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nijedna država članica nije iskoristila suspenziju EES-a u skladu s člankom 7. tijekom najmanje 150 uzastopnih dana;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nije bilo kvara središnjeg sustava EES-a najmanje 90 uzastopnih dana.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Nakon što utvrdi da su zahtjevi iz stavka 1. ispunjeni, Komisija obavješćuje države članice, agenciju eu-LISA i Europol o završetku postupnog početka rada 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1.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Primjenjuje se od datuma početka rada EES-a koji je odredila Komisija u skladu s člankom 66. stavkom 1. Uredbe (EU) 2017/2226.</w:t>
            </w:r>
          </w:p>
        </w:tc>
        <w:tc>
          <w:tcPr>
            <w:tcW w:w="4876" w:type="dxa"/>
            <w:tcBorders>
              <w:top w:val="nil"/>
              <w:left w:val="nil"/>
              <w:bottom w:val="nil"/>
              <w:right w:val="nil"/>
            </w:tcBorders>
          </w:tcPr>
          <w:p>
            <w:pPr>
              <w:pStyle w:val="Normal6a"/>
            </w:pPr>
            <w:r>
              <w:t>Primjenjuje se od datuma početka rada EES-a koji je odredila Komisija u skladu s člankom 66. stavkom 1.Uredbe (EU) 2017/2226</w:t>
            </w:r>
            <w:r>
              <w:rPr>
                <w:b/>
                <w:i/>
              </w:rPr>
              <w:t> najkasnije 90 dana od stupanja na snagu ove Uredbe ili 60 dana od podnošenja posljednje izjave o spremnosti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Ova Uredba prestaje </w:t>
            </w:r>
            <w:r>
              <w:rPr>
                <w:b/>
                <w:i/>
              </w:rPr>
              <w:t>se</w:t>
            </w:r>
            <w:r>
              <w:t xml:space="preserve"> primjenjivati </w:t>
            </w:r>
            <w:r>
              <w:rPr>
                <w:b/>
                <w:i/>
              </w:rPr>
              <w:t>180</w:t>
            </w:r>
            <w:r>
              <w:t xml:space="preserve"> kalendarskih dana </w:t>
            </w:r>
            <w:r>
              <w:rPr>
                <w:b/>
                <w:i/>
              </w:rPr>
              <w:t>od datuma početka rada EES-a koji Komisija odredi</w:t>
            </w:r>
            <w:r>
              <w:t xml:space="preserve"> u skladu s člankom </w:t>
            </w:r>
            <w:r>
              <w:rPr>
                <w:b/>
                <w:i/>
              </w:rPr>
              <w:t>66</w:t>
            </w:r>
            <w:r>
              <w:t xml:space="preserve">. stavkom </w:t>
            </w:r>
            <w:r>
              <w:rPr>
                <w:b/>
                <w:i/>
              </w:rPr>
              <w:t>1.</w:t>
            </w:r>
            <w:r>
              <w:t xml:space="preserve"> </w:t>
            </w:r>
            <w:r>
              <w:rPr>
                <w:b/>
                <w:i/>
              </w:rPr>
              <w:t>Uredbe (EU) 2017/2226</w:t>
            </w:r>
            <w:r>
              <w:t>. Međutim:</w:t>
            </w:r>
          </w:p>
        </w:tc>
        <w:tc>
          <w:tcPr>
            <w:tcW w:w="4876" w:type="dxa"/>
            <w:tcBorders>
              <w:top w:val="nil"/>
              <w:left w:val="nil"/>
              <w:bottom w:val="nil"/>
              <w:right w:val="nil"/>
            </w:tcBorders>
          </w:tcPr>
          <w:p>
            <w:pPr>
              <w:pStyle w:val="Normal6a"/>
            </w:pPr>
            <w:r>
              <w:t xml:space="preserve">Ova </w:t>
            </w:r>
            <w:r>
              <w:rPr>
                <w:b/>
                <w:i/>
              </w:rPr>
              <w:t>se</w:t>
            </w:r>
            <w:r>
              <w:t xml:space="preserve"> Uredba prestaje primjenjivati </w:t>
            </w:r>
            <w:r>
              <w:rPr>
                <w:b/>
                <w:i/>
              </w:rPr>
              <w:t>30</w:t>
            </w:r>
            <w:r>
              <w:t xml:space="preserve"> kalendarskih dana </w:t>
            </w:r>
            <w:r>
              <w:rPr>
                <w:b/>
                <w:i/>
              </w:rPr>
              <w:t>nakon što Komisija obavijesti države članice, agenciju eu-LISA i Europol</w:t>
            </w:r>
            <w:r>
              <w:t xml:space="preserve"> u skladu s člankom </w:t>
            </w:r>
            <w:r>
              <w:rPr>
                <w:b/>
                <w:i/>
              </w:rPr>
              <w:t>7</w:t>
            </w:r>
            <w:r>
              <w:t>.</w:t>
            </w:r>
            <w:r>
              <w:rPr>
                <w:b/>
                <w:i/>
              </w:rPr>
              <w:t>a</w:t>
            </w:r>
            <w:r>
              <w:t xml:space="preserve"> stavkom </w:t>
            </w:r>
            <w:r>
              <w:rPr>
                <w:b/>
                <w:i/>
              </w:rPr>
              <w:t>2</w:t>
            </w:r>
            <w:r>
              <w:t>. Međutim: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članak 5. stavak 13. prestaje se primjenjivati pet godina i 180 kalendarskih dana nakon datuma koji Komisija odredi u skladu s člankom </w:t>
            </w:r>
            <w:r>
              <w:rPr>
                <w:b/>
                <w:i/>
              </w:rPr>
              <w:t>66</w:t>
            </w:r>
            <w:r>
              <w:t xml:space="preserve">. stavkom </w:t>
            </w:r>
            <w:r>
              <w:rPr>
                <w:b/>
                <w:i/>
              </w:rPr>
              <w:t>1</w:t>
            </w:r>
            <w:r>
              <w:t xml:space="preserve">. </w:t>
            </w:r>
            <w:r>
              <w:rPr>
                <w:b/>
                <w:i/>
              </w:rPr>
              <w:t>Uredbe (EU) 2017/2226</w:t>
            </w:r>
            <w:r>
              <w:t>;</w:t>
            </w:r>
          </w:p>
        </w:tc>
        <w:tc>
          <w:tcPr>
            <w:tcW w:w="4876" w:type="dxa"/>
            <w:tcBorders>
              <w:top w:val="nil"/>
              <w:left w:val="nil"/>
              <w:bottom w:val="nil"/>
              <w:right w:val="nil"/>
            </w:tcBorders>
          </w:tcPr>
          <w:p>
            <w:pPr>
              <w:pStyle w:val="Normal6a"/>
            </w:pPr>
            <w:r>
              <w:t>(a)</w:t>
            </w:r>
            <w:r>
              <w:tab/>
            </w:r>
            <w:r>
              <w:t xml:space="preserve">članak 5. stavak 13. prestaje se primjenjivati pet godina i 180 kalendarskih dana nakon datuma koji Komisija odredi u skladu s člankom </w:t>
            </w:r>
            <w:r>
              <w:rPr>
                <w:b/>
                <w:i/>
              </w:rPr>
              <w:t>7</w:t>
            </w:r>
            <w:r>
              <w:t>.</w:t>
            </w:r>
            <w:r>
              <w:rPr>
                <w:b/>
                <w:i/>
              </w:rPr>
              <w:t>a</w:t>
            </w:r>
            <w:r>
              <w:t xml:space="preserve"> stavkom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članak 6. stavci 1., 2., 4. i 5. prestaje se primjenjivati pet godina i 180 kalendarskih dana nakon datuma koji Komisija odredi u skladu s člankom </w:t>
            </w:r>
            <w:r>
              <w:rPr>
                <w:b/>
                <w:i/>
              </w:rPr>
              <w:t>66</w:t>
            </w:r>
            <w:r>
              <w:t xml:space="preserve">. stavkom </w:t>
            </w:r>
            <w:r>
              <w:rPr>
                <w:b/>
                <w:i/>
              </w:rPr>
              <w:t>1</w:t>
            </w:r>
            <w:r>
              <w:t xml:space="preserve">. </w:t>
            </w:r>
            <w:r>
              <w:rPr>
                <w:b/>
                <w:i/>
              </w:rPr>
              <w:t>Uredbe (EU) 2017/2226</w:t>
            </w:r>
            <w:r>
              <w:t>;</w:t>
            </w:r>
          </w:p>
        </w:tc>
        <w:tc>
          <w:tcPr>
            <w:tcW w:w="4876" w:type="dxa"/>
            <w:tcBorders>
              <w:top w:val="nil"/>
              <w:left w:val="nil"/>
              <w:bottom w:val="nil"/>
              <w:right w:val="nil"/>
            </w:tcBorders>
          </w:tcPr>
          <w:p>
            <w:pPr>
              <w:pStyle w:val="Normal6a"/>
            </w:pPr>
            <w:r>
              <w:t>(b)</w:t>
            </w:r>
            <w:r>
              <w:tab/>
            </w:r>
            <w:r>
              <w:t>članak 6. stavci 1., 2., 4. i 5. prestaje se primjenjivati pet godina i 180 kalendarskih dana nakon datuma koji Komisija odredi u skladu s člankom </w:t>
            </w:r>
            <w:r>
              <w:rPr>
                <w:b/>
                <w:i/>
              </w:rPr>
              <w:t>7</w:t>
            </w:r>
            <w:r>
              <w:t>.</w:t>
            </w:r>
            <w:r>
              <w:rPr>
                <w:b/>
                <w:i/>
              </w:rPr>
              <w:t>a</w:t>
            </w:r>
            <w:r>
              <w:t xml:space="preserve"> stavkom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članak 6. stavci 1., 2., 4. i 5. prestaje se primjenjivati pet godina i 180 kalendarskih dana nakon datuma koji Komisija odredi u skladu s člankom 66. stavkom 1. Uredbe (EU) 2017/2226;</w:t>
            </w:r>
          </w:p>
        </w:tc>
        <w:tc>
          <w:tcPr>
            <w:tcW w:w="4876" w:type="dxa"/>
            <w:tcBorders>
              <w:top w:val="nil"/>
              <w:left w:val="nil"/>
              <w:bottom w:val="nil"/>
              <w:right w:val="nil"/>
            </w:tcBorders>
          </w:tcPr>
          <w:p>
            <w:pPr>
              <w:pStyle w:val="Normal6a"/>
            </w:pPr>
            <w:r>
              <w:t>(b)</w:t>
            </w:r>
            <w:r>
              <w:tab/>
            </w:r>
            <w:r>
              <w:t xml:space="preserve">članak 6. stavci 1., 2., 4. i 5. </w:t>
            </w:r>
            <w:r>
              <w:rPr>
                <w:b/>
                <w:i/>
              </w:rPr>
              <w:t>i 5.a</w:t>
            </w:r>
            <w:r>
              <w:t xml:space="preserve"> prestaje se primjenjivati pet godina i 180 kalendarskih dana nakon datuma koji Komisija odredi u skladu s člankom 66. stavkom 1.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članak 6. stavak 3. drugi podstavak prestaje se primjenjivati 360 kalendarskih dana nakon datuma koji Komisija odredi u skladu s člankom </w:t>
            </w:r>
            <w:r>
              <w:rPr>
                <w:b/>
                <w:i/>
              </w:rPr>
              <w:t>66</w:t>
            </w:r>
            <w:r>
              <w:t xml:space="preserve">. stavkom </w:t>
            </w:r>
            <w:r>
              <w:rPr>
                <w:b/>
                <w:i/>
              </w:rPr>
              <w:t>1</w:t>
            </w:r>
            <w:r>
              <w:t xml:space="preserve">. </w:t>
            </w:r>
            <w:r>
              <w:rPr>
                <w:b/>
                <w:i/>
              </w:rPr>
              <w:t>Uredbe (EU) 2017/2226</w:t>
            </w:r>
            <w:r>
              <w:t>;</w:t>
            </w:r>
          </w:p>
        </w:tc>
        <w:tc>
          <w:tcPr>
            <w:tcW w:w="4876" w:type="dxa"/>
            <w:tcBorders>
              <w:top w:val="nil"/>
              <w:left w:val="nil"/>
              <w:bottom w:val="nil"/>
              <w:right w:val="nil"/>
            </w:tcBorders>
          </w:tcPr>
          <w:p>
            <w:pPr>
              <w:pStyle w:val="Normal6a"/>
            </w:pPr>
            <w:r>
              <w:t>(c)</w:t>
            </w:r>
            <w:r>
              <w:tab/>
            </w:r>
            <w:r>
              <w:t>članak 6. stavak 3. drugi podstavak prestaje se primjenjivati 360 kalendarskih dana nakon datuma koji Komisija odredi u skladu s člankom </w:t>
            </w:r>
            <w:r>
              <w:rPr>
                <w:b/>
                <w:i/>
              </w:rPr>
              <w:t>7</w:t>
            </w:r>
            <w:r>
              <w:t>.</w:t>
            </w:r>
            <w:r>
              <w:rPr>
                <w:b/>
                <w:i/>
              </w:rPr>
              <w:t>a</w:t>
            </w:r>
            <w:r>
              <w:t xml:space="preserve"> stavkom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članak 7. stavci 2. i 3. prestaje se primjenjivati 300 kalendarskih dana nakon datuma koji Komisija odredi u skladu s člankom 66. stavkom 1. Uredbe (EU) 2017/2226;</w:t>
            </w:r>
          </w:p>
        </w:tc>
        <w:tc>
          <w:tcPr>
            <w:tcW w:w="4876" w:type="dxa"/>
            <w:tcBorders>
              <w:top w:val="nil"/>
              <w:left w:val="nil"/>
              <w:bottom w:val="nil"/>
              <w:right w:val="nil"/>
            </w:tcBorders>
          </w:tcPr>
          <w:p>
            <w:pPr>
              <w:pStyle w:val="Normal6a"/>
            </w:pPr>
            <w:r>
              <w:t>(d)</w:t>
            </w:r>
            <w:r>
              <w:tab/>
            </w:r>
            <w:r>
              <w:t>članak 7. stavci 2.</w:t>
            </w:r>
            <w:r>
              <w:rPr>
                <w:b/>
                <w:i/>
              </w:rPr>
              <w:t>, 2.a</w:t>
            </w:r>
            <w:r>
              <w:t xml:space="preserve"> i 3. prestaje se primjenjivati 300 kalendarskih dana nakon datuma koji Komisija odredi u skladu s člankom 66. stavkom 1. Uredbe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članak 7. stavci 2. i 3. prestaje se primjenjivati 300 kalendarskih dana nakon datuma koji Komisija odredi u skladu s člankom </w:t>
            </w:r>
            <w:r>
              <w:rPr>
                <w:b/>
                <w:i/>
              </w:rPr>
              <w:t>66</w:t>
            </w:r>
            <w:r>
              <w:t xml:space="preserve">. stavkom </w:t>
            </w:r>
            <w:r>
              <w:rPr>
                <w:b/>
                <w:i/>
              </w:rPr>
              <w:t>1</w:t>
            </w:r>
            <w:r>
              <w:t xml:space="preserve">. </w:t>
            </w:r>
            <w:r>
              <w:rPr>
                <w:b/>
                <w:i/>
              </w:rPr>
              <w:t>Uredbe (EU) 2017/2226</w:t>
            </w:r>
            <w:r>
              <w:t>;</w:t>
            </w:r>
          </w:p>
        </w:tc>
        <w:tc>
          <w:tcPr>
            <w:tcW w:w="4876" w:type="dxa"/>
            <w:tcBorders>
              <w:top w:val="nil"/>
              <w:left w:val="nil"/>
              <w:bottom w:val="nil"/>
              <w:right w:val="nil"/>
            </w:tcBorders>
          </w:tcPr>
          <w:p>
            <w:pPr>
              <w:pStyle w:val="Normal6a"/>
            </w:pPr>
            <w:r>
              <w:t>(d)</w:t>
            </w:r>
            <w:r>
              <w:tab/>
            </w:r>
            <w:r>
              <w:t>članak 7. stavci 2. i 3. prestaje se primjenjivati 300 kalendarskih dana nakon datuma koji Komisija odredi u skladu s člankom </w:t>
            </w:r>
            <w:r>
              <w:rPr>
                <w:b/>
                <w:i/>
              </w:rPr>
              <w:t>7</w:t>
            </w:r>
            <w:r>
              <w:t>.</w:t>
            </w:r>
            <w:r>
              <w:rPr>
                <w:b/>
                <w:i/>
              </w:rPr>
              <w:t>a</w:t>
            </w:r>
            <w:r>
              <w:t xml:space="preserve"> stavkom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 – podstavak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članak 7. stavak 4. prestaje se primjenjivati 210 kalendarskih dana nakon datuma koji Komisija odredi u skladu s člankom </w:t>
            </w:r>
            <w:r>
              <w:rPr>
                <w:b/>
                <w:i/>
              </w:rPr>
              <w:t>66</w:t>
            </w:r>
            <w:r>
              <w:t xml:space="preserve">. stavkom </w:t>
            </w:r>
            <w:r>
              <w:rPr>
                <w:b/>
                <w:i/>
              </w:rPr>
              <w:t>1</w:t>
            </w:r>
            <w:r>
              <w:t xml:space="preserve">. </w:t>
            </w:r>
            <w:r>
              <w:rPr>
                <w:b/>
                <w:i/>
              </w:rPr>
              <w:t>Uredbe (EU) 2017/2226.</w:t>
            </w:r>
          </w:p>
        </w:tc>
        <w:tc>
          <w:tcPr>
            <w:tcW w:w="4876" w:type="dxa"/>
            <w:tcBorders>
              <w:top w:val="nil"/>
              <w:left w:val="nil"/>
              <w:bottom w:val="nil"/>
              <w:right w:val="nil"/>
            </w:tcBorders>
          </w:tcPr>
          <w:p>
            <w:pPr>
              <w:pStyle w:val="Normal6a"/>
            </w:pPr>
            <w:r>
              <w:t>(e)</w:t>
            </w:r>
            <w:r>
              <w:tab/>
            </w:r>
            <w:r>
              <w:t>članak 7. stavak 4. prestaje se primjenjivati 210 kalendarskih dana nakon datuma koji Komisija odredi u skladu s člankom </w:t>
            </w:r>
            <w:r>
              <w:rPr>
                <w:b/>
                <w:i/>
              </w:rPr>
              <w:t>7</w:t>
            </w:r>
            <w:r>
              <w:t>.</w:t>
            </w:r>
            <w:r>
              <w:rPr>
                <w:b/>
                <w:i/>
              </w:rPr>
              <w:t>a</w:t>
            </w:r>
            <w:r>
              <w:t xml:space="preserve"> stavkom </w:t>
            </w:r>
            <w:r>
              <w:rPr>
                <w:b/>
                <w:i/>
              </w:rPr>
              <w:t>2</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AM\1318321HR.docx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AM\1318321HR.docx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AM\1318321HR.docx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19367</Words>
  <Characters>114050</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161984</vt:lpwstr>
  </property>
  <property fmtid="{D5CDD505-2E9C-101B-9397-08002B2CF9AE}" pid="7" name="dmxml.render.traceId">
    <vt:lpwstr>67f7683da81d4dfa31e670c974d3aae6</vt:lpwstr>
  </property>
  <property fmtid="{D5CDD505-2E9C-101B-9397-08002B2CF9AE}" pid="8" name="FooterPath">
    <vt:lpwstr>AM\1318321HR.docx</vt:lpwstr>
  </property>
  <property fmtid="{D5CDD505-2E9C-101B-9397-08002B2CF9AE}" pid="9" name="PE Number">
    <vt:lpwstr>772.011</vt:lpwstr>
  </property>
  <property fmtid="{D5CDD505-2E9C-101B-9397-08002B2CF9AE}" pid="10" name="UID">
    <vt:lpwstr>eu.europa.europarl-DIN1-2025-0000065457_02.00-hr-01.00_text-xml</vt:lpwstr>
  </property>
</Properties>
</file>