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pre občianske slobody, spravodlivosť a vnútorné veci</w:t>
      </w:r>
      <w:r>
        <w:rPr>
          <w:rStyle w:val="HideTWBExt"/>
        </w:rPr>
        <w:t>&lt;/Commission&gt;</w:t>
      </w:r>
    </w:p>
    <w:p>
      <w:pPr>
        <w:pStyle w:val="LineBottom"/>
      </w:pPr>
      <w:r>
        <w:t xml:space="preserve"> </w:t>
      </w:r>
    </w:p>
    <w:p>
      <w:pPr>
        <w:pStyle w:val="CoverReference"/>
      </w:pPr>
      <w:r>
        <w:rPr>
          <w:rStyle w:val="HideTWBExt"/>
        </w:rPr>
        <w:t>&lt;RefProc&gt;</w:t>
      </w:r>
      <w:r>
        <w:t>2024/0315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{01/04/2025}</w:t>
      </w:r>
      <w:r>
        <w:t>1.4.2025</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29</w:t>
      </w:r>
      <w:r>
        <w:t xml:space="preserve"> - </w:t>
      </w:r>
      <w:r>
        <w:t>151</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(PE770.093v01-00)</w:t>
      </w:r>
      <w:r>
        <w:rPr>
          <w:rStyle w:val="HideTWBExt"/>
        </w:rPr>
        <w:t>&lt;/DocRefPE&gt;</w:t>
      </w:r>
    </w:p>
    <w:p>
      <w:pPr>
        <w:pStyle w:val="CoverNormal24a"/>
      </w:pPr>
      <w:r>
        <w:rPr>
          <w:rStyle w:val="HideTWBExt"/>
        </w:rPr>
        <w:t>&lt;Titre&gt;</w:t>
      </w:r>
      <w:r>
        <w:t>Dočasná výnimka z určitých ustanovení nariadenia (EÚ) 2017/2226 a nariadenia (EÚ) 2016/399, pokiaľ ide o postupné uvádzanie systému vstup/výstup do prevádzky</w:t>
      </w:r>
      <w:r>
        <w:rPr>
          <w:rStyle w:val="HideTWBExt"/>
        </w:rPr>
        <w:t>&lt;/Titre&gt;</w:t>
      </w:r>
    </w:p>
    <w:p>
      <w:pPr>
        <w:pStyle w:val="CoverNormal"/>
      </w:pPr>
      <w:r>
        <w:rPr>
          <w:rStyle w:val="HideTWBExt"/>
        </w:rPr>
        <w:t>&lt;DocAmend&gt;</w:t>
      </w:r>
      <w:r>
        <w:t>Návrh nariadenia</w:t>
      </w:r>
      <w:r>
        <w:rPr>
          <w:rStyle w:val="HideTWBExt"/>
        </w:rPr>
        <w:t>&lt;/DocAmend&gt;</w:t>
      </w:r>
    </w:p>
    <w:p>
      <w:pPr>
        <w:pStyle w:val="CoverNormal24a"/>
      </w:pPr>
      <w:r>
        <w:rPr>
          <w:rStyle w:val="HideTWBExt"/>
        </w:rPr>
        <w:t>&lt;DocRef&gt;</w:t>
      </w:r>
      <w:r>
        <w:t>(COM(2024)0567 – 2024/0315(COD))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Pozmeňujúci návrh</w:t>
      </w:r>
      <w:r>
        <w:tab/>
      </w:r>
      <w:r>
        <w:tab/>
      </w:r>
      <w:r>
        <w:rPr>
          <w:rStyle w:val="HideTWBExt"/>
        </w:rPr>
        <w:t>&lt;NumAmA&gt;</w:t>
      </w:r>
      <w:r>
        <w:t>29</w:t>
      </w:r>
      <w:r>
        <w:rPr>
          <w:rStyle w:val="HideTWBExt"/>
        </w:rPr>
        <w:t>&lt;/NumAmA&gt;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legislatívneho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legislatívneho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prijíma nasledujúcu pozíciu v prvom čítaní</w:t>
            </w:r>
            <w:r>
              <w:t>;</w:t>
            </w:r>
          </w:p>
        </w:tc>
        <w:tc>
          <w:tcPr>
            <w:tcW w:w="4876" w:type="dxa"/>
            <w:tcBorders>
              <w:top w:val="nil"/>
              <w:left w:val="nil"/>
              <w:bottom w:val="nil"/>
              <w:right w:val="nil"/>
            </w:tcBorders>
          </w:tcPr>
          <w:p>
            <w:pPr>
              <w:pStyle w:val="Normal6a"/>
            </w:pPr>
            <w:r>
              <w:t>1.</w:t>
            </w:r>
            <w:r>
              <w:tab/>
            </w:r>
            <w:r>
              <w:rPr>
                <w:b/>
                <w:i/>
              </w:rPr>
              <w:t>zamieta návrh Komisie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Pozmeňujúci návrh</w:t>
      </w:r>
      <w:r>
        <w:tab/>
      </w:r>
      <w:r>
        <w:tab/>
      </w:r>
      <w:r>
        <w:rPr>
          <w:rStyle w:val="HideTWBExt"/>
        </w:rPr>
        <w:t>&lt;NumAmB&gt;</w:t>
      </w:r>
      <w:r>
        <w:t>30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Komisii však neboli doručené všetky oznámenia podľa článku 66 ods. 1 písm. c) nariadenia (EÚ) 2017/2226, čo je jednou z podmienok rozhodnutia o uvedení systému vstup/výstup do prevádzky.</w:t>
            </w:r>
          </w:p>
        </w:tc>
        <w:tc>
          <w:tcPr>
            <w:tcW w:w="4876" w:type="dxa"/>
            <w:tcBorders>
              <w:top w:val="nil"/>
              <w:left w:val="nil"/>
              <w:bottom w:val="nil"/>
              <w:right w:val="nil"/>
            </w:tcBorders>
          </w:tcPr>
          <w:p>
            <w:pPr>
              <w:pStyle w:val="Normal6a"/>
            </w:pPr>
            <w:r>
              <w:t>(2)</w:t>
            </w:r>
            <w:r>
              <w:tab/>
            </w:r>
            <w:r>
              <w:t xml:space="preserve">Komisii však neboli doručené všetky oznámenia podľa článku 66 ods. 1 písm. c) nariadenia (EÚ) 2017/2226, čo je jednou z podmienok rozhodnutia o uvedení systému vstup/výstup do prevádzky. </w:t>
            </w:r>
            <w:r>
              <w:rPr>
                <w:b/>
                <w:i/>
              </w:rPr>
              <w:t>Okrem toho začatie prístupu „veľkého tresku“ tým, že sa systém uvedie do prevádzky v plnom rozsahu zo dňa na deň, môže ohroziť celkovú odolnosť systému.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Bez ohľadu na prijaté oznámenia je vhodnejšie zaujať pri zavádzaní komplexného systému, ktorý je prepojený s kritickou infraštruktúrou, postupný prístup.</w:t>
      </w:r>
    </w:p>
    <w:p>
      <w:r>
        <w:rPr>
          <w:rStyle w:val="HideTWBExt"/>
        </w:rPr>
        <w:t>&lt;/AmendB&gt;</w:t>
      </w:r>
    </w:p>
    <w:p>
      <w:pPr>
        <w:pStyle w:val="AmNumberTabs"/>
      </w:pPr>
      <w:r>
        <w:rPr>
          <w:rStyle w:val="HideTWBExt"/>
        </w:rPr>
        <w:t>&lt;AmendB&gt;</w:t>
      </w:r>
      <w:r>
        <w:t>Pozmeňujúci návrh</w:t>
      </w:r>
      <w:r>
        <w:tab/>
      </w:r>
      <w:r>
        <w:tab/>
      </w:r>
      <w:r>
        <w:rPr>
          <w:rStyle w:val="HideTWBExt"/>
        </w:rPr>
        <w:t>&lt;NumAmB&gt;</w:t>
      </w:r>
      <w:r>
        <w:t>31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Aby sa členským štátom poskytla potrebná flexibilita na začatie používania systému vstup/výstup podľa ich úrovne pripravenosti a uľahčili sa technické a prevádzkové úpravy pri začatí prevádzky systému vstup/výstup, treba stanoviť pravidlá postupného uvádzania systému vstup/výstup do prevádzky. S cieľom zabezpečiť, aby tieto úpravy odrážali potenciálne cestovné toky a sezónne vrcholy, takéto postupné uvádzanie do prevádzky by </w:t>
            </w:r>
            <w:r>
              <w:rPr>
                <w:b/>
                <w:i/>
              </w:rPr>
              <w:t>malo trvať 180 kalendárnych dní</w:t>
            </w:r>
            <w:r>
              <w:t>.</w:t>
            </w:r>
          </w:p>
        </w:tc>
        <w:tc>
          <w:tcPr>
            <w:tcW w:w="4876" w:type="dxa"/>
            <w:tcBorders>
              <w:top w:val="nil"/>
              <w:left w:val="nil"/>
              <w:bottom w:val="nil"/>
              <w:right w:val="nil"/>
            </w:tcBorders>
          </w:tcPr>
          <w:p>
            <w:pPr>
              <w:pStyle w:val="Normal6a"/>
            </w:pPr>
            <w:r>
              <w:t>(4)</w:t>
            </w:r>
            <w:r>
              <w:tab/>
            </w:r>
            <w:r>
              <w:t xml:space="preserve">Aby sa členským štátom poskytla potrebná flexibilita na začatie používania systému vstup/výstup podľa ich úrovne pripravenosti a uľahčili sa technické a prevádzkové úpravy pri začatí prevádzky systému vstup/výstup, treba stanoviť pravidlá postupného uvádzania systému vstup/výstup do prevádzky. S cieľom zabezpečiť, aby tieto úpravy odrážali potenciálne cestovné toky a sezónne vrcholy, takéto postupné uvádzanie do prevádzky by </w:t>
            </w:r>
            <w:r>
              <w:rPr>
                <w:b/>
                <w:i/>
              </w:rPr>
              <w:t>sa malo skončiť len potom ako bude systém vstup/výstup spoľahlivo fungovať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Aby sa členským štátom poskytla potrebná flexibilita na začatie používania systému vstup/výstup podľa ich úrovne pripravenosti a uľahčili sa technické a prevádzkové úpravy pri začatí prevádzky systému vstup/výstup, treba stanoviť pravidlá postupného uvádzania systému vstup/výstup do prevádzky. S cieľom zabezpečiť, aby tieto úpravy odrážali potenciálne cestovné toky a sezónne vrcholy, takéto postupné uvádzanie do prevádzky by malo trvať 180 kalendárnych dní.</w:t>
            </w:r>
          </w:p>
        </w:tc>
        <w:tc>
          <w:tcPr>
            <w:tcW w:w="4876" w:type="dxa"/>
            <w:tcBorders>
              <w:top w:val="nil"/>
              <w:left w:val="nil"/>
              <w:bottom w:val="nil"/>
              <w:right w:val="nil"/>
            </w:tcBorders>
          </w:tcPr>
          <w:p>
            <w:pPr>
              <w:pStyle w:val="Normal6a"/>
            </w:pPr>
            <w:r>
              <w:t>(4)</w:t>
            </w:r>
            <w:r>
              <w:tab/>
            </w:r>
            <w:r>
              <w:t xml:space="preserve">Aby sa členským štátom poskytla potrebná flexibilita na začatie používania systému vstup/výstup podľa ich úrovne pripravenosti </w:t>
            </w:r>
            <w:r>
              <w:rPr>
                <w:b/>
                <w:i/>
              </w:rPr>
              <w:t>v jasne vymedzenom časovom období </w:t>
            </w:r>
            <w:r>
              <w:t>a uľahčili sa technické a prevádzkové úpravy pri začatí prevádzky systému vstup/výstup, treba stanoviť pravidlá postupného uvádzania systému vstup/výstup do prevádzky. S cieľom zabezpečiť, aby tieto úpravy odrážali potenciálne cestovné toky a sezónne vrcholy, takéto postupné uvádzanie do prevádzky by malo trvať 180 kalendárnych dní.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Aby sa </w:t>
            </w:r>
            <w:r>
              <w:rPr>
                <w:b/>
                <w:i/>
              </w:rPr>
              <w:t>členským štátom poskytla potrebná flexibilita na začatie používania systému vstup/výstup podľa ich úrovne pripravenosti</w:t>
            </w:r>
            <w:r>
              <w:t xml:space="preserve"> a uľahčili </w:t>
            </w:r>
            <w:r>
              <w:rPr>
                <w:b/>
                <w:i/>
              </w:rPr>
              <w:t>sa</w:t>
            </w:r>
            <w:r>
              <w:t xml:space="preserve"> technické a prevádzkové úpravy pri začatí prevádzky systému vstup/výstup, treba stanoviť pravidlá postupného uvádzania systému vstup/výstup do prevádzky. S cieľom zabezpečiť, aby tieto úpravy odrážali potenciálne cestovné toky a sezónne vrcholy, takéto postupné uvádzanie do prevádzky by malo trvať 180 kalendárnych dní.</w:t>
            </w:r>
          </w:p>
        </w:tc>
        <w:tc>
          <w:tcPr>
            <w:tcW w:w="4876" w:type="dxa"/>
            <w:tcBorders>
              <w:top w:val="nil"/>
              <w:left w:val="nil"/>
              <w:bottom w:val="nil"/>
              <w:right w:val="nil"/>
            </w:tcBorders>
          </w:tcPr>
          <w:p>
            <w:pPr>
              <w:pStyle w:val="Normal6a"/>
            </w:pPr>
            <w:r>
              <w:t>(4)</w:t>
            </w:r>
            <w:r>
              <w:tab/>
            </w:r>
            <w:r>
              <w:t xml:space="preserve">Aby sa </w:t>
            </w:r>
            <w:r>
              <w:rPr>
                <w:b/>
                <w:i/>
              </w:rPr>
              <w:t>minimalizovalo oneskorenie</w:t>
            </w:r>
            <w:r>
              <w:t xml:space="preserve"> a uľahčili technické a prevádzkové úpravy pri začatí prevádzky systému vstup/výstup, treba stanoviť pravidlá postupného uvádzania systému vstup/výstup do prevádzky</w:t>
            </w:r>
            <w:r>
              <w:rPr>
                <w:b/>
                <w:i/>
              </w:rPr>
              <w:t>, s cieľom uľahčiť jeho včasné spustenie vo všetkých členských štátoch</w:t>
            </w:r>
            <w:r>
              <w:t>. S cieľom zabezpečiť, aby tieto úpravy odrážali potenciálne cestovné toky a sezónne vrcholy, takéto postupné uvádzanie do prevádzky by malo trvať 180 kalendárnych dní.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34</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Aby sa</w:t>
            </w:r>
            <w:r>
              <w:t xml:space="preserve"> členským štátom </w:t>
            </w:r>
            <w:r>
              <w:rPr>
                <w:b/>
                <w:i/>
              </w:rPr>
              <w:t>poskytla potrebná flexibilita na začatie používania systému</w:t>
            </w:r>
            <w:r>
              <w:t xml:space="preserve"> vstup/výstup </w:t>
            </w:r>
            <w:r>
              <w:rPr>
                <w:b/>
                <w:i/>
              </w:rPr>
              <w:t>podľa ich úrovne pripravenosti a uľahčili sa</w:t>
            </w:r>
            <w:r>
              <w:t xml:space="preserve"> technické a prevádzkové úpravy </w:t>
            </w:r>
            <w:r>
              <w:rPr>
                <w:b/>
                <w:i/>
              </w:rPr>
              <w:t>pri začatí prevádzky</w:t>
            </w:r>
            <w:r>
              <w:t xml:space="preserve"> systému vstup/výstup</w:t>
            </w:r>
            <w:r>
              <w:rPr>
                <w:b/>
                <w:i/>
              </w:rPr>
              <w:t>,</w:t>
            </w:r>
            <w:r>
              <w:t xml:space="preserve"> treba stanoviť pravidlá postupného uvádzania systému vstup/výstup do prevádzky. S cieľom zabezpečiť, aby tieto úpravy </w:t>
            </w:r>
            <w:r>
              <w:rPr>
                <w:b/>
                <w:i/>
              </w:rPr>
              <w:t>odrážali</w:t>
            </w:r>
            <w:r>
              <w:t xml:space="preserve"> potenciálne cestovné toky a sezónne vrcholy, takéto postupné uvádzanie do prevádzky by malo trvať 180 kalendárnych dní.</w:t>
            </w:r>
          </w:p>
        </w:tc>
        <w:tc>
          <w:tcPr>
            <w:tcW w:w="4876" w:type="dxa"/>
            <w:tcBorders>
              <w:top w:val="nil"/>
              <w:left w:val="nil"/>
              <w:bottom w:val="nil"/>
              <w:right w:val="nil"/>
            </w:tcBorders>
          </w:tcPr>
          <w:p>
            <w:pPr>
              <w:pStyle w:val="Normal6a"/>
            </w:pPr>
            <w:r>
              <w:t>(4)</w:t>
            </w:r>
            <w:r>
              <w:tab/>
            </w:r>
            <w:r>
              <w:rPr>
                <w:b/>
                <w:i/>
              </w:rPr>
              <w:t>S cieľom zabezpečiť bezproblémové spustenie systému vstup/výstup, poskytnúť</w:t>
            </w:r>
            <w:r>
              <w:t xml:space="preserve"> členským štátom </w:t>
            </w:r>
            <w:r>
              <w:rPr>
                <w:b/>
                <w:i/>
              </w:rPr>
              <w:t>určitú úroveň flexibility, keď prvýkrát začnú používať systém</w:t>
            </w:r>
            <w:r>
              <w:t xml:space="preserve"> vstup/výstup</w:t>
            </w:r>
            <w:r>
              <w:rPr>
                <w:b/>
                <w:i/>
              </w:rPr>
              <w:t>, a umožniť</w:t>
            </w:r>
            <w:r>
              <w:t xml:space="preserve"> technické a prevádzkové úpravy </w:t>
            </w:r>
            <w:r>
              <w:rPr>
                <w:b/>
                <w:i/>
              </w:rPr>
              <w:t>po uvedení</w:t>
            </w:r>
            <w:r>
              <w:t xml:space="preserve"> systému vstup/výstup </w:t>
            </w:r>
            <w:r>
              <w:rPr>
                <w:b/>
                <w:i/>
              </w:rPr>
              <w:t>do prevádzky</w:t>
            </w:r>
            <w:r>
              <w:t xml:space="preserve"> treba stanoviť pravidlá postupného uvádzania systému vstup/výstup do prevádzky. S cieľom zabezpečiť, aby tieto úpravy </w:t>
            </w:r>
            <w:r>
              <w:rPr>
                <w:b/>
                <w:i/>
              </w:rPr>
              <w:t>zohľadňovali</w:t>
            </w:r>
            <w:r>
              <w:t xml:space="preserve"> potenciálne cestovné toky a sezónne vrcholy, takéto postupné uvádzanie do prevádzky by malo trvať 180 kalendárnych dní.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Aby sa zabezpečilo postupné uvádzanie systému vstup/výstup do prevádzky, je preto potrebné odchýliť sa od určitých ustanovení nariadenia (EÚ) 2017/2226 a nariadenia Európskeho parlamentu a Rady (EÚ) 2016/399</w:t>
            </w:r>
            <w:r>
              <w:rPr>
                <w:vertAlign w:val="superscript"/>
              </w:rPr>
              <w:t>3</w:t>
            </w:r>
            <w:r>
              <w:t xml:space="preserve">(ďalej len „Kódex schengenských hraníc“). Iné pravidlá stanovené v nariadení (EÚ) 2017/2226, ktoré týmto nariadením nie sú dotknuté, sa uplatňujú tak, ako sa stanovuje v uvedenom nariadení. </w:t>
            </w:r>
            <w:r>
              <w:rPr>
                <w:b/>
                <w:i/>
              </w:rPr>
              <w:t>Konkrétne údaje zaznamenávané v systéme vstup/výstup počas postupného uvádzania do prevádzky sa riadia pravidlami stanovenými v nariadení (EÚ) 2017/2226 a považujú sa za spoľahlivé a presné.</w:t>
            </w:r>
          </w:p>
        </w:tc>
        <w:tc>
          <w:tcPr>
            <w:tcW w:w="4876" w:type="dxa"/>
            <w:tcBorders>
              <w:top w:val="nil"/>
              <w:left w:val="nil"/>
              <w:bottom w:val="nil"/>
              <w:right w:val="nil"/>
            </w:tcBorders>
          </w:tcPr>
          <w:p>
            <w:pPr>
              <w:pStyle w:val="Normal6a"/>
            </w:pPr>
            <w:r>
              <w:t>(5)</w:t>
            </w:r>
            <w:r>
              <w:tab/>
            </w:r>
            <w:r>
              <w:t>Aby sa zabezpečilo postupné uvádzanie systému vstup/výstup do prevádzky, je preto potrebné odchýliť sa od určitých ustanovení nariadenia (EÚ) 2017/2226 a nariadenia Európskeho parlamentu a Rady (EÚ) 2016/399</w:t>
            </w:r>
            <w:r>
              <w:rPr>
                <w:vertAlign w:val="superscript"/>
              </w:rPr>
              <w:t>3</w:t>
            </w:r>
            <w:r>
              <w:t xml:space="preserve"> (ďalej len „Kódex schengenských hraníc“). Iné pravidlá stanovené v nariadení (EÚ) 2017/2226, ktoré týmto nariadením nie sú dotknuté, sa uplatňujú tak, ako sa stanovuje v uvedenom nariadení.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Nariadenie Európskeho parlamentu a Rady (EÚ) 2016/399 z 9. marca 2016, ktorým sa ustanovuje kódex Únie o pravidlách upravujúcich pohyb osôb cez hranice (Kódex schengenských hraníc) (Ú. v. EÚ L 77, 23.3.2016, s.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Nariadenie Európskeho parlamentu a Rady (EÚ) 2016/399 z 9. marca 2016, ktorým sa ustanovuje kódex Únie o pravidlách upravujúcich pohyb osôb cez hranice (Kódex schengenských hraníc) (Ú. v. EÚ L 77, 23.3.2016, s.</w:t>
            </w:r>
            <w:r>
              <w:rPr>
                <w:b/>
                <w:i/>
              </w:rPr>
              <w:t> </w:t>
            </w:r>
            <w:r>
              <w:t xml:space="preserve">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Aby sa zabezpečilo postupné uvádzanie systému vstup/výstup do prevádzky, je preto potrebné odchýliť sa od určitých ustanovení nariadenia (EÚ) 2017/2226 a nariadenia Európskeho parlamentu a Rady (EÚ) 2016/399</w:t>
            </w:r>
            <w:r>
              <w:rPr>
                <w:vertAlign w:val="superscript"/>
              </w:rPr>
              <w:t>3</w:t>
            </w:r>
            <w:r>
              <w:t xml:space="preserve">(ďalej len „Kódex schengenských hraníc“). Iné pravidlá stanovené v nariadení (EÚ) 2017/2226, ktoré týmto nariadením nie sú dotknuté, sa uplatňujú tak, ako sa stanovuje v uvedenom nariadení. </w:t>
            </w:r>
            <w:r>
              <w:rPr>
                <w:b/>
                <w:i/>
              </w:rPr>
              <w:t>Konkrétne údaje zaznamenávané v systéme vstup/výstup počas postupného uvádzania do prevádzky sa riadia pravidlami stanovenými v nariadení (EÚ) 2017/2226 a považujú sa za spoľahlivé a presné.</w:t>
            </w:r>
          </w:p>
        </w:tc>
        <w:tc>
          <w:tcPr>
            <w:tcW w:w="4876" w:type="dxa"/>
            <w:tcBorders>
              <w:top w:val="nil"/>
              <w:left w:val="nil"/>
              <w:bottom w:val="nil"/>
              <w:right w:val="nil"/>
            </w:tcBorders>
          </w:tcPr>
          <w:p>
            <w:pPr>
              <w:pStyle w:val="Normal6a"/>
            </w:pPr>
            <w:r>
              <w:t>(5)</w:t>
            </w:r>
            <w:r>
              <w:tab/>
            </w:r>
            <w:r>
              <w:t>Aby sa zabezpečilo postupné uvádzanie systému vstup/výstup do prevádzky, je preto potrebné odchýliť sa od určitých ustanovení nariadenia (EÚ) 2017/2226 a nariadenia Európskeho parlamentu a Rady (EÚ) 2016/399</w:t>
            </w:r>
            <w:r>
              <w:rPr>
                <w:vertAlign w:val="superscript"/>
              </w:rPr>
              <w:t>3</w:t>
            </w:r>
            <w:r>
              <w:t xml:space="preserve"> (ďalej len „Kódex schengenských hraníc“). Iné pravidlá stanovené v nariadení (EÚ) 2017/2226, ktoré týmto nariadením nie sú dotknuté, sa uplatňujú tak, ako sa stanovuje v uvedenom nariadení.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Nariadenie Európskeho parlamentu a Rady (EÚ) 2016/399 z 9. marca 2016, ktorým sa ustanovuje kódex Únie o pravidlách upravujúcich pohyb osôb cez hranice (Kódex schengenských hraníc) (Ú. v. EÚ L 77, 23.3.2016, s.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Nariadenie Európskeho parlamentu a Rady (EÚ) 2016/399 z 9. marca 2016, ktorým sa ustanovuje kódex Únie o pravidlách upravujúcich pohyb osôb cez hranice (Kódex schengenských hraníc) (Ú. v. EÚ L 77, 23.3.2016, s.</w:t>
            </w:r>
            <w:r>
              <w:rPr>
                <w:b/>
                <w:i/>
              </w:rPr>
              <w:t> </w:t>
            </w:r>
            <w:r>
              <w:t xml:space="preserve">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Členské štáty by mali postupne uvádzať do prevádzky systém vstup/výstup s cieľom zaznamenávať pri vstupe a výstupe na jednom alebo viacerých hraničných priechodoch údaje štátnych príslušníkov tretích krajín podliehajúcich zaznamenávaniu v tomto systéme. Ak je to možné a uplatniteľné, členské štáty by mali zahrnúť kombináciu vzdušných, pozemných a námorných hraničných priechodov. S cieľom zabezpečiť kontrolované spustenie systému vstup/výstup a v relevantných prípadoch lepšie riadiť potenciálne dlhé čakanie na hraniciach a predchádzať mu by členské štáty mali postupne zavádzať všetky funkcie systému vstup/výstup a postupne zaznamenávať údaje všetkých štátnych príslušníkov tretích krajín podliehajúcich zaznamenávaniu v tomto systéme. Na zabezpečenie koordinovaného prístupu by sa postupné uvádzanie do prevádzky malo vykonávať vo fázach, pre ktoré by sa mali stanoviť minimálne požiadavky, ktoré majú členské štáty splniť. Členské štáty budú mať možnosť urýchliť implementáciu na vnútroštátnej úrovni alebo v rámci postupného uvádzania systému vstup/výstup do prevádzky uviesť tento systém do plnej prevádzky už od začiatku</w:t>
            </w:r>
          </w:p>
        </w:tc>
        <w:tc>
          <w:tcPr>
            <w:tcW w:w="4876" w:type="dxa"/>
            <w:tcBorders>
              <w:top w:val="nil"/>
              <w:left w:val="nil"/>
              <w:bottom w:val="nil"/>
              <w:right w:val="nil"/>
            </w:tcBorders>
          </w:tcPr>
          <w:p>
            <w:pPr>
              <w:pStyle w:val="Normal6a"/>
            </w:pPr>
            <w:r>
              <w:t>(6)</w:t>
            </w:r>
            <w:r>
              <w:tab/>
            </w:r>
            <w:r>
              <w:t xml:space="preserve">Členské štáty by mali postupne uvádzať do prevádzky systém vstup/výstup s cieľom zaznamenávať pri vstupe a výstupe na jednom alebo viacerých hraničných priechodoch údaje štátnych príslušníkov tretích krajín podliehajúcich zaznamenávaniu v tomto systéme. Ak je to možné a uplatniteľné, členské štáty by mali zahrnúť kombináciu vzdušných, pozemných a námorných hraničných priechodov. S cieľom zabezpečiť kontrolované spustenie systému vstup/výstup a v relevantných prípadoch lepšie riadiť potenciálne dlhé čakanie na hraniciach a predchádzať mu by členské štáty mali postupne zavádzať všetky funkcie systému vstup/výstup a postupne zaznamenávať údaje všetkých štátnych príslušníkov tretích krajín podliehajúcich zaznamenávaniu v tomto systéme. Na zabezpečenie koordinovaného prístupu by sa postupné uvádzanie do prevádzky malo vykonávať vo fázach, pre ktoré by sa mali stanoviť minimálne požiadavky, ktoré majú členské štáty splniť. Členské štáty budú mať možnosť urýchliť implementáciu na vnútroštátnej úrovni alebo v rámci postupného uvádzania systému vstup/výstup do prevádzky uviesť tento systém do plnej prevádzky už od začiatku </w:t>
            </w:r>
            <w:r>
              <w:rPr>
                <w:b/>
                <w:i/>
              </w:rPr>
              <w:t>Postupné spracúvanie údajov v systéme vstup/výstup by sa malo vykonávať pri plnom rešpektovaní práv dotknutých osôb, ako sa stanovuje v nariadení Európskeho parlamentu a Rady (EÚ) 2016/679</w:t>
            </w:r>
            <w:r>
              <w:rPr>
                <w:b/>
                <w:i/>
                <w:vertAlign w:val="superscript"/>
              </w:rPr>
              <w:t>1a</w:t>
            </w:r>
            <w:r>
              <w:rPr>
                <w:b/>
                <w:i/>
              </w:rPr>
              <w:t>, a nemalo by priamo ani nepriamo viesť k žiadnej forme diskriminácie alebo profilovania.</w:t>
            </w:r>
            <w:r>
              <w:t xml:space="preserve"> </w:t>
            </w:r>
            <w:r>
              <w:rPr>
                <w:b/>
                <w:i/>
              </w:rPr>
              <w:t>Komisia by mala po konzultácii s európskym dozorným úradníkom pre ochranu údajov vydať usmernenia o spracúvaní osobných údajov v systéme vstup/výstup počas postupného uvádzania do prevádzky.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Nariadenie Európskeho parlamentu a Rady (EÚ) 2016/679 z 27. apríla 2016 o ochrane fyzických osôb pri spracúvaní osobných údajov a o voľnom pohybe takýchto údajov, ktorým sa zrušuje smernica 95/46/ES (Ú. v. EÚ L 119, 4.5.2016, s.</w:t>
            </w:r>
            <w:r>
              <w:t xml:space="preserve"> </w:t>
            </w:r>
            <w:r>
              <w:rPr>
                <w:b/>
                <w:i/>
              </w:rPr>
              <w:t>1 – 88, ELI: http://data.europa.eu/eli/reg/2016/679/2016-05-04 ).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Členské štáty </w:t>
            </w:r>
            <w:r>
              <w:rPr>
                <w:b/>
                <w:i/>
              </w:rPr>
              <w:t>by mali postupne uvádzať do prevádzky</w:t>
            </w:r>
            <w:r>
              <w:t xml:space="preserve"> systém vstup/výstup </w:t>
            </w:r>
            <w:r>
              <w:rPr>
                <w:b/>
                <w:i/>
              </w:rPr>
              <w:t>s cieľom</w:t>
            </w:r>
            <w:r>
              <w:t xml:space="preserve"> zaznamenávať pri vstupe a výstupe na jednom alebo viacerých hraničných priechodoch údaje štátnych príslušníkov tretích krajín podliehajúcich zaznamenávaniu v tomto systéme. Ak je to možné a uplatniteľné, členské štáty by mali zahrnúť kombináciu vzdušných, pozemných a námorných hraničných priechodov. S cieľom zabezpečiť kontrolované spustenie systému vstup/výstup a v relevantných prípadoch lepšie riadiť potenciálne dlhé čakanie na hraniciach a predchádzať mu by členské štáty mali postupne zavádzať všetky funkcie systému vstup/výstup a postupne zaznamenávať údaje všetkých štátnych príslušníkov tretích krajín podliehajúcich zaznamenávaniu v tomto systéme. Na zabezpečenie koordinovaného prístupu </w:t>
            </w:r>
            <w:r>
              <w:rPr>
                <w:b/>
                <w:i/>
              </w:rPr>
              <w:t>by sa</w:t>
            </w:r>
            <w:r>
              <w:t xml:space="preserve"> postupné uvádzanie do prevádzky </w:t>
            </w:r>
            <w:r>
              <w:rPr>
                <w:b/>
                <w:i/>
              </w:rPr>
              <w:t>malo</w:t>
            </w:r>
            <w:r>
              <w:t xml:space="preserve"> vykonávať vo fázach, pre ktoré by sa mali stanoviť minimálne požiadavky, ktoré majú členské štáty splniť. Členské štáty </w:t>
            </w:r>
            <w:r>
              <w:rPr>
                <w:b/>
                <w:i/>
              </w:rPr>
              <w:t>budú mať</w:t>
            </w:r>
            <w:r>
              <w:t xml:space="preserve"> možnosť urýchliť implementáciu na vnútroštátnej úrovni alebo </w:t>
            </w:r>
            <w:r>
              <w:rPr>
                <w:b/>
                <w:i/>
              </w:rPr>
              <w:t>v rámci postupného uvádzania systému</w:t>
            </w:r>
            <w:r>
              <w:t xml:space="preserve"> vstup/výstup do </w:t>
            </w:r>
            <w:r>
              <w:rPr>
                <w:b/>
                <w:i/>
              </w:rPr>
              <w:t>prevádzky uviesť tento systém do</w:t>
            </w:r>
            <w:r>
              <w:t xml:space="preserve"> plnej prevádzky </w:t>
            </w:r>
            <w:r>
              <w:rPr>
                <w:b/>
                <w:i/>
              </w:rPr>
              <w:t>už</w:t>
            </w:r>
            <w:r>
              <w:t xml:space="preserve"> od začiatku</w:t>
            </w:r>
          </w:p>
        </w:tc>
        <w:tc>
          <w:tcPr>
            <w:tcW w:w="4876" w:type="dxa"/>
            <w:tcBorders>
              <w:top w:val="nil"/>
              <w:left w:val="nil"/>
              <w:bottom w:val="nil"/>
              <w:right w:val="nil"/>
            </w:tcBorders>
          </w:tcPr>
          <w:p>
            <w:pPr>
              <w:pStyle w:val="Normal6a"/>
            </w:pPr>
            <w:r>
              <w:t>(6)</w:t>
            </w:r>
            <w:r>
              <w:tab/>
            </w:r>
            <w:r>
              <w:t>Členské štáty</w:t>
            </w:r>
            <w:r>
              <w:rPr>
                <w:b/>
                <w:i/>
              </w:rPr>
              <w:t>, ktoré nemajú v úmysle používať systém vstup/výstup v plnej miere pre všetkých štátnych príslušníkov tretích krajín, ktorí podliehajú registrácii v systéme vstup/výstup, a súčasne používať</w:t>
            </w:r>
            <w:r>
              <w:t xml:space="preserve"> systém vstup/výstup </w:t>
            </w:r>
            <w:r>
              <w:rPr>
                <w:b/>
                <w:i/>
              </w:rPr>
              <w:t>na všetkých svojich hraničných priechodoch od uvedenia do prevádzky, by mali</w:t>
            </w:r>
            <w:r>
              <w:t xml:space="preserve"> zaznamenávať pri vstupe a výstupe na jednom alebo viacerých hraničných priechodoch údaje štátnych príslušníkov tretích krajín podliehajúcich zaznamenávaniu v tomto systéme. Ak je to možné a uplatniteľné, členské štáty by mali zahrnúť kombináciu vzdušných, pozemných a námorných hraničných priechodov. S cieľom zabezpečiť kontrolované spustenie systému vstup/výstup a v relevantných prípadoch lepšie riadiť potenciálne dlhé čakanie na hraniciach a predchádzať mu by členské štáty mali postupne zavádzať všetky funkcie systému vstup/výstup a postupne zaznamenávať údaje všetkých štátnych príslušníkov tretích krajín podliehajúcich zaznamenávaniu v tomto systéme. Na zabezpečenie koordinovaného prístupu</w:t>
            </w:r>
            <w:r>
              <w:rPr>
                <w:b/>
                <w:i/>
              </w:rPr>
              <w:t>, keď sa členské štáty rozhodnú pre</w:t>
            </w:r>
            <w:r>
              <w:t xml:space="preserve"> postupné uvádzanie do prevádzky</w:t>
            </w:r>
            <w:r>
              <w:rPr>
                <w:b/>
                <w:i/>
              </w:rPr>
              <w:t>, malo by sa toto postupné uvádzanie do prevádzky</w:t>
            </w:r>
            <w:r>
              <w:t xml:space="preserve"> vykonávať vo fázach, pre ktoré by sa mali stanoviť minimálne požiadavky, ktoré majú </w:t>
            </w:r>
            <w:r>
              <w:rPr>
                <w:b/>
                <w:i/>
              </w:rPr>
              <w:t>tieto</w:t>
            </w:r>
            <w:r>
              <w:t xml:space="preserve"> členské štáty splniť. Členské štáty </w:t>
            </w:r>
            <w:r>
              <w:rPr>
                <w:b/>
                <w:i/>
              </w:rPr>
              <w:t>si zachovajú</w:t>
            </w:r>
            <w:r>
              <w:t xml:space="preserve"> možnosť urýchliť implementáciu na vnútroštátnej úrovni alebo </w:t>
            </w:r>
            <w:r>
              <w:rPr>
                <w:b/>
                <w:i/>
              </w:rPr>
              <w:t>uviesť systém</w:t>
            </w:r>
            <w:r>
              <w:t xml:space="preserve"> vstup/výstup do plnej prevádzky od začiatku</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39</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Členské štáty by mali postupne uvádzať </w:t>
            </w:r>
            <w:r>
              <w:rPr>
                <w:b/>
                <w:i/>
              </w:rPr>
              <w:t>do prevádzky</w:t>
            </w:r>
            <w:r>
              <w:t xml:space="preserve"> systém vstup/výstup s cieľom zaznamenávať pri vstupe a výstupe na jednom alebo viacerých hraničných priechodoch údaje štátnych príslušníkov tretích krajín podliehajúcich zaznamenávaniu v tomto systéme. Ak je to možné a uplatniteľné, členské štáty by mali zahrnúť kombináciu vzdušných, pozemných a námorných hraničných priechodov. S cieľom zabezpečiť kontrolované spustenie systému vstup/výstup a v relevantných prípadoch lepšie riadiť potenciálne dlhé čakanie na hraniciach a predchádzať mu by členské štáty mali postupne zavádzať všetky funkcie systému vstup/výstup a postupne zaznamenávať údaje všetkých štátnych príslušníkov tretích krajín podliehajúcich zaznamenávaniu v tomto systéme. Na zabezpečenie koordinovaného prístupu by sa postupné uvádzanie do prevádzky malo vykonávať vo fázach, pre ktoré by sa mali stanoviť minimálne požiadavky, ktoré majú členské štáty splniť. Členské štáty budú mať možnosť urýchliť implementáciu na vnútroštátnej úrovni alebo v rámci postupného uvádzania systému vstup/výstup do prevádzky uviesť tento systém do plnej prevádzky už od začiatku</w:t>
            </w:r>
          </w:p>
        </w:tc>
        <w:tc>
          <w:tcPr>
            <w:tcW w:w="4876" w:type="dxa"/>
            <w:tcBorders>
              <w:top w:val="nil"/>
              <w:left w:val="nil"/>
              <w:bottom w:val="nil"/>
              <w:right w:val="nil"/>
            </w:tcBorders>
          </w:tcPr>
          <w:p>
            <w:pPr>
              <w:pStyle w:val="Normal6a"/>
            </w:pPr>
            <w:r>
              <w:t>(6)</w:t>
            </w:r>
            <w:r>
              <w:tab/>
            </w:r>
            <w:r>
              <w:t xml:space="preserve">Členské štáty by mali postupne uvádzať systém vstup/výstup </w:t>
            </w:r>
            <w:r>
              <w:rPr>
                <w:b/>
                <w:i/>
              </w:rPr>
              <w:t>do prevádzky</w:t>
            </w:r>
            <w:r>
              <w:t xml:space="preserve"> s cieľom zaznamenávať pri vstupe a výstupe na jednom alebo viacerých hraničných priechodoch </w:t>
            </w:r>
            <w:r>
              <w:rPr>
                <w:b/>
                <w:i/>
              </w:rPr>
              <w:t>alebo v jednom alebo viacerých koridoroch takýchto hraničných priechodov</w:t>
            </w:r>
            <w:r>
              <w:t xml:space="preserve"> údaje štátnych príslušníkov tretích krajín podliehajúcich zaznamenávaniu v tomto systéme. Ak je to možné a uplatniteľné, členské štáty by mali zahrnúť kombináciu vzdušných, pozemných a námorných hraničných priechodov. S cieľom zabezpečiť kontrolované spustenie systému vstup/výstup a v relevantných prípadoch lepšie riadiť potenciálne dlhé čakanie na hraniciach a predchádzať mu by členské štáty mali postupne zavádzať všetky funkcie systému vstup/výstup a postupne zaznamenávať údaje všetkých štátnych príslušníkov tretích krajín podliehajúcich zaznamenávaniu v tomto systéme. Na zabezpečenie koordinovaného prístupu by sa postupné uvádzanie do prevádzky malo vykonávať vo fázach, pre ktoré by sa mali stanoviť minimálne požiadavky, ktoré majú členské štáty splniť. Členské štáty budú mať možnosť urýchliť implementáciu na vnútroštátnej úrovni alebo v rámci postupného uvádzania systému vstup/výstup do prevádzky uviesť tento systém do plnej prevádzky už od začiatku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tohto pozmeňujúceho návrhu je objasniť už uvedené stanovisko Komisie, že systém vstup/výstup možno zaviesť v určených koridoroch na hraničných priechodoch.</w:t>
      </w:r>
    </w:p>
    <w:p>
      <w:r>
        <w:rPr>
          <w:rStyle w:val="HideTWBExt"/>
        </w:rPr>
        <w:t>&lt;/AmendB&gt;</w:t>
      </w:r>
    </w:p>
    <w:p>
      <w:pPr>
        <w:pStyle w:val="AmNumberTabs"/>
      </w:pPr>
      <w:r>
        <w:rPr>
          <w:rStyle w:val="HideTWBExt"/>
        </w:rPr>
        <w:t>&lt;AmendB&gt;</w:t>
      </w:r>
      <w:r>
        <w:t>Pozmeňujúci návrh</w:t>
      </w:r>
      <w:r>
        <w:tab/>
      </w:r>
      <w:r>
        <w:tab/>
      </w:r>
      <w:r>
        <w:rPr>
          <w:rStyle w:val="HideTWBExt"/>
        </w:rPr>
        <w:t>&lt;NumAmB&gt;</w:t>
      </w:r>
      <w:r>
        <w:t>40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Členské štáty by mali postupne uvádzať do prevádzky systém vstup/výstup s cieľom zaznamenávať pri vstupe a výstupe na jednom alebo viacerých hraničných priechodoch údaje štátnych príslušníkov tretích krajín podliehajúcich zaznamenávaniu v tomto systéme. Ak je to možné a uplatniteľné, členské štáty by mali zahrnúť kombináciu vzdušných, pozemných a námorných hraničných priechodov. S cieľom zabezpečiť kontrolované spustenie systému vstup/výstup a v relevantných prípadoch lepšie riadiť potenciálne dlhé čakanie na hraniciach a predchádzať mu by členské štáty mali postupne zavádzať všetky funkcie systému vstup/výstup a postupne zaznamenávať údaje všetkých štátnych príslušníkov tretích krajín podliehajúcich zaznamenávaniu v tomto systéme. Na zabezpečenie koordinovaného prístupu by sa postupné uvádzanie do prevádzky malo vykonávať vo fázach, pre ktoré by sa mali stanoviť minimálne požiadavky, ktoré majú členské štáty splniť. Členské štáty budú mať možnosť urýchliť implementáciu na vnútroštátnej úrovni alebo v rámci postupného uvádzania systému vstup/výstup do prevádzky uviesť tento systém do plnej prevádzky už od začiatku</w:t>
            </w:r>
          </w:p>
        </w:tc>
        <w:tc>
          <w:tcPr>
            <w:tcW w:w="4876" w:type="dxa"/>
            <w:tcBorders>
              <w:top w:val="nil"/>
              <w:left w:val="nil"/>
              <w:bottom w:val="nil"/>
              <w:right w:val="nil"/>
            </w:tcBorders>
          </w:tcPr>
          <w:p>
            <w:pPr>
              <w:pStyle w:val="Normal6a"/>
            </w:pPr>
            <w:r>
              <w:t>(6)</w:t>
            </w:r>
            <w:r>
              <w:tab/>
            </w:r>
            <w:r>
              <w:t xml:space="preserve">Členské štáty by mali postupne uvádzať do prevádzky systém vstup/výstup s cieľom zaznamenávať pri vstupe a výstupe na jednom alebo viacerých hraničných priechodoch údaje štátnych príslušníkov tretích krajín podliehajúcich zaznamenávaniu v tomto systéme. Ak je to možné a uplatniteľné, členské štáty by mali zahrnúť kombináciu vzdušných, pozemných a námorných hraničných priechodov. S cieľom zabezpečiť kontrolované spustenie systému vstup/výstup a v relevantných prípadoch </w:t>
            </w:r>
            <w:r>
              <w:rPr>
                <w:b/>
                <w:i/>
              </w:rPr>
              <w:t>a v prípade potreby</w:t>
            </w:r>
            <w:r>
              <w:t xml:space="preserve"> lepšie riadiť potenciálne dlhé čakanie na hraniciach a predchádzať mu by členské štáty mali postupne zavádzať všetky funkcie systému vstup/výstup a postupne zaznamenávať údaje všetkých štátnych príslušníkov tretích krajín podliehajúcich zaznamenávaniu v tomto systéme. Na zabezpečenie koordinovaného prístupu by sa postupné uvádzanie do prevádzky malo vykonávať vo fázach, pre ktoré by sa mali stanoviť minimálne požiadavky, ktoré majú členské štáty splniť. Členské štáty budú mať možnosť urýchliť implementáciu na vnútroštátnej úrovni alebo v rámci postupného uvádzania systému vstup/výstup do prevádzky uviesť tento systém do plnej prevádzky už od začiatku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41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 cieľom maximalizovať bezpečnostné prínosy systému vstup/výstup od začiatku jeho postupného zavádzania by členské štáty mali uprednostniť prevádzku systému vstup/výstup na hraničných priechodoch, ktoré sú najčastejšie postihnuté neoprávnenou migráciou, nelegálnym prekračovaním hraníc alebo organizovanou trestnou činnosťou.</w:t>
            </w:r>
            <w:r>
              <w:t xml:space="preserve"> </w:t>
            </w:r>
            <w:r>
              <w:rPr>
                <w:b/>
                <w:i/>
              </w:rPr>
              <w:t>Takéto stanovenie priorít je potrebné na posilnenie celkovej bezpečnosti schengenského priestoru pri súčasnom zachovaní flexibility na prispôsobenie sa operačnej pripravenosti.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42</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 cieľom uľahčiť bezproblémové zavádzanie systému vstup/výstup by Agentúra Európskej únie na prevádzkové riadenie rozsiahlych informačných systémov v priestore slobody, bezpečnosti a spravodlivosti (eu-LISA) mala vypracovať plán spúšťania na vysokej úrovni s cieľom poskytnúť členským štátom a agentúram Únie usmernenia týkajúce sa plánovania a realizácie zavádzania systému vstup/výstup počas jeho postupného uvádzania do prevádzky a mala by ho predložiť Komisii, členským štátom a agentúram Únie. Tento plán by mal </w:t>
            </w:r>
            <w:r>
              <w:rPr>
                <w:b/>
                <w:i/>
              </w:rPr>
              <w:t>obsahovať aj kapacitné limity</w:t>
            </w:r>
            <w:r>
              <w:t xml:space="preserve"> centrálneho systému stanovené agentúrou eu-LISA pre každú fázu zavádzania. V rozhodnutiach členských štátov o uvedení do prevádzky alebo o pokročení v uvádzaní do prevádzky by sa </w:t>
            </w:r>
            <w:r>
              <w:rPr>
                <w:b/>
                <w:i/>
              </w:rPr>
              <w:t>mala</w:t>
            </w:r>
            <w:r>
              <w:t xml:space="preserve"> zohľadňovať </w:t>
            </w:r>
            <w:r>
              <w:rPr>
                <w:b/>
                <w:i/>
              </w:rPr>
              <w:t>kapacita centrálneho systému, ako bude uvedená v pláne</w:t>
            </w:r>
            <w:r>
              <w:t xml:space="preserve"> spúšťania na vysokej úrovni.</w:t>
            </w:r>
          </w:p>
        </w:tc>
        <w:tc>
          <w:tcPr>
            <w:tcW w:w="4876" w:type="dxa"/>
            <w:tcBorders>
              <w:top w:val="nil"/>
              <w:left w:val="nil"/>
              <w:bottom w:val="nil"/>
              <w:right w:val="nil"/>
            </w:tcBorders>
          </w:tcPr>
          <w:p>
            <w:pPr>
              <w:pStyle w:val="Normal6a"/>
            </w:pPr>
            <w:r>
              <w:t>(7)</w:t>
            </w:r>
            <w:r>
              <w:tab/>
            </w:r>
            <w:r>
              <w:t>S cieľom uľahčiť bezproblémové zavádzanie systému vstup/výstup by Agentúra Európskej únie na prevádzkové riadenie rozsiahlych informačných systémov v priestore slobody, bezpečnosti a spravodlivosti (</w:t>
            </w:r>
            <w:r>
              <w:rPr>
                <w:b/>
                <w:i/>
              </w:rPr>
              <w:t>agentúra</w:t>
            </w:r>
            <w:r>
              <w:t xml:space="preserve"> eu-LISA) mala vypracovať plán spúšťania na vysokej úrovni s cieľom poskytnúť členským štátom a agentúram Únie usmernenia týkajúce sa plánovania a realizácie zavádzania systému vstup/výstup počas jeho postupného uvádzania do prevádzky </w:t>
            </w:r>
            <w:r>
              <w:rPr>
                <w:b/>
                <w:i/>
              </w:rPr>
              <w:t>(ďalej len „plán spúšťania na vysokej úrovni vypracovaný agentúrou eu-LISA“)</w:t>
            </w:r>
            <w:r>
              <w:t xml:space="preserve"> a mala by ho predložiť Komisii, členským štátom a agentúram Únie. Tento plán by mal </w:t>
            </w:r>
            <w:r>
              <w:rPr>
                <w:b/>
                <w:i/>
              </w:rPr>
              <w:t>potvrdiť celkovú stabilitu systému vstup/výstup, ako aj ciele v oblasti výkonnosti a dostupnosti</w:t>
            </w:r>
            <w:r>
              <w:t xml:space="preserve"> centrálneho systému stanovené agentúrou eu-LISA pre každú fázu zavádzania. </w:t>
            </w:r>
            <w:r>
              <w:rPr>
                <w:b/>
                <w:i/>
              </w:rPr>
              <w:t>Tento plán by mal obsahovať aj stratégiu riešenia akýchkoľvek menších, závažných a blokujúcich funkčných chýb.</w:t>
            </w:r>
            <w:r>
              <w:t xml:space="preserve"> </w:t>
            </w:r>
            <w:r>
              <w:rPr>
                <w:b/>
                <w:i/>
              </w:rPr>
              <w:t>Plán by mala prijať správna rada agentúry eu-LISA.</w:t>
            </w:r>
            <w:r>
              <w:t xml:space="preserve"> V rozhodnutiach členských štátov o uvedení do prevádzky alebo o pokročení v uvádzaní do prevádzky by sa </w:t>
            </w:r>
            <w:r>
              <w:rPr>
                <w:b/>
                <w:i/>
              </w:rPr>
              <w:t>mal</w:t>
            </w:r>
            <w:r>
              <w:t xml:space="preserve"> zohľadňovať </w:t>
            </w:r>
            <w:r>
              <w:rPr>
                <w:b/>
                <w:i/>
              </w:rPr>
              <w:t>plán</w:t>
            </w:r>
            <w:r>
              <w:t xml:space="preserve"> spúšťania na vysokej úrovni.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Na zabezpečenie úspešného spustenia systému vstup/výstup je nevyhnutné mať spoľahlivý centrálny systém spolu s jasnou stratégiou na riešenie prípadných zlyhaní.</w:t>
      </w:r>
    </w:p>
    <w:p>
      <w:r>
        <w:rPr>
          <w:rStyle w:val="HideTWBExt"/>
        </w:rPr>
        <w:t>&lt;/AmendB&gt;</w:t>
      </w:r>
    </w:p>
    <w:p>
      <w:pPr>
        <w:pStyle w:val="AmNumberTabs"/>
      </w:pPr>
      <w:r>
        <w:rPr>
          <w:rStyle w:val="HideTWBExt"/>
        </w:rPr>
        <w:t>&lt;AmendB&gt;</w:t>
      </w:r>
      <w:r>
        <w:t>Pozmeňujúci návrh</w:t>
      </w:r>
      <w:r>
        <w:tab/>
      </w:r>
      <w:r>
        <w:tab/>
      </w:r>
      <w:r>
        <w:rPr>
          <w:rStyle w:val="HideTWBExt"/>
        </w:rPr>
        <w:t>&lt;NumAmB&gt;</w:t>
      </w:r>
      <w:r>
        <w:t>43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 cieľom uľahčiť bezproblémové zavádzanie systému vstup/výstup by Agentúra Európskej únie na prevádzkové riadenie rozsiahlych informačných systémov v priestore slobody, bezpečnosti a spravodlivosti (eu-LISA) mala vypracovať plán spúšťania na vysokej úrovni s cieľom poskytnúť členským štátom a agentúram Únie usmernenia týkajúce sa plánovania a realizácie zavádzania systému vstup/výstup počas jeho postupného uvádzania do prevádzky a mala by ho predložiť Komisii, členským štátom a agentúram Únie. Tento plán by mal obsahovať aj kapacitné limity centrálneho systému stanovené agentúrou eu-LISA pre každú fázu zavádzania. V rozhodnutiach členských štátov o uvedení do prevádzky alebo o pokročení v uvádzaní do prevádzky by sa mala zohľadňovať kapacita centrálneho systému, ako bude uvedená v pláne spúšťania na vysokej úrovni.</w:t>
            </w:r>
          </w:p>
        </w:tc>
        <w:tc>
          <w:tcPr>
            <w:tcW w:w="4876" w:type="dxa"/>
            <w:tcBorders>
              <w:top w:val="nil"/>
              <w:left w:val="nil"/>
              <w:bottom w:val="nil"/>
              <w:right w:val="nil"/>
            </w:tcBorders>
          </w:tcPr>
          <w:p>
            <w:pPr>
              <w:pStyle w:val="Normal6a"/>
            </w:pPr>
            <w:r>
              <w:t>(7)</w:t>
            </w:r>
            <w:r>
              <w:tab/>
            </w:r>
            <w:r>
              <w:t xml:space="preserve">S cieľom uľahčiť bezproblémové zavádzanie systému vstup/výstup by Agentúra Európskej únie na prevádzkové riadenie rozsiahlych informačných systémov v priestore slobody, bezpečnosti a spravodlivosti (eu-LISA) mala vypracovať plán spúšťania na vysokej úrovni s cieľom poskytnúť členským štátom a agentúram Únie usmernenia týkajúce sa plánovania a realizácie zavádzania systému vstup/výstup počas jeho postupného uvádzania do prevádzky a mala by ho predložiť Komisii, </w:t>
            </w:r>
            <w:r>
              <w:rPr>
                <w:b/>
                <w:i/>
              </w:rPr>
              <w:t>Európskemu parlamentu,</w:t>
            </w:r>
            <w:r>
              <w:t xml:space="preserve"> členským štátom a agentúram Únie. Tento plán by mal obsahovať aj kapacitné limity centrálneho systému stanovené agentúrou eu-LISA pre každú fázu zavádzania. V rozhodnutiach členských štátov o uvedení do prevádzky alebo o pokročení v uvádzaní do prevádzky by sa mala zohľadňovať kapacita centrálneho systému, ako bude uvedená v pláne spúšťania na vysokej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44</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Aby sa uľahčilo bezproblémové zavádzanie systému vstup/výstup, členské štáty by po konzultácii s Komisiou a agentúrou eu-LISA mali vypracovať národné plány spúšťania. Pre každú fázu postupného uvádzania systému vstup/výstup do prevádzky by národné plány spúšťania mali obsahovať informácie o stanovených prahových hodnotách a požiadavkách, najmä: i) dátum, od ktorého bude systém vstup/výstup v prevádzke na každom hraničnom priechode; ii) percentuálny podiel odhadovaného počtu prekročení hraníc, ktoré sa majú zaznamenať v systéme vstup/výstup, z celkového počtu štátnych príslušníkov tretích krajín podliehajúcich zaznamenávaniu v systéme vstup/výstup a iii) v náležitých prípadoch biometrické funkcie, ktoré sa majú prevádzkovať na každom zvolenom hraničnom priechode. Členské štáty sa vyzývajú, aby pri príprave svojich vnútroštátnych plánov spúšťania náležite koordinovali svoju činnosť s prevádzkovateľmi infraštruktúry na príslušných hraničných priechodoch. S cieľom monitorovať súlad s postupným uvádzaním do prevádzky by členské štáty mali Komisii a agentúre eu-LISA predkladať mesačné správy o vykonávaní svojich plánov spúšťania. Takéto mesačné správy by mali v prípade potreby obsahovať nápravné opatrenia na zabezpečenie súladu s postupným uvádzaním do prevádzky.</w:t>
            </w:r>
          </w:p>
        </w:tc>
        <w:tc>
          <w:tcPr>
            <w:tcW w:w="4876" w:type="dxa"/>
            <w:tcBorders>
              <w:top w:val="nil"/>
              <w:left w:val="nil"/>
              <w:bottom w:val="nil"/>
              <w:right w:val="nil"/>
            </w:tcBorders>
          </w:tcPr>
          <w:p>
            <w:pPr>
              <w:pStyle w:val="Normal6a"/>
            </w:pPr>
            <w:r>
              <w:t>(8)</w:t>
            </w:r>
            <w:r>
              <w:tab/>
            </w:r>
            <w:r>
              <w:t>Aby sa uľahčilo bezproblémové zavádzanie systému vstup/výstup, členské štáty by po konzultácii s Komisiou a agentúrou eu-LISA mali vypracovať národné plány spúšťania. Pre každú fázu postupného uvádzania systému vstup/výstup do prevádzky by národné plány spúšťania mali obsahovať informácie o stanovených prahových hodnotách a požiadavkách, najmä: i) dátum, od ktorého bude systém vstup/výstup v prevádzke na každom hraničnom priechode; ii) percentuálny podiel odhadovaného počtu prekročení hraníc, ktoré sa majú zaznamenať v systéme vstup/výstup, z celkového počtu štátnych príslušníkov tretích krajín podliehajúcich zaznamenávaniu v systéme vstup/výstup</w:t>
            </w:r>
            <w:r>
              <w:rPr>
                <w:b/>
                <w:i/>
              </w:rPr>
              <w:t>;</w:t>
            </w:r>
            <w:r>
              <w:t xml:space="preserve"> a iii) v náležitých prípadoch biometrické funkcie, ktoré sa majú prevádzkovať na každom zvolenom hraničnom priechode</w:t>
            </w:r>
            <w:r>
              <w:rPr>
                <w:b/>
                <w:i/>
              </w:rPr>
              <w:t>.</w:t>
            </w:r>
            <w:r>
              <w:t xml:space="preserve"> </w:t>
            </w:r>
            <w:r>
              <w:rPr>
                <w:b/>
                <w:i/>
              </w:rPr>
              <w:t>Členské štáty pri príprave svojich národných plánov spúšťania náležite zvážia uprednostňovanie prevádzky systému vstup/výstup na hraničných priechodoch, ktoré sú najčastejšie postihnuté neregulárnou migráciou, nelegálnym prekračovaním hraníc alebo organizovanou trestnou činnosťou, s cieľom od začiatku maximalizovať bezpečnostné prínosy systému vstup/výstup</w:t>
            </w:r>
            <w:r>
              <w:t>. Členské štáty sa vyzývajú, aby pri príprave svojich vnútroštátnych plánov spúšťania náležite koordinovali svoju činnosť s prevádzkovateľmi infraštruktúry na príslušných hraničných priechodoch. S cieľom monitorovať súlad s postupným uvádzaním do prevádzky by členské štáty mali Komisii a agentúre eu-LISA predkladať mesačné správy o vykonávaní svojich plánov spúšťania. Takéto mesačné správy by mali v prípade potreby obsahovať nápravné opatrenia na zabezpečenie súladu s postupným uvádzaním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45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Aby sa uľahčilo bezproblémové zavádzanie systému vstup/výstup, členské štáty by po konzultácii s Komisiou a agentúrou eu-LISA mali vypracovať národné plány spúšťania. Pre každú fázu postupného uvádzania systému vstup/výstup do prevádzky by národné plány spúšťania mali obsahovať informácie o stanovených prahových hodnotách a požiadavkách, najmä: i) dátum, od ktorého bude systém vstup/výstup v prevádzke na každom hraničnom priechode; ii) percentuálny podiel odhadovaného počtu prekročení hraníc, ktoré sa majú zaznamenať v systéme vstup/výstup, z celkového počtu štátnych príslušníkov tretích krajín podliehajúcich zaznamenávaniu v systéme vstup/výstup a iii) v náležitých prípadoch biometrické funkcie, ktoré sa majú prevádzkovať na každom zvolenom hraničnom priechode. Členské štáty sa vyzývajú, aby pri príprave svojich vnútroštátnych plánov spúšťania náležite koordinovali svoju činnosť s prevádzkovateľmi infraštruktúry na príslušných hraničných priechodoch. S cieľom monitorovať súlad s postupným uvádzaním do prevádzky by členské štáty mali Komisii a agentúre eu-LISA predkladať mesačné správy o vykonávaní svojich plánov spúšťania. Takéto mesačné správy by mali v prípade potreby obsahovať nápravné opatrenia na zabezpečenie súladu s postupným uvádzaním do prevádzky.</w:t>
            </w:r>
          </w:p>
        </w:tc>
        <w:tc>
          <w:tcPr>
            <w:tcW w:w="4876" w:type="dxa"/>
            <w:tcBorders>
              <w:top w:val="nil"/>
              <w:left w:val="nil"/>
              <w:bottom w:val="nil"/>
              <w:right w:val="nil"/>
            </w:tcBorders>
          </w:tcPr>
          <w:p>
            <w:pPr>
              <w:pStyle w:val="Normal6a"/>
            </w:pPr>
            <w:r>
              <w:t>(8)</w:t>
            </w:r>
            <w:r>
              <w:tab/>
            </w:r>
            <w:r>
              <w:t xml:space="preserve">Aby sa uľahčilo bezproblémové zavádzanie systému vstup/výstup, členské štáty by po konzultácii s Komisiou a agentúrou eu-LISA mali vypracovať národné plány spúšťania. </w:t>
            </w:r>
            <w:r>
              <w:rPr>
                <w:b/>
                <w:i/>
              </w:rPr>
              <w:t>Agentúra eu-LISA by mala posúdiť, či sú národné plány spúšťania v súlade s plánom spúšťania na vysokej úrovni, a potvrdí, že neobsahujú žiadne nedostatky, ktoré by mohli ďalej oneskoriť uvedenie systému vstup/výstup do prevádzky.</w:t>
            </w:r>
            <w:r>
              <w:t xml:space="preserve"> Pre každú fázu postupného uvádzania systému vstup/výstup do prevádzky by národné plány spúšťania mali obsahovať informácie o stanovených prahových hodnotách a požiadavkách, najmä: i) dátum, od ktorého bude systém vstup/výstup v prevádzke na každom hraničnom priechode; ii) percentuálny podiel odhadovaného počtu prekročení hraníc, ktoré sa majú zaznamenať v systéme vstup/výstup, z celkového počtu štátnych príslušníkov tretích krajín podliehajúcich zaznamenávaniu v systéme vstup/výstup</w:t>
            </w:r>
            <w:r>
              <w:rPr>
                <w:b/>
                <w:i/>
              </w:rPr>
              <w:t>;</w:t>
            </w:r>
            <w:r>
              <w:t xml:space="preserve"> a iii) v náležitých prípadoch biometrické funkcie, ktoré sa majú prevádzkovať na každom zvolenom hraničnom priechode. Členské štáty sa vyzývajú, aby pri príprave svojich vnútroštátnych plánov spúšťania náležite koordinovali svoju činnosť s prevádzkovateľmi infraštruktúry na príslušných hraničných priechodoch. S cieľom monitorovať súlad s postupným uvádzaním do prevádzky by členské štáty mali Komisii a agentúre eu-LISA predkladať mesačné správy o vykonávaní svojich plánov spúšťania. Takéto mesačné správy by mali v prípade potreby obsahovať nápravné opatrenia na zabezpečenie súladu s postupným uvádzaním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46</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Aby sa uľahčilo bezproblémové zavádzanie systému vstup/výstup, členské štáty by po konzultácii s Komisiou a agentúrou eu-LISA mali vypracovať národné plány spúšťania. Pre každú fázu postupného uvádzania systému vstup/výstup do prevádzky by národné plány spúšťania mali obsahovať informácie o stanovených prahových hodnotách a požiadavkách, najmä: i) dátum, od ktorého bude systém vstup/výstup v prevádzke na každom hraničnom priechode; ii) percentuálny podiel odhadovaného počtu prekročení hraníc, ktoré sa majú zaznamenať v systéme vstup/výstup, z celkového počtu štátnych príslušníkov tretích krajín podliehajúcich zaznamenávaniu v systéme vstup/výstup a iii) v náležitých prípadoch biometrické funkcie, ktoré sa majú prevádzkovať na každom zvolenom hraničnom priechode. Členské štáty sa vyzývajú, aby pri príprave svojich vnútroštátnych plánov spúšťania náležite koordinovali svoju činnosť s prevádzkovateľmi infraštruktúry na príslušných hraničných priechodoch. S cieľom monitorovať súlad s postupným uvádzaním do prevádzky by členské štáty mali Komisii a agentúre eu-LISA predkladať mesačné správy o vykonávaní svojich plánov spúšťania. Takéto mesačné správy by mali v prípade potreby obsahovať nápravné opatrenia na zabezpečenie súladu s postupným uvádzaním do prevádzky.</w:t>
            </w:r>
          </w:p>
        </w:tc>
        <w:tc>
          <w:tcPr>
            <w:tcW w:w="4876" w:type="dxa"/>
            <w:tcBorders>
              <w:top w:val="nil"/>
              <w:left w:val="nil"/>
              <w:bottom w:val="nil"/>
              <w:right w:val="nil"/>
            </w:tcBorders>
          </w:tcPr>
          <w:p>
            <w:pPr>
              <w:pStyle w:val="Normal6a"/>
            </w:pPr>
            <w:r>
              <w:t>(8)</w:t>
            </w:r>
            <w:r>
              <w:tab/>
            </w:r>
            <w:r>
              <w:t>Aby sa uľahčilo bezproblémové zavádzanie systému vstup/výstup, členské štáty by po konzultácii s Komisiou a agentúrou eu-LISA mali vypracovať národné plány spúšťania. Pre každú fázu postupného uvádzania systému vstup/výstup do prevádzky by národné plány spúšťania mali obsahovať informácie o stanovených prahových hodnotách a požiadavkách, najmä: i) dátum, od ktorého bude systém vstup/výstup v prevádzke na každom hraničnom priechode; ii) percentuálny podiel odhadovaného počtu prekročení hraníc, ktoré sa majú zaznamenať v systéme vstup/výstup, z celkového počtu štátnych príslušníkov tretích krajín podliehajúcich zaznamenávaniu v systéme vstup/výstup</w:t>
            </w:r>
            <w:r>
              <w:rPr>
                <w:b/>
                <w:i/>
              </w:rPr>
              <w:t>;</w:t>
            </w:r>
            <w:r>
              <w:t xml:space="preserve"> a iii) v náležitých prípadoch biometrické funkcie, ktoré sa majú prevádzkovať na každom zvolenom hraničnom priechode. Členské štáty sa vyzývajú, aby pri príprave svojich vnútroštátnych plánov spúšťania náležite koordinovali svoju činnosť s prevádzkovateľmi infraštruktúry na príslušných hraničných priechodoch. S cieľom monitorovať súlad s postupným uvádzaním do prevádzky by členské štáty mali Komisii a agentúre eu-LISA predkladať mesačné správy o vykonávaní svojich plánov spúšťania</w:t>
            </w:r>
            <w:r>
              <w:rPr>
                <w:b/>
                <w:i/>
              </w:rPr>
              <w:t>, pokiaľ a kým sa systém vstup/výstup v plnej miere nepoužije pre všetkých štátnych príslušníkov tretích krajín, ktorí podliehajú zaznamenaniu v systéme vstup/výstup, a nepoužíva sa súčasne na všetkých hraničných priechodoch v členskom štáte</w:t>
            </w:r>
            <w:r>
              <w:t>. Takéto mesačné správy by mali v prípade potreby obsahovať nápravné opatrenia na zabezpečenie súladu s postupným uvádzaním do prevádzky.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Členské štáty by mali byť povinné predkladať mesačné správy o vykonávaní svojich plánov spúšťania len do okamihu, keď je systém v danom členskom štáte plne zavedený.</w:t>
      </w:r>
    </w:p>
    <w:p>
      <w:r>
        <w:rPr>
          <w:rStyle w:val="HideTWBExt"/>
        </w:rPr>
        <w:t>&lt;/AmendB&gt;</w:t>
      </w:r>
    </w:p>
    <w:p>
      <w:pPr>
        <w:pStyle w:val="AmNumberTabs"/>
      </w:pPr>
      <w:r>
        <w:rPr>
          <w:rStyle w:val="HideTWBExt"/>
        </w:rPr>
        <w:t>&lt;AmendB&gt;</w:t>
      </w:r>
      <w:r>
        <w:t>Pozmeňujúci návrh</w:t>
      </w:r>
      <w:r>
        <w:tab/>
      </w:r>
      <w:r>
        <w:tab/>
      </w:r>
      <w:r>
        <w:rPr>
          <w:rStyle w:val="HideTWBExt"/>
        </w:rPr>
        <w:t>&lt;NumAmB&gt;</w:t>
      </w:r>
      <w:r>
        <w:t>47</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Aby sa uľahčilo bezproblémové zavádzanie systému vstup/výstup, členské štáty by po konzultácii s Komisiou a agentúrou eu-LISA mali vypracovať národné plány spúšťania. Pre každú fázu postupného uvádzania systému vstup/výstup do prevádzky by národné plány spúšťania mali obsahovať informácie o stanovených prahových hodnotách a požiadavkách, najmä: i) dátum, od ktorého bude systém vstup/výstup v prevádzke na každom hraničnom priechode; ii) percentuálny podiel odhadovaného počtu prekročení hraníc, ktoré sa majú zaznamenať v systéme vstup/výstup, z celkového počtu štátnych príslušníkov tretích krajín podliehajúcich zaznamenávaniu v systéme vstup/výstup a iii) v náležitých prípadoch biometrické funkcie, ktoré sa majú prevádzkovať na každom zvolenom hraničnom priechode. Členské štáty </w:t>
            </w:r>
            <w:r>
              <w:rPr>
                <w:b/>
                <w:i/>
              </w:rPr>
              <w:t>sa vyzývajú, aby</w:t>
            </w:r>
            <w:r>
              <w:t xml:space="preserve"> pri príprave svojich vnútroštátnych plánov spúšťania náležite </w:t>
            </w:r>
            <w:r>
              <w:rPr>
                <w:b/>
                <w:i/>
              </w:rPr>
              <w:t>koordinovali</w:t>
            </w:r>
            <w:r>
              <w:t xml:space="preserve"> svoju činnosť s prevádzkovateľmi infraštruktúry na príslušných hraničných priechodoch. S cieľom monitorovať súlad s postupným uvádzaním do prevádzky by členské štáty mali Komisii a agentúre eu-LISA predkladať mesačné správy o vykonávaní svojich plánov spúšťania. Takéto mesačné správy by mali v prípade potreby obsahovať nápravné opatrenia na zabezpečenie súladu s postupným uvádzaním do prevádzky.</w:t>
            </w:r>
          </w:p>
        </w:tc>
        <w:tc>
          <w:tcPr>
            <w:tcW w:w="4876" w:type="dxa"/>
            <w:tcBorders>
              <w:top w:val="nil"/>
              <w:left w:val="nil"/>
              <w:bottom w:val="nil"/>
              <w:right w:val="nil"/>
            </w:tcBorders>
          </w:tcPr>
          <w:p>
            <w:pPr>
              <w:pStyle w:val="Normal6a"/>
            </w:pPr>
            <w:r>
              <w:t>(8)</w:t>
            </w:r>
            <w:r>
              <w:tab/>
            </w:r>
            <w:r>
              <w:t xml:space="preserve">Aby sa uľahčilo bezproblémové zavádzanie systému vstup/výstup, členské štáty by po konzultácii s Komisiou a agentúrou eu-LISA mali vypracovať národné plány spúšťania. </w:t>
            </w:r>
            <w:r>
              <w:rPr>
                <w:b/>
                <w:i/>
              </w:rPr>
              <w:t>Tieto plány by sa mali uverejniť a poskytnúť Komisii, Európskemu parlamentu a zainteresovaným stranám z odvetvia.</w:t>
            </w:r>
            <w:r>
              <w:t xml:space="preserve"> Pre každú fázu postupného uvádzania systému vstup/výstup do prevádzky by národné plány spúšťania mali obsahovať informácie o stanovených prahových hodnotách a požiadavkách, najmä: i) dátum, od ktorého bude systém vstup/výstup v prevádzke na každom hraničnom priechode; ii) percentuálny podiel odhadovaného počtu prekročení hraníc, ktoré sa majú zaznamenať v systéme vstup/výstup, z celkového počtu štátnych príslušníkov tretích krajín podliehajúcich zaznamenávaniu v systéme vstup/výstup</w:t>
            </w:r>
            <w:r>
              <w:rPr>
                <w:b/>
                <w:i/>
              </w:rPr>
              <w:t>;</w:t>
            </w:r>
            <w:r>
              <w:t xml:space="preserve"> a iii) v náležitých prípadoch biometrické funkcie, ktoré sa majú prevádzkovať na každom zvolenom hraničnom priechode. Členské štáty </w:t>
            </w:r>
            <w:r>
              <w:rPr>
                <w:b/>
                <w:i/>
              </w:rPr>
              <w:t>by</w:t>
            </w:r>
            <w:r>
              <w:t xml:space="preserve"> pri príprave svojich vnútroštátnych plánov spúšťania </w:t>
            </w:r>
            <w:r>
              <w:rPr>
                <w:b/>
                <w:i/>
              </w:rPr>
              <w:t>mali</w:t>
            </w:r>
            <w:r>
              <w:t xml:space="preserve"> náležite </w:t>
            </w:r>
            <w:r>
              <w:rPr>
                <w:b/>
                <w:i/>
              </w:rPr>
              <w:t>koordinovať</w:t>
            </w:r>
            <w:r>
              <w:t xml:space="preserve"> svoju činnosť s prevádzkovateľmi infraštruktúry na príslušných hraničných priechodoch. S cieľom monitorovať súlad s postupným uvádzaním do prevádzky by členské štáty mali Komisii</w:t>
            </w:r>
            <w:r>
              <w:rPr>
                <w:b/>
                <w:i/>
              </w:rPr>
              <w:t>, Európskemu parlamentu</w:t>
            </w:r>
            <w:r>
              <w:t xml:space="preserve"> a agentúre eu-LISA predkladať mesačné správy o vykonávaní svojich plánov spúšťania. Takéto mesačné správy by mali v prípade potreby obsahovať nápravné opatrenia na zabezpečenie súladu s postupným uvádzaním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48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 cieľom uľahčiť bezproblémové zavádzanie systému vstup/výstup by sa malo zabezpečiť, aby sa ukončenie postupného uvádzania systému vstup/výstup do prevádzky nezhodovalo s najintenzívnejšími cestovnými obdobiami v lete (jún až august) alebo v zime (december až február).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49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Národné plány spúšťania, ktoré majú členské štáty vypracovať podľa tohto nariadenia, by mali byť stručné a primerané a nemali by predstavovať neprimeranú administratívnu záťaž.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50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Vzhľadom na postupné uvádzanie systému vstup/výstup do prevádzky a možnú neúplnosť údajov zaznamenaných v systéme vstup/výstup by sa cestovné doklady štátnych príslušníkov tretích krajín mali počas postupného uvádzania systému vstup/výstup do prevádzky systematicky označovať na vstupe a výstupe odtlačkom pečiatky. Vnútroštátne orgány by mali zohľadňovať možnú neúplnosť záznamov o vstupe/výstupe alebo záznamov o odopretí vstupu a skutočnosť, že odtlačky pečiatok majú prednosť pred informáciami zaznamenanými v systéme vstup/výstup. Okrem toho by vnútroštátne orgány pri poskytovaní informácií štátnym príslušníkom tretích krajín o maximálnej zostávajúcej dĺžke ich oprávneného pobytu mali pri posudzovaní vychádzať z odtlačkov pečiatok, ktorými sú označené cestovné doklady. </w:t>
            </w:r>
            <w:r>
              <w:rPr>
                <w:b/>
                <w:i/>
              </w:rPr>
              <w:t>V prípade, že odtlačok pečiatky chýba, by mali mať prednosť údaje zaznamenané v systéme vstup/výstup</w:t>
            </w:r>
            <w:r>
              <w:t>.</w:t>
            </w:r>
          </w:p>
        </w:tc>
        <w:tc>
          <w:tcPr>
            <w:tcW w:w="4876" w:type="dxa"/>
            <w:tcBorders>
              <w:top w:val="nil"/>
              <w:left w:val="nil"/>
              <w:bottom w:val="nil"/>
              <w:right w:val="nil"/>
            </w:tcBorders>
          </w:tcPr>
          <w:p>
            <w:pPr>
              <w:pStyle w:val="Normal6a"/>
            </w:pPr>
            <w:r>
              <w:t>(9)</w:t>
            </w:r>
            <w:r>
              <w:tab/>
            </w:r>
            <w:r>
              <w:t xml:space="preserve">Vzhľadom na postupné uvádzanie systému vstup/výstup do prevádzky a možnú neúplnosť údajov zaznamenaných v systéme vstup/výstup by sa cestovné doklady štátnych príslušníkov tretích krajín mali počas postupného uvádzania systému vstup/výstup do prevádzky systematicky označovať na vstupe a výstupe odtlačkom pečiatky. Vnútroštátne orgány by mali zohľadňovať možnú neúplnosť záznamov o vstupe/výstupe alebo záznamov o odopretí vstupu a skutočnosť, že odtlačky pečiatok majú prednosť pred informáciami zaznamenanými v systéme vstup/výstup. Okrem toho by vnútroštátne orgány pri poskytovaní informácií štátnym príslušníkom tretích krajín o maximálnej zostávajúcej dĺžke ich oprávneného pobytu mali pri posudzovaní vychádzať z odtlačkov pečiatok, ktorými sú označené cestovné doklady. </w:t>
            </w:r>
            <w:r>
              <w:rPr>
                <w:b/>
                <w:i/>
              </w:rPr>
              <w:t>Údaje zaznamenané v systéme vstup/výstup by sa mali použiť na výpočet maximálneho zostávajúceho trvania len v prípade, že chýba odtlačok pečiatky</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Informácie systému vstup/výstup nemôžu prevládať počas postupného uvádzania do prevádzky, keďže tieto informácie budú s veľkou pravdepodobnosťou neúplné.</w:t>
      </w:r>
    </w:p>
    <w:p>
      <w:r>
        <w:rPr>
          <w:rStyle w:val="HideTWBExt"/>
        </w:rPr>
        <w:t>&lt;/AmendB&gt;</w:t>
      </w:r>
    </w:p>
    <w:p>
      <w:pPr>
        <w:pStyle w:val="AmNumberTabs"/>
      </w:pPr>
      <w:r>
        <w:rPr>
          <w:rStyle w:val="HideTWBExt"/>
        </w:rPr>
        <w:t>&lt;AmendB&gt;</w:t>
      </w:r>
      <w:r>
        <w:t>Pozmeňujúci návrh</w:t>
      </w:r>
      <w:r>
        <w:tab/>
      </w:r>
      <w:r>
        <w:tab/>
      </w:r>
      <w:r>
        <w:rPr>
          <w:rStyle w:val="HideTWBExt"/>
        </w:rPr>
        <w:t>&lt;NumAmB&gt;</w:t>
      </w:r>
      <w:r>
        <w:t>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Vzhľadom na postupné uvádzanie systému vstup/výstup do prevádzky a možnú neúplnosť údajov zaznamenaných v systéme vstup/výstup by sa cestovné doklady štátnych príslušníkov tretích krajín mali počas postupného uvádzania systému vstup/výstup do prevádzky systematicky označovať na vstupe a výstupe odtlačkom pečiatky. Vnútroštátne orgány by mali zohľadňovať možnú neúplnosť záznamov o vstupe/výstupe alebo záznamov o odopretí vstupu a skutočnosť, že odtlačky pečiatok majú prednosť pred informáciami zaznamenanými v systéme vstup/výstup. Okrem toho by vnútroštátne orgány pri poskytovaní informácií štátnym príslušníkom tretích krajín o maximálnej zostávajúcej dĺžke ich oprávneného pobytu mali pri posudzovaní vychádzať z odtlačkov pečiatok, ktorými sú označené cestovné doklady. V prípade, že odtlačok pečiatky chýba, by mali mať prednosť údaje zaznamenané v systéme vstup/výstup.</w:t>
            </w:r>
          </w:p>
        </w:tc>
        <w:tc>
          <w:tcPr>
            <w:tcW w:w="4876" w:type="dxa"/>
            <w:tcBorders>
              <w:top w:val="nil"/>
              <w:left w:val="nil"/>
              <w:bottom w:val="nil"/>
              <w:right w:val="nil"/>
            </w:tcBorders>
          </w:tcPr>
          <w:p>
            <w:pPr>
              <w:pStyle w:val="Normal6a"/>
            </w:pPr>
            <w:r>
              <w:t>(9)</w:t>
            </w:r>
            <w:r>
              <w:tab/>
            </w:r>
            <w:r>
              <w:t xml:space="preserve">Vzhľadom na postupné uvádzanie systému vstup/výstup do prevádzky a možnú neúplnosť </w:t>
            </w:r>
            <w:r>
              <w:rPr>
                <w:b/>
                <w:i/>
              </w:rPr>
              <w:t>a nepresnosť</w:t>
            </w:r>
            <w:r>
              <w:t xml:space="preserve"> údajov zaznamenaných v systéme vstup/výstup by sa cestovné doklady štátnych príslušníkov tretích krajín mali počas postupného uvádzania systému vstup/výstup do prevádzky systematicky označovať na vstupe a výstupe odtlačkom pečiatky. Vnútroštátne orgány by mali zohľadňovať možnú neúplnosť záznamov o vstupe/výstupe alebo záznamov o odopretí vstupu a skutočnosť, že odtlačky pečiatok majú prednosť pred informáciami zaznamenanými v systéme vstup/výstup. Okrem toho by vnútroštátne orgány pri poskytovaní informácií štátnym príslušníkom tretích krajín o maximálnej zostávajúcej dĺžke ich oprávneného pobytu mali pri posudzovaní vychádzať z odtlačkov pečiatok, ktorými sú označené cestovné doklady. V prípade, že odtlačok pečiatky chýba, by mali mať prednosť údaje zaznamenané v systéme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52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Vzhľadom na to, že údaje zaznamenávané v systéme vstup/výstup počas postupného uvádzania systému vstup/výstup do prevádzky môžu byť neúplné, by </w:t>
            </w:r>
            <w:r>
              <w:rPr>
                <w:b/>
                <w:i/>
              </w:rPr>
              <w:t>vnútroštátne orgány nemali zohľadňovať</w:t>
            </w:r>
            <w:r>
              <w:t xml:space="preserve"> údaje o maximálnej zostávajúcej dĺžke oprávneného pobytu štátnych príslušníkov tretích krajín zaznamenaných v systéme vstup/výstup</w:t>
            </w:r>
            <w:r>
              <w:rPr>
                <w:b/>
                <w:i/>
              </w:rPr>
              <w:t>, ktoré poskytne automatická kalkulačka</w:t>
            </w:r>
            <w:r>
              <w:t xml:space="preserve">. Podobne by </w:t>
            </w:r>
            <w:r>
              <w:rPr>
                <w:b/>
                <w:i/>
              </w:rPr>
              <w:t>vnútroštátne orgány pri vykonávaní svojich úloh nemali zohľadňovať</w:t>
            </w:r>
            <w:r>
              <w:t xml:space="preserve"> automatizovaný mechanizmus na identifikáciu alebo označenie chýbajúcich záznamov o výstupe po dátume skončenia oprávneného pobytu alebo záznamov, v prípade ktorých bola prekročená maximálna dĺžka oprávneného pobytu, ktorým sa vytvárajú zoznamy osôb identifikovaných ako osoby, ktoré prekročili dĺžku oprávneného pobytu.</w:t>
            </w:r>
          </w:p>
        </w:tc>
        <w:tc>
          <w:tcPr>
            <w:tcW w:w="4876" w:type="dxa"/>
            <w:tcBorders>
              <w:top w:val="nil"/>
              <w:left w:val="nil"/>
              <w:bottom w:val="nil"/>
              <w:right w:val="nil"/>
            </w:tcBorders>
          </w:tcPr>
          <w:p>
            <w:pPr>
              <w:pStyle w:val="Normal6a"/>
            </w:pPr>
            <w:r>
              <w:t>(10)</w:t>
            </w:r>
            <w:r>
              <w:tab/>
            </w:r>
            <w:r>
              <w:t>Vzhľadom na to, že údaje zaznamenávané v systéme vstup/výstup počas postupného uvádzania systému vstup/výstup do prevádzky môžu byť neúplné, by </w:t>
            </w:r>
            <w:r>
              <w:rPr>
                <w:b/>
                <w:i/>
              </w:rPr>
              <w:t>automatická kalkulačka nemala spracúvať</w:t>
            </w:r>
            <w:r>
              <w:t xml:space="preserve"> údaje </w:t>
            </w:r>
            <w:r>
              <w:rPr>
                <w:b/>
                <w:i/>
              </w:rPr>
              <w:t>zaznamenané v systéme vstup/výstup</w:t>
            </w:r>
            <w:r>
              <w:t xml:space="preserve"> o maximálnej zostávajúcej dĺžke oprávneného pobytu štátnych príslušníkov tretích krajín zaznamenaných v systéme vstup/výstup. Podobne by </w:t>
            </w:r>
            <w:r>
              <w:rPr>
                <w:b/>
                <w:i/>
              </w:rPr>
              <w:t>sa mal počas postupného uvádzania do prevádzky pozastaviť</w:t>
            </w:r>
            <w:r>
              <w:t xml:space="preserve"> automatizovaný mechanizmus na identifikáciu alebo označenie chýbajúcich záznamov o výstupe po dátume skončenia oprávneného pobytu alebo záznamov, v prípade ktorých bola prekročená maximálna dĺžka oprávneného pobytu, ktorým sa vytvárajú zoznamy osôb identifikovaných ako osoby, ktoré prekročili dĺžku oprávneného pobytu.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53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Vzhľadom na to, že údaje zaznamenávané v systéme vstup/výstup počas postupného uvádzania systému vstup/výstup do prevádzky môžu byť neúplné, by vnútroštátne orgány nemali zohľadňovať údaje o maximálnej zostávajúcej dĺžke oprávneného pobytu štátnych príslušníkov tretích krajín zaznamenaných v systéme vstup/výstup, ktoré poskytne automatická kalkulačka. Podobne by vnútroštátne orgány pri vykonávaní svojich úloh nemali zohľadňovať automatizovaný mechanizmus na identifikáciu alebo označenie chýbajúcich záznamov o výstupe po dátume skončenia oprávneného pobytu alebo záznamov, v prípade ktorých bola prekročená maximálna dĺžka oprávneného pobytu</w:t>
            </w:r>
            <w:r>
              <w:rPr>
                <w:b/>
                <w:i/>
              </w:rPr>
              <w:t>, ktorým sa vytvárajú zoznamy osôb identifikovaných ako osoby, ktoré prekročili dĺžku oprávneného pobytu</w:t>
            </w:r>
            <w:r>
              <w:t>.</w:t>
            </w:r>
          </w:p>
        </w:tc>
        <w:tc>
          <w:tcPr>
            <w:tcW w:w="4876" w:type="dxa"/>
            <w:tcBorders>
              <w:top w:val="nil"/>
              <w:left w:val="nil"/>
              <w:bottom w:val="nil"/>
              <w:right w:val="nil"/>
            </w:tcBorders>
          </w:tcPr>
          <w:p>
            <w:pPr>
              <w:pStyle w:val="Normal6a"/>
            </w:pPr>
            <w:r>
              <w:t>(10)</w:t>
            </w:r>
            <w:r>
              <w:tab/>
            </w:r>
            <w:r>
              <w:t>Vzhľadom na to, že údaje zaznamenávané v systéme vstup/výstup počas postupného uvádzania systému vstup/výstup do prevádzky môžu byť neúplné, by vnútroštátne orgány nemali zohľadňovať údaje o maximálnej zostávajúcej dĺžke oprávneného pobytu štátnych príslušníkov tretích krajín zaznamenaných v systéme vstup/výstup, ktoré poskytne automatická kalkulačka. Podobne by vnútroštátne orgány pri vykonávaní svojich úloh nemali zohľadňovať automatizovaný mechanizmus na identifikáciu alebo označenie chýbajúcich záznamov o výstupe po dátume skončenia oprávneného pobytu alebo záznamov, v prípade ktorých bola prekročená maximálna dĺžka oprávneného pobytu.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Počas postupného uvádzania do prevádzky by nemal existovať žiadny zoznam osôb, ktoré prekročili povolenú dĺžku pobytu.</w:t>
      </w:r>
    </w:p>
    <w:p>
      <w:r>
        <w:rPr>
          <w:rStyle w:val="HideTWBExt"/>
        </w:rPr>
        <w:t>&lt;/AmendB&gt;</w:t>
      </w:r>
    </w:p>
    <w:p>
      <w:pPr>
        <w:pStyle w:val="AmNumberTabs"/>
      </w:pPr>
      <w:r>
        <w:rPr>
          <w:rStyle w:val="HideTWBExt"/>
        </w:rPr>
        <w:t>&lt;AmendB&gt;</w:t>
      </w:r>
      <w:r>
        <w:t>Pozmeňujúci návrh</w:t>
      </w:r>
      <w:r>
        <w:tab/>
      </w:r>
      <w:r>
        <w:tab/>
      </w:r>
      <w:r>
        <w:rPr>
          <w:rStyle w:val="HideTWBExt"/>
        </w:rPr>
        <w:t>&lt;NumAmB&gt;</w:t>
      </w:r>
      <w:r>
        <w:t>54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 cieľom poskytnúť členským štátom potrebný čas na prispôsobenie sa uvádzaniu systému vstup/výstup do prevádzky by počas prvých </w:t>
            </w:r>
            <w:r>
              <w:rPr>
                <w:b/>
                <w:i/>
              </w:rPr>
              <w:t>60</w:t>
            </w:r>
            <w:r>
              <w:t xml:space="preserve"> kalendárnych dní tohto postupného uvádzania do prevádzky nemalo byť používanie biometrických funkcií na hraničných priechodoch povinné. Najneskôr od </w:t>
            </w:r>
            <w:r>
              <w:rPr>
                <w:b/>
                <w:i/>
              </w:rPr>
              <w:t>90</w:t>
            </w:r>
            <w:r>
              <w:t xml:space="preserve">. kalendárneho dňa od začatia postupného uvádzania do prevádzky by členské štáty mali prevádzkovať systém vstup/výstup s biometrickými funkciami aspoň na </w:t>
            </w:r>
            <w:r>
              <w:rPr>
                <w:b/>
                <w:i/>
              </w:rPr>
              <w:t>polovici</w:t>
            </w:r>
            <w:r>
              <w:t xml:space="preserve"> svojich hraničných priechodov. Na hraničných priechodoch, kde sa systém vstup/výstup prevádzkuje bez biometrických funkcií, by poskytnutie biometrických údajov nemalo byť podmienkou vstupu pre štátnych príslušníkov tretích krajín podliehajúcich zaznamenávaniu v systéme vstup/výstup.</w:t>
            </w:r>
          </w:p>
        </w:tc>
        <w:tc>
          <w:tcPr>
            <w:tcW w:w="4876" w:type="dxa"/>
            <w:tcBorders>
              <w:top w:val="nil"/>
              <w:left w:val="nil"/>
              <w:bottom w:val="nil"/>
              <w:right w:val="nil"/>
            </w:tcBorders>
          </w:tcPr>
          <w:p>
            <w:pPr>
              <w:pStyle w:val="Normal6a"/>
            </w:pPr>
            <w:r>
              <w:t>(11)</w:t>
            </w:r>
            <w:r>
              <w:tab/>
            </w:r>
            <w:r>
              <w:t xml:space="preserve">S cieľom poskytnúť členským štátom potrebný čas na prispôsobenie sa uvádzaniu systému vstup/výstup do prevádzky by počas prvých </w:t>
            </w:r>
            <w:r>
              <w:rPr>
                <w:b/>
                <w:i/>
              </w:rPr>
              <w:t>180</w:t>
            </w:r>
            <w:r>
              <w:t xml:space="preserve"> kalendárnych dní tohto postupného uvádzania do prevádzky nemalo byť používanie biometrických funkcií na hraničných priechodoch povinné. Najneskôr od </w:t>
            </w:r>
            <w:r>
              <w:rPr>
                <w:b/>
                <w:i/>
              </w:rPr>
              <w:t>180</w:t>
            </w:r>
            <w:r>
              <w:t xml:space="preserve">. kalendárneho dňa od začatia postupného uvádzania do prevádzky by členské štáty mali prevádzkovať systém vstup/výstup s biometrickými funkciami aspoň na </w:t>
            </w:r>
            <w:r>
              <w:rPr>
                <w:b/>
                <w:i/>
              </w:rPr>
              <w:t>10 %</w:t>
            </w:r>
            <w:r>
              <w:t xml:space="preserve"> svojich hraničných priechodov. Na hraničných priechodoch, kde sa systém vstup/výstup prevádzkuje bez biometrických funkcií, by poskytnutie biometrických údajov nemalo byť podmienkou vstupu pre štátnych príslušníkov tretích krajín podliehajúcich zaznamenávaniu v systéme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55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 cieľom poskytnúť členským štátom potrebný čas na prispôsobenie sa uvádzaniu systému vstup/výstup do prevádzky by počas prvých 60 kalendárnych dní tohto postupného uvádzania do prevádzky nemalo byť používanie biometrických funkcií na hraničných priechodoch povinné. Najneskôr od 90. kalendárneho dňa od začatia postupného uvádzania do prevádzky by členské štáty mali prevádzkovať systém vstup/výstup s biometrickými funkciami aspoň na polovici svojich hraničných priechodov. </w:t>
            </w:r>
            <w:r>
              <w:rPr>
                <w:b/>
                <w:i/>
              </w:rPr>
              <w:t>Na hraničných priechodoch, kde sa systém vstup/výstup prevádzkuje bez biometrických funkcií, by</w:t>
            </w:r>
            <w:r>
              <w:t xml:space="preserve"> poskytnutie biometrických údajov nemalo byť podmienkou vstupu pre štátnych príslušníkov tretích krajín podliehajúcich zaznamenávaniu v systéme vstup/výstup.</w:t>
            </w:r>
          </w:p>
        </w:tc>
        <w:tc>
          <w:tcPr>
            <w:tcW w:w="4876" w:type="dxa"/>
            <w:tcBorders>
              <w:top w:val="nil"/>
              <w:left w:val="nil"/>
              <w:bottom w:val="nil"/>
              <w:right w:val="nil"/>
            </w:tcBorders>
          </w:tcPr>
          <w:p>
            <w:pPr>
              <w:pStyle w:val="Normal6a"/>
            </w:pPr>
            <w:r>
              <w:t>(11)</w:t>
            </w:r>
            <w:r>
              <w:tab/>
            </w:r>
            <w:r>
              <w:t xml:space="preserve">S cieľom poskytnúť členským štátom potrebný čas na prispôsobenie sa uvádzaniu systému vstup/výstup do prevádzky by počas prvých 60 kalendárnych dní tohto postupného uvádzania do prevádzky nemalo byť používanie biometrických funkcií na hraničných priechodoch povinné. Najneskôr od 90. kalendárneho dňa od začatia postupného uvádzania do prevádzky by členské štáty mali prevádzkovať systém vstup/výstup s biometrickými funkciami aspoň na polovici svojich hraničných priechodov. Poskytnutie biometrických údajov </w:t>
            </w:r>
            <w:r>
              <w:rPr>
                <w:b/>
                <w:i/>
              </w:rPr>
              <w:t>by</w:t>
            </w:r>
            <w:r>
              <w:t xml:space="preserve"> nemalo byť podmienkou vstupu pre štátnych príslušníkov tretích krajín podliehajúcich zaznamenávaniu v systéme </w:t>
            </w:r>
            <w:r>
              <w:rPr>
                <w:b/>
                <w:i/>
              </w:rPr>
              <w:t>vstup/výstup počas postupného uvádzania do prevádzky a v prípade pozastavenia prevádzky systému</w:t>
            </w:r>
            <w:r>
              <w:t xml:space="preserve">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56</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 cieľom poskytnúť členským štátom potrebný čas na prispôsobenie sa uvádzaniu systému vstup/výstup do prevádzky by počas prvých 60 kalendárnych dní tohto postupného uvádzania do prevádzky nemalo byť používanie biometrických funkcií na hraničných priechodoch povinné. Najneskôr od 90. kalendárneho dňa od začatia postupného uvádzania do prevádzky by členské štáty mali prevádzkovať systém vstup/výstup s biometrickými funkciami aspoň na polovici svojich hraničných priechodov. Na hraničných priechodoch, kde sa systém vstup/výstup prevádzkuje bez biometrických funkcií, by poskytnutie biometrických údajov nemalo byť podmienkou vstupu pre štátnych príslušníkov tretích krajín podliehajúcich zaznamenávaniu v systéme vstup/výstup.</w:t>
            </w:r>
          </w:p>
        </w:tc>
        <w:tc>
          <w:tcPr>
            <w:tcW w:w="4876" w:type="dxa"/>
            <w:tcBorders>
              <w:top w:val="nil"/>
              <w:left w:val="nil"/>
              <w:bottom w:val="nil"/>
              <w:right w:val="nil"/>
            </w:tcBorders>
          </w:tcPr>
          <w:p>
            <w:pPr>
              <w:pStyle w:val="Normal6a"/>
            </w:pPr>
            <w:r>
              <w:t>(11)</w:t>
            </w:r>
            <w:r>
              <w:tab/>
            </w:r>
            <w:r>
              <w:t xml:space="preserve">S cieľom poskytnúť členským štátom potrebný čas na prispôsobenie sa uvádzaniu systému vstup/výstup do prevádzky by počas prvých 60 kalendárnych dní tohto postupného uvádzania do prevádzky nemalo byť používanie biometrických funkcií na hraničných priechodoch povinné. Najneskôr od 90. kalendárneho dňa od začatia postupného uvádzania do prevádzky by členské štáty mali prevádzkovať systém vstup/výstup s biometrickými funkciami aspoň na polovici svojich hraničných priechodov. </w:t>
            </w:r>
            <w:r>
              <w:rPr>
                <w:b/>
                <w:i/>
              </w:rPr>
              <w:t>V príslušných prípadoch by členské štáty mali uprednostniť prevádzku systému vstup/výstup s biometrickými funkciami na hraničných priechodoch, ktoré vo svojich príslušných národných plánoch spúšťania identifikovali ako najčastejšie postihnuté neoprávnenou migráciou, nelegálnym prekračovaním hraníc alebo organizovanou trestnou činnosťou.</w:t>
            </w:r>
            <w:r>
              <w:t xml:space="preserve"> Na hraničných priechodoch, kde sa systém vstup/výstup prevádzkuje bez biometrických funkcií, by poskytnutie biometrických údajov nemalo byť podmienkou vstupu pre štátnych príslušníkov tretích krajín podliehajúcich zaznamenávaniu v systéme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57</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 cieľom poskytnúť členským štátom potrebný čas na prispôsobenie sa uvádzaniu systému vstup/výstup do prevádzky by počas prvých 60 kalendárnych dní tohto postupného uvádzania do prevádzky nemalo byť používanie biometrických funkcií na hraničných priechodoch povinné. Najneskôr od 90. kalendárneho dňa od začatia postupného uvádzania do prevádzky by členské štáty mali prevádzkovať systém vstup/výstup s biometrickými funkciami aspoň na polovici svojich hraničných priechodov. Na hraničných priechodoch, kde sa systém vstup/výstup prevádzkuje bez biometrických funkcií, by poskytnutie biometrických údajov nemalo byť podmienkou vstupu pre štátnych príslušníkov tretích krajín podliehajúcich zaznamenávaniu v systéme vstup/výstup.</w:t>
            </w:r>
          </w:p>
        </w:tc>
        <w:tc>
          <w:tcPr>
            <w:tcW w:w="4876" w:type="dxa"/>
            <w:tcBorders>
              <w:top w:val="nil"/>
              <w:left w:val="nil"/>
              <w:bottom w:val="nil"/>
              <w:right w:val="nil"/>
            </w:tcBorders>
          </w:tcPr>
          <w:p>
            <w:pPr>
              <w:pStyle w:val="Normal6a"/>
            </w:pPr>
            <w:r>
              <w:t>(11)</w:t>
            </w:r>
            <w:r>
              <w:tab/>
            </w:r>
            <w:r>
              <w:t xml:space="preserve">S cieľom poskytnúť členským štátom potrebný čas na prispôsobenie sa uvádzaniu systému vstup/výstup do prevádzky by počas prvých 60 kalendárnych dní tohto postupného uvádzania do prevádzky nemalo byť používanie biometrických funkcií na hraničných priechodoch povinné. </w:t>
            </w:r>
            <w:r>
              <w:rPr>
                <w:b/>
                <w:i/>
              </w:rPr>
              <w:t>Členské štáty sa však dôrazne vyzývajú, aby počas uvedeného obdobia využívali tieto funkcie s cieľom podporiť hladký prevádzkový prechod a umožniť včasné odhalenie akýchkoľvek potenciálnych problémov s vykonávaním a ich riešenie.</w:t>
            </w:r>
            <w:r>
              <w:t xml:space="preserve"> Najneskôr od 90. kalendárneho dňa od začatia postupného uvádzania do prevádzky by členské štáty mali prevádzkovať systém vstup/výstup s biometrickými funkciami aspoň na polovici svojich hraničných priechodov. Na hraničných priechodoch, kde sa systém vstup/výstup prevádzkuje bez biometrických funkcií, by poskytnutie biometrických údajov nemalo byť podmienkou vstupu pre štátnych príslušníkov tretích krajín podliehajúcich zaznamenávaniu v systéme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58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Štátni príslušníci tretích krajín, ktorých údaje sa majú zaznamenať v systéme vstup/výstup, by mali byť informovaní o svojich právach a povinnostiach týkajúcich sa spracúvania ich údajov vo forme vzoru, ako sa stanovuje v článku 50 ods. 5 nariadenia (EÚ) 2017/2226. V informáciách, ktoré sa majú poskytnúť štátnym príslušníkom tretích krajín podliehajúcim zaznamenávaniu v systéme vstup/výstup, by sa malo zmieňovať postupné uvádzanie systému vstup/výstup do prevádzky. Štátni príslušníci tretích krajín by mali byť vo vzore informovaní o svojej povinnosti poskytnúť biometrické údaje na hraničných priechodoch, kde to predstavuje podmienku vstupu. Vo vzore by mali byť informovaní o dôsledkoch neposkytnutia biometrických údajov. Okrem toho by vo vzore mali byť informovaní o tom, že si nebudú môcť automatizovanými prostriedkami overiť zostávajúcu dĺžku oprávneného pobytu.</w:t>
            </w:r>
          </w:p>
        </w:tc>
        <w:tc>
          <w:tcPr>
            <w:tcW w:w="4876" w:type="dxa"/>
            <w:tcBorders>
              <w:top w:val="nil"/>
              <w:left w:val="nil"/>
              <w:bottom w:val="nil"/>
              <w:right w:val="nil"/>
            </w:tcBorders>
          </w:tcPr>
          <w:p>
            <w:pPr>
              <w:pStyle w:val="Normal6a"/>
            </w:pPr>
            <w:r>
              <w:t>(14)</w:t>
            </w:r>
            <w:r>
              <w:tab/>
            </w:r>
            <w:r>
              <w:t>Štátni príslušníci tretích krajín, ktorých údaje sa majú zaznamenať v systéme vstup/výstup, by mali byť informovaní o svojich právach a povinnostiach týkajúcich sa spracúvania ich údajov vo forme vzoru, ako sa stanovuje v článku 50 ods. 5 nariadenia (EÚ) 2017/2226</w:t>
            </w:r>
            <w:r>
              <w:rPr>
                <w:b/>
                <w:i/>
              </w:rPr>
              <w:t>, a o tom, že zhromažďovanie údajov je povinné na účely preskúmania podmienok vstupu, ako aj o skutočnosti, že vstup bude odopretý, ak štátny príslušník tretej krajiny odmietne poskytnúť požadované biometrické údaje na zaznamenanie, overenie alebo identifikáciu v systéme vstup/výstup, ako sa stanovuje v článku 50 ods. 1 písm. d) a e) nariadenia 2017/2226</w:t>
            </w:r>
            <w:r>
              <w:t>. V informáciách, ktoré sa majú poskytnúť štátnym príslušníkom tretích krajín podliehajúcim zaznamenávaniu v systéme vstup/výstup, by sa malo zmieňovať postupné uvádzanie systému vstup/výstup do prevádzky. Štátni príslušníci tretích krajín by mali byť vo vzore informovaní o svojej povinnosti poskytnúť biometrické údaje na hraničných priechodoch, kde to predstavuje podmienku vstupu. Vo vzore by mali byť informovaní o dôsledkoch neposkytnutia biometrických údajov. Okrem toho by vo vzore mali byť informovaní o tom, že si nebudú môcť automatizovanými prostriedkami overiť zostávajúcu dĺžku oprávneného pobytu.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59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Štátni príslušníci tretích krajín, ktorých údaje sa majú zaznamenať v systéme vstup/výstup, by mali byť informovaní o svojich právach a povinnostiach týkajúcich sa spracúvania ich údajov vo forme vzoru, ako sa stanovuje v článku 50 ods. 5 nariadenia (EÚ) 2017/2226. V informáciách, ktoré sa majú poskytnúť štátnym príslušníkom tretích krajín podliehajúcim zaznamenávaniu v systéme vstup/výstup, by sa malo zmieňovať postupné uvádzanie systému vstup/výstup do prevádzky. Štátni príslušníci tretích krajín by mali byť vo vzore informovaní o svojej povinnosti poskytnúť biometrické údaje na hraničných priechodoch, kde to predstavuje podmienku vstupu. Vo vzore by mali byť informovaní o dôsledkoch neposkytnutia biometrických údajov. Okrem toho by vo vzore mali byť informovaní o tom, že si nebudú môcť automatizovanými prostriedkami overiť zostávajúcu dĺžku oprávneného pobytu.</w:t>
            </w:r>
          </w:p>
        </w:tc>
        <w:tc>
          <w:tcPr>
            <w:tcW w:w="4876" w:type="dxa"/>
            <w:tcBorders>
              <w:top w:val="nil"/>
              <w:left w:val="nil"/>
              <w:bottom w:val="nil"/>
              <w:right w:val="nil"/>
            </w:tcBorders>
          </w:tcPr>
          <w:p>
            <w:pPr>
              <w:pStyle w:val="Normal6a"/>
            </w:pPr>
            <w:r>
              <w:t>(14)</w:t>
            </w:r>
            <w:r>
              <w:tab/>
            </w:r>
            <w:r>
              <w:t xml:space="preserve">Štátni príslušníci tretích krajín, ktorých údaje sa majú zaznamenať v systéme vstup/výstup, by mali byť informovaní o svojich právach a povinnostiach týkajúcich sa spracúvania ich údajov vo forme vzoru, ako sa stanovuje v článku 50 ods. 5 nariadenia (EÚ) 2017/2226. V informáciách, ktoré sa majú poskytnúť štátnym príslušníkom tretích krajín podliehajúcim zaznamenávaniu v systéme vstup/výstup, by sa malo zmieňovať postupné uvádzanie systému vstup/výstup do prevádzky. Štátni príslušníci tretích krajín by mali byť vo vzore informovaní o svojej povinnosti poskytnúť biometrické údaje na hraničných priechodoch, kde to predstavuje podmienku vstupu. Vo vzore by mali byť informovaní o dôsledkoch neposkytnutia biometrických údajov. Okrem toho by vo vzore mali byť informovaní o tom, že si nebudú môcť automatizovanými prostriedkami overiť zostávajúcu dĺžku oprávneného pobytu. </w:t>
            </w:r>
            <w:r>
              <w:rPr>
                <w:b/>
                <w:i/>
              </w:rPr>
              <w:t>Vnútroštátne orgány by mali vynaložiť všetko primerané úsilie na to, aby týmto štátnym príslušníkom tretích krajín poskytli podrobné informácie o dĺžke ich oprávneného pobytu na základe otlačkov pečiatok v ich cestovných dokladoch.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Cestujúci, ktorí sú štátnymi príslušníkmi tretích krajín, budú mať povinnosti vyplývajúce zo systému vstup/výstup bez výhod, a to minimálne počas postupného uvádzania do prevádzky.</w:t>
      </w:r>
      <w:r>
        <w:t xml:space="preserve"> </w:t>
      </w:r>
      <w:r>
        <w:t>Za týchto okolností by vnútroštátne orgány členských štátov mali vynaložiť všetko primerané úsilie na informovanie štátnych príslušníkov tretích krajín o dĺžke ich zostávajúceho povoleného pobytu.</w:t>
      </w:r>
    </w:p>
    <w:p>
      <w:r>
        <w:rPr>
          <w:rStyle w:val="HideTWBExt"/>
        </w:rPr>
        <w:t>&lt;/AmendB&gt;</w:t>
      </w:r>
    </w:p>
    <w:p>
      <w:pPr>
        <w:pStyle w:val="AmNumberTabs"/>
      </w:pPr>
      <w:r>
        <w:rPr>
          <w:rStyle w:val="HideTWBExt"/>
        </w:rPr>
        <w:t>&lt;AmendB&gt;</w:t>
      </w:r>
      <w:r>
        <w:t>Pozmeňujúci návrh</w:t>
      </w:r>
      <w:r>
        <w:tab/>
      </w:r>
      <w:r>
        <w:tab/>
      </w:r>
      <w:r>
        <w:rPr>
          <w:rStyle w:val="HideTWBExt"/>
        </w:rPr>
        <w:t>&lt;NumAmB&gt;</w:t>
      </w:r>
      <w:r>
        <w:t>60</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 cieľom informovať o postupnom uvádzaní systému vstup/výstup do prevádzky by Komisia mala na webovom sídle systému vstup/výstup uvádzať príslušné aktualizácie.</w:t>
            </w:r>
          </w:p>
        </w:tc>
        <w:tc>
          <w:tcPr>
            <w:tcW w:w="4876" w:type="dxa"/>
            <w:tcBorders>
              <w:top w:val="nil"/>
              <w:left w:val="nil"/>
              <w:bottom w:val="nil"/>
              <w:right w:val="nil"/>
            </w:tcBorders>
          </w:tcPr>
          <w:p>
            <w:pPr>
              <w:pStyle w:val="Normal6a"/>
            </w:pPr>
            <w:r>
              <w:t>(15)</w:t>
            </w:r>
            <w:r>
              <w:tab/>
            </w:r>
            <w:r>
              <w:t>S cieľom informovať o postupnom uvádzaní systému vstup/výstup do prevádzky by Komisia mala na webovom sídle systému vstup/výstup uvádzať príslušné aktualizácie</w:t>
            </w:r>
            <w:r>
              <w:rPr>
                <w:b/>
                <w:i/>
              </w:rPr>
              <w:t>, a to aspoň každý mesiac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Cieľ zvyšovania informovanosti štátnych príslušníkov tretích krajín o ich osobitných právach a povinnostiach by sa najlepšie dosiahol, ak by členské štáty prispôsobili realizáciu informačnej kampane tomu, ako bude systém vstup/výstup prevádzkovaný na ich hraniciach, na ktorých sa prevádzkuje v súlade s článkom 4 nariadenia (EÚ) 2017/2226.</w:t>
            </w:r>
            <w:r>
              <w:t xml:space="preserve"> Informačné materiály vypracované Komisiou s podporou členských štátov v kontexte článku 51 nariadenia (EÚ) 2017/2226 by sa preto mali prispôsobiť tak, aby bolo možné realizovať informačnú kampaň sprevádzajúcu postupné uvádzanie tohto systému do prevádzky.</w:t>
            </w:r>
          </w:p>
        </w:tc>
        <w:tc>
          <w:tcPr>
            <w:tcW w:w="4876" w:type="dxa"/>
            <w:tcBorders>
              <w:top w:val="nil"/>
              <w:left w:val="nil"/>
              <w:bottom w:val="nil"/>
              <w:right w:val="nil"/>
            </w:tcBorders>
          </w:tcPr>
          <w:p>
            <w:pPr>
              <w:pStyle w:val="Normal6a"/>
            </w:pPr>
            <w:r>
              <w:t>(16)</w:t>
            </w:r>
            <w:r>
              <w:tab/>
            </w:r>
            <w:r>
              <w:t>Informačné materiály vypracované Komisiou s podporou členských štátov v kontexte článku 51 nariadenia (EÚ) 2017/2226 by sa preto mali prispôsobiť tak, aby bolo možné realizovať informačnú kampaň sprevádzajúcu postupné uvádzanie tohto systému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62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Cieľ zvyšovania informovanosti štátnych príslušníkov tretích krajín o ich osobitných právach a povinnostiach by sa najlepšie dosiahol, ak by členské štáty prispôsobili realizáciu informačnej kampane tomu, ako bude systém vstup/výstup prevádzkovaný na ich hraniciach, na ktorých sa prevádzkuje v súlade s článkom 4 nariadenia (EÚ) 2017/2226. Informačné materiály vypracované Komisiou s podporou členských štátov v kontexte článku 51 nariadenia (EÚ) 2017/2226 by sa preto mali prispôsobiť tak, aby bolo možné realizovať informačnú kampaň sprevádzajúcu postupné uvádzanie tohto systému do prevádzky.</w:t>
            </w:r>
          </w:p>
        </w:tc>
        <w:tc>
          <w:tcPr>
            <w:tcW w:w="4876" w:type="dxa"/>
            <w:tcBorders>
              <w:top w:val="nil"/>
              <w:left w:val="nil"/>
              <w:bottom w:val="nil"/>
              <w:right w:val="nil"/>
            </w:tcBorders>
          </w:tcPr>
          <w:p>
            <w:pPr>
              <w:pStyle w:val="Normal6a"/>
            </w:pPr>
            <w:r>
              <w:t>(16)</w:t>
            </w:r>
            <w:r>
              <w:tab/>
            </w:r>
            <w:r>
              <w:t xml:space="preserve">Cieľ zvyšovania informovanosti štátnych príslušníkov tretích krajín o ich osobitných právach a povinnostiach by sa najlepšie dosiahol, ak by členské štáty prispôsobili realizáciu informačnej kampane tomu, ako bude systém vstup/výstup prevádzkovaný na ich hraniciach, na ktorých sa prevádzkuje v súlade s článkom 4 nariadenia (EÚ) 2017/2226. Informačné materiály vypracované Komisiou </w:t>
            </w:r>
            <w:r>
              <w:rPr>
                <w:b/>
                <w:i/>
              </w:rPr>
              <w:t>v spolupráci s orgánmi dozoru a európskym dozorným úradníkom pre ochranu údajov a</w:t>
            </w:r>
            <w:r>
              <w:t xml:space="preserve"> s podporou členských štátov v kontexte článku 51 nariadenia (EÚ) 2017/2226 by sa preto mali prispôsobiť tak, aby bolo možné realizovať informačnú kampaň sprevádzajúcu postupné uvádzanie tohto systému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63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Cieľ zvyšovania informovanosti štátnych príslušníkov tretích krajín o ich osobitných právach a povinnostiach by sa najlepšie dosiahol, ak by členské štáty prispôsobili realizáciu informačnej kampane tomu, ako bude systém vstup/výstup prevádzkovaný na ich hraniciach, na ktorých sa prevádzkuje v súlade s článkom 4 nariadenia (EÚ) 2017/2226. Informačné materiály vypracované </w:t>
            </w:r>
            <w:r>
              <w:rPr>
                <w:b/>
                <w:i/>
              </w:rPr>
              <w:t>Komisiou</w:t>
            </w:r>
            <w:r>
              <w:t xml:space="preserve"> s podporou členských štátov v kontexte článku 51 nariadenia (EÚ) 2017/2226 </w:t>
            </w:r>
            <w:r>
              <w:rPr>
                <w:b/>
                <w:i/>
              </w:rPr>
              <w:t>by sa preto mali prispôsobiť tak, aby bolo možné realizovať informačnú kampaň sprevádzajúcu postupné uvádzanie tohto systému do prevádzky</w:t>
            </w:r>
            <w:r>
              <w:t>.</w:t>
            </w:r>
          </w:p>
        </w:tc>
        <w:tc>
          <w:tcPr>
            <w:tcW w:w="4876" w:type="dxa"/>
            <w:tcBorders>
              <w:top w:val="nil"/>
              <w:left w:val="nil"/>
              <w:bottom w:val="nil"/>
              <w:right w:val="nil"/>
            </w:tcBorders>
          </w:tcPr>
          <w:p>
            <w:pPr>
              <w:pStyle w:val="Normal6a"/>
            </w:pPr>
            <w:r>
              <w:t>(16)</w:t>
            </w:r>
            <w:r>
              <w:tab/>
            </w:r>
            <w:r>
              <w:t xml:space="preserve">Cieľ zvyšovania informovanosti štátnych príslušníkov tretích krajín o ich osobitných právach a povinnostiach by sa najlepšie dosiahol, ak by členské štáty prispôsobili realizáciu informačnej kampane tomu, ako bude systém vstup/výstup prevádzkovaný na ich hraniciach, na ktorých sa prevádzkuje v súlade s článkom 4 nariadenia (EÚ) 2017/2226. </w:t>
            </w:r>
            <w:r>
              <w:rPr>
                <w:b/>
                <w:i/>
              </w:rPr>
              <w:t>Komisia by preto mala prispôsobiť svoje</w:t>
            </w:r>
            <w:r>
              <w:t xml:space="preserve"> informačné materiály vypracované s podporou členských štátov v kontexte článku 51 nariadenia (EÚ) 2017/2226 </w:t>
            </w:r>
            <w:r>
              <w:rPr>
                <w:b/>
                <w:i/>
              </w:rPr>
              <w:t>s cieľom zabezpečiť, aby postupné uvádzanie do prevádzky sprevádzala presná informačná kampaň</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64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Počas postupného uvádzania systému vstup/výstup do prevádzky webová služba nebude umožňovať štátnym príslušníkom tretích krajín elektronicky si overiť presnú dĺžku ich oprávneného pobytu.</w:t>
            </w:r>
          </w:p>
        </w:tc>
        <w:tc>
          <w:tcPr>
            <w:tcW w:w="4876" w:type="dxa"/>
            <w:tcBorders>
              <w:top w:val="nil"/>
              <w:left w:val="nil"/>
              <w:bottom w:val="nil"/>
              <w:right w:val="nil"/>
            </w:tcBorders>
          </w:tcPr>
          <w:p>
            <w:pPr>
              <w:pStyle w:val="Normal6a"/>
            </w:pPr>
            <w:r>
              <w:t>(17)</w:t>
            </w:r>
            <w:r>
              <w:tab/>
            </w:r>
            <w:r>
              <w:t xml:space="preserve">Počas postupného uvádzania systému vstup/výstup do prevádzky webová služba nebude umožňovať štátnym príslušníkom tretích krajín elektronicky si overiť presnú dĺžku ich oprávneného pobytu. </w:t>
            </w:r>
            <w:r>
              <w:rPr>
                <w:b/>
                <w:i/>
              </w:rPr>
              <w:t>Bez ohľadu na túto skutočnosť by členské štáty mali mať možnosť v spolupráci s Komisiou a agentúrou eu-LISA zaviesť dočasné alebo predprevádzkové verzie webovej služby s obmedzenými funkciami na účely testovania, predvedenia a včasnej validácie spôsobilostí systému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65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Počas postupného uvádzania systému vstup/výstup do prevádzky webová služba nebude umožňovať štátnym príslušníkom tretích krajín elektronicky si overiť presnú dĺžku ich oprávneného pobytu.</w:t>
            </w:r>
          </w:p>
        </w:tc>
        <w:tc>
          <w:tcPr>
            <w:tcW w:w="4876" w:type="dxa"/>
            <w:tcBorders>
              <w:top w:val="nil"/>
              <w:left w:val="nil"/>
              <w:bottom w:val="nil"/>
              <w:right w:val="nil"/>
            </w:tcBorders>
          </w:tcPr>
          <w:p>
            <w:pPr>
              <w:pStyle w:val="Normal6a"/>
            </w:pPr>
            <w:r>
              <w:t>(17)</w:t>
            </w:r>
            <w:r>
              <w:tab/>
            </w:r>
            <w:r>
              <w:t xml:space="preserve">Počas postupného uvádzania systému vstup/výstup do prevádzky webová služba nebude umožňovať štátnym príslušníkom tretích krajín elektronicky si overiť presnú dĺžku ich oprávneného pobytu. </w:t>
            </w:r>
            <w:r>
              <w:rPr>
                <w:b/>
                <w:i/>
              </w:rPr>
              <w:t>Vnútroštátne orgány by mali vynaložiť všetko primerané úsilie na to, aby týmto štátnym príslušníkom tretích krajín poskytli podrobné informácie o dĺžke ich oprávneného pobytu na základe otlačkov pečiatok v ich cestovných dokladoch.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Štátni príslušníci tretích krajín budú mať povinnosti vyplývajúce zo systému vstup/výstup bez výhod, a to minimálne počas postupného uvádzania do prevádzky.</w:t>
      </w:r>
      <w:r>
        <w:t xml:space="preserve"> </w:t>
      </w:r>
      <w:r>
        <w:t>Za týchto okolností by vnútroštátne orgány členských štátov mali vynaložiť všetko primerané úsilie na informovanie štátnych príslušníkov tretích krajín o dĺžke ich zostávajúceho povoleného pobytu.</w:t>
      </w:r>
    </w:p>
    <w:p>
      <w:r>
        <w:rPr>
          <w:rStyle w:val="HideTWBExt"/>
        </w:rPr>
        <w:t>&lt;/AmendB&gt;</w:t>
      </w:r>
    </w:p>
    <w:p>
      <w:pPr>
        <w:pStyle w:val="AmNumberTabs"/>
      </w:pPr>
      <w:r>
        <w:rPr>
          <w:rStyle w:val="HideTWBExt"/>
        </w:rPr>
        <w:t>&lt;AmendB&gt;</w:t>
      </w:r>
      <w:r>
        <w:t>Pozmeňujúci návrh</w:t>
      </w:r>
      <w:r>
        <w:tab/>
      </w:r>
      <w:r>
        <w:tab/>
      </w:r>
      <w:r>
        <w:rPr>
          <w:rStyle w:val="HideTWBExt"/>
        </w:rPr>
        <w:t>&lt;NumAmB&gt;</w:t>
      </w:r>
      <w:r>
        <w:t>66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Toto nariadenie nemá vplyv na povinnosti leteckých dopravcov, námorných dopravcov a medzinárodných dopravcov prepravujúcich skupiny autokarom po pevnine, ako sa stanovuje v článku 26 ods. 1 Dohovoru, ktorým sa vykonáva Schengenská dohoda</w:t>
            </w:r>
            <w:r>
              <w:rPr>
                <w:vertAlign w:val="superscript"/>
              </w:rPr>
              <w:t>5</w:t>
            </w:r>
            <w:r>
              <w:t>a v smernici Rady 2001/51/ES</w:t>
            </w:r>
            <w:r>
              <w:rPr>
                <w:vertAlign w:val="superscript"/>
              </w:rPr>
              <w:t>6</w:t>
            </w:r>
            <w:r>
              <w:t>. V tejto súvislosti by dopravcovia mali overovať odtlačky pečiatok, ktorými sú označené cestovné doklady. Na zabezpečenie účinnej komunikácie s dopravcami o rôznych modalitách uplatňovania systému vstup/výstup na hraničných priechodoch, z ktorého majú v konečnom dôsledku prospech cestujúci, je nevyhnutné, aby členské štáty boli transparentné, pokiaľ ide o zavádzanie systému vstup/výstup na svojich hraničných priechodoch.</w:t>
            </w:r>
          </w:p>
        </w:tc>
        <w:tc>
          <w:tcPr>
            <w:tcW w:w="4876" w:type="dxa"/>
            <w:tcBorders>
              <w:top w:val="nil"/>
              <w:left w:val="nil"/>
              <w:bottom w:val="nil"/>
              <w:right w:val="nil"/>
            </w:tcBorders>
          </w:tcPr>
          <w:p>
            <w:pPr>
              <w:pStyle w:val="Normal6a"/>
            </w:pPr>
            <w:r>
              <w:t>(18)</w:t>
            </w:r>
            <w:r>
              <w:tab/>
            </w:r>
            <w:r>
              <w:t>Toto nariadenie nemá vplyv na povinnosti leteckých dopravcov, námorných dopravcov a medzinárodných dopravcov prepravujúcich skupiny autokarom po pevnine, ako sa stanovuje v článku 26 ods. 1 Dohovoru, ktorým sa vykonáva Schengenská dohoda</w:t>
            </w:r>
            <w:r>
              <w:rPr>
                <w:vertAlign w:val="superscript"/>
              </w:rPr>
              <w:t>5</w:t>
            </w:r>
            <w:r>
              <w:t xml:space="preserve"> a v smernici Rady 2001/51/ES</w:t>
            </w:r>
            <w:r>
              <w:rPr>
                <w:vertAlign w:val="superscript"/>
              </w:rPr>
              <w:t>6</w:t>
            </w:r>
            <w:r>
              <w:t>. V tejto súvislosti by dopravcovia mali overovať odtlačky pečiatok, ktorými sú označené cestovné doklady. Na zabezpečenie účinnej komunikácie s dopravcami o rôznych modalitách uplatňovania systému vstup/výstup na hraničných priechodoch, z ktorého majú v konečnom dôsledku prospech cestujúci, je nevyhnutné, aby členské štáty boli transparentné, pokiaľ ide o zavádzanie systému vstup/výstup na svojich hraničných priechodoch</w:t>
            </w:r>
            <w:r>
              <w:rPr>
                <w:b/>
                <w:i/>
              </w:rPr>
              <w:t>, a aby poskytli svoje národné plány spúšťania zainteresovaným stranám v odvetví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Dohovor, ktorým sa vykonáva Schengenská dohoda zo 14. júna 1985 uzatvorená medzi vládami štátov hospodárskej únie Beneluxu, Nemeckej spolkovej republiky a Francúzskej republiky o postupnom zrušení kontrol na ich spoločných hraniciach (</w:t>
            </w:r>
            <w:r>
              <w:rPr>
                <w:b/>
                <w:i/>
              </w:rPr>
              <w:t>„</w:t>
            </w:r>
            <w:r>
              <w:t>Dohovor, ktorým sa vykonáva Schengenská dohoda</w:t>
            </w:r>
            <w:r>
              <w:rPr>
                <w:b/>
                <w:i/>
              </w:rPr>
              <w:t>“</w:t>
            </w:r>
            <w:r>
              <w:t>) (Ú. v. ES L 239, 22.9.2000, s. 19, ELI: http://data.europa.eu/eli/convention/2000/922/oj).</w:t>
            </w:r>
          </w:p>
        </w:tc>
        <w:tc>
          <w:tcPr>
            <w:tcW w:w="4876" w:type="dxa"/>
            <w:tcBorders>
              <w:top w:val="nil"/>
              <w:left w:val="nil"/>
              <w:bottom w:val="nil"/>
              <w:right w:val="nil"/>
            </w:tcBorders>
          </w:tcPr>
          <w:p>
            <w:pPr>
              <w:pStyle w:val="Normal6a"/>
            </w:pPr>
            <w:r>
              <w:rPr>
                <w:vertAlign w:val="superscript"/>
              </w:rPr>
              <w:t>5</w:t>
            </w:r>
            <w:r>
              <w:t xml:space="preserve"> </w:t>
            </w:r>
            <w:r>
              <w:t>Dohovor, ktorým sa vykonáva Schengenská dohoda zo 14. júna 1985 uzatvorená medzi vládami štátov hospodárskej únie Beneluxu, Nemeckej spolkovej republiky a Francúzskej republiky o postupnom zrušení kontrol na ich spoločných hraniciach (Dohovor, ktorým sa vykonáva Schengenská dohoda) (Ú. v. ES L 239, 22.9.2000, s.</w:t>
            </w:r>
            <w:r>
              <w:rPr>
                <w:b/>
                <w:i/>
              </w:rPr>
              <w:t> </w:t>
            </w:r>
            <w:r>
              <w:t xml:space="preserve"> 19, ELI: http://data.europa.eu/eli/convention/2000/922/oj).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Smernica Rady 2001/51/ES z 28. júna 2001, ktorou sa dopĺňajú ustanovenia článku 26 Dohovoru, ktorým sa vykonáva Schengenská dohoda zo 14. júna 1985 (Ú. v. ES L 187, 10.7.2001, s. 45, ELI: http://data.europa.eu/eli/dir/2001/51/oj).</w:t>
            </w:r>
          </w:p>
        </w:tc>
        <w:tc>
          <w:tcPr>
            <w:tcW w:w="4876" w:type="dxa"/>
            <w:tcBorders>
              <w:top w:val="nil"/>
              <w:left w:val="nil"/>
              <w:bottom w:val="nil"/>
              <w:right w:val="nil"/>
            </w:tcBorders>
          </w:tcPr>
          <w:p>
            <w:pPr>
              <w:pStyle w:val="Normal6a"/>
            </w:pPr>
            <w:r>
              <w:rPr>
                <w:vertAlign w:val="superscript"/>
              </w:rPr>
              <w:t>6</w:t>
            </w:r>
            <w:r>
              <w:t xml:space="preserve"> </w:t>
            </w:r>
            <w:r>
              <w:t>Smernica Rady 2001/51/ES z 28. júna 2001, ktorou sa dopĺňajú ustanovenia článku 26 Dohovoru, ktorým sa vykonáva Schengenská dohoda zo 14. júna 1985 (Ú. v. ES L 187, 10.7.2001, s.</w:t>
            </w:r>
            <w:r>
              <w:rPr>
                <w:b/>
                <w:i/>
              </w:rPr>
              <w:t> </w:t>
            </w:r>
            <w:r>
              <w:t xml:space="preserve"> 45, ELI: http://data.europa.eu/eli/dir/2001/51/oj).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67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článku 22 nariadenia (EÚ) 2017/2226 a článku 12a nariadenia (EÚ) 2016/399 sa stanovuje prechodné obdobie a dočasné opatrenia týkajúce sa uvedenia systému vstup/výstup do prevádzky. Je potrebné ustanoviť výnimku z týchto článkov, aby sa zabezpečilo, že prechodné obdobie a dočasné opatrenia sa budú uplatňovať až od ukončenia postupného uvádzania do prevádzky. </w:t>
            </w:r>
            <w:r>
              <w:rPr>
                <w:b/>
                <w:i/>
              </w:rPr>
              <w:t>Táto výnimka by sa mala prestať uplatňovať 5 rokov a 180 kalendárnych dní po dátume určenom Komisiou v súlade s článkom 66 ods. 1 nariadenia (EÚ) 2017/2226.</w:t>
            </w:r>
          </w:p>
        </w:tc>
        <w:tc>
          <w:tcPr>
            <w:tcW w:w="4876" w:type="dxa"/>
            <w:tcBorders>
              <w:top w:val="nil"/>
              <w:left w:val="nil"/>
              <w:bottom w:val="nil"/>
              <w:right w:val="nil"/>
            </w:tcBorders>
          </w:tcPr>
          <w:p>
            <w:pPr>
              <w:pStyle w:val="Normal6a"/>
            </w:pPr>
            <w:r>
              <w:t>(19)</w:t>
            </w:r>
            <w:r>
              <w:tab/>
            </w:r>
            <w:r>
              <w:t>V článku 22 nariadenia (EÚ) 2017/2226 a článku 12a nariadenia (EÚ) 2016/399 sa stanovuje prechodné obdobie a dočasné opatrenia týkajúce sa uvedenia systému vstup/výstup do prevádzky. Je potrebné ustanoviť výnimku z týchto článkov, aby sa zabezpečilo, že prechodné obdobie a dočasné opatrenia sa budú uplatňovať až od ukončenia postupného uvádzania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68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 cieľom zabezpečiť, aby sa vnútroštátne orgány a agentúry EÚ pri plnení svojich úloh vyhýbali prijímaniu rozhodnutí výlučne na základe údajov zaznamenaných v systéme vstup/výstup, by tieto orgány a agentúry mali prihliadať na to, že individuálne zložky zaznamenané v systéme vstup/výstup môžu obsahovať neúplné </w:t>
            </w:r>
            <w:r>
              <w:rPr>
                <w:b/>
                <w:i/>
              </w:rPr>
              <w:t>súbory údajov.</w:t>
            </w:r>
            <w:r>
              <w:t xml:space="preserve"> </w:t>
            </w:r>
            <w:r>
              <w:rPr>
                <w:b/>
                <w:i/>
              </w:rPr>
              <w:t>Uvedená výnimka by sa mala prestať uplatňovať päť rokov po dátume, ktorý Komisia určí v súlade s článkom 66 ods. 1 nariadenia (EÚ) 2017/2226 s cieľom zohľadniť päťročné obdobie uchovávania súborov</w:t>
            </w:r>
            <w:r>
              <w:t xml:space="preserve"> údajov</w:t>
            </w:r>
            <w:r>
              <w:rPr>
                <w:b/>
                <w:i/>
              </w:rPr>
              <w:t>, pre ktoré chýba záznam o výstupe, ako sa stanovuje v článku 34 ods. 3 uvedeného nariadenia</w:t>
            </w:r>
            <w:r>
              <w:t>.</w:t>
            </w:r>
          </w:p>
        </w:tc>
        <w:tc>
          <w:tcPr>
            <w:tcW w:w="4876" w:type="dxa"/>
            <w:tcBorders>
              <w:top w:val="nil"/>
              <w:left w:val="nil"/>
              <w:bottom w:val="nil"/>
              <w:right w:val="nil"/>
            </w:tcBorders>
          </w:tcPr>
          <w:p>
            <w:pPr>
              <w:pStyle w:val="Normal6a"/>
            </w:pPr>
            <w:r>
              <w:t>(20)</w:t>
            </w:r>
            <w:r>
              <w:tab/>
            </w:r>
            <w:r>
              <w:t xml:space="preserve">S cieľom zabezpečiť, aby sa vnútroštátne orgány a agentúry EÚ pri plnení svojich úloh vyhýbali prijímaniu rozhodnutí výlučne na základe údajov zaznamenaných v systéme vstup/výstup, by tieto orgány a agentúry mali prihliadať na to, že individuálne zložky zaznamenané v systéme vstup/výstup môžu obsahovať neúplné </w:t>
            </w:r>
            <w:r>
              <w:rPr>
                <w:b/>
                <w:i/>
              </w:rPr>
              <w:t>alebo nepresné súbory</w:t>
            </w:r>
            <w:r>
              <w:t xml:space="preserve">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69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S cieľom zabezpečiť, aby sa vnútroštátne orgány a agentúry EÚ pri plnení svojich úloh vyhýbali prijímaniu rozhodnutí výlučne na základe údajov zaznamenaných v systéme vstup/výstup, by tieto orgány a agentúry mali prihliadať na to, že individuálne zložky zaznamenané</w:t>
            </w:r>
            <w:r>
              <w:t xml:space="preserve"> v systéme vstup/výstup </w:t>
            </w:r>
            <w:r>
              <w:rPr>
                <w:b/>
                <w:i/>
              </w:rPr>
              <w:t>môžu obsahovať neúplné súbory údajov</w:t>
            </w:r>
            <w:r>
              <w:t>. Uvedená výnimka by sa mala prestať uplatňovať päť rokov po dátume, ktorý Komisia určí v súlade s článkom 66 ods. 1 nariadenia (EÚ) 2017/2226 s cieľom zohľadniť päťročné obdobie uchovávania súborov údajov, pre ktoré chýba záznam o výstupe, ako sa stanovuje v článku 34 ods. 3 uvedeného nariadenia.</w:t>
            </w:r>
          </w:p>
        </w:tc>
        <w:tc>
          <w:tcPr>
            <w:tcW w:w="4876" w:type="dxa"/>
            <w:tcBorders>
              <w:top w:val="nil"/>
              <w:left w:val="nil"/>
              <w:bottom w:val="nil"/>
              <w:right w:val="nil"/>
            </w:tcBorders>
          </w:tcPr>
          <w:p>
            <w:pPr>
              <w:pStyle w:val="Normal6a"/>
            </w:pPr>
            <w:r>
              <w:t>(20)</w:t>
            </w:r>
            <w:r>
              <w:tab/>
            </w:r>
            <w:r>
              <w:rPr>
                <w:b/>
                <w:i/>
              </w:rPr>
              <w:t>Vzhľadom na to, že počas postupného uvádzania do prevádzky môžu jednotlivé zložky zaznamenané v systéme vstup/výstup obsahovať neúplné súbory údajov, vnútroštátne orgány by nemali prijímať rozhodnutia, ktoré majú nepriaznivý vplyv na jednotlivcov výlučne na základe údajov zaznamenaných</w:t>
            </w:r>
            <w:r>
              <w:t xml:space="preserve"> v systéme vstup/výstup </w:t>
            </w:r>
            <w:r>
              <w:rPr>
                <w:b/>
                <w:i/>
              </w:rPr>
              <w:t>alebo na základe skutočnosti, že zaznamenanie vstupu alebo výstupu chýba</w:t>
            </w:r>
            <w:r>
              <w:t>. Uvedená výnimka by sa mala prestať uplatňovať päť rokov po dátume, ktorý Komisia určí v súlade s článkom 66 ods. 1 nariadenia (EÚ) 2017/2226 s cieľom zohľadniť päťročné obdobie uchovávania súborov údajov, pre ktoré chýba záznam o výstupe, ako sa stanovuje v článku 34 ods. 3 uvedeného nariadenia.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70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 cieľom zabezpečiť, aby sa vnútroštátne orgány a agentúry EÚ pri plnení svojich úloh vyhýbali prijímaniu rozhodnutí výlučne na základe údajov zaznamenaných v systéme vstup/výstup, by tieto orgány a agentúry mali prihliadať na to, že individuálne zložky zaznamenané v systéme vstup/výstup môžu obsahovať neúplné súbory údajov. Uvedená výnimka by sa mala prestať uplatňovať päť rokov po dátume, ktorý Komisia určí v súlade s článkom 66 ods. 1 nariadenia (EÚ) 2017/2226 s cieľom zohľadniť päťročné obdobie uchovávania súborov údajov, pre ktoré chýba záznam o výstupe, ako sa stanovuje v článku 34 ods. 3 uvedeného nariadenia.</w:t>
            </w:r>
          </w:p>
        </w:tc>
        <w:tc>
          <w:tcPr>
            <w:tcW w:w="4876" w:type="dxa"/>
            <w:tcBorders>
              <w:top w:val="nil"/>
              <w:left w:val="nil"/>
              <w:bottom w:val="nil"/>
              <w:right w:val="nil"/>
            </w:tcBorders>
          </w:tcPr>
          <w:p>
            <w:pPr>
              <w:pStyle w:val="Normal6a"/>
            </w:pPr>
            <w:r>
              <w:t>(20)</w:t>
            </w:r>
            <w:r>
              <w:tab/>
            </w:r>
            <w:r>
              <w:t xml:space="preserve">S cieľom zabezpečiť, aby sa vnútroštátne orgány a agentúry EÚ pri plnení svojich úloh vyhýbali prijímaniu rozhodnutí výlučne na základe údajov zaznamenaných v systéme vstup/výstup, by tieto orgány a agentúry mali prihliadať na to, že individuálne zložky zaznamenané v systéme vstup/výstup môžu obsahovať neúplné súbory údajov. Uvedená výnimka by sa mala prestať uplatňovať päť rokov po dátume, ktorý Komisia určí v súlade s článkom 66 ods. 1 nariadenia (EÚ) 2017/2226 s cieľom zohľadniť päťročné obdobie uchovávania súborov údajov, pre ktoré chýba záznam o výstupe, ako sa stanovuje v článku 34 ods. 3 uvedeného nariadenia. </w:t>
            </w:r>
            <w:r>
              <w:rPr>
                <w:b/>
                <w:i/>
              </w:rPr>
              <w:t>Záznamy o vstupe a výstupe vytvorené počas postupného uvádzania do prevádzky by sa nemali používať na automatizované podávanie správ ani na automatizované procesy vrátane automatizovaného nahliadania do systému ETIAS.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pozmeňujúceho návrhu je dosiahnuť rovnováhu medzi úplným vymazaním údajov a generovaním falošných pozitívnych výsledkov z neúplných údajov.</w:t>
      </w:r>
    </w:p>
    <w:p>
      <w:r>
        <w:rPr>
          <w:rStyle w:val="HideTWBExt"/>
        </w:rPr>
        <w:t>&lt;/AmendB&gt;</w:t>
      </w:r>
    </w:p>
    <w:p>
      <w:pPr>
        <w:pStyle w:val="AmNumberTabs"/>
      </w:pPr>
      <w:r>
        <w:rPr>
          <w:rStyle w:val="HideTWBExt"/>
        </w:rPr>
        <w:t>&lt;AmendB&gt;</w:t>
      </w:r>
      <w:r>
        <w:t>Pozmeňujúci návrh</w:t>
      </w:r>
      <w:r>
        <w:tab/>
      </w:r>
      <w:r>
        <w:tab/>
      </w:r>
      <w:r>
        <w:rPr>
          <w:rStyle w:val="HideTWBExt"/>
        </w:rPr>
        <w:t>&lt;NumAmB&gt;</w:t>
      </w:r>
      <w:r>
        <w:t>71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S cieľom zabezpečiť, aby sa</w:t>
            </w:r>
            <w:r>
              <w:t xml:space="preserve"> vnútroštátne orgány a agentúry EÚ pri plnení svojich úloh </w:t>
            </w:r>
            <w:r>
              <w:rPr>
                <w:b/>
                <w:i/>
              </w:rPr>
              <w:t>vyhýbali</w:t>
            </w:r>
            <w:r>
              <w:t xml:space="preserve"> prijímaniu rozhodnutí výlučne na základe údajov zaznamenaných v systéme vstup/výstup, </w:t>
            </w:r>
            <w:r>
              <w:rPr>
                <w:b/>
                <w:i/>
              </w:rPr>
              <w:t>by tieto orgány a agentúry mali prihliadať na to</w:t>
            </w:r>
            <w:r>
              <w:t>, že individuálne zložky zaznamenané v systéme vstup/výstup môžu obsahovať neúplné súbory údajov. Uvedená výnimka by sa mala prestať uplatňovať päť rokov po dátume, ktorý Komisia určí v súlade s článkom 66 ods. 1 nariadenia (EÚ) 2017/2226 s cieľom zohľadniť päťročné obdobie uchovávania súborov údajov, pre ktoré chýba záznam o výstupe, ako sa stanovuje v článku 34 ods. 3 uvedeného nariadenia.</w:t>
            </w:r>
          </w:p>
        </w:tc>
        <w:tc>
          <w:tcPr>
            <w:tcW w:w="4876" w:type="dxa"/>
            <w:tcBorders>
              <w:top w:val="nil"/>
              <w:left w:val="nil"/>
              <w:bottom w:val="nil"/>
              <w:right w:val="nil"/>
            </w:tcBorders>
          </w:tcPr>
          <w:p>
            <w:pPr>
              <w:pStyle w:val="Normal6a"/>
            </w:pPr>
            <w:r>
              <w:t>(20)</w:t>
            </w:r>
            <w:r>
              <w:tab/>
            </w:r>
            <w:r>
              <w:t xml:space="preserve">Vnútroštátne orgány a agentúry EÚ </w:t>
            </w:r>
            <w:r>
              <w:rPr>
                <w:b/>
                <w:i/>
              </w:rPr>
              <w:t>by sa</w:t>
            </w:r>
            <w:r>
              <w:t xml:space="preserve"> pri plnení svojich úloh </w:t>
            </w:r>
            <w:r>
              <w:rPr>
                <w:b/>
                <w:i/>
              </w:rPr>
              <w:t>mali vyhýbať</w:t>
            </w:r>
            <w:r>
              <w:t xml:space="preserve"> prijímaniu rozhodnutí výlučne </w:t>
            </w:r>
            <w:r>
              <w:rPr>
                <w:b/>
                <w:i/>
              </w:rPr>
              <w:t>alebo primárne</w:t>
            </w:r>
            <w:r>
              <w:t xml:space="preserve"> na základe údajov zaznamenaných v systéme vstup/výstup, </w:t>
            </w:r>
            <w:r>
              <w:rPr>
                <w:b/>
                <w:i/>
              </w:rPr>
              <w:t>keďže by si mali byť vedomé</w:t>
            </w:r>
            <w:r>
              <w:t>, že individuálne zložky zaznamenané v systéme vstup/výstup môžu obsahovať neúplné súbory údajov. Uvedená výnimka by sa mala prestať uplatňovať päť rokov po dátume, ktorý Komisia určí v súlade s článkom 66 ods. 1 nariadenia (EÚ) 2017/2226 s cieľom zohľadniť päťročné obdobie uchovávania súborov údajov, pre ktoré chýba záznam o výstupe, ako sa stanovuje v článku 34 ods. 3 uvedeného nariadenia.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Malo by sa objasniť, že vnútroštátne orgány a agentúry EÚ sa nemôžu spoliehať na informácie v systéme vstup/výstup počas obdobia piatich rokov, a to vzhľadom na postupné uvádzanie do prevádzky a neúplné súbory údajov, ktoré to prinesie.</w:t>
      </w:r>
    </w:p>
    <w:p>
      <w:r>
        <w:rPr>
          <w:rStyle w:val="HideTWBExt"/>
        </w:rPr>
        <w:t>&lt;/AmendB&gt;</w:t>
      </w:r>
    </w:p>
    <w:p>
      <w:pPr>
        <w:pStyle w:val="AmNumberTabs"/>
      </w:pPr>
      <w:r>
        <w:rPr>
          <w:rStyle w:val="HideTWBExt"/>
        </w:rPr>
        <w:t>&lt;AmendB&gt;</w:t>
      </w:r>
      <w:r>
        <w:t>Pozmeňujúci návrh</w:t>
      </w:r>
      <w:r>
        <w:tab/>
      </w:r>
      <w:r>
        <w:tab/>
      </w:r>
      <w:r>
        <w:rPr>
          <w:rStyle w:val="HideTWBExt"/>
        </w:rPr>
        <w:t>&lt;NumAmB&gt;</w:t>
      </w:r>
      <w:r>
        <w:t>72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Európska agentúra pre pohraničnú a pobrežnú stráž by sa počas postupného uvádzania systému vstup/výstup do prevádzky mala zdržať používania údajov zaznamenaných v tomto systéme na vykonávanie analýz rizík a posúdení zraniteľnosti z dôvodu neúplnosti údajov, ktorá by mohla viesť k zavádzajúcim posúdeniam rizík a zraniteľnosti.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73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Európska agentúra pre pohraničnú a pobrežnú stráž by sa počas postupného uvádzania systému vstup/výstup do prevádzky mala zdržať používania údajov zaznamenaných v tomto systéme na vykonávanie analýz rizík a posúdení zraniteľnosti z dôvodu neúplnosti údajov, ktorá by mohla viesť k zavádzajúcim posúdeniam rizík a zraniteľnosti.</w:t>
            </w:r>
          </w:p>
        </w:tc>
        <w:tc>
          <w:tcPr>
            <w:tcW w:w="4876" w:type="dxa"/>
            <w:tcBorders>
              <w:top w:val="nil"/>
              <w:left w:val="nil"/>
              <w:bottom w:val="nil"/>
              <w:right w:val="nil"/>
            </w:tcBorders>
          </w:tcPr>
          <w:p>
            <w:pPr>
              <w:pStyle w:val="Normal6a"/>
            </w:pPr>
            <w:r>
              <w:t>(22)</w:t>
            </w:r>
            <w:r>
              <w:tab/>
            </w:r>
            <w:r>
              <w:t xml:space="preserve">Európska agentúra pre pohraničnú a pobrežnú stráž by sa počas postupného uvádzania systému vstup/výstup do prevádzky mala zdržať používania údajov zaznamenaných v tomto systéme na vykonávanie analýz rizík a posúdení zraniteľnosti z dôvodu neúplnosti údajov, ktorá by mohla viesť k zavádzajúcim posúdeniam rizík a zraniteľnosti. </w:t>
            </w:r>
            <w:r>
              <w:rPr>
                <w:b/>
                <w:i/>
              </w:rPr>
              <w:t>Podobne by sa v súlade so zásadou presnosti a s cieľom zabrániť riziku nesprávnych zhôd mal do konca postupného uvedenia systému vstup/výstup do prevádzky vylúčiť prístup Europolu na účely presadzovania práva k údajom zaznamenaným v systéme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74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Aby sa počas postupného uvádzania systému vstup/výstup do prevádzky zabezpečilo účinné riadenie vonkajších hraníc, na hraničných priechodoch, na ktorých sa systém vstup/výstup neprevádzkuje, by sa hraničné kontroly mali vykonávať v súlade s nariadením (EÚ) 2016/399 uplatniteľným [v deň pred dátumom uvedenia systému vstup/výstup do prevádzky určeným Komisiou v súlade s článkom 66 ods. 1 nariadenia (EÚ) 2017/2226]. Na hraničných priechodoch, na ktorých sa systém vstup/výstup prevádzkuje, by sa hraničné kontroly mali vykonávať v súlade s nariadením (EÚ) 2017/2226 a s Kódexom schengenských hraníc. Mali by sa však uplatňovať osobitné výnimky z týchto nariadení, pokiaľ ide o overovanie na hraničných priechodoch, na ktorých sa systém vstup/výstup prevádzkuje bez biometrických funkcií, aby sa umožnilo postupné uvádzanie do prevádzky. Malo by sa to realizovať bez toho, aby bolo dotknuté overovanie držiteľov víz použitím odtlačkov prstov v súlade s nariadením (ES) č. 787/2008.</w:t>
            </w:r>
          </w:p>
        </w:tc>
        <w:tc>
          <w:tcPr>
            <w:tcW w:w="4876" w:type="dxa"/>
            <w:tcBorders>
              <w:top w:val="nil"/>
              <w:left w:val="nil"/>
              <w:bottom w:val="nil"/>
              <w:right w:val="nil"/>
            </w:tcBorders>
          </w:tcPr>
          <w:p>
            <w:pPr>
              <w:pStyle w:val="Normal6a"/>
            </w:pPr>
            <w:r>
              <w:t>(23)</w:t>
            </w:r>
            <w:r>
              <w:tab/>
            </w:r>
            <w:r>
              <w:rPr>
                <w:b/>
                <w:i/>
              </w:rPr>
              <w:t>Účinné riadenie vonkajších hraníc má pre schengenský priestor bez kontrol na vnútorných hraniciach zásadný význam, pretože uľahčuje legitímne prekračovanie hraníc, zabezpečuje účinné riadenie migrácie, posilňuje vnútornú bezpečnosť odhaľovaním hrozieb na vonkajších hraniciach a predchádzaním týmto hrozbám a zachováva zásadu voľného pohybu osôb.</w:t>
            </w:r>
            <w:r>
              <w:t xml:space="preserve"> Aby sa počas postupného uvádzania systému vstup/výstup do prevádzky zabezpečilo účinné riadenie vonkajších hraníc, na hraničných priechodoch, na ktorých sa systém vstup/výstup neprevádzkuje, by sa hraničné kontroly mali vykonávať v súlade s nariadením (EÚ) 2016/399 uplatniteľným [v deň pred dátumom uvedenia systému vstup/výstup do prevádzky určeným Komisiou v súlade s článkom 66 ods. 1 nariadenia (EÚ) 2017/2226]. Na hraničných priechodoch, na ktorých sa systém vstup/výstup prevádzkuje, by sa hraničné kontroly mali vykonávať v súlade s nariadením (EÚ) 2017/2226 a s Kódexom schengenských hraníc. Mali by sa však uplatňovať osobitné výnimky z týchto nariadení, pokiaľ ide o overovanie na hraničných priechodoch, na ktorých sa systém vstup/výstup prevádzkuje bez biometrických funkcií, aby sa umožnilo postupné uvádzanie do prevádzky. Malo by sa to realizovať bez toho, aby bolo dotknuté overovanie držiteľov víz použitím odtlačkov prstov v súlade s nariadením (ES) č. 787/2008.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75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 cieľom umožniť účinné prispôsobenie technických a organizačných opatrení počas postupného uvádzania systému vstup/výstup do prevádzky v každom členskom štáte a riešiť výnimočné okolnosti zlyhania centrálneho systému vstup/výstup, vnútroštátnych systémov alebo komunikačnej infraštruktúry alebo neprimerane dlhé čakanie na svojich hraniciach by členské štáty mali mať možnosť úplne alebo čiastočne pozastaviť prevádzku systému vstup/výstup na určitých hraničných priechodoch. V prípade čiastočného pozastavenia by sa malo pozastaviť zaznamenávanie biometrických údajov v systéme vstup/výstup. V prípade úplného pozastavenia by sa v systéme vstup/výstup nemali zaznamenávať žiadne údaje. S cieľom zmierniť dodatočné riziká súvisiace so zavádzaním systému vstup/výstup s biometrickými funkciami by členské štáty mali mať za výnimočných okolností vedúcich k premávke takej intenzity, že čakanie na hraniciach je neprimerane dlhé, možnosť pozastaviť zaznamenávanie biometrických údajov v systéme vstup/výstup aj po skončení postupného uvádzania do prevádzky. Takéto pozastavenie by malo byť možné na obmedzené obdobie 60 dní po skončení postupného uvádzania systému vstup/výstup do prevádzky a malo by sa predĺžiť o 60 dní, ak biometrické údaje obsahuje menej ako 80 % individuálnych zložiek zaznamenaných v systéme vstup/výstup počas postupného uvádzania systému vstup/výstup do prevádzky.</w:t>
            </w:r>
          </w:p>
        </w:tc>
        <w:tc>
          <w:tcPr>
            <w:tcW w:w="4876" w:type="dxa"/>
            <w:tcBorders>
              <w:top w:val="nil"/>
              <w:left w:val="nil"/>
              <w:bottom w:val="nil"/>
              <w:right w:val="nil"/>
            </w:tcBorders>
          </w:tcPr>
          <w:p>
            <w:pPr>
              <w:pStyle w:val="Normal6a"/>
            </w:pPr>
            <w:r>
              <w:t>(24)</w:t>
            </w:r>
            <w:r>
              <w:tab/>
            </w:r>
            <w:r>
              <w:t xml:space="preserve">S cieľom umožniť účinné prispôsobenie technických a organizačných opatrení počas postupného uvádzania systému vstup/výstup do prevádzky v každom členskom štáte a riešiť výnimočné okolnosti zlyhania centrálneho systému vstup/výstup, vnútroštátnych systémov alebo komunikačnej infraštruktúry alebo neprimerane dlhé čakanie na svojich hraniciach by členské štáty mali mať možnosť úplne alebo čiastočne pozastaviť prevádzku systému vstup/výstup na určitých hraničných priechodoch. V prípade čiastočného pozastavenia by sa malo pozastaviť zaznamenávanie biometrických údajov v systéme vstup/výstup. V prípade úplného pozastavenia by sa v systéme vstup/výstup nemali zaznamenávať žiadne údaje. S cieľom zmierniť dodatočné riziká súvisiace so zavádzaním systému vstup/výstup s biometrickými funkciami by členské štáty mali mať za výnimočných okolností vedúcich k premávke takej intenzity, že čakanie na hraniciach je neprimerane dlhé, možnosť pozastaviť zaznamenávanie biometrických údajov v systéme vstup/výstup aj po skončení postupného uvádzania do prevádzky. Takéto pozastavenie by malo byť možné na obmedzené obdobie 60 dní po skončení postupného uvádzania systému vstup/výstup do prevádzky a malo by sa predĺžiť o 60 dní, ak biometrické údaje obsahuje menej ako 80 % individuálnych zložiek zaznamenaných v systéme vstup/výstup počas postupného uvádzania systému vstup/výstup do prevádzky. </w:t>
            </w:r>
            <w:r>
              <w:rPr>
                <w:b/>
                <w:i/>
              </w:rPr>
              <w:t>Pozastavenie zaznamenávania biometrických údajov v systéme vstup/výstup by nemalo mať nepriaznivý vplyv na práva a podmienky vstupu štátnych príslušníkov tretích krajín podliehajúcich zaznamenávaniu v systéme vstup/výstup.</w:t>
            </w:r>
            <w:r>
              <w:t xml:space="preserve"> </w:t>
            </w:r>
            <w:r>
              <w:rPr>
                <w:b/>
                <w:i/>
              </w:rPr>
              <w:t>Rozhodnutie o odopretí vstupu podľa nariadenia (EÚ) 2016/399 by sa nemalo prijímať len na základe toho, že členský štát pozastavil zaznamenávanie biometrických údajov v systéme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76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 cieľom umožniť účinné prispôsobenie technických a organizačných opatrení počas postupného uvádzania systému vstup/výstup do prevádzky v každom členskom štáte a riešiť </w:t>
            </w:r>
            <w:r>
              <w:rPr>
                <w:b/>
                <w:i/>
              </w:rPr>
              <w:t>výnimočné okolnosti</w:t>
            </w:r>
            <w:r>
              <w:t xml:space="preserve"> zlyhania centrálneho systému vstup/výstup, vnútroštátnych systémov alebo komunikačnej infraštruktúry alebo neprimerane dlhé čakanie na svojich hraniciach by členské štáty mali mať možnosť úplne alebo čiastočne pozastaviť prevádzku systému vstup/výstup na určitých hraničných priechodoch. V prípade čiastočného pozastavenia by sa malo pozastaviť zaznamenávanie biometrických údajov v systéme vstup/výstup. V prípade úplného pozastavenia by sa v systéme vstup/výstup nemali zaznamenávať žiadne údaje. S cieľom zmierniť dodatočné riziká súvisiace so zavádzaním systému vstup/výstup s biometrickými funkciami by členské štáty mali mať za výnimočných okolností vedúcich k premávke takej intenzity, že čakanie na hraniciach je neprimerane dlhé, možnosť pozastaviť zaznamenávanie biometrických údajov v systéme vstup/výstup aj po skončení postupného uvádzania do prevádzky. Takéto pozastavenie by malo byť možné na obmedzené obdobie 60 dní po skončení postupného uvádzania systému vstup/výstup do prevádzky a malo by sa predĺžiť o 60 dní, ak biometrické údaje obsahuje menej ako 80 % individuálnych zložiek zaznamenaných v systéme vstup/výstup počas postupného uvádzania systému vstup/výstup do prevádzky.</w:t>
            </w:r>
          </w:p>
        </w:tc>
        <w:tc>
          <w:tcPr>
            <w:tcW w:w="4876" w:type="dxa"/>
            <w:tcBorders>
              <w:top w:val="nil"/>
              <w:left w:val="nil"/>
              <w:bottom w:val="nil"/>
              <w:right w:val="nil"/>
            </w:tcBorders>
          </w:tcPr>
          <w:p>
            <w:pPr>
              <w:pStyle w:val="Normal6a"/>
            </w:pPr>
            <w:r>
              <w:t>(24)</w:t>
            </w:r>
            <w:r>
              <w:tab/>
            </w:r>
            <w:r>
              <w:t xml:space="preserve">S cieľom umožniť účinné prispôsobenie technických a organizačných opatrení počas postupného uvádzania systému vstup/výstup do prevádzky v každom členskom štáte a riešiť </w:t>
            </w:r>
            <w:r>
              <w:rPr>
                <w:b/>
                <w:i/>
              </w:rPr>
              <w:t>prípady</w:t>
            </w:r>
            <w:r>
              <w:t xml:space="preserve"> zlyhania centrálneho systému vstup/výstup, vnútroštátnych systémov alebo komunikačnej infraštruktúry alebo neprimerane dlhé čakanie na svojich hraniciach by členské štáty mali mať možnosť úplne alebo čiastočne pozastaviť prevádzku systému vstup/výstup na určitých hraničných priechodoch. V prípade čiastočného pozastavenia by sa malo pozastaviť zaznamenávanie biometrických údajov v systéme vstup/výstup. V prípade úplného pozastavenia by sa v systéme vstup/výstup nemali zaznamenávať žiadne údaje. S cieľom zmierniť dodatočné riziká súvisiace so zavádzaním systému vstup/výstup s biometrickými funkciami by členské štáty mali mať za výnimočných okolností vedúcich k premávke takej intenzity, že čakanie na hraniciach je neprimerane dlhé, možnosť pozastaviť zaznamenávanie biometrických údajov v systéme vstup/výstup aj po skončení postupného uvádzania do prevádzky. Takéto pozastavenie by malo byť možné na obmedzené obdobie 60 dní po skončení postupného uvádzania systému vstup/výstup do prevádzky a malo by sa predĺžiť o 60 dní, ak biometrické údaje obsahuje menej ako 80 % individuálnych zložiek zaznamenaných v systéme vstup/výstup počas postupného uvádzania systému vstup/výstup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77</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Agentúra eu-LISA by mala vydávať správy o </w:t>
            </w:r>
            <w:r>
              <w:rPr>
                <w:b/>
                <w:i/>
              </w:rPr>
              <w:t>štatistikách o používaní</w:t>
            </w:r>
            <w:r>
              <w:t xml:space="preserve"> systému, </w:t>
            </w:r>
            <w:r>
              <w:rPr>
                <w:b/>
                <w:i/>
              </w:rPr>
              <w:t>ktoré by mali</w:t>
            </w:r>
            <w:r>
              <w:t xml:space="preserve"> slúžiť na hodnotenie výkonnosti systému, posudzovanie dodržiavania plánov spúšťania zo strany členských štátov, identifikáciu oblastí, v ktorých je potrebné zlepšenie, monitorovanie súladu s postupným uvádzaním systému vstup/výstup do prevádzky a ako základ pre</w:t>
            </w:r>
            <w:r>
              <w:rPr>
                <w:b/>
                <w:i/>
              </w:rPr>
              <w:t xml:space="preserve">  </w:t>
            </w:r>
            <w:r>
              <w:t>rozhodovanie o ďalšom vývoji a optimalizácii systému.</w:t>
            </w:r>
          </w:p>
        </w:tc>
        <w:tc>
          <w:tcPr>
            <w:tcW w:w="4876" w:type="dxa"/>
            <w:tcBorders>
              <w:top w:val="nil"/>
              <w:left w:val="nil"/>
              <w:bottom w:val="nil"/>
              <w:right w:val="nil"/>
            </w:tcBorders>
          </w:tcPr>
          <w:p>
            <w:pPr>
              <w:pStyle w:val="Normal6a"/>
            </w:pPr>
            <w:r>
              <w:t>(25)</w:t>
            </w:r>
            <w:r>
              <w:tab/>
            </w:r>
            <w:r>
              <w:t xml:space="preserve">Agentúra eu-LISA by mala vydávať správy o </w:t>
            </w:r>
            <w:r>
              <w:rPr>
                <w:b/>
                <w:i/>
              </w:rPr>
              <w:t>štatistike používania</w:t>
            </w:r>
            <w:r>
              <w:t xml:space="preserve"> systému, </w:t>
            </w:r>
            <w:r>
              <w:rPr>
                <w:b/>
                <w:i/>
              </w:rPr>
              <w:t>ktorá by mala</w:t>
            </w:r>
            <w:r>
              <w:t xml:space="preserve"> slúžiť na hodnotenie výkonnosti systému, posudzovanie dodržiavania </w:t>
            </w:r>
            <w:r>
              <w:rPr>
                <w:b/>
                <w:i/>
              </w:rPr>
              <w:t>plánu spúšťania na vysokej úrovni vypracovaného agentúrou eu-LISA, a národných</w:t>
            </w:r>
            <w:r>
              <w:t xml:space="preserve"> plánov spúšťania zo strany členských štátov, identifikáciu oblastí, v ktorých je potrebné zlepšenie, monitorovanie súladu s postupným uvádzaním systému vstup/výstup do prevádzky a ako základ pre rozhodovanie o ďalšom vývoji a optimalizácii systému. </w:t>
            </w:r>
            <w:r>
              <w:rPr>
                <w:b/>
                <w:i/>
              </w:rPr>
              <w:t>Agentúra eu-LISA by okrem toho mala naďalej pravidelne podávať správy svojej správnej rade, ktorá bude zase dohliadať na postupné spúšťanie systému vstup/výstup.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tohto pozmeňujúceho návrhu je potvrdiť, že plán spúšťania na vysokej úrovni je v súlade s národným plánom, a posilniť úlohu správnej rady.</w:t>
      </w:r>
    </w:p>
    <w:p>
      <w:r>
        <w:rPr>
          <w:rStyle w:val="HideTWBExt"/>
        </w:rPr>
        <w:t>&lt;/AmendB&gt;</w:t>
      </w:r>
    </w:p>
    <w:p>
      <w:pPr>
        <w:pStyle w:val="AmNumberTabs"/>
      </w:pPr>
      <w:r>
        <w:rPr>
          <w:rStyle w:val="HideTWBExt"/>
        </w:rPr>
        <w:t>&lt;AmendB&gt;</w:t>
      </w:r>
      <w:r>
        <w:t>Pozmeňujúci návrh</w:t>
      </w:r>
      <w:r>
        <w:tab/>
      </w:r>
      <w:r>
        <w:tab/>
      </w:r>
      <w:r>
        <w:rPr>
          <w:rStyle w:val="HideTWBExt"/>
        </w:rPr>
        <w:t>&lt;NumAmB&gt;</w:t>
      </w:r>
      <w:r>
        <w:t>78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Agentúra eu-LISA by mala </w:t>
            </w:r>
            <w:r>
              <w:rPr>
                <w:b/>
                <w:i/>
              </w:rPr>
              <w:t>vydávať</w:t>
            </w:r>
            <w:r>
              <w:t xml:space="preserve"> správy o štatistikách o používaní systému, ktoré by mali slúžiť na hodnotenie výkonnosti systému, posudzovanie dodržiavania plánov spúšťania zo strany členských štátov, identifikáciu oblastí, v ktorých je potrebné zlepšenie, monitorovanie súladu s postupným uvádzaním systému vstup/výstup do prevádzky a ako základ pre</w:t>
            </w:r>
            <w:r>
              <w:rPr>
                <w:b/>
                <w:i/>
              </w:rPr>
              <w:t xml:space="preserve">  </w:t>
            </w:r>
            <w:r>
              <w:t>rozhodovanie o ďalšom vývoji a optimalizácii systému.</w:t>
            </w:r>
          </w:p>
        </w:tc>
        <w:tc>
          <w:tcPr>
            <w:tcW w:w="4876" w:type="dxa"/>
            <w:tcBorders>
              <w:top w:val="nil"/>
              <w:left w:val="nil"/>
              <w:bottom w:val="nil"/>
              <w:right w:val="nil"/>
            </w:tcBorders>
          </w:tcPr>
          <w:p>
            <w:pPr>
              <w:pStyle w:val="Normal6a"/>
            </w:pPr>
            <w:r>
              <w:t>(25)</w:t>
            </w:r>
            <w:r>
              <w:tab/>
            </w:r>
            <w:r>
              <w:t xml:space="preserve">Agentúra eu-LISA by mala </w:t>
            </w:r>
            <w:r>
              <w:rPr>
                <w:b/>
                <w:i/>
              </w:rPr>
              <w:t>zverejňovať</w:t>
            </w:r>
            <w:r>
              <w:t xml:space="preserve"> správy o štatistikách o používaní systému, ktoré by mali slúžiť na hodnotenie výkonnosti systému, posudzovanie dodržiavania plánov spúšťania zo strany členských štátov, identifikáciu oblastí, v ktorých je potrebné zlepšenie, monitorovanie súladu s postupným uvádzaním systému vstup/výstup do prevádzky a ako základ pre rozhodovanie o ďalšom vývoji a optimalizácii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79</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Prípravné práce súvisiace s plánmi spúšťania by sa mali začať odo dňa nadobudnutia účinnosti tohto nariadenia. Postupné uvádzanie do prevádzky by sa malo uplatňovať od dátumu, ktorý určí Komisia v súlade s článkom 66 ods. 1 nariadenia o systéme vstup/výstup. </w:t>
            </w:r>
            <w:r>
              <w:rPr>
                <w:b/>
                <w:i/>
              </w:rPr>
              <w:t>Keďže sa v tomto nariadení stanovujú dočasné výnimky, malo by sa prestať uplatňovať 180 kalendárnych dní po dátume určenom Komisiou v súlade s článkom 66 ods. 1 nariadenia (EÚ) 2017/2226.</w:t>
            </w:r>
            <w:r>
              <w:t xml:space="preserve"> Odchylné pravidlá týkajúce sa uplatňovania prechodného obdobia a dočasných</w:t>
            </w:r>
            <w:r>
              <w:rPr>
                <w:b/>
                <w:i/>
              </w:rPr>
              <w:t xml:space="preserve">  </w:t>
            </w:r>
            <w:r>
              <w:t>opatrení, prístupu k údajom systému vstup/výstup, overovania odtlačkov pečiatok, ktorými sa označujú cestovné doklady, dopravcami a pozastavenia systému vstup/výstup by sa však mali uplatňovať počas obmedzeného obdobia po skončení postupného uvádzania do prevádzky.</w:t>
            </w:r>
          </w:p>
        </w:tc>
        <w:tc>
          <w:tcPr>
            <w:tcW w:w="4876" w:type="dxa"/>
            <w:tcBorders>
              <w:top w:val="nil"/>
              <w:left w:val="nil"/>
              <w:bottom w:val="nil"/>
              <w:right w:val="nil"/>
            </w:tcBorders>
          </w:tcPr>
          <w:p>
            <w:pPr>
              <w:pStyle w:val="Normal6a"/>
            </w:pPr>
            <w:r>
              <w:t>(26)</w:t>
            </w:r>
            <w:r>
              <w:tab/>
            </w:r>
            <w:r>
              <w:t>Prípravné práce súvisiace s plánmi spúšťania by sa mali začať odo dňa nadobudnutia účinnosti tohto nariadenia. Postupné uvádzanie do prevádzky by sa malo uplatňovať od dátumu, ktorý určí Komisia v súlade s článkom 66 ods. 1 nariadenia o systéme vstup/výstup. Odchylné pravidlá týkajúce sa uplatňovania prechodného obdobia a dočasných opatrení, prístupu k údajom systému vstup/výstup, overovania odtlačkov pečiatok, ktorými sa označujú cestovné doklady, dopravcami a pozastavenia systému vstup/výstup by sa však mali uplatňovať počas obmedzeného obdobia po skončení postupného uvádzania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Prípravné práce súvisiace s plánmi spúšťania by sa mali začať odo dňa nadobudnutia účinnosti tohto nariadenia. Postupné uvádzanie do prevádzky by sa malo uplatňovať od dátumu, ktorý určí Komisia v súlade s článkom 66 ods. 1 nariadenia o systéme vstup/výstup. Keďže sa v tomto nariadení stanovujú dočasné výnimky, </w:t>
            </w:r>
            <w:r>
              <w:rPr>
                <w:b/>
                <w:i/>
              </w:rPr>
              <w:t>malo</w:t>
            </w:r>
            <w:r>
              <w:t xml:space="preserve"> by sa </w:t>
            </w:r>
            <w:r>
              <w:rPr>
                <w:b/>
                <w:i/>
              </w:rPr>
              <w:t>prestať</w:t>
            </w:r>
            <w:r>
              <w:t xml:space="preserve"> uplatňovať </w:t>
            </w:r>
            <w:r>
              <w:rPr>
                <w:b/>
                <w:i/>
              </w:rPr>
              <w:t>180 kalendárnych dní po dátume určenom Komisiou</w:t>
            </w:r>
            <w:r>
              <w:t xml:space="preserve"> v súlade s </w:t>
            </w:r>
            <w:r>
              <w:rPr>
                <w:b/>
                <w:i/>
              </w:rPr>
              <w:t>článkom 66 ods. 1 nariadenia (EÚ) 2017/2226.</w:t>
            </w:r>
            <w:r>
              <w:t xml:space="preserve"> </w:t>
            </w:r>
            <w:r>
              <w:rPr>
                <w:b/>
                <w:i/>
              </w:rPr>
              <w:t>Odchylné pravidlá týkajúce sa uplatňovania prechodného obdobia a dočasných  opatrení, prístupu k údajom systému vstup/výstup, overovania odtlačkov pečiatok, ktorými sa označujú cestovné doklady, dopravcami a pozastavenia systému vstup/výstup by sa však mali uplatňovať počas obmedzeného obdobia po skončení postupného uvádzania do prevádzky</w:t>
            </w:r>
            <w:r>
              <w:t>.</w:t>
            </w:r>
          </w:p>
        </w:tc>
        <w:tc>
          <w:tcPr>
            <w:tcW w:w="4876" w:type="dxa"/>
            <w:tcBorders>
              <w:top w:val="nil"/>
              <w:left w:val="nil"/>
              <w:bottom w:val="nil"/>
              <w:right w:val="nil"/>
            </w:tcBorders>
          </w:tcPr>
          <w:p>
            <w:pPr>
              <w:pStyle w:val="Normal6a"/>
            </w:pPr>
            <w:r>
              <w:t>(26)</w:t>
            </w:r>
            <w:r>
              <w:tab/>
            </w:r>
            <w:r>
              <w:t xml:space="preserve">Prípravné práce súvisiace s plánmi spúšťania by sa mali začať odo dňa nadobudnutia účinnosti tohto nariadenia. Postupné uvádzanie do prevádzky by sa malo uplatňovať od dátumu, ktorý určí Komisia v súlade s článkom 66 ods. 1 nariadenia o systéme vstup/výstup. Keďže sa v tomto nariadení stanovujú dočasné výnimky, </w:t>
            </w:r>
            <w:r>
              <w:rPr>
                <w:b/>
                <w:i/>
              </w:rPr>
              <w:t>tieto výnimky</w:t>
            </w:r>
            <w:r>
              <w:t xml:space="preserve"> by sa </w:t>
            </w:r>
            <w:r>
              <w:rPr>
                <w:b/>
                <w:i/>
              </w:rPr>
              <w:t>mali</w:t>
            </w:r>
            <w:r>
              <w:t xml:space="preserve"> uplatňovať </w:t>
            </w:r>
            <w:r>
              <w:rPr>
                <w:b/>
                <w:i/>
              </w:rPr>
              <w:t>len dovtedy, kým sa uplatňujú</w:t>
            </w:r>
            <w:r>
              <w:t xml:space="preserve"> v súlade s </w:t>
            </w:r>
            <w:r>
              <w:rPr>
                <w:b/>
                <w:i/>
              </w:rPr>
              <w:t>týmto nariadením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Výnimky týkajúce sa ustanovení Kódexu schengenských hraníc (2016/399) a samotného nariadenia o systéme vstup/výstup (2017/2226) sa uplatňujú počas obdobia piatich rokov.</w:t>
      </w:r>
      <w:r>
        <w:t xml:space="preserve"> </w:t>
      </w:r>
      <w:r>
        <w:t>Výnimky týkajúce sa používania údajov agentúrami EÚ pri plnení ich úloh sa uplatňujú päť rokov.</w:t>
      </w:r>
      <w:r>
        <w:t xml:space="preserve"> </w:t>
      </w:r>
      <w:r>
        <w:t>Keďže neúplné súbory údajov budú pretrvávať až päť rokov, orgány členských štátov by sa v tomto období nemali spoliehať na automatizovaný mechanizmus, pokiaľ ide o osoby, ktoré prekročili povolenú dĺžku pobytu.</w:t>
      </w:r>
      <w:r>
        <w:t xml:space="preserve"> </w:t>
      </w:r>
      <w:r>
        <w:t>Tieto rozdielne obdobia výnimiek nie sú zohľadnené v limite 180 kalendárnych dní pre výnimky, ktorý sa navrhuje v tomto odôvodnení.</w:t>
      </w:r>
    </w:p>
    <w:p>
      <w:r>
        <w:rPr>
          <w:rStyle w:val="HideTWBExt"/>
        </w:rPr>
        <w:t>&lt;/AmendB&gt;</w:t>
      </w:r>
    </w:p>
    <w:p>
      <w:pPr>
        <w:pStyle w:val="AmNumberTabs"/>
      </w:pPr>
      <w:r>
        <w:rPr>
          <w:rStyle w:val="HideTWBExt"/>
        </w:rPr>
        <w:t>&lt;AmendB&gt;</w:t>
      </w:r>
      <w:r>
        <w:t>Pozmeňujúci návrh</w:t>
      </w:r>
      <w:r>
        <w:tab/>
      </w:r>
      <w:r>
        <w:tab/>
      </w:r>
      <w:r>
        <w:rPr>
          <w:rStyle w:val="HideTWBExt"/>
        </w:rPr>
        <w:t>&lt;NumAmB&gt;</w:t>
      </w:r>
      <w:r>
        <w:t>81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Prípravné práce súvisiace s plánmi spúšťania by sa mali začať odo dňa nadobudnutia účinnosti tohto nariadenia. Postupné uvádzanie do prevádzky by sa malo uplatňovať od dátumu, ktorý určí Komisia v súlade s článkom 66 ods. 1 nariadenia o systéme vstup/výstup. Keďže sa v tomto nariadení stanovujú dočasné výnimky, malo by sa prestať uplatňovať 180 kalendárnych dní po dátume určenom Komisiou v súlade s článkom 66 ods. 1 nariadenia (EÚ) 2017/2226. Odchylné pravidlá týkajúce sa uplatňovania prechodného obdobia a dočasných</w:t>
            </w:r>
            <w:r>
              <w:rPr>
                <w:b/>
                <w:i/>
              </w:rPr>
              <w:t xml:space="preserve">  </w:t>
            </w:r>
            <w:r>
              <w:t>opatrení, prístupu k údajom systému vstup/výstup, overovania odtlačkov pečiatok, ktorými sa označujú cestovné doklady, dopravcami a pozastavenia systému vstup/výstup by sa však mali uplatňovať počas obmedzeného obdobia po skončení postupného uvádzania do prevádzky.</w:t>
            </w:r>
          </w:p>
        </w:tc>
        <w:tc>
          <w:tcPr>
            <w:tcW w:w="4876" w:type="dxa"/>
            <w:tcBorders>
              <w:top w:val="nil"/>
              <w:left w:val="nil"/>
              <w:bottom w:val="nil"/>
              <w:right w:val="nil"/>
            </w:tcBorders>
          </w:tcPr>
          <w:p>
            <w:pPr>
              <w:pStyle w:val="Normal6a"/>
            </w:pPr>
            <w:r>
              <w:t>(26)</w:t>
            </w:r>
            <w:r>
              <w:tab/>
            </w:r>
            <w:r>
              <w:t xml:space="preserve">Prípravné práce súvisiace s plánmi spúšťania by sa mali začať odo dňa nadobudnutia účinnosti tohto nariadenia. </w:t>
            </w:r>
            <w:r>
              <w:rPr>
                <w:b/>
                <w:i/>
              </w:rPr>
              <w:t>Členské štáty, ktoré ešte nepredložili svoje vyhlásenie o pripravenosti, sa naliehavo vyzývajú, aby tak urobili do 30 dní od nadobudnutia účinnosti tohto nariadenia.</w:t>
            </w:r>
            <w:r>
              <w:t xml:space="preserve"> Postupné uvádzanie do prevádzky by sa malo uplatňovať od dátumu, ktorý určí Komisia v súlade s článkom 66 ods. 1 nariadenia o systéme vstup/výstup. </w:t>
            </w:r>
            <w:r>
              <w:rPr>
                <w:b/>
                <w:i/>
              </w:rPr>
              <w:t>Dátum by mal byť najneskôr 60 dní po predložení posledného vyhlásenia o pripravenosti alebo 90 dní odo dňa nadobudnutia účinnosti tohto nariadenia, a to podľa toho, čo nastane skôr.</w:t>
            </w:r>
            <w:r>
              <w:t xml:space="preserve"> Keďže sa v tomto nariadení stanovujú dočasné výnimky, malo by sa prestať uplatňovať 180 kalendárnych dní po dátume určenom Komisiou v súlade s článkom 66 ods. 1 nariadenia (EÚ) 2017/2226. Odchylné pravidlá týkajúce sa uplatňovania prechodného obdobia a dočasných opatrení, prístupu k údajom systému vstup/výstup, overovania odtlačkov pečiatok, ktorými sa označujú cestovné doklady, dopravcami a pozastavenia systému vstup/výstup by sa však mali uplatňovať počas obmedzeného obdobia po skončení postupného uvádzania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„postupné uvádzanie systému vstup/výstup do prevádzky“ je obdobie </w:t>
            </w:r>
            <w:r>
              <w:rPr>
                <w:b/>
                <w:i/>
              </w:rPr>
              <w:t>180 kalendárnych dní od dátumu, ktorý určila</w:t>
            </w:r>
            <w:r>
              <w:t xml:space="preserve"> Komisia v súlade s článkom 66 ods. 1 nariadenia (EÚ) 2017/2226;</w:t>
            </w:r>
          </w:p>
        </w:tc>
        <w:tc>
          <w:tcPr>
            <w:tcW w:w="4876" w:type="dxa"/>
            <w:tcBorders>
              <w:top w:val="nil"/>
              <w:left w:val="nil"/>
              <w:bottom w:val="nil"/>
              <w:right w:val="nil"/>
            </w:tcBorders>
          </w:tcPr>
          <w:p>
            <w:pPr>
              <w:pStyle w:val="Normal6a"/>
            </w:pPr>
            <w:r>
              <w:t>a)</w:t>
            </w:r>
            <w:r>
              <w:tab/>
            </w:r>
            <w:r>
              <w:t xml:space="preserve">„postupné uvádzanie systému vstup/výstup do prevádzky“ je obdobie </w:t>
            </w:r>
            <w:r>
              <w:rPr>
                <w:b/>
                <w:i/>
              </w:rPr>
              <w:t>začínajúce dátumom, o ktorom rozhodla</w:t>
            </w:r>
            <w:r>
              <w:t xml:space="preserve"> Komisia v súlade s článkom 66 ods. 1 nariadenia (EÚ) 2017/2226</w:t>
            </w:r>
            <w:r>
              <w:rPr>
                <w:b/>
                <w:i/>
              </w:rPr>
              <w:t>, až do splnenia všetkých požiadaviek stanovených v článku 7a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„postupné uvádzanie systému vstup/výstup do prevádzky“ je obdobie 180 kalendárnych dní od dátumu, ktorý určila Komisia v súlade s článkom 66 ods. 1 nariadenia (EÚ) 2017/2226;</w:t>
            </w:r>
          </w:p>
        </w:tc>
        <w:tc>
          <w:tcPr>
            <w:tcW w:w="4876" w:type="dxa"/>
            <w:tcBorders>
              <w:top w:val="nil"/>
              <w:left w:val="nil"/>
              <w:bottom w:val="nil"/>
              <w:right w:val="nil"/>
            </w:tcBorders>
          </w:tcPr>
          <w:p>
            <w:pPr>
              <w:pStyle w:val="Normal6a"/>
            </w:pPr>
            <w:r>
              <w:t>a)</w:t>
            </w:r>
            <w:r>
              <w:tab/>
            </w:r>
            <w:r>
              <w:t>„postupné uvádzanie systému vstup/výstup do prevádzky“ je obdobie 180 kalendárnych dní od dátumu, ktorý určila Komisia v súlade s článkom 66 ods. 1 nariadenia (EÚ) 2017/2226</w:t>
            </w:r>
            <w:r>
              <w:rPr>
                <w:b/>
                <w:i/>
              </w:rPr>
              <w:t>, najneskôr 60 dní po predložení posledného vyhlásenia o pripravenosti alebo 90 dní po nadobudnutí účinnosti tohto nariadenia, podľa toho, čo nastane skôr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Agentúra Európskej únie na prevádzkové riadenie rozsiahlych informačných systémov v priestore slobody, bezpečnosti a spravodlivosti (eu-LISA) do [</w:t>
            </w:r>
            <w:r>
              <w:rPr>
                <w:b/>
                <w:i/>
              </w:rPr>
              <w:t>30</w:t>
            </w:r>
            <w:r>
              <w:t>. kalendárneho dňa po nadobudnutí účinnosti tohto nariadenia] poskytne Komisii, členským štátom, ako aj Europolu plán spúšťania na vysokej úrovni špecifikujúci postupné uvádzanie systému vstup/výstup do prevádzky, pričom zohľadní fázy stanovené v článku 4. Uvedený plán spúšťania obsahuje usmernenia pre členské štáty a Europol o používaní systému vstup/výstup vrátane kapacitných limitov centrálneho systému vstup/výstup.</w:t>
            </w:r>
          </w:p>
        </w:tc>
        <w:tc>
          <w:tcPr>
            <w:tcW w:w="4876" w:type="dxa"/>
            <w:tcBorders>
              <w:top w:val="nil"/>
              <w:left w:val="nil"/>
              <w:bottom w:val="nil"/>
              <w:right w:val="nil"/>
            </w:tcBorders>
          </w:tcPr>
          <w:p>
            <w:pPr>
              <w:pStyle w:val="Normal6a"/>
            </w:pPr>
            <w:r>
              <w:t>1.</w:t>
            </w:r>
            <w:r>
              <w:tab/>
            </w:r>
            <w:r>
              <w:t>Agentúra Európskej únie na prevádzkové riadenie rozsiahlych informačných systémov v priestore slobody, bezpečnosti a spravodlivosti (eu-LISA) do [</w:t>
            </w:r>
            <w:r>
              <w:rPr>
                <w:b/>
                <w:i/>
              </w:rPr>
              <w:t>91</w:t>
            </w:r>
            <w:r>
              <w:t xml:space="preserve">. kalendárneho dňa po nadobudnutí účinnosti tohto nariadenia] poskytne Komisii, členským štátom, ako aj Europolu plán spúšťania na vysokej úrovni špecifikujúci postupné uvádzanie systému vstup/výstup do prevádzky, pričom zohľadní fázy stanovené v článku 4. Uvedený plán spúšťania obsahuje usmernenia pre členské štáty a Europol o používaní systému vstup/výstup vrátane kapacitných limitov </w:t>
            </w:r>
            <w:r>
              <w:rPr>
                <w:b/>
                <w:i/>
              </w:rPr>
              <w:t>a iných relevantných obmedzení</w:t>
            </w:r>
            <w:r>
              <w:t xml:space="preserve"> centrálneho systému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Agentúra Európskej únie na prevádzkové riadenie rozsiahlych informačných systémov v priestore slobody, bezpečnosti a spravodlivosti (eu-LISA) do [30. kalendárneho dňa po nadobudnutí účinnosti tohto nariadenia] poskytne Komisii, členským štátom, ako aj Europolu plán spúšťania na vysokej úrovni špecifikujúci postupné uvádzanie systému vstup/výstup do prevádzky, pričom zohľadní fázy stanovené v článku 4. Uvedený plán spúšťania obsahuje usmernenia pre členské štáty a Europol o používaní systému vstup/výstup vrátane kapacitných limitov centrálneho systému vstup/výstup.</w:t>
            </w:r>
          </w:p>
        </w:tc>
        <w:tc>
          <w:tcPr>
            <w:tcW w:w="4876" w:type="dxa"/>
            <w:tcBorders>
              <w:top w:val="nil"/>
              <w:left w:val="nil"/>
              <w:bottom w:val="nil"/>
              <w:right w:val="nil"/>
            </w:tcBorders>
          </w:tcPr>
          <w:p>
            <w:pPr>
              <w:pStyle w:val="Normal6a"/>
            </w:pPr>
            <w:r>
              <w:t>1.</w:t>
            </w:r>
            <w:r>
              <w:tab/>
            </w:r>
            <w:r>
              <w:t xml:space="preserve">Agentúra Európskej únie na prevádzkové riadenie rozsiahlych informačných systémov v priestore slobody, bezpečnosti a spravodlivosti (eu-LISA) do [30. kalendárneho dňa po nadobudnutí účinnosti tohto nariadenia] poskytne Komisii, </w:t>
            </w:r>
            <w:r>
              <w:rPr>
                <w:b/>
                <w:i/>
              </w:rPr>
              <w:t>Európskemu parlamentu,</w:t>
            </w:r>
            <w:r>
              <w:t xml:space="preserve"> členským štátom, ako aj Europolu plán spúšťania na vysokej úrovni špecifikujúci postupné uvádzanie systému vstup/výstup do prevádzky, pričom zohľadní fázy stanovené v článku 4. Uvedený plán spúšťania obsahuje usmernenia pre členské štáty a Europol o používaní systému vstup/výstup vrátane kapacitných limitov centrálneho systému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Agentúra Európskej únie na prevádzkové riadenie rozsiahlych informačných systémov v priestore slobody, bezpečnosti a spravodlivosti (eu-LISA) do [30. kalendárneho dňa po nadobudnutí účinnosti tohto nariadenia] poskytne Komisii, členským štátom, ako aj Europolu plán spúšťania na vysokej úrovni špecifikujúci postupné uvádzanie systému vstup/výstup do prevádzky, pričom zohľadní fázy stanovené v článku 4. Uvedený plán spúšťania obsahuje usmernenia pre členské štáty a Europol o používaní systému vstup/výstup vrátane kapacitných limitov centrálneho systému vstup/výstup.</w:t>
            </w:r>
          </w:p>
        </w:tc>
        <w:tc>
          <w:tcPr>
            <w:tcW w:w="4876" w:type="dxa"/>
            <w:tcBorders>
              <w:top w:val="nil"/>
              <w:left w:val="nil"/>
              <w:bottom w:val="nil"/>
              <w:right w:val="nil"/>
            </w:tcBorders>
          </w:tcPr>
          <w:p>
            <w:pPr>
              <w:pStyle w:val="Normal6a"/>
            </w:pPr>
            <w:r>
              <w:t>1.</w:t>
            </w:r>
            <w:r>
              <w:tab/>
            </w:r>
            <w:r>
              <w:t xml:space="preserve">Agentúra Európskej únie na prevádzkové riadenie rozsiahlych informačných systémov v priestore slobody, bezpečnosti a spravodlivosti (eu-LISA) do [30. kalendárneho dňa po nadobudnutí účinnosti tohto nariadenia] poskytne Komisii, </w:t>
            </w:r>
            <w:r>
              <w:rPr>
                <w:b/>
                <w:i/>
              </w:rPr>
              <w:t>Európskemu parlamentu,</w:t>
            </w:r>
            <w:r>
              <w:t xml:space="preserve"> členským štátom, ako aj Europolu plán spúšťania na vysokej úrovni špecifikujúci postupné uvádzanie systému vstup/výstup do prevádzky, pričom zohľadní fázy stanovené v článku 4. Uvedený plán spúšťania obsahuje usmernenia pre členské štáty a Europol o používaní systému vstup/výstup vrátane kapacitných limitov centrálneho systému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Agentúra Európskej únie na prevádzkové riadenie rozsiahlych informačných systémov v priestore slobody, bezpečnosti a spravodlivosti (eu-LISA) do [30. kalendárneho dňa po nadobudnutí účinnosti tohto nariadenia] poskytne Komisii, členským štátom, ako aj Europolu plán spúšťania na vysokej úrovni špecifikujúci postupné uvádzanie systému vstup/výstup do prevádzky, pričom zohľadní fázy stanovené v článku 4. Uvedený plán spúšťania obsahuje usmernenia pre členské štáty </w:t>
            </w:r>
            <w:r>
              <w:rPr>
                <w:b/>
                <w:i/>
              </w:rPr>
              <w:t>a Europol</w:t>
            </w:r>
            <w:r>
              <w:t xml:space="preserve"> o používaní systému vstup/výstup vrátane kapacitných limitov centrálneho systému vstup/výstup.</w:t>
            </w:r>
          </w:p>
        </w:tc>
        <w:tc>
          <w:tcPr>
            <w:tcW w:w="4876" w:type="dxa"/>
            <w:tcBorders>
              <w:top w:val="nil"/>
              <w:left w:val="nil"/>
              <w:bottom w:val="nil"/>
              <w:right w:val="nil"/>
            </w:tcBorders>
          </w:tcPr>
          <w:p>
            <w:pPr>
              <w:pStyle w:val="Normal6a"/>
            </w:pPr>
            <w:r>
              <w:t>1.</w:t>
            </w:r>
            <w:r>
              <w:tab/>
            </w:r>
            <w:r>
              <w:t>Agentúra Európskej únie na prevádzkové riadenie rozsiahlych informačných systémov v priestore slobody, bezpečnosti a spravodlivosti (eu-LISA) do [30. kalendárneho dňa po nadobudnutí účinnosti tohto nariadenia] poskytne Komisii, členským štátom, ako aj Europolu plán spúšťania na vysokej úrovni špecifikujúci postupné uvádzanie systému vstup/výstup do prevádzky, pričom zohľadní fázy stanovené v článku 4. Uvedený plán spúšťania obsahuje usmernenia pre členské štáty o používaní systému vstup/výstup vrátane kapacitných limitov centrálneho systému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Členské štáty do [</w:t>
            </w:r>
            <w:r>
              <w:rPr>
                <w:b/>
                <w:i/>
              </w:rPr>
              <w:t>60</w:t>
            </w:r>
            <w:r>
              <w:t>. kalendárneho dňa po nadobudnutí účinnosti tohto nariadenia] po konzultácii s Komisiou a agentúrou eu-LISA vypracujú národný plán spúšťania špecifikujúci postupné uvádzanie systému vstup/výstup do prevádzky, pričom zohľadnia plán spúšťania na vysokej úrovni uvedený v odseku 1 tohto článku a fázy stanovené v článku 4.</w:t>
            </w:r>
          </w:p>
        </w:tc>
        <w:tc>
          <w:tcPr>
            <w:tcW w:w="4876" w:type="dxa"/>
            <w:tcBorders>
              <w:top w:val="nil"/>
              <w:left w:val="nil"/>
              <w:bottom w:val="nil"/>
              <w:right w:val="nil"/>
            </w:tcBorders>
          </w:tcPr>
          <w:p>
            <w:pPr>
              <w:pStyle w:val="Normal6a"/>
            </w:pPr>
            <w:r>
              <w:t>2.</w:t>
            </w:r>
            <w:r>
              <w:tab/>
            </w:r>
            <w:r>
              <w:t>Členské štáty do [</w:t>
            </w:r>
            <w:r>
              <w:rPr>
                <w:b/>
                <w:i/>
              </w:rPr>
              <w:t>180</w:t>
            </w:r>
            <w:r>
              <w:t>. kalendárneho dňa po nadobudnutí účinnosti tohto nariadenia] po konzultácii s Komisiou a agentúrou eu-LISA vypracujú národný plán spúšťania špecifikujúci postupné uvádzanie systému vstup/výstup do prevádzky, pričom zohľadnia plán spúšťania na vysokej úrovni uvedený v odseku 1 tohto článku a fázy stanovené v článku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89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Členské štáty do [60. kalendárneho dňa po nadobudnutí účinnosti tohto nariadenia] po konzultácii s Komisiou a agentúrou eu-LISA </w:t>
            </w:r>
            <w:r>
              <w:rPr>
                <w:b/>
                <w:i/>
              </w:rPr>
              <w:t>vypracujú</w:t>
            </w:r>
            <w:r>
              <w:t xml:space="preserve"> národný plán spúšťania špecifikujúci postupné uvádzanie systému vstup/výstup do prevádzky, pričom zohľadnia plán spúšťania na vysokej úrovni uvedený v odseku 1 tohto článku a fázy stanovené v článku 4.</w:t>
            </w:r>
          </w:p>
        </w:tc>
        <w:tc>
          <w:tcPr>
            <w:tcW w:w="4876" w:type="dxa"/>
            <w:tcBorders>
              <w:top w:val="nil"/>
              <w:left w:val="nil"/>
              <w:bottom w:val="nil"/>
              <w:right w:val="nil"/>
            </w:tcBorders>
          </w:tcPr>
          <w:p>
            <w:pPr>
              <w:pStyle w:val="Normal6a"/>
            </w:pPr>
            <w:r>
              <w:t>2.</w:t>
            </w:r>
            <w:r>
              <w:tab/>
            </w:r>
            <w:r>
              <w:t xml:space="preserve">Členské štáty do [60. kalendárneho dňa po nadobudnutí účinnosti tohto nariadenia] po konzultácii s Komisiou a agentúrou eu-LISA </w:t>
            </w:r>
            <w:r>
              <w:rPr>
                <w:b/>
                <w:i/>
              </w:rPr>
              <w:t>zverejnia</w:t>
            </w:r>
            <w:r>
              <w:t xml:space="preserve"> národný plán spúšťania špecifikujúci postupné uvádzanie systému vstup/výstup do prevádzky </w:t>
            </w:r>
            <w:r>
              <w:rPr>
                <w:b/>
                <w:i/>
              </w:rPr>
              <w:t>a poskytnú ho Komisii, Európskemu parlamentu a zainteresovaným stranám v odvetví</w:t>
            </w:r>
            <w:r>
              <w:t>, pričom zohľadnia plán spúšťania na vysokej úrovni uvedený v odseku 1 tohto článku a fázy stanovené v článku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Členské štáty do [60. kalendárneho dňa po nadobudnutí účinnosti tohto nariadenia] po konzultácii s Komisiou a agentúrou eu-LISA vypracujú národný plán spúšťania špecifikujúci postupné uvádzanie systému vstup/výstup do prevádzky, pričom zohľadnia plán spúšťania na vysokej úrovni uvedený v odseku 1 tohto článku a fázy stanovené v článku 4.</w:t>
            </w:r>
          </w:p>
        </w:tc>
        <w:tc>
          <w:tcPr>
            <w:tcW w:w="4876" w:type="dxa"/>
            <w:tcBorders>
              <w:top w:val="nil"/>
              <w:left w:val="nil"/>
              <w:bottom w:val="nil"/>
              <w:right w:val="nil"/>
            </w:tcBorders>
          </w:tcPr>
          <w:p>
            <w:pPr>
              <w:pStyle w:val="Normal6a"/>
            </w:pPr>
            <w:r>
              <w:t>2.</w:t>
            </w:r>
            <w:r>
              <w:tab/>
            </w:r>
            <w:r>
              <w:t xml:space="preserve">Členské štáty do [60. kalendárneho dňa po nadobudnutí účinnosti tohto nariadenia] po konzultácii s Komisiou a agentúrou eu-LISA vypracujú národný plán spúšťania špecifikujúci postupné uvádzanie systému vstup/výstup do prevádzky, pričom zohľadnia plán spúšťania na vysokej úrovni uvedený v odseku 1 tohto článku a fázy stanovené v článku 4. </w:t>
            </w:r>
            <w:r>
              <w:rPr>
                <w:b/>
                <w:i/>
              </w:rPr>
              <w:t>Agentúra eu-LISA posúdi, či sú národné plány spúšťania v súlade s plánom spúšťania na vysokej úrovni, a potvrdí, že neobsahujú žiadne nedostatky, ktoré by mohli ďalej oneskoriť uvedenie systému vstup/výstup do prevádzky.</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Členské štáty pri príprave svojich národných plánov spúšťania uvedených v odseku 2 v prípade potreby konzultujú s Európskou agentúrou pre pohraničnú a pobrežnú stráž s cieľom identifikovať hraničné priechody, ktoré sú najčastejšie postihnuté neoprávnenou migráciou alebo nelegálnym prekročením hraníc.</w:t>
            </w:r>
            <w:r>
              <w:t xml:space="preserve"> </w:t>
            </w:r>
            <w:r>
              <w:rPr>
                <w:b/>
                <w:i/>
              </w:rPr>
              <w:t>V prípade potreby možno konzultovať aj s Europolom s cieľom posúdiť zapojenie organizovaných zločineckých sietí, najmä pokiaľ ide o uľahčenie takéhoto prekračovania hraníc.</w:t>
            </w:r>
            <w:r>
              <w:t xml:space="preserve"> </w:t>
            </w:r>
            <w:r>
              <w:rPr>
                <w:b/>
                <w:i/>
              </w:rPr>
              <w:t>Cieľom takýchto konzultácií je zabezpečiť, aby prioritizácia prevádzky systému vstup/výstup na týchto hraničných priechodoch od začiatku maximalizovala bezpečnostné prínosy systému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92</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Article 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Pre každú z fáz stanovených v článku 4 národné plány spúšťania obsahujú informácie o </w:t>
            </w:r>
            <w:r>
              <w:rPr>
                <w:b/>
                <w:i/>
              </w:rPr>
              <w:t>prahových hodnotách a požiadavkách stanovených</w:t>
            </w:r>
            <w:r>
              <w:t xml:space="preserve"> v uvedenom článku.</w:t>
            </w:r>
          </w:p>
        </w:tc>
        <w:tc>
          <w:tcPr>
            <w:tcW w:w="4876" w:type="dxa"/>
            <w:tcBorders>
              <w:top w:val="nil"/>
              <w:left w:val="nil"/>
              <w:bottom w:val="nil"/>
              <w:right w:val="nil"/>
            </w:tcBorders>
          </w:tcPr>
          <w:p>
            <w:pPr>
              <w:pStyle w:val="Normal6a"/>
            </w:pPr>
            <w:r>
              <w:t>3.</w:t>
            </w:r>
            <w:r>
              <w:tab/>
            </w:r>
            <w:r>
              <w:t xml:space="preserve">Pre každú z fáz stanovených v článku 4 národné plány spúšťania obsahujú informácie o </w:t>
            </w:r>
            <w:r>
              <w:rPr>
                <w:b/>
                <w:i/>
              </w:rPr>
              <w:t>tom, ako sa dosiahnu prahové hodnoty a splnia požiadavky stanovené</w:t>
            </w:r>
            <w:r>
              <w:t xml:space="preserve"> v uvedenom článku.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Od 30. kalendárneho dňa po začatí postupného uvádzania systému vstup/výstup do prevádzky členské štáty predkladajú Komisii a agentúre eu-LISA mesačné správy o vykonávaní svojich národných plánov spúšťania vrátane nápravných opatrení, ak je to potrebné na splnenie povinností stanovených v článku 4.</w:t>
            </w:r>
          </w:p>
        </w:tc>
        <w:tc>
          <w:tcPr>
            <w:tcW w:w="4876" w:type="dxa"/>
            <w:tcBorders>
              <w:top w:val="nil"/>
              <w:left w:val="nil"/>
              <w:bottom w:val="nil"/>
              <w:right w:val="nil"/>
            </w:tcBorders>
          </w:tcPr>
          <w:p>
            <w:pPr>
              <w:pStyle w:val="Normal6a"/>
            </w:pPr>
            <w:r>
              <w:t>4.</w:t>
            </w:r>
            <w:r>
              <w:tab/>
            </w:r>
            <w:r>
              <w:t xml:space="preserve">Od 30. kalendárneho dňa po začatí postupného uvádzania systému vstup/výstup do prevádzky </w:t>
            </w:r>
            <w:r>
              <w:rPr>
                <w:b/>
                <w:i/>
              </w:rPr>
              <w:t>do plného používania členským štátom systému vstup/výstup pre všetkých štátnych príslušníkov tretích krajín, ktorí podliehajú zaznamenávaniu v systéme vstup/výstup, a súčasne na všetkých hraničných priechodoch v danom členskom štáte,</w:t>
            </w:r>
            <w:r>
              <w:t xml:space="preserve"> členské štáty predkladajú Komisii a agentúre eu-LISA mesačné správy o vykonávaní svojich národných plánov spúšťania vrátane nápravných opatrení, ak je to potrebné na splnenie povinností stanovených v článku 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Členské štáty by mali byť povinné predkladať mesačné správy o vykonávaní svojich plánov spúšťania len do okamihu, keď je systém v danom členskom štáte plne spustený.</w:t>
      </w:r>
    </w:p>
    <w:p>
      <w:r>
        <w:rPr>
          <w:rStyle w:val="HideTWBExt"/>
        </w:rPr>
        <w:t>&lt;/AmendB&gt;</w:t>
      </w:r>
    </w:p>
    <w:p>
      <w:pPr>
        <w:pStyle w:val="AmNumberTabs"/>
      </w:pPr>
      <w:r>
        <w:rPr>
          <w:rStyle w:val="HideTWBExt"/>
        </w:rPr>
        <w:t>&lt;AmendB&gt;</w:t>
      </w:r>
      <w:r>
        <w:t>Pozmeňujúci návrh</w:t>
      </w:r>
      <w:r>
        <w:tab/>
      </w:r>
      <w:r>
        <w:tab/>
      </w:r>
      <w:r>
        <w:rPr>
          <w:rStyle w:val="HideTWBExt"/>
        </w:rPr>
        <w:t>&lt;NumAmB&gt;</w:t>
      </w:r>
      <w:r>
        <w:t>94</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Od 30. kalendárneho dňa po začatí postupného uvádzania systému vstup/výstup do prevádzky členské štáty predkladajú Komisii a agentúre eu-LISA mesačné správy o vykonávaní svojich národných plánov spúšťania vrátane nápravných opatrení, ak je to potrebné na splnenie povinností stanovených v článku 4.</w:t>
            </w:r>
          </w:p>
        </w:tc>
        <w:tc>
          <w:tcPr>
            <w:tcW w:w="4876" w:type="dxa"/>
            <w:tcBorders>
              <w:top w:val="nil"/>
              <w:left w:val="nil"/>
              <w:bottom w:val="nil"/>
              <w:right w:val="nil"/>
            </w:tcBorders>
          </w:tcPr>
          <w:p>
            <w:pPr>
              <w:pStyle w:val="Normal6a"/>
            </w:pPr>
            <w:r>
              <w:t>4.</w:t>
            </w:r>
            <w:r>
              <w:tab/>
            </w:r>
            <w:r>
              <w:t>Od 30. kalendárneho dňa po začatí postupného uvádzania systému vstup/výstup do prevádzky členské štáty predkladajú Komisii</w:t>
            </w:r>
            <w:r>
              <w:rPr>
                <w:b/>
                <w:i/>
              </w:rPr>
              <w:t>, Európskemu parlamentu</w:t>
            </w:r>
            <w:r>
              <w:t xml:space="preserve"> a agentúre eu-LISA mesačné správy o vykonávaní svojich národných plánov spúšťania vrátane nápravných opatrení, ak je to potrebné na splnenie povinností stanovených v článku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95</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Agentúra eu-LISA poskytne Komisii na jej žiadosť </w:t>
            </w:r>
            <w:r>
              <w:rPr>
                <w:b/>
                <w:i/>
              </w:rPr>
              <w:t>štatistiky potrebné</w:t>
            </w:r>
            <w:r>
              <w:t xml:space="preserve"> na monitorovanie národných plánov spúšťania v súlade s článkom 63 ods. 6 nariadenia (EÚ) 2017/2226.</w:t>
            </w:r>
          </w:p>
        </w:tc>
        <w:tc>
          <w:tcPr>
            <w:tcW w:w="4876" w:type="dxa"/>
            <w:tcBorders>
              <w:top w:val="nil"/>
              <w:left w:val="nil"/>
              <w:bottom w:val="nil"/>
              <w:right w:val="nil"/>
            </w:tcBorders>
          </w:tcPr>
          <w:p>
            <w:pPr>
              <w:pStyle w:val="Normal6a"/>
            </w:pPr>
            <w:r>
              <w:t>5.</w:t>
            </w:r>
            <w:r>
              <w:tab/>
            </w:r>
            <w:r>
              <w:t xml:space="preserve">Agentúra eu-LISA poskytne Komisii na jej žiadosť </w:t>
            </w:r>
            <w:r>
              <w:rPr>
                <w:b/>
                <w:i/>
              </w:rPr>
              <w:t>štatistiku potrebnú</w:t>
            </w:r>
            <w:r>
              <w:t xml:space="preserve"> na monitorovanie </w:t>
            </w:r>
            <w:r>
              <w:rPr>
                <w:b/>
                <w:i/>
              </w:rPr>
              <w:t>úspešného a včasného vykonávania</w:t>
            </w:r>
            <w:r>
              <w:t xml:space="preserve"> národných plánov spúšťania</w:t>
            </w:r>
            <w:r>
              <w:rPr>
                <w:b/>
                <w:i/>
              </w:rPr>
              <w:t>, ako aj plánu spúšťania na vysokej úrovni</w:t>
            </w:r>
            <w:r>
              <w:t xml:space="preserve"> v súlade s článkom 63 ods. 6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96</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Správna rada agentúry eu-LISA prijme plán spúšťania na vysokej úrovni vypracovaný agentúrou eu-LISA, uvedený v odseku 1 tohto článku.</w:t>
            </w:r>
            <w:r>
              <w:t xml:space="preserve"> </w:t>
            </w:r>
            <w:r>
              <w:rPr>
                <w:b/>
                <w:i/>
              </w:rPr>
              <w:t>Správna rada agentúry eu-LISA monitoruje aj vývoj centrálneho systému vstup/výstup v súlade s článkom 19 nariadenia (EÚ) 2018/1726, najmä pokiaľ ide o postupné uvádzanie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Komisia po konzultácii s európskym dozorným úradníkom pre ochranu údajov vydá usmernenia o spracúvaní osobných údajov v systéme vstup/výstup počas postupného uvádzania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Národné plány spúšťania, ktoré majú členské štáty vypracovať podľa tohto nariadenia, musia byť stručné a vyvážené a nesmú predstavovať neprimeranú administratívnu záťaž.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99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Odchylne od článku 66 ods. 6 nariadenia (EÚ) 2017/2226 členské štáty počas postupného uvádzania systému vstup/výstup do prevádzky </w:t>
            </w:r>
            <w:r>
              <w:rPr>
                <w:b/>
                <w:i/>
              </w:rPr>
              <w:t>používajú</w:t>
            </w:r>
            <w:r>
              <w:t xml:space="preserve"> systém vstup/výstup tak, ako sa stanovuje v tomto článku.</w:t>
            </w:r>
          </w:p>
        </w:tc>
        <w:tc>
          <w:tcPr>
            <w:tcW w:w="4876" w:type="dxa"/>
            <w:tcBorders>
              <w:top w:val="nil"/>
              <w:left w:val="nil"/>
              <w:bottom w:val="nil"/>
              <w:right w:val="nil"/>
            </w:tcBorders>
          </w:tcPr>
          <w:p>
            <w:pPr>
              <w:pStyle w:val="Normal6a"/>
            </w:pPr>
            <w:r>
              <w:t>1.</w:t>
            </w:r>
            <w:r>
              <w:tab/>
            </w:r>
            <w:r>
              <w:t xml:space="preserve">Odchylne od článku 66 ods. 6 nariadenia (EÚ) 2017/2226 členské štáty počas postupného uvádzania systému vstup/výstup do prevádzky </w:t>
            </w:r>
            <w:r>
              <w:rPr>
                <w:b/>
                <w:i/>
              </w:rPr>
              <w:t>môžu používať</w:t>
            </w:r>
            <w:r>
              <w:t xml:space="preserve"> systém vstup/výstup tak, ako sa stanovuje v tomto článku.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Členské štáty by mali mať naďalej možnosť plne uplatňovať systém vstup/výstup na všetkých hraničných priechodoch od prvého dňa, ak uprednostňujú tento prístup.</w:t>
      </w:r>
    </w:p>
    <w:p>
      <w:r>
        <w:rPr>
          <w:rStyle w:val="HideTWBExt"/>
        </w:rPr>
        <w:t>&lt;/AmendB&gt;</w:t>
      </w:r>
    </w:p>
    <w:p>
      <w:pPr>
        <w:pStyle w:val="AmNumberTabs"/>
      </w:pPr>
      <w:r>
        <w:rPr>
          <w:rStyle w:val="HideTWBExt"/>
        </w:rPr>
        <w:t>&lt;AmendB&gt;</w:t>
      </w:r>
      <w:r>
        <w:t>Pozmeňujúci návrh</w:t>
      </w:r>
      <w:r>
        <w:tab/>
      </w:r>
      <w:r>
        <w:tab/>
      </w:r>
      <w:r>
        <w:rPr>
          <w:rStyle w:val="HideTWBExt"/>
        </w:rPr>
        <w:t>&lt;NumAmB&gt;</w:t>
      </w:r>
      <w:r>
        <w:t>100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Od </w:t>
            </w:r>
            <w:r>
              <w:rPr>
                <w:b/>
                <w:i/>
              </w:rPr>
              <w:t>prvého</w:t>
            </w:r>
            <w:r>
              <w:t xml:space="preserve"> dňa postupného uvádzania systému vstup/výstup do prevádzky každý členský štát začne používať systém vstup/výstup na vstupe </w:t>
            </w:r>
            <w:r>
              <w:rPr>
                <w:b/>
                <w:i/>
              </w:rPr>
              <w:t>a</w:t>
            </w:r>
            <w:r>
              <w:t xml:space="preserve"> výstupe na jednom alebo viacerých hraničných priechodoch, pričom, ak je to možné a uplatniteľné, pôjde o kombináciu vzdušných, pozemných a námorných hraničných priechodov, na zaznamenávanie a uchovávanie údajov o štátnych príslušníkoch tretích krajín uvedených v článku 2 ods. 1 a 2 nariadenia (EÚ) 2017/2226. Členské štáty zaznamenávajú v systéme vstup/výstup aspoň </w:t>
            </w:r>
            <w:r>
              <w:rPr>
                <w:b/>
                <w:i/>
              </w:rPr>
              <w:t>10</w:t>
            </w:r>
            <w:r>
              <w:t xml:space="preserve"> % odhadovaného počtu prekročení hraníc v danom členskom štáte.</w:t>
            </w:r>
          </w:p>
        </w:tc>
        <w:tc>
          <w:tcPr>
            <w:tcW w:w="4876" w:type="dxa"/>
            <w:tcBorders>
              <w:top w:val="nil"/>
              <w:left w:val="nil"/>
              <w:bottom w:val="nil"/>
              <w:right w:val="nil"/>
            </w:tcBorders>
          </w:tcPr>
          <w:p>
            <w:pPr>
              <w:pStyle w:val="Normal6a"/>
            </w:pPr>
            <w:r>
              <w:t xml:space="preserve">Od </w:t>
            </w:r>
            <w:r>
              <w:rPr>
                <w:b/>
                <w:i/>
              </w:rPr>
              <w:t>30.</w:t>
            </w:r>
            <w:r>
              <w:t xml:space="preserve"> dňa postupného uvádzania systému vstup/výstup do prevádzky každý členský štát začne používať systém vstup/výstup na vstupe </w:t>
            </w:r>
            <w:r>
              <w:rPr>
                <w:b/>
                <w:i/>
              </w:rPr>
              <w:t>alebo</w:t>
            </w:r>
            <w:r>
              <w:t xml:space="preserve"> výstupe na jednom alebo viacerých hraničných priechodoch, pričom, ak je to možné a uplatniteľné, pôjde o kombináciu vzdušných, pozemných a námorných hraničných priechodov, na zaznamenávanie a uchovávanie údajov o štátnych príslušníkoch tretích krajín uvedených v článku 2 ods. 1 a 2 nariadenia (EÚ) 2017/2226. Členské štáty zaznamenávajú v systéme vstup/výstup aspoň </w:t>
            </w:r>
            <w:r>
              <w:rPr>
                <w:b/>
                <w:i/>
              </w:rPr>
              <w:t>2</w:t>
            </w:r>
            <w:r>
              <w:t> % odhadovaného počtu prekročení hraníc v danom členskom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101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Od prvého dňa postupného uvádzania systému vstup/výstup do prevádzky každý členský štát začne používať systém vstup/výstup na vstupe a výstupe na jednom alebo viacerých hraničných priechodoch, pričom, ak je to možné a uplatniteľné, pôjde o kombináciu vzdušných, pozemných a námorných hraničných priechodov, na zaznamenávanie a uchovávanie údajov o štátnych príslušníkoch tretích krajín uvedených v článku 2 ods. 1 a 2 nariadenia (EÚ) 2017/2226. Členské štáty </w:t>
            </w:r>
            <w:r>
              <w:rPr>
                <w:b/>
                <w:i/>
              </w:rPr>
              <w:t>zaznamenávajú</w:t>
            </w:r>
            <w:r>
              <w:t xml:space="preserve"> v systéme vstup/výstup aspoň 10 % odhadovaného počtu prekročení hraníc v danom členskom štáte.</w:t>
            </w:r>
          </w:p>
        </w:tc>
        <w:tc>
          <w:tcPr>
            <w:tcW w:w="4876" w:type="dxa"/>
            <w:tcBorders>
              <w:top w:val="nil"/>
              <w:left w:val="nil"/>
              <w:bottom w:val="nil"/>
              <w:right w:val="nil"/>
            </w:tcBorders>
          </w:tcPr>
          <w:p>
            <w:pPr>
              <w:pStyle w:val="Normal6a"/>
            </w:pPr>
            <w:r>
              <w:t xml:space="preserve">Od prvého dňa postupného uvádzania systému vstup/výstup do prevádzky každý členský štát začne používať systém vstup/výstup na vstupe a výstupe na jednom alebo viacerých hraničných priechodoch, pričom, ak je to možné a uplatniteľné, pôjde o kombináciu vzdušných, pozemných a námorných hraničných priechodov, na zaznamenávanie a uchovávanie údajov o štátnych príslušníkoch tretích krajín uvedených v článku 2 ods. 1 a 2 nariadenia (EÚ) 2017/2226. </w:t>
            </w:r>
            <w:r>
              <w:rPr>
                <w:b/>
                <w:i/>
              </w:rPr>
              <w:t>Najneskôr do 30. kalendárneho dňa od prvého dňa postupného uvádzania systému vstup/výstup do prevádzky zaznamenajú</w:t>
            </w:r>
            <w:r>
              <w:t xml:space="preserve"> členské štáty v systéme vstup/výstup aspoň 10 % odhadovaného počtu prekročení hraníc v danom členskom štáte.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Na základe prístupu spravodajkyne (pozmeňujúci návrh 20) navrhujeme postupný prístup počas prvých 30 dní; návrh, ktorý môže schváliť Komisia.</w:t>
      </w:r>
    </w:p>
    <w:p>
      <w:r>
        <w:rPr>
          <w:rStyle w:val="HideTWBExt"/>
        </w:rPr>
        <w:t>&lt;/AmendB&gt;</w:t>
      </w:r>
    </w:p>
    <w:p>
      <w:pPr>
        <w:pStyle w:val="AmNumberTabs"/>
      </w:pPr>
      <w:r>
        <w:rPr>
          <w:rStyle w:val="HideTWBExt"/>
        </w:rPr>
        <w:t>&lt;AmendB&gt;</w:t>
      </w:r>
      <w:r>
        <w:t>Pozmeňujúci návrh</w:t>
      </w:r>
      <w:r>
        <w:tab/>
      </w:r>
      <w:r>
        <w:tab/>
      </w:r>
      <w:r>
        <w:rPr>
          <w:rStyle w:val="HideTWBExt"/>
        </w:rPr>
        <w:t>&lt;NumAmB&gt;</w:t>
      </w:r>
      <w:r>
        <w:t>102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 – pododsek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Počas prvých </w:t>
            </w:r>
            <w:r>
              <w:rPr>
                <w:b/>
                <w:i/>
              </w:rPr>
              <w:t>60</w:t>
            </w:r>
            <w:r>
              <w:t xml:space="preserve"> kalendárnych dní postupného uvádzania systému vstup/výstup do prevádzky môžu členské štáty prevádzkovať systém vstup/výstup bez biometrických funkcií a vnútroštátne orgány môžu vytvárať alebo aktualizovať individuálne zložky bez biometrických údajov.</w:t>
            </w:r>
          </w:p>
        </w:tc>
        <w:tc>
          <w:tcPr>
            <w:tcW w:w="4876" w:type="dxa"/>
            <w:tcBorders>
              <w:top w:val="nil"/>
              <w:left w:val="nil"/>
              <w:bottom w:val="nil"/>
              <w:right w:val="nil"/>
            </w:tcBorders>
          </w:tcPr>
          <w:p>
            <w:pPr>
              <w:pStyle w:val="Normal6a"/>
            </w:pPr>
            <w:r>
              <w:t xml:space="preserve">Počas prvých </w:t>
            </w:r>
            <w:r>
              <w:rPr>
                <w:b/>
                <w:i/>
              </w:rPr>
              <w:t>180</w:t>
            </w:r>
            <w:r>
              <w:t xml:space="preserve"> kalendárnych dní postupného uvádzania systému vstup/výstup do prevádzky môžu členské štáty prevádzkovať systém vstup/výstup bez biometrických funkcií a vnútroštátne orgány môžu vytvárať alebo aktualizovať individuálne zložky bez biometrických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103</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Najneskôr od </w:t>
            </w:r>
            <w:r>
              <w:rPr>
                <w:b/>
                <w:i/>
              </w:rPr>
              <w:t>90</w:t>
            </w:r>
            <w:r>
              <w:t xml:space="preserve">. kalendárneho dňa po začatí postupného uvádzania systému vstup/výstup do prevádzky členské štáty prevádzkujú systém vstup/výstup s biometrickými funkciami aspoň na </w:t>
            </w:r>
            <w:r>
              <w:rPr>
                <w:b/>
                <w:i/>
              </w:rPr>
              <w:t>polovici</w:t>
            </w:r>
            <w:r>
              <w:t xml:space="preserve"> svojich hraničných priechodov. Členské štáty zaznamenávajú aspoň </w:t>
            </w:r>
            <w:r>
              <w:rPr>
                <w:b/>
                <w:i/>
              </w:rPr>
              <w:t>50</w:t>
            </w:r>
            <w:r>
              <w:t xml:space="preserve"> % odhadovaného počtu prekročení hraníc v danom členskom štáte. Individuálne zložky štátnych príslušníkov tretích krajín uvedených v článku 2 ods. 1 a 2 nariadenia (EÚ) 2017/2226, ktoré sú zaznamenané v systéme vstup/výstup, </w:t>
            </w:r>
            <w:r>
              <w:rPr>
                <w:b/>
                <w:i/>
              </w:rPr>
              <w:t>musia</w:t>
            </w:r>
            <w:r>
              <w:t xml:space="preserve"> obsahovať biometrické údaje.</w:t>
            </w:r>
          </w:p>
        </w:tc>
        <w:tc>
          <w:tcPr>
            <w:tcW w:w="4876" w:type="dxa"/>
            <w:tcBorders>
              <w:top w:val="nil"/>
              <w:left w:val="nil"/>
              <w:bottom w:val="nil"/>
              <w:right w:val="nil"/>
            </w:tcBorders>
          </w:tcPr>
          <w:p>
            <w:pPr>
              <w:pStyle w:val="Normal6a"/>
            </w:pPr>
            <w:r>
              <w:t>3.</w:t>
            </w:r>
            <w:r>
              <w:tab/>
            </w:r>
            <w:r>
              <w:t xml:space="preserve">Najneskôr od </w:t>
            </w:r>
            <w:r>
              <w:rPr>
                <w:b/>
                <w:i/>
              </w:rPr>
              <w:t>180</w:t>
            </w:r>
            <w:r>
              <w:t xml:space="preserve">. kalendárneho dňa po začatí postupného uvádzania systému vstup/výstup do prevádzky členské štáty prevádzkujú systém vstup/výstup s biometrickými funkciami aspoň na </w:t>
            </w:r>
            <w:r>
              <w:rPr>
                <w:b/>
                <w:i/>
              </w:rPr>
              <w:t>10 %</w:t>
            </w:r>
            <w:r>
              <w:t xml:space="preserve"> svojich hraničných priechodov. Členské štáty zaznamenávajú aspoň </w:t>
            </w:r>
            <w:r>
              <w:rPr>
                <w:b/>
                <w:i/>
              </w:rPr>
              <w:t>10</w:t>
            </w:r>
            <w:r>
              <w:t xml:space="preserve"> % odhadovaného počtu prekročení hraníc v danom členskom štáte. Individuálne zložky štátnych príslušníkov tretích krajín uvedených v článku 2 ods. 1 a 2 nariadenia (EÚ) 2017/2226, ktoré sú zaznamenané v systéme vstup/výstup, </w:t>
            </w:r>
            <w:r>
              <w:rPr>
                <w:b/>
                <w:i/>
              </w:rPr>
              <w:t>môžu</w:t>
            </w:r>
            <w:r>
              <w:t xml:space="preserve"> obsahovať biometrické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104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Najneskôr od 90. kalendárneho dňa po začatí postupného uvádzania systému vstup/výstup do prevádzky členské štáty prevádzkujú systém vstup/výstup s biometrickými funkciami aspoň na polovici svojich hraničných priechodov. Členské štáty zaznamenávajú aspoň 50 % odhadovaného počtu prekročení hraníc v danom členskom štáte. Individuálne zložky štátnych príslušníkov tretích krajín uvedených v článku 2 ods. 1 a 2 nariadenia (EÚ) 2017/2226, ktoré sú zaznamenané v systéme vstup/výstup, musia obsahovať biometrické údaje.</w:t>
            </w:r>
          </w:p>
        </w:tc>
        <w:tc>
          <w:tcPr>
            <w:tcW w:w="4876" w:type="dxa"/>
            <w:tcBorders>
              <w:top w:val="nil"/>
              <w:left w:val="nil"/>
              <w:bottom w:val="nil"/>
              <w:right w:val="nil"/>
            </w:tcBorders>
          </w:tcPr>
          <w:p>
            <w:pPr>
              <w:pStyle w:val="Normal6a"/>
            </w:pPr>
            <w:r>
              <w:t>3.</w:t>
            </w:r>
            <w:r>
              <w:tab/>
            </w:r>
            <w:r>
              <w:t xml:space="preserve">Najneskôr od 90. kalendárneho dňa po začatí postupného uvádzania systému vstup/výstup do prevádzky členské štáty prevádzkujú systém vstup/výstup s biometrickými funkciami aspoň na polovici svojich hraničných priechodov. Členské štáty zaznamenávajú aspoň 50 % odhadovaného počtu prekročení hraníc v danom členskom štáte. Individuálne zložky štátnych príslušníkov tretích krajín uvedených v článku 2 ods. 1 a 2 nariadenia (EÚ) 2017/2226, ktoré sú zaznamenané v systéme vstup/výstup </w:t>
            </w:r>
            <w:r>
              <w:rPr>
                <w:b/>
                <w:i/>
              </w:rPr>
              <w:t>prevádzkovanom s biometrickými funkciami</w:t>
            </w:r>
            <w:r>
              <w:t>, musia obsahovať biometrické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105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Najneskôr od </w:t>
            </w:r>
            <w:r>
              <w:rPr>
                <w:b/>
                <w:i/>
              </w:rPr>
              <w:t>150</w:t>
            </w:r>
            <w:r>
              <w:t xml:space="preserve">. kalendárneho dňa po začatí postupného uvádzania systému vstup/výstup do prevádzky členské štáty prevádzkujú systém vstup/výstup s biometrickými funkciami na </w:t>
            </w:r>
            <w:r>
              <w:rPr>
                <w:b/>
                <w:i/>
              </w:rPr>
              <w:t>všetkých</w:t>
            </w:r>
            <w:r>
              <w:t xml:space="preserve"> svojich hraničných priechodoch a </w:t>
            </w:r>
            <w:r>
              <w:rPr>
                <w:b/>
                <w:i/>
              </w:rPr>
              <w:t>pokračujú v zaznamenávaní</w:t>
            </w:r>
            <w:r>
              <w:t xml:space="preserve"> v systéme vstup/výstup aspoň 50 % odhadovaného počtu prekročení hraníc v danom členskom štáte.</w:t>
            </w:r>
          </w:p>
        </w:tc>
        <w:tc>
          <w:tcPr>
            <w:tcW w:w="4876" w:type="dxa"/>
            <w:tcBorders>
              <w:top w:val="nil"/>
              <w:left w:val="nil"/>
              <w:bottom w:val="nil"/>
              <w:right w:val="nil"/>
            </w:tcBorders>
          </w:tcPr>
          <w:p>
            <w:pPr>
              <w:pStyle w:val="Normal6a"/>
            </w:pPr>
            <w:r>
              <w:t>4.</w:t>
            </w:r>
            <w:r>
              <w:tab/>
            </w:r>
            <w:r>
              <w:t xml:space="preserve">Najneskôr od </w:t>
            </w:r>
            <w:r>
              <w:rPr>
                <w:b/>
                <w:i/>
              </w:rPr>
              <w:t>300</w:t>
            </w:r>
            <w:r>
              <w:t xml:space="preserve">. kalendárneho dňa po začatí postupného uvádzania systému vstup/výstup do prevádzky členské štáty prevádzkujú systém vstup/výstup s biometrickými funkciami na </w:t>
            </w:r>
            <w:r>
              <w:rPr>
                <w:b/>
                <w:i/>
              </w:rPr>
              <w:t>polovici</w:t>
            </w:r>
            <w:r>
              <w:t xml:space="preserve"> svojich hraničných priechodoch a </w:t>
            </w:r>
            <w:r>
              <w:rPr>
                <w:b/>
                <w:i/>
              </w:rPr>
              <w:t>zaznamenávajú</w:t>
            </w:r>
            <w:r>
              <w:t xml:space="preserve"> v systéme vstup/výstup aspoň 50 % odhadovaného počtu prekročení hraníc v danom členskom štáte.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106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Najneskôr od </w:t>
            </w:r>
            <w:r>
              <w:rPr>
                <w:b/>
                <w:i/>
              </w:rPr>
              <w:t>170</w:t>
            </w:r>
            <w:r>
              <w:t>. kalendárneho dňa po začatí postupného uvádzania systému vstup/výstup do prevádzky členské štáty prevádzkujú systém vstup/výstup s biometrickými funkciami na všetkých svojich hraničných priechodoch a zaznamenávajú v systéme vstup/výstup všetkých štátnych príslušníkov tretích krajín uvedených v článku 2 ods. 1 a 2 nariadenia (EÚ) 2017/2226.</w:t>
            </w:r>
          </w:p>
        </w:tc>
        <w:tc>
          <w:tcPr>
            <w:tcW w:w="4876" w:type="dxa"/>
            <w:tcBorders>
              <w:top w:val="nil"/>
              <w:left w:val="nil"/>
              <w:bottom w:val="nil"/>
              <w:right w:val="nil"/>
            </w:tcBorders>
          </w:tcPr>
          <w:p>
            <w:pPr>
              <w:pStyle w:val="Normal6a"/>
            </w:pPr>
            <w:r>
              <w:t>5.</w:t>
            </w:r>
            <w:r>
              <w:tab/>
            </w:r>
            <w:r>
              <w:t xml:space="preserve">Najneskôr od </w:t>
            </w:r>
            <w:r>
              <w:rPr>
                <w:b/>
                <w:i/>
              </w:rPr>
              <w:t>320</w:t>
            </w:r>
            <w:r>
              <w:t>. kalendárneho dňa po začatí postupného uvádzania systému vstup/výstup do prevádzky členské štáty prevádzkujú systém vstup/výstup s biometrickými funkciami na všetkých svojich hraničných priechodoch a zaznamenávajú v systéme vstup/výstup všetkých štátnych príslušníkov tretích krajín uvedených v článku 2 ods. 1 a 2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107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Zaznamenanie biometrických údajov v systéme vstup/výstup nepredstavuje podmienku vstupu štátnych príslušníkov tretích krajín, ktorí podliehajú zaznamenávaniu v systéme vstup/výstup počas postupného uvádzania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108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Odopretie vstupu, o ktorom sa rozhodlo na hraničnom priechode, na ktorom sa prevádzkuje systém vstup/výstup, sa zaznamenáva v systéme vstup/výstup tak, ako sa stanovuje v článku 18 nariadenia (EÚ) 2017/2226. </w:t>
            </w:r>
            <w:r>
              <w:rPr>
                <w:b/>
                <w:i/>
              </w:rPr>
              <w:t>Ak sa systém vstup/výstup prevádzkuje s biometrickými funkciami, odopretie vstupu sa zaznamenáva s biometrickými údajmi.</w:t>
            </w:r>
            <w:r>
              <w:t xml:space="preserve"> </w:t>
            </w:r>
            <w:r>
              <w:rPr>
                <w:b/>
                <w:i/>
              </w:rPr>
              <w:t>Ak sa systém vstup/výstup prevádzkuje bez biometrických funkcií,</w:t>
            </w:r>
            <w:r>
              <w:t xml:space="preserve"> odopretie vstupu sa zaznamenáva bez biometrických údajov.</w:t>
            </w:r>
          </w:p>
        </w:tc>
        <w:tc>
          <w:tcPr>
            <w:tcW w:w="4876" w:type="dxa"/>
            <w:tcBorders>
              <w:top w:val="nil"/>
              <w:left w:val="nil"/>
              <w:bottom w:val="nil"/>
              <w:right w:val="nil"/>
            </w:tcBorders>
          </w:tcPr>
          <w:p>
            <w:pPr>
              <w:pStyle w:val="Normal6a"/>
            </w:pPr>
            <w:r>
              <w:t>6.</w:t>
            </w:r>
            <w:r>
              <w:tab/>
            </w:r>
            <w:r>
              <w:t>Odopretie vstupu, o ktorom sa rozhodlo na hraničnom priechode, na ktorom sa prevádzkuje systém vstup/výstup, sa zaznamenáva v systéme vstup/výstup tak, ako sa stanovuje v článku 18 nariadenia (EÚ) 2017/2226. Odopretie vstupu sa zaznamenáva bez biometrických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109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Odopretie vstupu, o ktorom sa rozhodlo na hraničnom priechode, na ktorom sa prevádzkuje systém vstup/výstup, sa zaznamenáva v systéme vstup/výstup tak, ako sa stanovuje v článku 18 nariadenia (EÚ) 2017/2226. Ak sa systém vstup/výstup prevádzkuje s biometrickými funkciami, odopretie vstupu sa zaznamenáva s biometrickými údajmi. Ak sa systém vstup/výstup prevádzkuje bez biometrických funkcií, odopretie vstupu sa zaznamenáva bez biometrických údajov.</w:t>
            </w:r>
          </w:p>
        </w:tc>
        <w:tc>
          <w:tcPr>
            <w:tcW w:w="4876" w:type="dxa"/>
            <w:tcBorders>
              <w:top w:val="nil"/>
              <w:left w:val="nil"/>
              <w:bottom w:val="nil"/>
              <w:right w:val="nil"/>
            </w:tcBorders>
          </w:tcPr>
          <w:p>
            <w:pPr>
              <w:pStyle w:val="Normal6a"/>
            </w:pPr>
            <w:r>
              <w:t>6.</w:t>
            </w:r>
            <w:r>
              <w:tab/>
            </w:r>
            <w:r>
              <w:t>Odopretie vstupu, o ktorom sa rozhodlo na hraničnom priechode, na ktorom sa prevádzkuje systém vstup/výstup, sa zaznamenáva v systéme vstup/výstup tak, ako sa stanovuje v článku 18 nariadenia (EÚ) 2017/2226. Ak sa systém vstup/výstup prevádzkuje s biometrickými funkciami, odopretie vstupu sa zaznamenáva s biometrickými údajmi. Ak sa systém vstup/výstup prevádzkuje bez biometrických funkcií, odopretie vstupu sa zaznamenáva bez biometrických údajov</w:t>
            </w:r>
            <w:r>
              <w:rPr>
                <w:b/>
                <w:i/>
              </w:rPr>
              <w:t>, pokiaľ tieto údaje nie je možné vyhľadať vo VIS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Od prvého dňa postupného uvádzania systému vstup/výstup do prevádzky Europol používa systém vstup/výstup tak, ako sa stanovuje v nariadení (EÚ) 2017/2226.</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Od</w:t>
            </w:r>
            <w:r>
              <w:t xml:space="preserve"> prvého dňa postupného uvádzania systému vstup/výstup do prevádzky Europol </w:t>
            </w:r>
            <w:r>
              <w:rPr>
                <w:b/>
                <w:i/>
              </w:rPr>
              <w:t>používa</w:t>
            </w:r>
            <w:r>
              <w:t xml:space="preserve"> systém vstup/výstup </w:t>
            </w:r>
            <w:r>
              <w:rPr>
                <w:b/>
                <w:i/>
              </w:rPr>
              <w:t>tak</w:t>
            </w:r>
            <w:r>
              <w:t>, ako sa stanovuje v nariadení (EÚ) 2017/2226.</w:t>
            </w:r>
          </w:p>
        </w:tc>
        <w:tc>
          <w:tcPr>
            <w:tcW w:w="4876" w:type="dxa"/>
            <w:tcBorders>
              <w:top w:val="nil"/>
              <w:left w:val="nil"/>
              <w:bottom w:val="nil"/>
              <w:right w:val="nil"/>
            </w:tcBorders>
          </w:tcPr>
          <w:p>
            <w:pPr>
              <w:pStyle w:val="Normal6a"/>
            </w:pPr>
            <w:r>
              <w:t>7.</w:t>
            </w:r>
            <w:r>
              <w:tab/>
            </w:r>
            <w:r>
              <w:rPr>
                <w:b/>
                <w:i/>
              </w:rPr>
              <w:t>Počas</w:t>
            </w:r>
            <w:r>
              <w:t xml:space="preserve"> prvého dňa postupného uvádzania systému vstup/výstup do prevádzky Europol </w:t>
            </w:r>
            <w:r>
              <w:rPr>
                <w:b/>
                <w:i/>
              </w:rPr>
              <w:t>nepoužíva</w:t>
            </w:r>
            <w:r>
              <w:t xml:space="preserve"> systém vstup/výstup, ako sa stanovuje v nariadení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Okrem pravidiel uvedených v článku 4 sa počas postupného uvádzania systému vstup/výstup do prevádzky uplatňujú aj pravidlá stanovené v tomto článku.</w:t>
            </w:r>
          </w:p>
        </w:tc>
        <w:tc>
          <w:tcPr>
            <w:tcW w:w="4876" w:type="dxa"/>
            <w:tcBorders>
              <w:top w:val="nil"/>
              <w:left w:val="nil"/>
              <w:bottom w:val="nil"/>
              <w:right w:val="nil"/>
            </w:tcBorders>
          </w:tcPr>
          <w:p>
            <w:pPr>
              <w:pStyle w:val="Normal6a"/>
            </w:pPr>
            <w:r>
              <w:t>1.</w:t>
            </w:r>
            <w:r>
              <w:tab/>
            </w:r>
            <w:r>
              <w:t xml:space="preserve">Okrem pravidiel uvedených v článku 4 sa počas postupného uvádzania systému vstup/výstup do prevádzky uplatňujú </w:t>
            </w:r>
            <w:r>
              <w:rPr>
                <w:b/>
                <w:i/>
              </w:rPr>
              <w:t>na všetky členské štáty</w:t>
            </w:r>
            <w:r>
              <w:t xml:space="preserve"> aj pravidlá stanovené v tomto článku.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Hoci výnimka v článku 4 by mala byť pre členské štáty nepovinná, musia dodržiavať pravidlá stanovené v článku 5 týkajúce sa označovania cestovných dokladov odtlačkom pečiatky.</w:t>
      </w:r>
    </w:p>
    <w:p>
      <w:r>
        <w:rPr>
          <w:rStyle w:val="HideTWBExt"/>
        </w:rPr>
        <w:t>&lt;/AmendB&gt;</w:t>
      </w:r>
    </w:p>
    <w:p>
      <w:pPr>
        <w:pStyle w:val="AmNumberTabs"/>
      </w:pPr>
      <w:r>
        <w:rPr>
          <w:rStyle w:val="HideTWBExt"/>
        </w:rPr>
        <w:t>&lt;AmendB&gt;</w:t>
      </w:r>
      <w:r>
        <w:t>Pozmeňujúci návrh</w:t>
      </w:r>
      <w:r>
        <w:tab/>
      </w:r>
      <w:r>
        <w:tab/>
      </w:r>
      <w:r>
        <w:rPr>
          <w:rStyle w:val="HideTWBExt"/>
        </w:rPr>
        <w:t>&lt;NumAmB&gt;</w:t>
      </w:r>
      <w:r>
        <w:t>113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 účely vkladania, zmien, vymazania a nahliadnutia do údajov v systéme vstup/výstup majú pre vnútroštátne orgány, ktoré sú príslušné na účely stanovené v článkoch 23 až 35 nariadenia (EÚ) 2017/2226, odtlačky pečiatok prednosť pred údajmi systému vstup/výstup, a to aj v prípadoch rozporu alebo v prípadoch uvedených v článku</w:t>
            </w:r>
            <w:r>
              <w:rPr>
                <w:b/>
                <w:i/>
              </w:rPr>
              <w:t xml:space="preserve">  </w:t>
            </w:r>
            <w:r>
              <w:t xml:space="preserve">16 ods. 4 uvedeného nariadenia. </w:t>
            </w:r>
            <w:r>
              <w:rPr>
                <w:b/>
                <w:i/>
              </w:rPr>
              <w:t>V prípade, že  odtlačok pečiatky chýba, majú prednosť údaje zaznamenané v systéme vstup/výstup.</w:t>
            </w:r>
          </w:p>
        </w:tc>
        <w:tc>
          <w:tcPr>
            <w:tcW w:w="4876" w:type="dxa"/>
            <w:tcBorders>
              <w:top w:val="nil"/>
              <w:left w:val="nil"/>
              <w:bottom w:val="nil"/>
              <w:right w:val="nil"/>
            </w:tcBorders>
          </w:tcPr>
          <w:p>
            <w:pPr>
              <w:pStyle w:val="Normal6a"/>
            </w:pPr>
            <w:r>
              <w:t>3.</w:t>
            </w:r>
            <w:r>
              <w:tab/>
            </w:r>
            <w:r>
              <w:t>Na účely vkladania, zmien, vymazania a nahliadnutia do údajov v systéme vstup/výstup majú pre vnútroštátne orgány, ktoré sú príslušné na účely stanovené v článkoch 23 až 35 nariadenia (EÚ) 2017/2226, odtlačky pečiatok prednosť pred údajmi systému vstup/výstup, a to aj v prípadoch rozporu alebo v prípadoch uvedených v článku 16 ods. 4 uvedeného nariadenia.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4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Ak v prípade štátneho príslušníka tretej krajiny, ktorý sa nachádza na území členských štátov, chýba v cestovnom doklade odtlačok pečiatky </w:t>
            </w:r>
            <w:r>
              <w:rPr>
                <w:b/>
                <w:i/>
              </w:rPr>
              <w:t>a v systéme vstup/výstup nie je pre neho vytvorená  individuálna zložka</w:t>
            </w:r>
            <w:r>
              <w:t>, vnútroštátne orgány sa môžu domnievať, že štátny príslušník tretej krajiny nespĺňa alebo prestal spĺňať podmienky týkajúce sa vstupu alebo pobytu v členských štátoch.</w:t>
            </w:r>
          </w:p>
        </w:tc>
        <w:tc>
          <w:tcPr>
            <w:tcW w:w="4876" w:type="dxa"/>
            <w:tcBorders>
              <w:top w:val="nil"/>
              <w:left w:val="nil"/>
              <w:bottom w:val="nil"/>
              <w:right w:val="nil"/>
            </w:tcBorders>
          </w:tcPr>
          <w:p>
            <w:pPr>
              <w:pStyle w:val="Normal6a"/>
            </w:pPr>
            <w:r>
              <w:t>Ak v prípade štátneho príslušníka tretej krajiny, ktorý sa nachádza na území členských štátov, chýba v cestovnom doklade odtlačok pečiatky, vnútroštátne orgány sa môžu domnievať, že štátny príslušník tretej krajiny nespĺňa alebo prestal spĺňať podmienky týkajúce sa vstupu alebo pobytu v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115</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4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 v prípade štátneho príslušníka tretej krajiny, ktorý sa nachádza na území členských štátov, chýba v cestovnom doklade odtlačok pečiatky a v systéme vstup/výstup nie je pre neho vytvorená</w:t>
            </w:r>
            <w:r>
              <w:rPr>
                <w:b/>
                <w:i/>
              </w:rPr>
              <w:t xml:space="preserve">  </w:t>
            </w:r>
            <w:r>
              <w:t xml:space="preserve">individuálna zložka, vnútroštátne orgány sa </w:t>
            </w:r>
            <w:r>
              <w:rPr>
                <w:b/>
                <w:i/>
              </w:rPr>
              <w:t>môžu</w:t>
            </w:r>
            <w:r>
              <w:t xml:space="preserve"> domnievať, že štátny príslušník tretej krajiny nespĺňa alebo prestal spĺňať podmienky týkajúce sa vstupu alebo pobytu v členských štátoch.</w:t>
            </w:r>
          </w:p>
        </w:tc>
        <w:tc>
          <w:tcPr>
            <w:tcW w:w="4876" w:type="dxa"/>
            <w:tcBorders>
              <w:top w:val="nil"/>
              <w:left w:val="nil"/>
              <w:bottom w:val="nil"/>
              <w:right w:val="nil"/>
            </w:tcBorders>
          </w:tcPr>
          <w:p>
            <w:pPr>
              <w:pStyle w:val="Normal6a"/>
            </w:pPr>
            <w:r>
              <w:t xml:space="preserve">Ak v prípade štátneho príslušníka tretej krajiny, ktorý sa nachádza na území členských štátov, chýba v cestovnom doklade odtlačok pečiatky a v systéme vstup/výstup nie je pre neho vytvorená individuálna zložka, vnútroštátne orgány sa </w:t>
            </w:r>
            <w:r>
              <w:rPr>
                <w:b/>
                <w:i/>
              </w:rPr>
              <w:t>musia</w:t>
            </w:r>
            <w:r>
              <w:t xml:space="preserve"> domnievať, že štátny príslušník tretej krajiny nespĺňa alebo prestal spĺňať podmienky týkajúce sa vstupu alebo pobytu v členských štátoch.</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Vnútroštátne orgány a Europol neberú do úvahy:</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výsledky automatickej kalkulačky, ktorá poskytuje informácie o maximálnej dĺžke oprávneného pobytu podľa článku 11 nariadenia (EÚ) 2017/2226;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automaticky vytvorený zoznam osôb, ktoré prekročili  dĺžku oprávneného pobytu, a jeho dôsledky, najmä ako sa uvádza v článku 6 ods. 1 písm. c) a h), článku 12 ods. 3, článku 16 ods. 4, článku 34 ods. 3, článku 50 ods. 1 písm. i) a k) a článku 63 ods. 1 písm. e) uvedeného nariadenia.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Postupne sa spúšťa systém vstup/výstup. Počas tohto obdobia spúšťania [od...] sa vaše osobné údaje vrátane vašich biometrických údajov pravdepodobne nebudú zhromažďovať na účely systému vstup/výstup na vonkajších hraniciach všetkých členských štátov. </w:t>
            </w:r>
            <w:r>
              <w:rPr>
                <w:b/>
                <w:i/>
              </w:rPr>
              <w:t>V prípade, že je našou povinnosťou tieto informácie zhromaždiť a vy sa rozhodnete, že ich neposkytnete, vstup vám bude odopretý</w:t>
            </w:r>
            <w:r>
              <w:t>. Počas tohto obdobia postupného spúšťania nebudú vaše údaje automaticky pridané do zoznamu osôb, ktoré prekročili dĺžku oprávneného pobytu. Okrem toho si prostredníctvom webového sídla alebo vybavenia dostupného na hraničných priechodoch nebudete môcť ani overiť zostávajúcu dĺžku oprávneného pobytu.</w:t>
            </w:r>
          </w:p>
        </w:tc>
        <w:tc>
          <w:tcPr>
            <w:tcW w:w="4876" w:type="dxa"/>
            <w:tcBorders>
              <w:top w:val="nil"/>
              <w:left w:val="nil"/>
              <w:bottom w:val="nil"/>
              <w:right w:val="nil"/>
            </w:tcBorders>
          </w:tcPr>
          <w:p>
            <w:pPr>
              <w:pStyle w:val="Normal6a"/>
            </w:pPr>
            <w:r>
              <w:t xml:space="preserve">Postupne sa spúšťa systém vstup/výstup. Počas tohto obdobia spúšťania [od...] sa vaše osobné údaje vrátane vašich biometrických údajov pravdepodobne nebudú zhromažďovať na účely systému vstup/výstup na vonkajších hraniciach všetkých členských štátov. </w:t>
            </w:r>
            <w:r>
              <w:rPr>
                <w:b/>
                <w:i/>
              </w:rPr>
              <w:t>Na hraničných priechodoch, kde je systém vstup/výstup prevádzkovaný s biometrickými funkciami, máte povinnosť poskytovať biometrické údaje.</w:t>
            </w:r>
            <w:r>
              <w:t xml:space="preserve"> </w:t>
            </w:r>
            <w:r>
              <w:rPr>
                <w:b/>
                <w:i/>
              </w:rPr>
              <w:t>Nedostatočné zaznamenanie biometrických údajov počas postupného uvádzania systému vstup/výstup do prevádzky nebude samo osebe viesť k automatickému odopretiu vstupu</w:t>
            </w:r>
            <w:r>
              <w:t>. Počas tohto obdobia postupného spúšťania nebudú vaše údaje automaticky pridané do zoznamu osôb, ktoré prekročili dĺžku oprávneného pobytu. Okrem toho si prostredníctvom webového sídla alebo vybavenia dostupného na hraničných priechodoch nebudete môcť ani overiť zostávajúcu dĺžku oprávneného pobytu.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v mene skupiny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Postupne sa spúšťa systém vstup/výstup. Počas tohto obdobia spúšťania [od...] sa vaše osobné údaje vrátane vašich biometrických údajov pravdepodobne </w:t>
            </w:r>
            <w:r>
              <w:rPr>
                <w:b/>
                <w:i/>
              </w:rPr>
              <w:t>nebudú</w:t>
            </w:r>
            <w:r>
              <w:t xml:space="preserve"> zhromažďovať na účely systému vstup/výstup na vonkajších hraniciach </w:t>
            </w:r>
            <w:r>
              <w:rPr>
                <w:b/>
                <w:i/>
              </w:rPr>
              <w:t>všetkých</w:t>
            </w:r>
            <w:r>
              <w:t xml:space="preserve"> členských štátov. V prípade, že </w:t>
            </w:r>
            <w:r>
              <w:rPr>
                <w:b/>
                <w:i/>
              </w:rPr>
              <w:t>je našou povinnosťou</w:t>
            </w:r>
            <w:r>
              <w:t xml:space="preserve"> tieto informácie </w:t>
            </w:r>
            <w:r>
              <w:rPr>
                <w:b/>
                <w:i/>
              </w:rPr>
              <w:t>zhromaždiť</w:t>
            </w:r>
            <w:r>
              <w:t xml:space="preserve"> a vy sa rozhodnete, že ich neposkytnete, vstup vám bude odopretý. Počas tohto obdobia postupného spúšťania nebudú vaše údaje automaticky pridané do zoznamu osôb, ktoré prekročili dĺžku oprávneného pobytu. Okrem toho si prostredníctvom webového sídla alebo vybavenia dostupného na hraničných priechodoch nebudete môcť ani overiť zostávajúcu dĺžku oprávneného pobytu.</w:t>
            </w:r>
          </w:p>
        </w:tc>
        <w:tc>
          <w:tcPr>
            <w:tcW w:w="4876" w:type="dxa"/>
            <w:tcBorders>
              <w:top w:val="nil"/>
              <w:left w:val="nil"/>
              <w:bottom w:val="nil"/>
              <w:right w:val="nil"/>
            </w:tcBorders>
          </w:tcPr>
          <w:p>
            <w:pPr>
              <w:pStyle w:val="Normal6a"/>
            </w:pPr>
            <w:r>
              <w:t xml:space="preserve">Postupne sa spúšťa systém vstup/výstup. Počas tohto obdobia spúšťania [od...] sa vaše osobné údaje vrátane vašich biometrických údajov pravdepodobne </w:t>
            </w:r>
            <w:r>
              <w:rPr>
                <w:b/>
                <w:i/>
              </w:rPr>
              <w:t>budú</w:t>
            </w:r>
            <w:r>
              <w:t xml:space="preserve"> zhromažďovať na účely systému vstup/výstup na vonkajších hraniciach </w:t>
            </w:r>
            <w:r>
              <w:rPr>
                <w:b/>
                <w:i/>
              </w:rPr>
              <w:t>niektorých členských štátov a pravdepodobne sa nebudú zhromažďovať na vonkajších hraniciach iných</w:t>
            </w:r>
            <w:r>
              <w:t xml:space="preserve"> členských štátov. V prípade, že </w:t>
            </w:r>
            <w:r>
              <w:rPr>
                <w:b/>
                <w:i/>
              </w:rPr>
              <w:t>vás členský štát požiada o povolenie zhromaždiť</w:t>
            </w:r>
            <w:r>
              <w:t xml:space="preserve"> tieto informácie a vy sa rozhodnete, že ich neposkytnete, vstup vám bude odopretý. Počas tohto obdobia postupného spúšťania nebudú vaše údaje automaticky pridané do zoznamu osôb, ktoré </w:t>
            </w:r>
            <w:r>
              <w:rPr>
                <w:b/>
                <w:i/>
              </w:rPr>
              <w:t>prípadne</w:t>
            </w:r>
            <w:r>
              <w:t xml:space="preserve"> prekročili dĺžku oprávneného pobytu. Okrem toho si prostredníctvom webového sídla alebo vybavenia dostupného na hraničných priechodoch nebudete môcť ani overiť zostávajúcu dĺžku oprávneného pobytu. </w:t>
            </w:r>
            <w:r>
              <w:rPr>
                <w:b/>
                <w:i/>
              </w:rPr>
              <w:t>Akékoľvek otázky týkajúce sa dĺžky vášho oprávneného pobytu môžete adresovať príslušným vnútroštátnym orgánom na vonkajších hraniciach.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pozmeňujúci návrh sa vzťahuje len na navrhované dodatočné údaje uvedené v článku 5 ods. 9 tohto nariadenia.)</w:t>
      </w:r>
    </w:p>
    <w:p>
      <w:r>
        <w:rPr>
          <w:rStyle w:val="HideTWBExt"/>
        </w:rPr>
        <w:t>&lt;/AmendB&gt;</w:t>
      </w:r>
    </w:p>
    <w:p>
      <w:pPr>
        <w:pStyle w:val="AmNumberTabs"/>
      </w:pPr>
      <w:r>
        <w:rPr>
          <w:rStyle w:val="HideTWBExt"/>
        </w:rPr>
        <w:t>&lt;AmendB&gt;</w:t>
      </w:r>
      <w:r>
        <w:t>Pozmeňujúci návrh</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 informačnej kampani podľa článku 51 nariadenia (EÚ) 2017/2226 sprevádzajúcej uvádzanie systému vstup/výstup do prevádzky sa musia zohľadniť osobitné podmienky na hraničných priechodoch, pričom sa zabezpečí oznamovanie príslušných informácií dotknutým osobám a zohľadnia sa fázy stanovené v článku 4 tohto nariadenia. Komisia podporuje členské štáty pri príprave prispôsobených materiálov informačnej kampane.</w:t>
            </w:r>
          </w:p>
        </w:tc>
        <w:tc>
          <w:tcPr>
            <w:tcW w:w="4876" w:type="dxa"/>
            <w:tcBorders>
              <w:top w:val="nil"/>
              <w:left w:val="nil"/>
              <w:bottom w:val="nil"/>
              <w:right w:val="nil"/>
            </w:tcBorders>
          </w:tcPr>
          <w:p>
            <w:pPr>
              <w:pStyle w:val="Normal6a"/>
            </w:pPr>
            <w:r>
              <w:t>11.</w:t>
            </w:r>
            <w:r>
              <w:tab/>
            </w:r>
            <w:r>
              <w:t xml:space="preserve">V informačnej kampani podľa článku 51 nariadenia (EÚ) 2017/2226 sprevádzajúcej uvádzanie systému vstup/výstup do prevádzky sa musia zohľadniť osobitné podmienky na hraničných priechodoch, pričom sa zabezpečí oznamovanie príslušných informácií dotknutým osobám a zohľadnia sa fázy stanovené v článku 4 tohto nariadenia. Komisia </w:t>
            </w:r>
            <w:r>
              <w:rPr>
                <w:b/>
                <w:i/>
              </w:rPr>
              <w:t>v spolupráci s orgánmi dozoru a európskym dozorným úradníkom pre ochranu údajov</w:t>
            </w:r>
            <w:r>
              <w:t xml:space="preserve"> podporuje členské štáty pri príprave prispôsobených materiálov informačnej kampane.</w:t>
            </w:r>
            <w:r>
              <w:rPr>
                <w:b/>
                <w:i/>
              </w:rP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Uplatňovanie článku 12 ods. 1 </w:t>
            </w:r>
            <w:r>
              <w:rPr>
                <w:b/>
                <w:i/>
              </w:rPr>
              <w:t>a 2</w:t>
            </w:r>
            <w:r>
              <w:t xml:space="preserve">, článku 13 ods. 1 a 2, článku 20 a článku </w:t>
            </w:r>
            <w:r>
              <w:rPr>
                <w:b/>
                <w:i/>
              </w:rPr>
              <w:t>21</w:t>
            </w:r>
            <w:r>
              <w:t xml:space="preserve"> nariadenia (EÚ) 2017/2226 sa pozastavuje.</w:t>
            </w:r>
          </w:p>
        </w:tc>
        <w:tc>
          <w:tcPr>
            <w:tcW w:w="4876" w:type="dxa"/>
            <w:tcBorders>
              <w:top w:val="nil"/>
              <w:left w:val="nil"/>
              <w:bottom w:val="nil"/>
              <w:right w:val="nil"/>
            </w:tcBorders>
          </w:tcPr>
          <w:p>
            <w:pPr>
              <w:pStyle w:val="Normal6a"/>
            </w:pPr>
            <w:r>
              <w:t>12.</w:t>
            </w:r>
            <w:r>
              <w:tab/>
            </w:r>
            <w:r>
              <w:t xml:space="preserve">Uplatňovanie článku </w:t>
            </w:r>
            <w:r>
              <w:rPr>
                <w:b/>
                <w:i/>
              </w:rPr>
              <w:t>11, článku</w:t>
            </w:r>
            <w:r>
              <w:t xml:space="preserve"> 12 ods. 1</w:t>
            </w:r>
            <w:r>
              <w:rPr>
                <w:b/>
                <w:i/>
              </w:rPr>
              <w:t>, 2 a 3</w:t>
            </w:r>
            <w:r>
              <w:t>, článku 13 ods. 1 a 2, článku 20</w:t>
            </w:r>
            <w:r>
              <w:rPr>
                <w:b/>
                <w:i/>
              </w:rPr>
              <w:t>, článku 21</w:t>
            </w:r>
            <w:r>
              <w:t xml:space="preserve"> a článku </w:t>
            </w:r>
            <w:r>
              <w:rPr>
                <w:b/>
                <w:i/>
              </w:rPr>
              <w:t>63 ods. 1 písm. e)</w:t>
            </w:r>
            <w:r>
              <w:t xml:space="preserve"> nariadenia (EÚ) 2017/2226 sa pozastavuje </w:t>
            </w:r>
            <w:r>
              <w:rPr>
                <w:b/>
                <w:i/>
              </w:rPr>
              <w:t>do konca postupného uvádzania systému vstup/výstup do prevádzky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Odchylne od článku 22 nariadenia (EÚ) 2017/2226 a článku 12a nariadenia (EÚ) 2016/399 sa prechodné obdobie a dočasné opatrenia stanovené v uvedených článkoch uplatňujú </w:t>
            </w:r>
            <w:r>
              <w:rPr>
                <w:b/>
                <w:i/>
              </w:rPr>
              <w:t>od prvého dňa</w:t>
            </w:r>
            <w:r>
              <w:t xml:space="preserve"> po skončení postupného uvádzania systému vstup/výstup do prevádzky.</w:t>
            </w:r>
          </w:p>
        </w:tc>
        <w:tc>
          <w:tcPr>
            <w:tcW w:w="4876" w:type="dxa"/>
            <w:tcBorders>
              <w:top w:val="nil"/>
              <w:left w:val="nil"/>
              <w:bottom w:val="nil"/>
              <w:right w:val="nil"/>
            </w:tcBorders>
          </w:tcPr>
          <w:p>
            <w:pPr>
              <w:pStyle w:val="Normal6a"/>
            </w:pPr>
            <w:r>
              <w:t>13.</w:t>
            </w:r>
            <w:r>
              <w:tab/>
            </w:r>
            <w:r>
              <w:t xml:space="preserve">Odchylne od článku 22 nariadenia (EÚ) 2017/2226 a článku 12a nariadenia (EÚ) 2016/399 sa prechodné obdobie a dočasné opatrenia stanovené v uvedených článkoch uplatňujú </w:t>
            </w:r>
            <w:r>
              <w:rPr>
                <w:b/>
                <w:i/>
              </w:rPr>
              <w:t>90 dní</w:t>
            </w:r>
            <w:r>
              <w:t xml:space="preserve"> po skončení postupného uvádzania systému vstup/výstup do prevádzky.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 nariadení o systéme vstup/výstup sa stanovuje, že osoby vstupujúce do schengenského priestoru pred uvedením systému vstup/výstup do prevádzky musia mať pri vstupe vytvorený spis.</w:t>
      </w:r>
      <w:r>
        <w:t xml:space="preserve"> </w:t>
      </w:r>
      <w:r>
        <w:t>S cieľom zefektívniť postupy pri výstupe navrhujeme predĺžiť túto požiadavku na vytvorenie spisu pri výstupe zo schengenského priestoru o 90 dní.</w:t>
      </w:r>
    </w:p>
    <w:p>
      <w:r>
        <w:rPr>
          <w:rStyle w:val="HideTWBExt"/>
        </w:rPr>
        <w:t>&lt;/AmendB&gt;</w:t>
      </w:r>
    </w:p>
    <w:p>
      <w:pPr>
        <w:pStyle w:val="AmNumberTabs"/>
      </w:pPr>
      <w:r>
        <w:rPr>
          <w:rStyle w:val="HideTWBExt"/>
        </w:rPr>
        <w:t>&lt;AmendB&gt;</w:t>
      </w:r>
      <w:r>
        <w:t>Pozmeňujúci návrh</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14 – pododsek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Odchylne od druhého pododseku sa </w:t>
            </w:r>
            <w:r>
              <w:rPr>
                <w:b/>
                <w:i/>
              </w:rPr>
              <w:t>na hraničných priechodoch, na ktorých sa systém</w:t>
            </w:r>
            <w:r>
              <w:t xml:space="preserve"> vstup/výstup </w:t>
            </w:r>
            <w:r>
              <w:rPr>
                <w:b/>
                <w:i/>
              </w:rPr>
              <w:t>prevádzkuje bez biometrických funkcií,</w:t>
            </w:r>
            <w:r>
              <w:t xml:space="preserve"> neuplatňuje článok 6 ods. 1 písm. f) bod i) a ustanovenia o overovaní štátnych príslušníkov tretích krajín na základe biometrických údajov, a to výlučne na účely systému vstup/výstup uvedené v článku 6 písm. f) bode ii) a článku 8 ods. 3 písm. a) a g) nariadenia (EÚ) 2016/399.</w:t>
            </w:r>
          </w:p>
        </w:tc>
        <w:tc>
          <w:tcPr>
            <w:tcW w:w="4876" w:type="dxa"/>
            <w:tcBorders>
              <w:top w:val="nil"/>
              <w:left w:val="nil"/>
              <w:bottom w:val="nil"/>
              <w:right w:val="nil"/>
            </w:tcBorders>
          </w:tcPr>
          <w:p>
            <w:pPr>
              <w:pStyle w:val="Normal6a"/>
            </w:pPr>
            <w:r>
              <w:t xml:space="preserve">Odchylne od druhého pododseku sa </w:t>
            </w:r>
            <w:r>
              <w:rPr>
                <w:b/>
                <w:i/>
              </w:rPr>
              <w:t>počas postupného uvádzania systému</w:t>
            </w:r>
            <w:r>
              <w:t xml:space="preserve"> vstup/výstup </w:t>
            </w:r>
            <w:r>
              <w:rPr>
                <w:b/>
                <w:i/>
              </w:rPr>
              <w:t>do prevádzky</w:t>
            </w:r>
            <w:r>
              <w:t xml:space="preserve"> neuplatňuje článok 6 ods. 1 písm. f) bod i) a ustanovenia o overovaní štátnych príslušníkov tretích krajín na základe biometrických údajov, a to výlučne na účely systému vstup/výstup uvedené v článku 6 písm. f) bode ii) a článku 8 ods. 3 písm. a) a g) nariadenia (EÚ)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Malik Azmani, Moritz Körner, Jan-Christoph Oetjen,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 cieľom zabezpečiť, aby štátni príslušníci tretích krajín jasne chápali, kde sa môžu zaregistrovať na hraničných priechodoch, je dôležité vytvoriť spoločné identifikačné miesta a využívať jednotnú komunikáciu vo všetkých členských štátoch.</w:t>
            </w:r>
            <w:r>
              <w:t xml:space="preserve"> </w:t>
            </w:r>
            <w:r>
              <w:rPr>
                <w:b/>
                <w:i/>
              </w:rPr>
              <w:t>To pomáha predchádzať nejasnostiam a zbytočnému preťaženiu počas zaznamenávania.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Pri prístupe k záznamom o vstupe a výstupe zaznamenaným v systéme vstup/výstup počas postupného uvádzania systému vstup/výstup do prevádzky pri plnení svojich úloh:</w:t>
            </w:r>
          </w:p>
        </w:tc>
        <w:tc>
          <w:tcPr>
            <w:tcW w:w="4876" w:type="dxa"/>
            <w:tcBorders>
              <w:top w:val="nil"/>
              <w:left w:val="nil"/>
              <w:bottom w:val="nil"/>
              <w:right w:val="nil"/>
            </w:tcBorders>
          </w:tcPr>
          <w:p>
            <w:pPr>
              <w:pStyle w:val="Normal6a"/>
            </w:pPr>
            <w:r>
              <w:t>1.</w:t>
            </w:r>
            <w:r>
              <w:tab/>
            </w:r>
            <w:r>
              <w:t xml:space="preserve">Pri prístupe k záznamom o vstupe a výstupe zaznamenaným v systéme vstup/výstup počas postupného uvádzania systému vstup/výstup do prevádzky </w:t>
            </w:r>
            <w:r>
              <w:rPr>
                <w:b/>
                <w:i/>
              </w:rPr>
              <w:t>vnútroštátne orgány</w:t>
            </w:r>
            <w:r>
              <w:t xml:space="preserve"> pri plnení svojich úloh </w:t>
            </w:r>
            <w:r>
              <w:rPr>
                <w:b/>
                <w:i/>
              </w:rPr>
              <w:t>zohľadnia, že údaje by mohli byť neúplné.</w:t>
            </w:r>
            <w:r>
              <w:t xml:space="preserve"> </w:t>
            </w:r>
            <w:r>
              <w:rPr>
                <w:b/>
                <w:i/>
              </w:rPr>
              <w:t>V tejto súvislosti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vnútroštátne orgány a Europol prihliadajú na to, že vzhľadom na rôzne úrovne prevádzky systému vstup/výstup v jednotlivých členských štátoch počas postupného uvádzania systému vstup/výstup do prevádzky by údaje mohli byť neúplné;</w:t>
            </w:r>
          </w:p>
        </w:tc>
        <w:tc>
          <w:tcPr>
            <w:tcW w:w="4876" w:type="dxa"/>
            <w:tcBorders>
              <w:top w:val="nil"/>
              <w:left w:val="nil"/>
              <w:bottom w:val="nil"/>
              <w:right w:val="nil"/>
            </w:tcBorders>
          </w:tcPr>
          <w:p>
            <w:pPr>
              <w:pStyle w:val="Normal6a"/>
            </w:pPr>
            <w:r>
              <w:t>a)</w:t>
            </w:r>
            <w:r>
              <w:tab/>
            </w:r>
            <w:r>
              <w:t xml:space="preserve">vnútroštátne orgány a Europol prihliadajú na to, že vzhľadom na rôzne úrovne prevádzky systému vstup/výstup v jednotlivých členských štátoch počas postupného uvádzania systému vstup/výstup do prevádzky by údaje mohli byť neúplné </w:t>
            </w:r>
            <w:r>
              <w:rPr>
                <w:b/>
                <w:i/>
              </w:rPr>
              <w:t>alebo nepresné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vnútroštátne orgány </w:t>
            </w:r>
            <w:r>
              <w:rPr>
                <w:b/>
                <w:i/>
              </w:rPr>
              <w:t>a Europol prihliadajú na to, že vzhľadom na rôzne úrovne prevádzky systému vstup/výstup v jednotlivých členských štátoch počas postupného uvádzania systému vstup/výstup do prevádzky by údaje mohli byť neúplné</w:t>
            </w:r>
            <w:r>
              <w:t>;</w:t>
            </w:r>
          </w:p>
        </w:tc>
        <w:tc>
          <w:tcPr>
            <w:tcW w:w="4876" w:type="dxa"/>
            <w:tcBorders>
              <w:top w:val="nil"/>
              <w:left w:val="nil"/>
              <w:bottom w:val="nil"/>
              <w:right w:val="nil"/>
            </w:tcBorders>
          </w:tcPr>
          <w:p>
            <w:pPr>
              <w:pStyle w:val="Normal6a"/>
            </w:pPr>
            <w:r>
              <w:t>a)</w:t>
            </w:r>
            <w:r>
              <w:tab/>
            </w:r>
            <w:r>
              <w:t xml:space="preserve">vnútroštátne orgány </w:t>
            </w:r>
            <w:r>
              <w:rPr>
                <w:b/>
                <w:i/>
              </w:rPr>
              <w:t>nesmú prijímať rozhodnutia, ktoré majú nepriaznivý vplyv na jednotlivcov, výlučne na základe údajov zaznamenaných v systéme vstup/výstup alebo na základe skutočnosti, že chýba zaznamenanie vstupu alebo výstupu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vnútroštátne orgány </w:t>
            </w:r>
            <w:r>
              <w:rPr>
                <w:b/>
                <w:i/>
              </w:rPr>
              <w:t>prihliadajú na to, že údaje by mohli byť neúplné pri oznamovaní</w:t>
            </w:r>
            <w:r>
              <w:t xml:space="preserve"> údajov v súlade s článkami 41 a 42 nariadenia (EÚ) 2017/2226;</w:t>
            </w:r>
          </w:p>
        </w:tc>
        <w:tc>
          <w:tcPr>
            <w:tcW w:w="4876" w:type="dxa"/>
            <w:tcBorders>
              <w:top w:val="nil"/>
              <w:left w:val="nil"/>
              <w:bottom w:val="nil"/>
              <w:right w:val="nil"/>
            </w:tcBorders>
          </w:tcPr>
          <w:p>
            <w:pPr>
              <w:pStyle w:val="Normal6a"/>
            </w:pPr>
            <w:r>
              <w:t>b)</w:t>
            </w:r>
            <w:r>
              <w:tab/>
            </w:r>
            <w:r>
              <w:t xml:space="preserve">vnútroštátne orgány </w:t>
            </w:r>
            <w:r>
              <w:rPr>
                <w:b/>
                <w:i/>
              </w:rPr>
              <w:t>sa vyhýbajú oznamovaniu</w:t>
            </w:r>
            <w:r>
              <w:t xml:space="preserve"> údajov v súlade s článkami 41 a 42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vnútroštátne orgány prihliadajú na to, že údaje by mohli byť neúplné pri oznamovaní údajov v súlade s článkami 41 a 42 nariadenia (EÚ) 2017/2226;</w:t>
            </w:r>
          </w:p>
        </w:tc>
        <w:tc>
          <w:tcPr>
            <w:tcW w:w="4876" w:type="dxa"/>
            <w:tcBorders>
              <w:top w:val="nil"/>
              <w:left w:val="nil"/>
              <w:bottom w:val="nil"/>
              <w:right w:val="nil"/>
            </w:tcBorders>
          </w:tcPr>
          <w:p>
            <w:pPr>
              <w:pStyle w:val="Normal6a"/>
            </w:pPr>
            <w:r>
              <w:t>b)</w:t>
            </w:r>
            <w:r>
              <w:tab/>
            </w:r>
            <w:r>
              <w:t xml:space="preserve">vnútroštátne orgány prihliadajú na to, že údaje by mohli byť neúplné </w:t>
            </w:r>
            <w:r>
              <w:rPr>
                <w:b/>
                <w:i/>
              </w:rPr>
              <w:t>alebo nepresné</w:t>
            </w:r>
            <w:r>
              <w:t xml:space="preserve"> pri oznamovaní údajov v súlade s článkami 41 a 42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centrálna jednotka ETIAS </w:t>
            </w:r>
            <w:r>
              <w:rPr>
                <w:b/>
                <w:i/>
              </w:rPr>
              <w:t>prihliada na to, že záznamy o vstupe a výstupe zaznamenané v systéme vstup/výstup počas postupného uvádzania</w:t>
            </w:r>
            <w:r>
              <w:t xml:space="preserve"> systému vstup/výstup </w:t>
            </w:r>
            <w:r>
              <w:rPr>
                <w:b/>
                <w:i/>
              </w:rPr>
              <w:t>do prevádzky by mohli zahŕňať neúplné súbory údajov</w:t>
            </w:r>
            <w:r>
              <w:t xml:space="preserve"> na účely overenia v súlade s článkom 25a ods. 2 nariadenia (EÚ) 2017/2226.</w:t>
            </w:r>
          </w:p>
        </w:tc>
        <w:tc>
          <w:tcPr>
            <w:tcW w:w="4876" w:type="dxa"/>
            <w:tcBorders>
              <w:top w:val="nil"/>
              <w:left w:val="nil"/>
              <w:bottom w:val="nil"/>
              <w:right w:val="nil"/>
            </w:tcBorders>
          </w:tcPr>
          <w:p>
            <w:pPr>
              <w:pStyle w:val="Normal6a"/>
            </w:pPr>
            <w:r>
              <w:t>c)</w:t>
            </w:r>
            <w:r>
              <w:tab/>
            </w:r>
            <w:r>
              <w:t xml:space="preserve">centrálna jednotka ETIAS </w:t>
            </w:r>
            <w:r>
              <w:rPr>
                <w:b/>
                <w:i/>
              </w:rPr>
              <w:t>nepoužíva údaje</w:t>
            </w:r>
            <w:r>
              <w:t xml:space="preserve"> systému vstup/výstup na účely overenia v súlade s článkom 25a ods. 2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centrálna jednotka ETIAS prihliada na to, že záznamy o vstupe a výstupe zaznamenané v systéme vstup/výstup počas postupného uvádzania systému vstup/výstup do prevádzky by mohli zahŕňať neúplné súbory údajov na účely overenia v súlade s článkom 25a ods. 2 nariadenia (EÚ) 2017/2226.</w:t>
            </w:r>
          </w:p>
        </w:tc>
        <w:tc>
          <w:tcPr>
            <w:tcW w:w="4876" w:type="dxa"/>
            <w:tcBorders>
              <w:top w:val="nil"/>
              <w:left w:val="nil"/>
              <w:bottom w:val="nil"/>
              <w:right w:val="nil"/>
            </w:tcBorders>
          </w:tcPr>
          <w:p>
            <w:pPr>
              <w:pStyle w:val="Normal6a"/>
            </w:pPr>
            <w:r>
              <w:t>c)</w:t>
            </w:r>
            <w:r>
              <w:tab/>
            </w:r>
            <w:r>
              <w:t xml:space="preserve">centrálna jednotka ETIAS prihliada na to, že záznamy o vstupe a výstupe zaznamenané v systéme vstup/výstup počas postupného uvádzania systému vstup/výstup do prevádzky by mohli zahŕňať neúplné </w:t>
            </w:r>
            <w:r>
              <w:rPr>
                <w:b/>
                <w:i/>
              </w:rPr>
              <w:t>alebo nepresné</w:t>
            </w:r>
            <w:r>
              <w:t xml:space="preserve"> súbory údajov na účely overenia v súlade s článkom 25a ods. 2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1 - pododsek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Rozhodnutia, ktoré by mohli nepriaznivo ovplyvniť jednotlivcov, sa teda nemôžu prijímať len na základe toho, že v systéme vstup/výstup chýba zaznamenanie údajného vstupu alebo výstupu.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Príslušné orgány, Komisia a príslušné agentúry Únie pri prístupe k údajom na účely vypracúvania správ a štatistík, ako sa uvádza v článku 63 nariadenia (EÚ) 2017/2226, prihliadajú na to, že údaje zaznamenané v systéme vstup/výstup môžu byť počas postupného uvádzania tohto systému do prevádzky neúplné.</w:t>
            </w:r>
          </w:p>
        </w:tc>
        <w:tc>
          <w:tcPr>
            <w:tcW w:w="4876" w:type="dxa"/>
            <w:tcBorders>
              <w:top w:val="nil"/>
              <w:left w:val="nil"/>
              <w:bottom w:val="nil"/>
              <w:right w:val="nil"/>
            </w:tcBorders>
          </w:tcPr>
          <w:p>
            <w:pPr>
              <w:pStyle w:val="Normal6a"/>
            </w:pPr>
            <w:r>
              <w:t>2.</w:t>
            </w:r>
            <w:r>
              <w:tab/>
            </w:r>
            <w:r>
              <w:t xml:space="preserve">Príslušné orgány, Komisia a príslušné agentúry Únie pri prístupe k údajom na účely vypracúvania správ a štatistík, ako sa uvádza v článku 63 nariadenia (EÚ) 2017/2226, prihliadajú na to, že údaje zaznamenané v systéme vstup/výstup môžu byť počas postupného uvádzania tohto systému do prevádzky neúplné </w:t>
            </w:r>
            <w:r>
              <w:rPr>
                <w:b/>
                <w:i/>
              </w:rPr>
              <w:t>alebo nepresné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Pri plnení povinností uvedených v článkoch 35 a 52 nariadenia (EÚ) 2017/2226 v súvislosti s doplnením osobných údajov zaznamenaných v systéme vstup/výstup členské štáty dopĺňajú príslušné údaje len v možnom rozsahu, pričom zohľadňujú obmedzenú dostupnosť súborov údajov zhromaždených počas postupného uvádzania systému vstup/výstup do prevádzky. V náležitých prípadoch sa v administratívnom rozhodnutí uvedenom v článku 52 ods. 4 nariadenia (EÚ) 2017/2226 odkazuje na podmienky stanovené v článku 4 tohto nariadenia, ktoré umožňujú registráciu neúplných súborov.</w:t>
            </w:r>
          </w:p>
        </w:tc>
        <w:tc>
          <w:tcPr>
            <w:tcW w:w="4876" w:type="dxa"/>
            <w:tcBorders>
              <w:top w:val="nil"/>
              <w:left w:val="nil"/>
              <w:bottom w:val="nil"/>
              <w:right w:val="nil"/>
            </w:tcBorders>
          </w:tcPr>
          <w:p>
            <w:pPr>
              <w:pStyle w:val="Normal6a"/>
            </w:pPr>
            <w:r>
              <w:t>4.</w:t>
            </w:r>
            <w:r>
              <w:tab/>
            </w:r>
            <w:r>
              <w:t xml:space="preserve">Pri plnení povinností uvedených v článkoch 35 a 52 nariadenia (EÚ) 2017/2226 v súvislosti s doplnením osobných údajov zaznamenaných v systéme vstup/výstup členské štáty dopĺňajú príslušné údaje len v možnom rozsahu, pričom zohľadňujú obmedzenú dostupnosť súborov údajov zhromaždených počas postupného uvádzania systému vstup/výstup do prevádzky. V náležitých prípadoch sa v administratívnom rozhodnutí uvedenom v článku 52 ods. 4 nariadenia (EÚ) 2017/2226 odkazuje na podmienky stanovené v článku 4 tohto nariadenia, ktoré umožňujú registráciu neúplných súborov. </w:t>
            </w:r>
            <w:r>
              <w:rPr>
                <w:b/>
                <w:i/>
              </w:rPr>
              <w:t>Možná neúplnosť údajov zaznamenaných v systéme vstup/výstup z dôvodu postupného uvádzania do prevádzky nesmie za žiadnych okolností byť dôvodom na odchýlenie sa od pravidiel stanovených v článkoch 52 a 53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Odchylne od článku 33 nariadenia (EÚ) 2017/2226 nemajú riadne oprávnení zamestnanci Europolu prístup k údajom zaznamenaným v systéme vstup/výstup počas postupného uvádzania systému vstup/výstup do prevádzky na účely v ňom stanovené.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1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Počas postupného uvádzania systému vstup/výstup do prevádzky môžu členské štáty úplne alebo čiastočne pozastaviť prevádzku systému vstup/výstup na určitých hraničných priechodoch </w:t>
            </w:r>
            <w:r>
              <w:rPr>
                <w:b/>
                <w:i/>
              </w:rPr>
              <w:t>za výnimočných okolností</w:t>
            </w:r>
            <w:r>
              <w:t xml:space="preserve"> zlyhania centrálneho systému vstup/výstup, vnútroštátnych systémov alebo komunikačnej infraštruktúry alebo udalostí vedúcich k premávke takej intenzity, že čakanie</w:t>
            </w:r>
            <w:r>
              <w:rPr>
                <w:b/>
                <w:i/>
              </w:rPr>
              <w:t xml:space="preserve">  </w:t>
            </w:r>
            <w:r>
              <w:t>na hraničnom priechode je neprimerane dlhé.</w:t>
            </w:r>
          </w:p>
        </w:tc>
        <w:tc>
          <w:tcPr>
            <w:tcW w:w="4876" w:type="dxa"/>
            <w:tcBorders>
              <w:top w:val="nil"/>
              <w:left w:val="nil"/>
              <w:bottom w:val="nil"/>
              <w:right w:val="nil"/>
            </w:tcBorders>
          </w:tcPr>
          <w:p>
            <w:pPr>
              <w:pStyle w:val="Normal6a"/>
            </w:pPr>
            <w:r>
              <w:t xml:space="preserve">Počas postupného uvádzania systému vstup/výstup do prevádzky môžu členské štáty úplne alebo čiastočne pozastaviť prevádzku systému vstup/výstup na určitých hraničných priechodoch </w:t>
            </w:r>
            <w:r>
              <w:rPr>
                <w:b/>
                <w:i/>
              </w:rPr>
              <w:t>v prípade</w:t>
            </w:r>
            <w:r>
              <w:t xml:space="preserve"> zlyhania centrálneho systému vstup/výstup, vnútroštátnych systémov alebo komunikačnej infraštruktúry alebo udalostí vedúcich k premávke takej intenzity, že čakanie na hraničnom priechode je neprimerane dlhé.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1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Počas postupného uvádzania systému vstup/výstup do prevádzky môžu členské štáty úplne alebo čiastočne pozastaviť prevádzku systému vstup/výstup na určitých hraničných priechodoch za výnimočných okolností zlyhania centrálneho systému vstup/výstup, vnútroštátnych systémov alebo komunikačnej infraštruktúry </w:t>
            </w:r>
            <w:r>
              <w:rPr>
                <w:b/>
                <w:i/>
              </w:rPr>
              <w:t>alebo udalostí vedúcich k premávke takej intenzity, že čakanie  na hraničnom priechode je neprimerane dlhé</w:t>
            </w:r>
            <w:r>
              <w:t>.</w:t>
            </w:r>
          </w:p>
        </w:tc>
        <w:tc>
          <w:tcPr>
            <w:tcW w:w="4876" w:type="dxa"/>
            <w:tcBorders>
              <w:top w:val="nil"/>
              <w:left w:val="nil"/>
              <w:bottom w:val="nil"/>
              <w:right w:val="nil"/>
            </w:tcBorders>
          </w:tcPr>
          <w:p>
            <w:pPr>
              <w:pStyle w:val="Normal6a"/>
            </w:pPr>
            <w:r>
              <w:t>Počas postupného uvádzania systému vstup/výstup do prevádzky môžu členské štáty úplne alebo čiastočne pozastaviť prevádzku systému vstup/výstup na určitých hraničných priechodoch za výnimočných okolností zlyhania centrálneho systému vstup/výstup, vnútroštátnych systémov alebo komunikačnej infraštruktúry.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1 – pododsek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 oboch prípadoch členské štáty bezodkladne a najneskôr do 6 hodín od začiatku pozastavenia oznámia Komisii a agentúre eu-LISA dôvod čiastočného alebo úplného pozastavenia a jeho očakávané trvanie a zabezpečia, aby prevádzkovatelia infraštruktúry hraničných priechodov a dopravcovia boli o takomto pozastavení riadne informovaní. Keď </w:t>
            </w:r>
            <w:r>
              <w:rPr>
                <w:b/>
                <w:i/>
              </w:rPr>
              <w:t>výnimočné</w:t>
            </w:r>
            <w:r>
              <w:t xml:space="preserve"> okolnosti, ktoré viedli k pozastaveniu, pominú, členské štáty to bezodkladne oznámia Komisii a agentúre eu-LISA.</w:t>
            </w:r>
          </w:p>
        </w:tc>
        <w:tc>
          <w:tcPr>
            <w:tcW w:w="4876" w:type="dxa"/>
            <w:tcBorders>
              <w:top w:val="nil"/>
              <w:left w:val="nil"/>
              <w:bottom w:val="nil"/>
              <w:right w:val="nil"/>
            </w:tcBorders>
          </w:tcPr>
          <w:p>
            <w:pPr>
              <w:pStyle w:val="Normal6a"/>
            </w:pPr>
            <w:r>
              <w:t>V oboch prípadoch členské štáty bezodkladne a najneskôr do 6 hodín od začiatku pozastavenia oznámia Komisii a agentúre eu-LISA dôvod čiastočného alebo úplného pozastavenia a jeho očakávané trvanie a zabezpečia, aby prevádzkovatelia infraštruktúry hraničných priechodov a dopravcovia boli o takomto pozastavení riadne informovaní. Keď okolnosti, ktoré viedli k pozastaveniu, pominú, členské štáty to bezodkladne oznámia Komisii a agentúre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 období 60 kalendárnych dní po skončení postupného uvádzania systému vstup/výstup do prevádzky môžu členské štáty čiastočne pozastaviť prevádzku systému vstup/výstup, ako sa uvádza v odseku 1 druhom pododseku, na určitom hraničnom priechode na obmedzený čas maximálne 6 hodín a len za výnimočných okolností </w:t>
            </w:r>
            <w:r>
              <w:rPr>
                <w:b/>
                <w:i/>
              </w:rPr>
              <w:t>vedúcich k premávke takej intenzity, že čakanie na hraničnom priechode je neprimerane dlhé</w:t>
            </w:r>
            <w:r>
              <w:t>. Členské štáty sú oslobodené od povinnosti stanovenej v článku 21 ods. 1 nariadenia (EÚ) 2017/2226, pokiaľ ide o biometrické údaje. V týchto prípadoch členské štáty bezodkladne a najneskôr do 6 hodín od začiatku pozastavenia oznámia Komisii a agentúre eu-LISA dôvod pozastavenia a jeho očakávané trvanie.</w:t>
            </w:r>
          </w:p>
        </w:tc>
        <w:tc>
          <w:tcPr>
            <w:tcW w:w="4876" w:type="dxa"/>
            <w:tcBorders>
              <w:top w:val="nil"/>
              <w:left w:val="nil"/>
              <w:bottom w:val="nil"/>
              <w:right w:val="nil"/>
            </w:tcBorders>
          </w:tcPr>
          <w:p>
            <w:pPr>
              <w:pStyle w:val="Normal6a"/>
            </w:pPr>
            <w:r>
              <w:t>2.</w:t>
            </w:r>
            <w:r>
              <w:tab/>
            </w:r>
            <w:r>
              <w:t>V období 60 kalendárnych dní po skončení postupného uvádzania systému vstup/výstup do prevádzky môžu členské štáty čiastočne pozastaviť prevádzku systému vstup/výstup, ako sa uvádza v odseku 1 druhom pododseku, na určitom hraničnom priechode na obmedzený čas maximálne 6 hodín a len za výnimočných okolností. Členské štáty sú oslobodené od povinnosti stanovenej v článku 21 ods. 1 nariadenia (EÚ) 2017/2226, pokiaľ ide o biometrické údaje. V týchto prípadoch členské štáty bezodkladne a najneskôr do 6 hodín od začiatku pozastavenia oznámia Komisii a agentúre eu-LISA dôvod pozastavenia a jeho očakávané trvanie.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 období 60 kalendárnych dní po skončení postupného uvádzania systému vstup/výstup do prevádzky môžu členské štáty čiastočne pozastaviť prevádzku systému vstup/výstup, ako sa uvádza v odseku 1 druhom pododseku, na určitom hraničnom priechode na obmedzený čas maximálne </w:t>
            </w:r>
            <w:r>
              <w:rPr>
                <w:b/>
                <w:i/>
              </w:rPr>
              <w:t>6 hodín</w:t>
            </w:r>
            <w:r>
              <w:t xml:space="preserve"> a len za výnimočných okolností vedúcich k premávke takej intenzity, že čakanie na hraničnom priechode je neprimerane dlhé. Členské štáty sú oslobodené od povinnosti stanovenej v článku 21 ods. 1 nariadenia (EÚ) 2017/2226, pokiaľ ide o biometrické údaje. V týchto prípadoch členské štáty bezodkladne a najneskôr do 6 hodín od začiatku pozastavenia oznámia Komisii a agentúre eu-LISA dôvod pozastavenia a jeho očakávané trvanie.</w:t>
            </w:r>
          </w:p>
        </w:tc>
        <w:tc>
          <w:tcPr>
            <w:tcW w:w="4876" w:type="dxa"/>
            <w:tcBorders>
              <w:top w:val="nil"/>
              <w:left w:val="nil"/>
              <w:bottom w:val="nil"/>
              <w:right w:val="nil"/>
            </w:tcBorders>
          </w:tcPr>
          <w:p>
            <w:pPr>
              <w:pStyle w:val="Normal6a"/>
            </w:pPr>
            <w:r>
              <w:t>2.</w:t>
            </w:r>
            <w:r>
              <w:tab/>
            </w:r>
            <w:r>
              <w:t xml:space="preserve">V období 60 kalendárnych dní po skončení postupného uvádzania systému vstup/výstup do prevádzky môžu členské štáty čiastočne pozastaviť prevádzku systému vstup/výstup, ako sa uvádza v odseku 1 druhom pododseku, na určitom hraničnom priechode na obmedzený čas maximálne </w:t>
            </w:r>
            <w:r>
              <w:rPr>
                <w:b/>
                <w:i/>
              </w:rPr>
              <w:t>4 hodiny za jeden deň</w:t>
            </w:r>
            <w:r>
              <w:t xml:space="preserve"> a len za výnimočných okolností vedúcich k premávke takej intenzity, že čakanie na hraničnom priechode je neprimerane dlhé. Členské štáty sú oslobodené od povinnosti stanovenej v článku 21 ods. 1 nariadenia (EÚ) 2017/2226, pokiaľ ide o biometrické údaje. V týchto prípadoch členské štáty bezodkladne a najneskôr do 6 hodín od začiatku pozastavenia oznámia Komisii a agentúre eu-LISA dôvod pozastavenia a jeho očakávané trvanie.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Počas trvania pozastavenia stanoveného v odsekoch 1 a 2 tohto článku sa neuplatňuje článok 6 ods. 1 písm. f) bod i) a ustanovenia o overovaní štátnych príslušníkov tretích krajín na základe biometrických údajov, a to výlučne na účely systému vstup/výstup uvedené v článku 6 písm. f) bode ii) a článku 8 ods. 3 písm. a) a g) nariadenia (EÚ) 2016/399.</w:t>
            </w:r>
            <w:r>
              <w:t xml:space="preserve"> </w:t>
            </w:r>
            <w:r>
              <w:rPr>
                <w:b/>
                <w:i/>
              </w:rPr>
              <w:t>Rozhodnutie o odopretí vstupu podľa nariadenia (EÚ) 2016/399 sa nesmie prijímať len na základe toho, že členský štát pozastavil zaznamenávanie biometrických údajov v systéme vstup/výstup.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Ak biometrické údaje obsahuje menej ako 80 % individuálnych zložiek zaznamenaných v systéme vstup/výstup počas postupného uvádzania systému vstup/výstup do prevádzky, lehota stanovená v odseku 2 tohto článku sa automaticky predĺži o </w:t>
            </w:r>
            <w:r>
              <w:rPr>
                <w:b/>
                <w:i/>
              </w:rPr>
              <w:t>60</w:t>
            </w:r>
            <w:r>
              <w:t xml:space="preserve"> kalendárnych dní.</w:t>
            </w:r>
          </w:p>
        </w:tc>
        <w:tc>
          <w:tcPr>
            <w:tcW w:w="4876" w:type="dxa"/>
            <w:tcBorders>
              <w:top w:val="nil"/>
              <w:left w:val="nil"/>
              <w:bottom w:val="nil"/>
              <w:right w:val="nil"/>
            </w:tcBorders>
          </w:tcPr>
          <w:p>
            <w:pPr>
              <w:pStyle w:val="Normal6a"/>
            </w:pPr>
            <w:r>
              <w:t>3.</w:t>
            </w:r>
            <w:r>
              <w:tab/>
            </w:r>
            <w:r>
              <w:t xml:space="preserve">Ak biometrické údaje obsahuje menej ako 80 % individuálnych zložiek zaznamenaných v systéme vstup/výstup počas postupného uvádzania systému vstup/výstup do prevádzky, lehota stanovená v odseku 2 tohto článku sa automaticky predĺži o </w:t>
            </w:r>
            <w:r>
              <w:rPr>
                <w:b/>
                <w:i/>
              </w:rPr>
              <w:t>90</w:t>
            </w:r>
            <w:r>
              <w:t xml:space="preserve"> kalendárnych dní.</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Týmto predĺžením lehoty by sa zabezpečilo efektívnejšie a jednoduchšie zavedenie systému EES, čím by sa zmiernili účinky vykonávania na oneskorenia na hraniciach a čakacie doby cestujúcich počas prechodného obdobia, hlavne v najvyťaženejších obdobiach, najmä počas leta.</w:t>
      </w:r>
    </w:p>
    <w:p>
      <w:r>
        <w:rPr>
          <w:rStyle w:val="HideTWBExt"/>
        </w:rPr>
        <w:t>&lt;/AmendB&gt;</w:t>
      </w:r>
    </w:p>
    <w:p>
      <w:pPr>
        <w:pStyle w:val="AmNumberTabs"/>
      </w:pPr>
      <w:r>
        <w:rPr>
          <w:rStyle w:val="HideTWBExt"/>
        </w:rPr>
        <w:t>&lt;AmendB&gt;</w:t>
      </w:r>
      <w:r>
        <w:t>Pozmeňujúci návrh</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Ukončenie postupného uvádzania do prevádzky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Obdobie postupného uvádzania systému vstup/výstup do prevádzky sa neskončí, pokiaľ nie sú splnené všetky tieto požiadavky: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členské štáty prevádzkujú systém vstup/výstup v súlade s článkom 4 ods. 5 najmenej 90 po sebe nasledujúcich dní;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žiadny členský štát nevyužil pozastavenie systému vstup/výstup v súlade s článkom 7 najmenej 150 po sebe idúcich dní;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počas najmenej 90 po sebe nasledujúcich dní nedošlo k poruche centrálneho systému vstup/výstup.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Keď Komisia zistí, že požiadavky uvedené v odseku 1 boli splnené, informuje členské štáty, agentúru eu-LISA a Europol o ukončení postupného uvádzania systému vstup/výstup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1 – pododsek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Uplatňuje sa od dátumu uvedenia systému vstup/výstup do prevádzky určeného Komisiou v súlade s článkom 66 ods. 1 nariadenia (EÚ) 2017/2226.</w:t>
            </w:r>
          </w:p>
        </w:tc>
        <w:tc>
          <w:tcPr>
            <w:tcW w:w="4876" w:type="dxa"/>
            <w:tcBorders>
              <w:top w:val="nil"/>
              <w:left w:val="nil"/>
              <w:bottom w:val="nil"/>
              <w:right w:val="nil"/>
            </w:tcBorders>
          </w:tcPr>
          <w:p>
            <w:pPr>
              <w:pStyle w:val="Normal6a"/>
            </w:pPr>
            <w:r>
              <w:t>Uplatňuje sa od dátumu uvedenia systému vstup/výstup do prevádzky určeného Komisiou v súlade s článkom 66 ods. 1 nariadenia (EÚ) 2017/2226</w:t>
            </w:r>
            <w:r>
              <w:rPr>
                <w:b/>
                <w:i/>
              </w:rPr>
              <w:t>, najneskôr 90 dní od nadobudnutia účinnosti tohto nariadenia alebo 60 dní od predloženia posledného vyhlásenia o pripravenosti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2 – pododsek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Toto nariadenie sa prestane uplatňovať </w:t>
            </w:r>
            <w:r>
              <w:rPr>
                <w:b/>
                <w:i/>
              </w:rPr>
              <w:t>180</w:t>
            </w:r>
            <w:r>
              <w:t xml:space="preserve"> kalendárnych dní </w:t>
            </w:r>
            <w:r>
              <w:rPr>
                <w:b/>
                <w:i/>
              </w:rPr>
              <w:t>od dátumu uvedenia systému vstup/výstup do prevádzky určeného Komisiou</w:t>
            </w:r>
            <w:r>
              <w:t xml:space="preserve"> v súlade s článkom </w:t>
            </w:r>
            <w:r>
              <w:rPr>
                <w:b/>
                <w:i/>
              </w:rPr>
              <w:t>66 ods. 1 nariadenia (EÚ) 2017/2226</w:t>
            </w:r>
            <w:r>
              <w:t>. Avšak:</w:t>
            </w:r>
          </w:p>
        </w:tc>
        <w:tc>
          <w:tcPr>
            <w:tcW w:w="4876" w:type="dxa"/>
            <w:tcBorders>
              <w:top w:val="nil"/>
              <w:left w:val="nil"/>
              <w:bottom w:val="nil"/>
              <w:right w:val="nil"/>
            </w:tcBorders>
          </w:tcPr>
          <w:p>
            <w:pPr>
              <w:pStyle w:val="Normal6a"/>
            </w:pPr>
            <w:r>
              <w:t xml:space="preserve">Toto nariadenie sa prestane uplatňovať </w:t>
            </w:r>
            <w:r>
              <w:rPr>
                <w:b/>
                <w:i/>
              </w:rPr>
              <w:t>30</w:t>
            </w:r>
            <w:r>
              <w:t xml:space="preserve"> kalendárnych dní </w:t>
            </w:r>
            <w:r>
              <w:rPr>
                <w:b/>
                <w:i/>
              </w:rPr>
              <w:t>po tom, ako Komisia informuje členské štáty, agentúru eu-LISA a Europol</w:t>
            </w:r>
            <w:r>
              <w:t xml:space="preserve"> v súlade s článkom </w:t>
            </w:r>
            <w:r>
              <w:rPr>
                <w:b/>
                <w:i/>
              </w:rPr>
              <w:t>7a ods. 2</w:t>
            </w:r>
            <w:r>
              <w:t>. Avšak: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2 – pododsek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článok 5 ods. 13 sa prestane uplatňovať 5 rokov a 180 kalendárnych dní po dátume určenom Komisiou v súlade s článkom </w:t>
            </w:r>
            <w:r>
              <w:rPr>
                <w:b/>
                <w:i/>
              </w:rPr>
              <w:t>66 ods. 1 nariadenia (EÚ) 2017/2226</w:t>
            </w:r>
            <w:r>
              <w:t>;</w:t>
            </w:r>
          </w:p>
        </w:tc>
        <w:tc>
          <w:tcPr>
            <w:tcW w:w="4876" w:type="dxa"/>
            <w:tcBorders>
              <w:top w:val="nil"/>
              <w:left w:val="nil"/>
              <w:bottom w:val="nil"/>
              <w:right w:val="nil"/>
            </w:tcBorders>
          </w:tcPr>
          <w:p>
            <w:pPr>
              <w:pStyle w:val="Normal6a"/>
            </w:pPr>
            <w:r>
              <w:t>a)</w:t>
            </w:r>
            <w:r>
              <w:tab/>
            </w:r>
            <w:r>
              <w:t xml:space="preserve">článok 5 ods. 13 sa prestane uplatňovať 5 rokov a 180 kalendárnych dní po dátume určenom Komisiou v súlade s článkom </w:t>
            </w:r>
            <w:r>
              <w:rPr>
                <w:b/>
                <w:i/>
              </w:rPr>
              <w:t>7a ods.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2 – pododsek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článok 6 ods. 1, 2, 4 a 5 sa prestane uplatňovať 5 rokov a 180 kalendárnych dní po dátume určenom Komisiou v súlade s článkom </w:t>
            </w:r>
            <w:r>
              <w:rPr>
                <w:b/>
                <w:i/>
              </w:rPr>
              <w:t>66 ods. 1 nariadenia (EÚ) 2017/2226</w:t>
            </w:r>
            <w:r>
              <w:t>;</w:t>
            </w:r>
          </w:p>
        </w:tc>
        <w:tc>
          <w:tcPr>
            <w:tcW w:w="4876" w:type="dxa"/>
            <w:tcBorders>
              <w:top w:val="nil"/>
              <w:left w:val="nil"/>
              <w:bottom w:val="nil"/>
              <w:right w:val="nil"/>
            </w:tcBorders>
          </w:tcPr>
          <w:p>
            <w:pPr>
              <w:pStyle w:val="Normal6a"/>
            </w:pPr>
            <w:r>
              <w:t>b)</w:t>
            </w:r>
            <w:r>
              <w:tab/>
            </w:r>
            <w:r>
              <w:t xml:space="preserve">článok 6 ods. 1, 2, 4 a 5 sa prestane uplatňovať 5 rokov a 180 kalendárnych dní po dátume určenom Komisiou v súlade s článkom </w:t>
            </w:r>
            <w:r>
              <w:rPr>
                <w:b/>
                <w:i/>
              </w:rPr>
              <w:t>7a ods.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2 – pododsek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článok 6 ods. 1, 2, 4 </w:t>
            </w:r>
            <w:r>
              <w:rPr>
                <w:b/>
                <w:i/>
              </w:rPr>
              <w:t>a 5</w:t>
            </w:r>
            <w:r>
              <w:t xml:space="preserve"> sa prestane uplatňovať 5 rokov a 180 kalendárnych dní po dátume určenom Komisiou v súlade s článkom 66 ods. 1 nariadenia (EÚ) 2017/2226;</w:t>
            </w:r>
          </w:p>
        </w:tc>
        <w:tc>
          <w:tcPr>
            <w:tcW w:w="4876" w:type="dxa"/>
            <w:tcBorders>
              <w:top w:val="nil"/>
              <w:left w:val="nil"/>
              <w:bottom w:val="nil"/>
              <w:right w:val="nil"/>
            </w:tcBorders>
          </w:tcPr>
          <w:p>
            <w:pPr>
              <w:pStyle w:val="Normal6a"/>
            </w:pPr>
            <w:r>
              <w:t>b)</w:t>
            </w:r>
            <w:r>
              <w:tab/>
            </w:r>
            <w:r>
              <w:t>článok 6 ods. 1, 2, 4</w:t>
            </w:r>
            <w:r>
              <w:rPr>
                <w:b/>
                <w:i/>
              </w:rPr>
              <w:t>, 5 a 5a</w:t>
            </w:r>
            <w:r>
              <w:t xml:space="preserve"> sa prestane uplatňovať 5 rokov a 180 kalendárnych dní po dátume určenom Komisiou v súlade s článkom 66 ods. 1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2 – pododsek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článok 6 ods. 3 druhý pododsek sa prestane uplatňovať 360 kalendárnych dní po dátume určenom Komisiou v súlade s článkom </w:t>
            </w:r>
            <w:r>
              <w:rPr>
                <w:b/>
                <w:i/>
              </w:rPr>
              <w:t>66 ods. 1 nariadenia (EÚ) 2017/2226</w:t>
            </w:r>
            <w:r>
              <w:t>;</w:t>
            </w:r>
          </w:p>
        </w:tc>
        <w:tc>
          <w:tcPr>
            <w:tcW w:w="4876" w:type="dxa"/>
            <w:tcBorders>
              <w:top w:val="nil"/>
              <w:left w:val="nil"/>
              <w:bottom w:val="nil"/>
              <w:right w:val="nil"/>
            </w:tcBorders>
          </w:tcPr>
          <w:p>
            <w:pPr>
              <w:pStyle w:val="Normal6a"/>
            </w:pPr>
            <w:r>
              <w:t>c)</w:t>
            </w:r>
            <w:r>
              <w:tab/>
            </w:r>
            <w:r>
              <w:t xml:space="preserve">článok 6 ods. 3 druhý pododsek sa prestane uplatňovať 360 kalendárnych dní po dátume určenom Komisiou v súlade s článkom </w:t>
            </w:r>
            <w:r>
              <w:rPr>
                <w:b/>
                <w:i/>
              </w:rPr>
              <w:t>7a ods.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2 – pododsek 1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článok 7 ods. 2 a 3 sa prestane uplatňovať 300 kalendárnych dní po dátume určenom Komisiou v súlade s článkom 66 ods. 1 nariadenia (EÚ) 2017/2226;</w:t>
            </w:r>
          </w:p>
        </w:tc>
        <w:tc>
          <w:tcPr>
            <w:tcW w:w="4876" w:type="dxa"/>
            <w:tcBorders>
              <w:top w:val="nil"/>
              <w:left w:val="nil"/>
              <w:bottom w:val="nil"/>
              <w:right w:val="nil"/>
            </w:tcBorders>
          </w:tcPr>
          <w:p>
            <w:pPr>
              <w:pStyle w:val="Normal6a"/>
            </w:pPr>
            <w:r>
              <w:t>d)</w:t>
            </w:r>
            <w:r>
              <w:tab/>
            </w:r>
            <w:r>
              <w:t>článok 7 ods. 2</w:t>
            </w:r>
            <w:r>
              <w:rPr>
                <w:b/>
                <w:i/>
              </w:rPr>
              <w:t>, 2a</w:t>
            </w:r>
            <w:r>
              <w:t xml:space="preserve"> a 3 sa prestane uplatňovať 300 kalendárnych dní po dátume určenom Komisiou v súlade s článkom 66 ods. 1 nariadenia (EÚ)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2 – pododsek 1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článok 7 ods. 2 a 3 sa prestane uplatňovať 300 kalendárnych dní po dátume určenom Komisiou v súlade s článkom </w:t>
            </w:r>
            <w:r>
              <w:rPr>
                <w:b/>
                <w:i/>
              </w:rPr>
              <w:t>66 ods. 1 nariadenia (EÚ) 2017/2226</w:t>
            </w:r>
            <w:r>
              <w:t>;</w:t>
            </w:r>
          </w:p>
        </w:tc>
        <w:tc>
          <w:tcPr>
            <w:tcW w:w="4876" w:type="dxa"/>
            <w:tcBorders>
              <w:top w:val="nil"/>
              <w:left w:val="nil"/>
              <w:bottom w:val="nil"/>
              <w:right w:val="nil"/>
            </w:tcBorders>
          </w:tcPr>
          <w:p>
            <w:pPr>
              <w:pStyle w:val="Normal6a"/>
            </w:pPr>
            <w:r>
              <w:t>d)</w:t>
            </w:r>
            <w:r>
              <w:tab/>
            </w:r>
            <w:r>
              <w:t xml:space="preserve">článok 7 ods. 2 a 3 sa prestane uplatňovať 300 kalendárnych dní po dátume určenom Komisiou v súlade s článkom </w:t>
            </w:r>
            <w:r>
              <w:rPr>
                <w:b/>
                <w:i/>
              </w:rPr>
              <w:t>7a ods.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Pozmeňujúci návrh</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2 – pododsek 1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článok 7 ods. 4 sa prestane uplatňovať 210 kalendárnych dní po dátume určenom Komisiou v súlade s článkom </w:t>
            </w:r>
            <w:r>
              <w:rPr>
                <w:b/>
                <w:i/>
              </w:rPr>
              <w:t>66 ods. 1 nariadenia (EÚ) 2017/2226</w:t>
            </w:r>
            <w:r>
              <w:t>.</w:t>
            </w:r>
          </w:p>
        </w:tc>
        <w:tc>
          <w:tcPr>
            <w:tcW w:w="4876" w:type="dxa"/>
            <w:tcBorders>
              <w:top w:val="nil"/>
              <w:left w:val="nil"/>
              <w:bottom w:val="nil"/>
              <w:right w:val="nil"/>
            </w:tcBorders>
          </w:tcPr>
          <w:p>
            <w:pPr>
              <w:pStyle w:val="Normal6a"/>
            </w:pPr>
            <w:r>
              <w:t>e)</w:t>
            </w:r>
            <w:r>
              <w:tab/>
            </w:r>
            <w:r>
              <w:t xml:space="preserve">článok 7 ods. 4 sa prestane uplatňovať 210 kalendárnych dní po dátume určenom Komisiou v súlade s článkom </w:t>
            </w:r>
            <w:r>
              <w:rPr>
                <w:b/>
                <w:i/>
              </w:rPr>
              <w:t>7a ods.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77</w:t>
    </w:r>
    <w:r>
      <w:fldChar w:fldCharType="end"/>
    </w:r>
    <w:r>
      <w:tab/>
    </w:r>
    <w:r>
      <w:rPr>
        <w:rStyle w:val="HideTWBExt"/>
      </w:rPr>
      <w:t>&lt;PathFdR&gt;</w:t>
    </w:r>
    <w:r>
      <w:t>AM\1318321SK.docx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AM\1318321SK.docx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77</w:t>
    </w:r>
    <w:r>
      <w:fldChar w:fldCharType="end"/>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AM\1318321SK.docx</w:t>
    </w:r>
    <w:r>
      <w:rPr>
        <w:rStyle w:val="HideTWBExt"/>
      </w:rPr>
      <w:t>&lt;/PathFdR&gt;</w:t>
    </w:r>
    <w:r>
      <w:tab/>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77</Pages>
  <Words>20147</Words>
  <Characters>126903</Characters>
  <Application>Microsoft Office Word</Application>
  <DocSecurity>0</DocSecurity>
  <Lines>1</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163531</vt:lpwstr>
  </property>
  <property fmtid="{D5CDD505-2E9C-101B-9397-08002B2CF9AE}" pid="7" name="dmxml.render.traceId">
    <vt:lpwstr>67f8f02e3d7e36b8b3bac4f297537a62</vt:lpwstr>
  </property>
  <property fmtid="{D5CDD505-2E9C-101B-9397-08002B2CF9AE}" pid="8" name="FooterPath">
    <vt:lpwstr>AM\1318321SK.docx</vt:lpwstr>
  </property>
  <property fmtid="{D5CDD505-2E9C-101B-9397-08002B2CF9AE}" pid="9" name="PE Number">
    <vt:lpwstr>772.011</vt:lpwstr>
  </property>
  <property fmtid="{D5CDD505-2E9C-101B-9397-08002B2CF9AE}" pid="10" name="UID">
    <vt:lpwstr>eu.europa.europarl-DIN1-2025-0000065457_02.00-sk-01.00_text-xml</vt:lpwstr>
  </property>
</Properties>
</file>