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Utskottet för medborgerliga fri- och rättigheter samt rättsliga och inrikes frågor</w:t>
      </w:r>
      <w:r>
        <w:rPr>
          <w:rStyle w:val="HideTWBExt"/>
        </w:rPr>
        <w:t>&lt;/Commission&gt;</w:t>
      </w:r>
    </w:p>
    <w:p>
      <w:pPr>
        <w:pStyle w:val="LineBottom"/>
      </w:pPr>
      <w:r>
        <w:t xml:space="preserve"> </w:t>
      </w:r>
    </w:p>
    <w:p>
      <w:pPr>
        <w:pStyle w:val="CoverReference"/>
      </w:pPr>
      <w:r>
        <w:rPr>
          <w:rStyle w:val="HideTWBExt"/>
        </w:rPr>
        <w:t>&lt;RefProc&gt;</w:t>
      </w:r>
      <w:r>
        <w:t>2024/0315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{01/04/2025}</w:t>
      </w:r>
      <w:r>
        <w:t>1.4.2025</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29</w:t>
      </w:r>
      <w:r>
        <w:t xml:space="preserve"> - </w:t>
      </w:r>
      <w:r>
        <w:t>151</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(PE770.093v01-00)</w:t>
      </w:r>
      <w:r>
        <w:rPr>
          <w:rStyle w:val="HideTWBExt"/>
        </w:rPr>
        <w:t>&lt;/DocRefPE&gt;</w:t>
      </w:r>
    </w:p>
    <w:p>
      <w:pPr>
        <w:pStyle w:val="CoverNormal24a"/>
      </w:pPr>
      <w:r>
        <w:rPr>
          <w:rStyle w:val="HideTWBExt"/>
        </w:rPr>
        <w:t>&lt;Titre&gt;</w:t>
      </w:r>
      <w:r>
        <w:t>Tillfälligt undantag från vissa bestämmelser i förordning (EU) 2017/2226 och förordning (EU) 2016/399 vad gäller en gradvis driftsstart av in- och utresesystemet</w:t>
      </w:r>
      <w:r>
        <w:rPr>
          <w:rStyle w:val="HideTWBExt"/>
        </w:rPr>
        <w:t>&lt;/Titre&gt;</w:t>
      </w:r>
    </w:p>
    <w:p>
      <w:pPr>
        <w:pStyle w:val="CoverNormal"/>
      </w:pPr>
      <w:r>
        <w:rPr>
          <w:rStyle w:val="HideTWBExt"/>
        </w:rPr>
        <w:t>&lt;DocAmend&gt;</w:t>
      </w:r>
      <w:r>
        <w:t>Förslag till förordning</w:t>
      </w:r>
      <w:r>
        <w:rPr>
          <w:rStyle w:val="HideTWBExt"/>
        </w:rPr>
        <w:t>&lt;/DocAmend&gt;</w:t>
      </w:r>
    </w:p>
    <w:p>
      <w:pPr>
        <w:pStyle w:val="CoverNormal24a"/>
      </w:pPr>
      <w:r>
        <w:rPr>
          <w:rStyle w:val="HideTWBExt"/>
        </w:rPr>
        <w:t>&lt;DocRef&gt;</w:t>
      </w:r>
      <w:r>
        <w:t>(COM(2024)0567 – 2024/0315(COD))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Ändringsförslag</w:t>
      </w:r>
      <w:r>
        <w:tab/>
      </w:r>
      <w:r>
        <w:tab/>
      </w:r>
      <w:r>
        <w:rPr>
          <w:rStyle w:val="HideTWBExt"/>
        </w:rPr>
        <w:t>&lt;NumAmA&gt;</w:t>
      </w:r>
      <w:r>
        <w:t>29</w:t>
      </w:r>
      <w:r>
        <w:rPr>
          <w:rStyle w:val="HideTWBExt"/>
        </w:rPr>
        <w:t>&lt;/NumAmA&gt;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lagstiftningsresolution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lagstiftningsresolution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w:t>
            </w:r>
            <w:r>
              <w:rPr>
                <w:b/>
                <w:i/>
              </w:rPr>
              <w:t>antar nedanstående ståndpunkt vid första behandlingen</w:t>
            </w:r>
            <w:r>
              <w:t>.</w:t>
            </w:r>
          </w:p>
        </w:tc>
        <w:tc>
          <w:tcPr>
            <w:tcW w:w="4876" w:type="dxa"/>
            <w:tcBorders>
              <w:top w:val="nil"/>
              <w:left w:val="nil"/>
              <w:bottom w:val="nil"/>
              <w:right w:val="nil"/>
            </w:tcBorders>
          </w:tcPr>
          <w:p>
            <w:pPr>
              <w:pStyle w:val="Normal6a"/>
            </w:pPr>
            <w:r>
              <w:t>1.</w:t>
            </w:r>
            <w:r>
              <w:tab/>
            </w:r>
            <w:r>
              <w:t xml:space="preserve">Europaparlamentet </w:t>
            </w:r>
            <w:r>
              <w:rPr>
                <w:b/>
                <w:i/>
              </w:rPr>
              <w:t>förkastar kommissionens förslag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Ändringsförslag</w:t>
      </w:r>
      <w:r>
        <w:tab/>
      </w:r>
      <w:r>
        <w:tab/>
      </w:r>
      <w:r>
        <w:rPr>
          <w:rStyle w:val="HideTWBExt"/>
        </w:rPr>
        <w:t>&lt;NumAmB&gt;</w:t>
      </w:r>
      <w:r>
        <w:t>30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Kommissionen har dock inte mottagit alla anmälningar enligt artikel 66.1 c i förordning (EU) 2017/2226, vilket är ett av villkoren för att den ska kunna fastställa att in- och utresesystemet ska tas i drift.</w:t>
            </w:r>
          </w:p>
        </w:tc>
        <w:tc>
          <w:tcPr>
            <w:tcW w:w="4876" w:type="dxa"/>
            <w:tcBorders>
              <w:top w:val="nil"/>
              <w:left w:val="nil"/>
              <w:bottom w:val="nil"/>
              <w:right w:val="nil"/>
            </w:tcBorders>
          </w:tcPr>
          <w:p>
            <w:pPr>
              <w:pStyle w:val="Normal6a"/>
            </w:pPr>
            <w:r>
              <w:t>(2)</w:t>
            </w:r>
            <w:r>
              <w:tab/>
            </w:r>
            <w:r>
              <w:t xml:space="preserve">Kommissionen har dock inte mottagit alla anmälningar enligt artikel 66.1 c i förordning (EU) 2017/2226, vilket är ett av villkoren för att den ska kunna fastställa att in- och utresesystemet ska tas i drift. </w:t>
            </w:r>
            <w:r>
              <w:rPr>
                <w:b/>
                <w:i/>
              </w:rPr>
              <w:t>Dessutom kan en ”big bang”-strategi som innebär att man går in för fullskalig drift över en natt äventyra systemets övergripande motståndskraft.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Oavsett vilka anmälningar som tas emot är det bättre att anta en progressiv strategi när man inför ett komplext system som är kopplat till kritisk infrastruktur.</w:t>
      </w:r>
    </w:p>
    <w:p>
      <w:r>
        <w:rPr>
          <w:rStyle w:val="HideTWBExt"/>
        </w:rPr>
        <w:t>&lt;/AmendB&gt;</w:t>
      </w:r>
    </w:p>
    <w:p>
      <w:pPr>
        <w:pStyle w:val="AmNumberTabs"/>
      </w:pPr>
      <w:r>
        <w:rPr>
          <w:rStyle w:val="HideTWBExt"/>
        </w:rPr>
        <w:t>&lt;AmendB&gt;</w:t>
      </w:r>
      <w:r>
        <w:t>Ändringsförslag</w:t>
      </w:r>
      <w:r>
        <w:tab/>
      </w:r>
      <w:r>
        <w:tab/>
      </w:r>
      <w:r>
        <w:rPr>
          <w:rStyle w:val="HideTWBExt"/>
        </w:rPr>
        <w:t>&lt;NumAmB&gt;</w:t>
      </w:r>
      <w:r>
        <w:t>31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För att ge medlemsstaterna den flexibilitet som krävs för att de ska kunna börja använda in- och utresesystemet i den utsträckning de är redo och underlätta tekniska och operativa anpassningar vid driftsstarten av in- och utresesystemet är det nödvändigt att fastställa regler för en gradvis driftsstart av in- och utresesystemet. För att säkerställa att dessa justeringar återspeglar potentiella reseflöden och säsongstoppar bör den gradvisa starten </w:t>
            </w:r>
            <w:r>
              <w:rPr>
                <w:b/>
                <w:i/>
              </w:rPr>
              <w:t>ske under 180 kalenderdagar</w:t>
            </w:r>
            <w:r>
              <w:t>.</w:t>
            </w:r>
          </w:p>
        </w:tc>
        <w:tc>
          <w:tcPr>
            <w:tcW w:w="4876" w:type="dxa"/>
            <w:tcBorders>
              <w:top w:val="nil"/>
              <w:left w:val="nil"/>
              <w:bottom w:val="nil"/>
              <w:right w:val="nil"/>
            </w:tcBorders>
          </w:tcPr>
          <w:p>
            <w:pPr>
              <w:pStyle w:val="Normal6a"/>
            </w:pPr>
            <w:r>
              <w:t>(4)</w:t>
            </w:r>
            <w:r>
              <w:tab/>
            </w:r>
            <w:r>
              <w:t xml:space="preserve">För att ge medlemsstaterna den flexibilitet som krävs för att de ska kunna börja använda in- och utresesystemet i den utsträckning de är redo och underlätta tekniska och operativa anpassningar vid driftsstarten av in- och utresesystemet är det nödvändigt att fastställa regler för en gradvis driftsstart av in- och utresesystemet. För att säkerställa att dessa justeringar återspeglar potentiella reseflöden och säsongstoppar bör den gradvisa starten </w:t>
            </w:r>
            <w:r>
              <w:rPr>
                <w:b/>
                <w:i/>
              </w:rPr>
              <w:t>slutföras först när det fastställts att in- och utresesystemet fungerar som det ska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För att ge medlemsstaterna den flexibilitet som krävs för att de ska kunna börja använda in- och utresesystemet i den utsträckning de är redo och underlätta tekniska och operativa anpassningar vid driftsstarten av in- och utresesystemet är det nödvändigt att fastställa regler för en gradvis driftsstart av in- och utresesystemet. För att säkerställa att dessa justeringar återspeglar potentiella reseflöden och säsongstoppar bör den gradvisa starten ske under 180 kalenderdagar.</w:t>
            </w:r>
          </w:p>
        </w:tc>
        <w:tc>
          <w:tcPr>
            <w:tcW w:w="4876" w:type="dxa"/>
            <w:tcBorders>
              <w:top w:val="nil"/>
              <w:left w:val="nil"/>
              <w:bottom w:val="nil"/>
              <w:right w:val="nil"/>
            </w:tcBorders>
          </w:tcPr>
          <w:p>
            <w:pPr>
              <w:pStyle w:val="Normal6a"/>
            </w:pPr>
            <w:r>
              <w:t>(4)</w:t>
            </w:r>
            <w:r>
              <w:tab/>
            </w:r>
            <w:r>
              <w:t xml:space="preserve">För att ge medlemsstaterna den flexibilitet som krävs för att de </w:t>
            </w:r>
            <w:r>
              <w:rPr>
                <w:b/>
                <w:i/>
              </w:rPr>
              <w:t>inom en tydligt definierad tidsperiod</w:t>
            </w:r>
            <w:r>
              <w:t xml:space="preserve"> ska kunna börja använda in- och utresesystemet i den utsträckning de är redo och underlätta tekniska och operativa anpassningar vid driftsstarten av in- och utresesystemet är det nödvändigt att fastställa regler för en gradvis driftsstart av in- och utresesystemet. För att säkerställa att dessa justeringar återspeglar potentiella reseflöden och säsongstoppar bör den gradvisa starten ske under 180 kalenderdagar.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För att </w:t>
            </w:r>
            <w:r>
              <w:rPr>
                <w:b/>
                <w:i/>
              </w:rPr>
              <w:t>ge medlemsstaterna den flexibilitet som krävs för att de ska kunna börja använda in- och utresesystemet i den utsträckning de är redo</w:t>
            </w:r>
            <w:r>
              <w:t xml:space="preserve"> och underlätta tekniska och operativa anpassningar vid driftsstarten av in- och utresesystemet är det nödvändigt att fastställa regler för en gradvis driftsstart av in- och utresesystemet. För att säkerställa att dessa justeringar återspeglar potentiella reseflöden och säsongstoppar bör den gradvisa starten ske under 180 kalenderdagar.</w:t>
            </w:r>
          </w:p>
        </w:tc>
        <w:tc>
          <w:tcPr>
            <w:tcW w:w="4876" w:type="dxa"/>
            <w:tcBorders>
              <w:top w:val="nil"/>
              <w:left w:val="nil"/>
              <w:bottom w:val="nil"/>
              <w:right w:val="nil"/>
            </w:tcBorders>
          </w:tcPr>
          <w:p>
            <w:pPr>
              <w:pStyle w:val="Normal6a"/>
            </w:pPr>
            <w:r>
              <w:t>(4)</w:t>
            </w:r>
            <w:r>
              <w:tab/>
            </w:r>
            <w:r>
              <w:t xml:space="preserve">För att </w:t>
            </w:r>
            <w:r>
              <w:rPr>
                <w:b/>
                <w:i/>
              </w:rPr>
              <w:t>minimera fördröjningen</w:t>
            </w:r>
            <w:r>
              <w:t xml:space="preserve"> och underlätta tekniska och operativa anpassningar vid driftsstarten av in- och utresesystemet är det nödvändigt att fastställa regler för en gradvis driftsstart av in- och utresesystemet </w:t>
            </w:r>
            <w:r>
              <w:rPr>
                <w:b/>
                <w:i/>
              </w:rPr>
              <w:t>för att underlätta ett snabbt införande i alla medlemsstater</w:t>
            </w:r>
            <w:r>
              <w:t>. För att säkerställa att dessa justeringar återspeglar potentiella reseflöden och säsongstoppar bör den gradvisa starten ske under 180 kalenderdagar.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34</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För att </w:t>
            </w:r>
            <w:r>
              <w:rPr>
                <w:b/>
                <w:i/>
              </w:rPr>
              <w:t>ge medlemsstaterna den flexibilitet som krävs</w:t>
            </w:r>
            <w:r>
              <w:t xml:space="preserve"> för att </w:t>
            </w:r>
            <w:r>
              <w:rPr>
                <w:b/>
                <w:i/>
              </w:rPr>
              <w:t>de ska kunna börja</w:t>
            </w:r>
            <w:r>
              <w:t xml:space="preserve"> använda in- och utresesystemet </w:t>
            </w:r>
            <w:r>
              <w:rPr>
                <w:b/>
                <w:i/>
              </w:rPr>
              <w:t>i den utsträckning de är redo och underlätta</w:t>
            </w:r>
            <w:r>
              <w:t xml:space="preserve"> tekniska och operativa anpassningar </w:t>
            </w:r>
            <w:r>
              <w:rPr>
                <w:b/>
                <w:i/>
              </w:rPr>
              <w:t>vid driftsstarten av</w:t>
            </w:r>
            <w:r>
              <w:t xml:space="preserve"> in- och utresesystemet är det nödvändigt att fastställa regler för en gradvis driftsstart av in- och utresesystemet. För att säkerställa att dessa justeringar </w:t>
            </w:r>
            <w:r>
              <w:rPr>
                <w:b/>
                <w:i/>
              </w:rPr>
              <w:t>återspeglar</w:t>
            </w:r>
            <w:r>
              <w:t xml:space="preserve"> potentiella reseflöden och säsongstoppar bör den gradvisa starten ske under 180 kalenderdagar.</w:t>
            </w:r>
          </w:p>
        </w:tc>
        <w:tc>
          <w:tcPr>
            <w:tcW w:w="4876" w:type="dxa"/>
            <w:tcBorders>
              <w:top w:val="nil"/>
              <w:left w:val="nil"/>
              <w:bottom w:val="nil"/>
              <w:right w:val="nil"/>
            </w:tcBorders>
          </w:tcPr>
          <w:p>
            <w:pPr>
              <w:pStyle w:val="Normal6a"/>
            </w:pPr>
            <w:r>
              <w:t>(4)</w:t>
            </w:r>
            <w:r>
              <w:tab/>
            </w:r>
            <w:r>
              <w:t xml:space="preserve">För att </w:t>
            </w:r>
            <w:r>
              <w:rPr>
                <w:b/>
                <w:i/>
              </w:rPr>
              <w:t>säkerställa en smidig lansering av in- och utresesystemet,</w:t>
            </w:r>
            <w:r>
              <w:t xml:space="preserve"> för att </w:t>
            </w:r>
            <w:r>
              <w:rPr>
                <w:b/>
                <w:i/>
              </w:rPr>
              <w:t>ge medlemsstaterna en viss flexibilitet när de börjar</w:t>
            </w:r>
            <w:r>
              <w:t xml:space="preserve"> använda in- och utresesystemet </w:t>
            </w:r>
            <w:r>
              <w:rPr>
                <w:b/>
                <w:i/>
              </w:rPr>
              <w:t>för första gången och för att möjliggöra</w:t>
            </w:r>
            <w:r>
              <w:t xml:space="preserve"> tekniska och operativa anpassningar </w:t>
            </w:r>
            <w:r>
              <w:rPr>
                <w:b/>
                <w:i/>
              </w:rPr>
              <w:t>när</w:t>
            </w:r>
            <w:r>
              <w:t xml:space="preserve"> in- och utresesystemet är </w:t>
            </w:r>
            <w:r>
              <w:rPr>
                <w:b/>
                <w:i/>
              </w:rPr>
              <w:t>i drift, är</w:t>
            </w:r>
            <w:r>
              <w:t xml:space="preserve"> det nödvändigt att fastställa regler för en gradvis driftsstart av in- och utresesystemet. För att säkerställa att dessa justeringar </w:t>
            </w:r>
            <w:r>
              <w:rPr>
                <w:b/>
                <w:i/>
              </w:rPr>
              <w:t>tar i beaktande</w:t>
            </w:r>
            <w:r>
              <w:t xml:space="preserve"> potentiella reseflöden och säsongstoppar bör den gradvisa starten ske under 180 kalenderdagar.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För att in- och utresesystemet ska kunna tas i drift gradvis är det därför nödvändigt att göra undantag från vissa bestämmelser i förordning (EU) 2017/2226 och Europaparlamentets och rådets förordning (EU) 2016/399</w:t>
            </w:r>
            <w:r>
              <w:rPr>
                <w:vertAlign w:val="superscript"/>
              </w:rPr>
              <w:t>3</w:t>
            </w:r>
            <w:r>
              <w:t xml:space="preserve">(kodexen om Schengengränserna). Andra regler i förordning (EU) 2017/2226 som inte påverkas av den här förordningen är tillämpliga på det sätt som anges i den förordningen. </w:t>
            </w:r>
            <w:r>
              <w:rPr>
                <w:b/>
                <w:i/>
              </w:rPr>
              <w:t>Framför allt registreras uppgifter i in- och utresesystemet under hela den gradvisa driftsstarten i enlighet med reglerna i förordning (EU) 2017/2226, och uppgifterna anses vara tillförlitliga och korrekta.</w:t>
            </w:r>
          </w:p>
        </w:tc>
        <w:tc>
          <w:tcPr>
            <w:tcW w:w="4876" w:type="dxa"/>
            <w:tcBorders>
              <w:top w:val="nil"/>
              <w:left w:val="nil"/>
              <w:bottom w:val="nil"/>
              <w:right w:val="nil"/>
            </w:tcBorders>
          </w:tcPr>
          <w:p>
            <w:pPr>
              <w:pStyle w:val="Normal6a"/>
            </w:pPr>
            <w:r>
              <w:t>(5)</w:t>
            </w:r>
            <w:r>
              <w:tab/>
            </w:r>
            <w:r>
              <w:t>För att in- och utresesystemet ska kunna tas i drift gradvis är det därför nödvändigt att göra undantag från vissa bestämmelser i förordning (EU) 2017/2226 och Europaparlamentets och rådets förordning (EU) 2016/399</w:t>
            </w:r>
            <w:r>
              <w:rPr>
                <w:vertAlign w:val="superscript"/>
              </w:rPr>
              <w:t>3</w:t>
            </w:r>
            <w:r>
              <w:t xml:space="preserve"> (kodexen om Schengengränserna). Andra regler i förordning (EU) 2017/2226 som inte påverkas av den här förordningen är tillämpliga på det sätt som anges i den förordningen.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Europaparlamentets och rådets förordning (EU) 2016/399 av den 9 mars 2016 om en unionskodex om gränspassage för personer (kodex om Schengengränserna) (EUT L 77, 23.3.2016, s.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Europaparlamentets och rådets förordning (EU) 2016/399 av den 9 mars 2016 om en unionskodex om gränspassage för personer (kodex om Schengengränserna) (EUT L 77, 23.3.2016, s.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För att in- och utresesystemet ska kunna tas i drift gradvis är det därför nödvändigt att göra undantag från vissa bestämmelser i förordning (EU) 2017/2226 och Europaparlamentets och rådets förordning (EU) 2016/399</w:t>
            </w:r>
            <w:r>
              <w:rPr>
                <w:vertAlign w:val="superscript"/>
              </w:rPr>
              <w:t>3</w:t>
            </w:r>
            <w:r>
              <w:t xml:space="preserve">(kodexen om Schengengränserna). Andra regler i förordning (EU) 2017/2226 som inte påverkas av den här förordningen är tillämpliga på det sätt som anges i den förordningen. </w:t>
            </w:r>
            <w:r>
              <w:rPr>
                <w:b/>
                <w:i/>
              </w:rPr>
              <w:t>Framför allt registreras uppgifter i in- och utresesystemet under hela den gradvisa driftsstarten i enlighet med reglerna i förordning (EU) 2017/2226, och uppgifterna anses vara tillförlitliga och korrekta.</w:t>
            </w:r>
          </w:p>
        </w:tc>
        <w:tc>
          <w:tcPr>
            <w:tcW w:w="4876" w:type="dxa"/>
            <w:tcBorders>
              <w:top w:val="nil"/>
              <w:left w:val="nil"/>
              <w:bottom w:val="nil"/>
              <w:right w:val="nil"/>
            </w:tcBorders>
          </w:tcPr>
          <w:p>
            <w:pPr>
              <w:pStyle w:val="Normal6a"/>
            </w:pPr>
            <w:r>
              <w:t>(5)</w:t>
            </w:r>
            <w:r>
              <w:tab/>
            </w:r>
            <w:r>
              <w:t>För att in- och utresesystemet ska kunna tas i drift gradvis är det därför nödvändigt att göra undantag från vissa bestämmelser i förordning (EU) 2017/2226 och Europaparlamentets och rådets förordning (EU) 2016/399</w:t>
            </w:r>
            <w:r>
              <w:rPr>
                <w:vertAlign w:val="superscript"/>
              </w:rPr>
              <w:t>3</w:t>
            </w:r>
            <w:r>
              <w:t xml:space="preserve"> (kodexen om Schengengränserna). Andra regler i förordning (EU) 2017/2226 som inte påverkas av den här förordningen är tillämpliga på det sätt som anges i den förordningen.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Europaparlamentets och rådets förordning (EU) 2016/399 av den 9 mars 2016 om en unionskodex om gränspassage för personer (kodex om Schengengränserna) (EUT L 77, 23.3.2016, s.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Europaparlamentets och rådets förordning (EU) 2016/399 av den 9 mars 2016 om en unionskodex om gränspassage för personer (kodex om Schengengränserna) (EUT L 77, 23.3.2016, s.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Medlemsstaterna bör gradvis börja använda in- och utresesystemet vid ett eller flera gränsövergångsställen för att vid in- och utresa registrera uppgifter om tredjelandsmedborgare som omfattas av registrering i systemet. Om möjligt och tillämpligt bör medlemsstaterna inkludera en kombination av gränsövergångsställen vid luft-, land- och sjögränserna. För att säkerställa en kontrollerad lansering av in- och utresesystemet och för att bättre hantera och undvika potentiella långa väntetider vid gränserna bör medlemsstaterna när så är relevant gradvis införa systemets alla funktioner och registrera uppgifter om alla tredjelandsmedborgare som omfattas av registrering i systemet. För att säkerställa ett samordnat tillvägagångssätt bör den gradvisa driftsstarten ske i faser, med minimikrav som medlemsstaterna ska uppfylla. Medlemsstaterna kommer att ha möjlighet att påskynda genomförandet på nationell nivå eller ta in- och utresesystemet i full drift redan från början av den gradvisa driftsstarten.</w:t>
            </w:r>
          </w:p>
        </w:tc>
        <w:tc>
          <w:tcPr>
            <w:tcW w:w="4876" w:type="dxa"/>
            <w:tcBorders>
              <w:top w:val="nil"/>
              <w:left w:val="nil"/>
              <w:bottom w:val="nil"/>
              <w:right w:val="nil"/>
            </w:tcBorders>
          </w:tcPr>
          <w:p>
            <w:pPr>
              <w:pStyle w:val="Normal6a"/>
            </w:pPr>
            <w:r>
              <w:t>(6)</w:t>
            </w:r>
            <w:r>
              <w:tab/>
            </w:r>
            <w:r>
              <w:t xml:space="preserve">Medlemsstaterna bör gradvis börja använda in- och utresesystemet vid ett eller flera gränsövergångsställen för att vid in- och utresa registrera uppgifter om tredjelandsmedborgare som omfattas av registrering i systemet. Om möjligt och tillämpligt bör medlemsstaterna inkludera en kombination av gränsövergångsställen vid luft-, land- och sjögränserna. För att säkerställa en kontrollerad lansering av in- och utresesystemet och för att bättre hantera och undvika potentiella långa väntetider vid gränserna bör medlemsstaterna när så är relevant gradvis införa systemets alla funktioner och registrera uppgifter om alla tredjelandsmedborgare som omfattas av registrering i systemet. För att säkerställa ett samordnat tillvägagångssätt bör den gradvisa driftsstarten ske i faser, med minimikrav som medlemsstaterna ska uppfylla. Medlemsstaterna kommer att ha möjlighet att påskynda genomförandet på nationell nivå eller ta in- och utresesystemet i full drift redan från början av den gradvisa driftsstarten. </w:t>
            </w:r>
            <w:r>
              <w:rPr>
                <w:b/>
                <w:i/>
              </w:rPr>
              <w:t>Den gradvisa behandlingen av uppgifter i in- och utresesystemet bör utföras med full respekt för de registrerades rättigheter enligt Europaparlamentets och rådets förordning (EU) 2016/679</w:t>
            </w:r>
            <w:r>
              <w:rPr>
                <w:b/>
                <w:i/>
                <w:vertAlign w:val="superscript"/>
              </w:rPr>
              <w:t>1a</w:t>
            </w:r>
            <w:r>
              <w:t xml:space="preserve"> </w:t>
            </w:r>
            <w:r>
              <w:rPr>
                <w:b/>
                <w:i/>
              </w:rPr>
              <w:t>och bör inte, direkt eller indirekt, leda till någon form av diskriminering eller profilering.</w:t>
            </w:r>
            <w:r>
              <w:t xml:space="preserve"> </w:t>
            </w:r>
            <w:r>
              <w:rPr>
                <w:b/>
                <w:i/>
              </w:rPr>
              <w:t>Kommissionen bör i samråd med Europeiska datatillsynsmannen utfärda riktlinjer för behandlingen av personuppgifter i in- och utresesystemet under den gradvisa driftsstarten.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Europaparlamentets och rådets förordning (EU) 2016/679 av den 27 april 2016 om skydd för fysiska personer med avseende på behandling av personuppgifter och om det fria flödet av sådana uppgifter och om upphävande av direktiv 95/46/EG (EUT L 119, 4.5.2016, s.</w:t>
            </w:r>
            <w:r>
              <w:t xml:space="preserve"> </w:t>
            </w:r>
            <w:r>
              <w:rPr>
                <w:b/>
                <w:i/>
              </w:rPr>
              <w:t>1, ELI: http://data.europa.eu/eli/reg/2016/679/2016-05-04 ).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Medlemsstaterna</w:t>
            </w:r>
            <w:r>
              <w:t xml:space="preserve"> bör gradvis börja använda in- och utresesystemet vid ett eller flera gränsövergångsställen för att vid in- och utresa registrera uppgifter om tredjelandsmedborgare som omfattas av registrering i systemet. Om möjligt och tillämpligt bör medlemsstaterna inkludera en kombination av gränsövergångsställen vid luft-, land- och sjögränserna. För att säkerställa en kontrollerad lansering av in- och utresesystemet och för att bättre hantera och undvika potentiella långa väntetider vid gränserna bör medlemsstaterna när så är relevant gradvis införa systemets alla funktioner och registrera uppgifter om alla tredjelandsmedborgare som omfattas av registrering i systemet. För att säkerställa ett samordnat tillvägagångssätt bör den gradvisa driftsstarten ske i faser, med minimikrav som </w:t>
            </w:r>
            <w:r>
              <w:rPr>
                <w:b/>
                <w:i/>
              </w:rPr>
              <w:t>medlemsstaterna</w:t>
            </w:r>
            <w:r>
              <w:t xml:space="preserve"> ska uppfylla. Medlemsstaterna kommer att </w:t>
            </w:r>
            <w:r>
              <w:rPr>
                <w:b/>
                <w:i/>
              </w:rPr>
              <w:t>ha möjlighet</w:t>
            </w:r>
            <w:r>
              <w:t xml:space="preserve"> att påskynda genomförandet på nationell nivå eller ta in- och utresesystemet i full drift redan från </w:t>
            </w:r>
            <w:r>
              <w:rPr>
                <w:b/>
                <w:i/>
              </w:rPr>
              <w:t>början av den gradvisa</w:t>
            </w:r>
            <w:r>
              <w:t xml:space="preserve"> driftsstarten.</w:t>
            </w:r>
          </w:p>
        </w:tc>
        <w:tc>
          <w:tcPr>
            <w:tcW w:w="4876" w:type="dxa"/>
            <w:tcBorders>
              <w:top w:val="nil"/>
              <w:left w:val="nil"/>
              <w:bottom w:val="nil"/>
              <w:right w:val="nil"/>
            </w:tcBorders>
          </w:tcPr>
          <w:p>
            <w:pPr>
              <w:pStyle w:val="Normal6a"/>
            </w:pPr>
            <w:r>
              <w:t>(6)</w:t>
            </w:r>
            <w:r>
              <w:tab/>
            </w:r>
            <w:r>
              <w:rPr>
                <w:b/>
                <w:i/>
              </w:rPr>
              <w:t>Medlemsstater som inte har för avsikt att använda in- och utresesystemet fullt ut för alla tredjelandsmedborgare som omfattas av registrering i in- och utresesystemet och använda in- och utresesystemet samtidigt vid alla sina gränsövergångsställen från driftsstarten</w:t>
            </w:r>
            <w:r>
              <w:t xml:space="preserve"> bör gradvis börja använda in- och utresesystemet vid ett eller flera gränsövergångsställen för att vid in- och utresa registrera uppgifter om tredjelandsmedborgare som omfattas av registrering i systemet. Om möjligt och tillämpligt bör medlemsstaterna inkludera en kombination av gränsövergångsställen vid luft-, land- och sjögränserna. För att säkerställa en kontrollerad lansering av in- och utresesystemet och för att bättre hantera och undvika potentiella långa väntetider vid gränserna bör medlemsstaterna när så är relevant gradvis införa systemets alla funktioner och registrera uppgifter om alla tredjelandsmedborgare som omfattas av registrering i systemet. För att säkerställa ett samordnat tillvägagångssätt bör den gradvisa driftsstarten </w:t>
            </w:r>
            <w:r>
              <w:rPr>
                <w:b/>
                <w:i/>
              </w:rPr>
              <w:t>i de medlemsstater som väljer en sådan</w:t>
            </w:r>
            <w:r>
              <w:t xml:space="preserve"> ske i faser, med minimikrav som </w:t>
            </w:r>
            <w:r>
              <w:rPr>
                <w:b/>
                <w:i/>
              </w:rPr>
              <w:t>dessa medlemsstater</w:t>
            </w:r>
            <w:r>
              <w:t xml:space="preserve"> ska uppfylla. Medlemsstaterna kommer att </w:t>
            </w:r>
            <w:r>
              <w:rPr>
                <w:b/>
                <w:i/>
              </w:rPr>
              <w:t>bibehålla möjligheten</w:t>
            </w:r>
            <w:r>
              <w:t xml:space="preserve"> att påskynda genomförandet på nationell nivå eller ta in- och utresesystemet i full drift redan från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39</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Medlemsstaterna bör gradvis börja använda in- och utresesystemet vid ett eller flera gränsövergångsställen för att vid in- och utresa registrera uppgifter om tredjelandsmedborgare som omfattas av registrering i systemet. Om möjligt och tillämpligt bör medlemsstaterna inkludera en kombination av gränsövergångsställen vid luft-, land- och sjögränserna. För att säkerställa en kontrollerad lansering av in- och utresesystemet och för att bättre hantera och undvika potentiella långa väntetider vid gränserna bör medlemsstaterna när så är relevant gradvis införa systemets alla funktioner och registrera uppgifter om alla tredjelandsmedborgare som omfattas av registrering i systemet. För att säkerställa ett samordnat tillvägagångssätt bör den gradvisa driftsstarten ske i faser, med minimikrav som medlemsstaterna ska uppfylla. Medlemsstaterna kommer att ha möjlighet att påskynda genomförandet på nationell nivå eller ta in- och utresesystemet i full drift redan från början av den gradvisa driftsstarten.</w:t>
            </w:r>
          </w:p>
        </w:tc>
        <w:tc>
          <w:tcPr>
            <w:tcW w:w="4876" w:type="dxa"/>
            <w:tcBorders>
              <w:top w:val="nil"/>
              <w:left w:val="nil"/>
              <w:bottom w:val="nil"/>
              <w:right w:val="nil"/>
            </w:tcBorders>
          </w:tcPr>
          <w:p>
            <w:pPr>
              <w:pStyle w:val="Normal6a"/>
            </w:pPr>
            <w:r>
              <w:t>(6)</w:t>
            </w:r>
            <w:r>
              <w:tab/>
            </w:r>
            <w:r>
              <w:t xml:space="preserve">Medlemsstaterna bör gradvis börja använda in- och utresesystemet vid ett eller flera gränsövergångsställen </w:t>
            </w:r>
            <w:r>
              <w:rPr>
                <w:b/>
                <w:i/>
              </w:rPr>
              <w:t>och i en eller flera filer vid sådana gränsövergångsställen</w:t>
            </w:r>
            <w:r>
              <w:t xml:space="preserve"> för att vid in- och utresa registrera uppgifter om tredjelandsmedborgare som omfattas av registrering i systemet. Om möjligt och tillämpligt bör medlemsstaterna inkludera en kombination av gränsövergångsställen vid luft-, land- och sjögränserna. För att säkerställa en kontrollerad lansering av in- och utresesystemet och för att bättre hantera och undvika potentiella långa väntetider vid gränserna bör medlemsstaterna när så är relevant gradvis införa systemets alla funktioner och registrera uppgifter om alla tredjelandsmedborgare som omfattas av registrering i systemet. För att säkerställa ett samordnat tillvägagångssätt bör den gradvisa driftsstarten ske i faser, med minimikrav som medlemsstaterna ska uppfylla. Medlemsstaterna kommer att ha möjlighet att påskynda genomförandet på nationell nivå eller ta in- och utresesystemet i full drift redan från början av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Syftet med detta ändringsförslag är att klargöra kommissionens tidigare ståndpunkt att in- och utresesystemet kan införas för specifika filer vid gränsövergångsställen.</w:t>
      </w:r>
    </w:p>
    <w:p>
      <w:r>
        <w:rPr>
          <w:rStyle w:val="HideTWBExt"/>
        </w:rPr>
        <w:t>&lt;/AmendB&gt;</w:t>
      </w:r>
    </w:p>
    <w:p>
      <w:pPr>
        <w:pStyle w:val="AmNumberTabs"/>
      </w:pPr>
      <w:r>
        <w:rPr>
          <w:rStyle w:val="HideTWBExt"/>
        </w:rPr>
        <w:t>&lt;AmendB&gt;</w:t>
      </w:r>
      <w:r>
        <w:t>Ändringsförslag</w:t>
      </w:r>
      <w:r>
        <w:tab/>
      </w:r>
      <w:r>
        <w:tab/>
      </w:r>
      <w:r>
        <w:rPr>
          <w:rStyle w:val="HideTWBExt"/>
        </w:rPr>
        <w:t>&lt;NumAmB&gt;</w:t>
      </w:r>
      <w:r>
        <w:t>40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Medlemsstaterna bör gradvis börja använda in- och utresesystemet vid ett eller flera gränsövergångsställen för att vid in- och utresa registrera uppgifter om tredjelandsmedborgare som omfattas av registrering i systemet. Om möjligt och tillämpligt bör medlemsstaterna inkludera en kombination av gränsövergångsställen vid luft-, land- och sjögränserna. För att säkerställa en kontrollerad lansering av in- och utresesystemet och för att bättre hantera och undvika potentiella långa väntetider vid gränserna bör medlemsstaterna när så är relevant gradvis införa systemets alla funktioner och registrera uppgifter om alla tredjelandsmedborgare som omfattas av registrering i systemet. För att säkerställa ett samordnat tillvägagångssätt bör den gradvisa driftsstarten ske i faser, med minimikrav som medlemsstaterna ska uppfylla. Medlemsstaterna kommer att ha möjlighet att påskynda genomförandet på nationell nivå eller ta in- och utresesystemet i full drift redan från början av den gradvisa driftsstarten.</w:t>
            </w:r>
          </w:p>
        </w:tc>
        <w:tc>
          <w:tcPr>
            <w:tcW w:w="4876" w:type="dxa"/>
            <w:tcBorders>
              <w:top w:val="nil"/>
              <w:left w:val="nil"/>
              <w:bottom w:val="nil"/>
              <w:right w:val="nil"/>
            </w:tcBorders>
          </w:tcPr>
          <w:p>
            <w:pPr>
              <w:pStyle w:val="Normal6a"/>
            </w:pPr>
            <w:r>
              <w:t>(6)</w:t>
            </w:r>
            <w:r>
              <w:tab/>
            </w:r>
            <w:r>
              <w:t xml:space="preserve">Medlemsstaterna bör gradvis börja använda in- och utresesystemet vid ett eller flera gränsövergångsställen för att vid in- och utresa registrera uppgifter om tredjelandsmedborgare som omfattas av registrering i systemet. Om möjligt och tillämpligt bör medlemsstaterna inkludera en kombination av gränsövergångsställen vid luft-, land- och sjögränserna. För att säkerställa en kontrollerad lansering av in- och utresesystemet och för att bättre hantera och undvika potentiella långa väntetider vid gränserna bör medlemsstaterna när så är relevant </w:t>
            </w:r>
            <w:r>
              <w:rPr>
                <w:b/>
                <w:i/>
              </w:rPr>
              <w:t>och vid behov</w:t>
            </w:r>
            <w:r>
              <w:t xml:space="preserve"> gradvis införa systemets alla funktioner och registrera uppgifter om alla tredjelandsmedborgare som omfattas av registrering i systemet. För att säkerställa ett samordnat tillvägagångssätt bör den gradvisa driftsstarten ske i faser, med minimikrav som medlemsstaterna ska uppfylla. Medlemsstaterna kommer att ha möjlighet att påskynda genomförandet på nationell nivå eller ta in- och utresesystemet i full drift redan från början av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41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6b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För att maximera de säkerhetsfördelar som in- och utresesystemet ger redan från början av det gradvisa genomförandet bör medlemsstaterna prioritera driften av in- och utresesystemet vid de gränsövergångsställen som oftast påverkas av irreguljär migration, olagliga gränspassager eller organiserad brottslighet.</w:t>
            </w:r>
            <w:r>
              <w:t xml:space="preserve"> </w:t>
            </w:r>
            <w:r>
              <w:rPr>
                <w:b/>
                <w:i/>
              </w:rPr>
              <w:t>En sådan prioritering är nödvändig för att stärka den övergripande säkerheten i Schengenområdet och samtidigt bibehålla flexibiliteten att anpassa sig till den operativa beredskapen.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42</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För att underlätta ett smidigt införande av in- och utresesystemet bör Europeiska unionens byrå för den operativa förvaltningen av stora it-system inom området frihet, säkerhet och rättvisa (eu-LISA) utveckla en utrullningsplan på hög nivå, för att ge medlemsstaterna och unionsbyråerna vägledning om planeringen och genomförandet av in- och utresesystemets införande under den gradvisa driftsstarten, och lämna den till kommissionen, medlemsstaterna och unionsbyråerna. </w:t>
            </w:r>
            <w:r>
              <w:rPr>
                <w:b/>
                <w:i/>
              </w:rPr>
              <w:t>Planen bör innehålla de kapacitetsbegränsningar</w:t>
            </w:r>
            <w:r>
              <w:t xml:space="preserve"> för det centrala systemet som eu-LISA har specificerat för varje fas av införandet. Medlemsstaternas beslut att inleda eller tidigarelägga driften bör ta hänsyn till </w:t>
            </w:r>
            <w:r>
              <w:rPr>
                <w:b/>
                <w:i/>
              </w:rPr>
              <w:t>det centrala systemets kapacitet i enlighet med</w:t>
            </w:r>
            <w:r>
              <w:t xml:space="preserve"> utrullningsplanen på hög nivå.</w:t>
            </w:r>
          </w:p>
        </w:tc>
        <w:tc>
          <w:tcPr>
            <w:tcW w:w="4876" w:type="dxa"/>
            <w:tcBorders>
              <w:top w:val="nil"/>
              <w:left w:val="nil"/>
              <w:bottom w:val="nil"/>
              <w:right w:val="nil"/>
            </w:tcBorders>
          </w:tcPr>
          <w:p>
            <w:pPr>
              <w:pStyle w:val="Normal6a"/>
            </w:pPr>
            <w:r>
              <w:t>(7)</w:t>
            </w:r>
            <w:r>
              <w:tab/>
            </w:r>
            <w:r>
              <w:t xml:space="preserve">För att underlätta ett smidigt införande av in- och utresesystemet bör Europeiska unionens byrå för den operativa förvaltningen av stora it-system inom området frihet, säkerhet och rättvisa (eu-LISA) utveckla en utrullningsplan på hög nivå, för att ge medlemsstaterna och unionsbyråerna vägledning om planeringen och genomförandet av in- och utresesystemets införande under den gradvisa driftsstarten, </w:t>
            </w:r>
            <w:r>
              <w:rPr>
                <w:b/>
                <w:i/>
              </w:rPr>
              <w:t>(eu-LISAs utrullningsplan på hög nivå)</w:t>
            </w:r>
            <w:r>
              <w:t xml:space="preserve"> och lämna den till kommissionen, medlemsstaterna och unionsbyråerna. </w:t>
            </w:r>
            <w:r>
              <w:rPr>
                <w:b/>
                <w:i/>
              </w:rPr>
              <w:t>Denna plan bör befästa in- och utresesystemets övergripande stabilitet samt de prestations- och tillgänglighetsmål</w:t>
            </w:r>
            <w:r>
              <w:t xml:space="preserve"> för det centrala systemet som eu-LISA har specificerat för varje fas av införandet. </w:t>
            </w:r>
            <w:r>
              <w:rPr>
                <w:b/>
                <w:i/>
              </w:rPr>
              <w:t>Planen bör också innehålla en strategi för att åtgärda eventuella funktionella mindre, större och blockerande defekter.</w:t>
            </w:r>
            <w:r>
              <w:t xml:space="preserve"> </w:t>
            </w:r>
            <w:r>
              <w:rPr>
                <w:b/>
                <w:i/>
              </w:rPr>
              <w:t>Planen bör antas av eu-LISAs styrelse.</w:t>
            </w:r>
            <w:r>
              <w:t xml:space="preserve"> Medlemsstaternas beslut att inleda eller tidigarelägga driften bör ta hänsyn till utrullningsplanen på hög nivå.</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För att säkerställa en framgångsrik utrullning av in- och utresesystemet är det viktigt att ha ett robust centralt system tillsammans med en tydlig strategi för att ta itu med eventuella fel.</w:t>
      </w:r>
    </w:p>
    <w:p>
      <w:r>
        <w:rPr>
          <w:rStyle w:val="HideTWBExt"/>
        </w:rPr>
        <w:t>&lt;/AmendB&gt;</w:t>
      </w:r>
    </w:p>
    <w:p>
      <w:pPr>
        <w:pStyle w:val="AmNumberTabs"/>
      </w:pPr>
      <w:r>
        <w:rPr>
          <w:rStyle w:val="HideTWBExt"/>
        </w:rPr>
        <w:t>&lt;AmendB&gt;</w:t>
      </w:r>
      <w:r>
        <w:t>Ändringsförslag</w:t>
      </w:r>
      <w:r>
        <w:tab/>
      </w:r>
      <w:r>
        <w:tab/>
      </w:r>
      <w:r>
        <w:rPr>
          <w:rStyle w:val="HideTWBExt"/>
        </w:rPr>
        <w:t>&lt;NumAmB&gt;</w:t>
      </w:r>
      <w:r>
        <w:t>43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För att underlätta ett smidigt införande av in- och utresesystemet bör Europeiska unionens byrå för den operativa förvaltningen av stora it-system inom området frihet, säkerhet och rättvisa (eu-LISA) utveckla en utrullningsplan på hög nivå, för att ge medlemsstaterna och unionsbyråerna vägledning om planeringen och genomförandet av in- och utresesystemets införande under den gradvisa driftsstarten, och lämna den till kommissionen, medlemsstaterna och unionsbyråerna. Planen bör innehålla de kapacitetsbegränsningar för det centrala systemet som eu-LISA har specificerat för varje fas av införandet. Medlemsstaternas beslut att inleda eller tidigarelägga driften bör ta hänsyn till det centrala systemets kapacitet i enlighet med utrullningsplanen på hög nivå.</w:t>
            </w:r>
          </w:p>
        </w:tc>
        <w:tc>
          <w:tcPr>
            <w:tcW w:w="4876" w:type="dxa"/>
            <w:tcBorders>
              <w:top w:val="nil"/>
              <w:left w:val="nil"/>
              <w:bottom w:val="nil"/>
              <w:right w:val="nil"/>
            </w:tcBorders>
          </w:tcPr>
          <w:p>
            <w:pPr>
              <w:pStyle w:val="Normal6a"/>
            </w:pPr>
            <w:r>
              <w:t>(7)</w:t>
            </w:r>
            <w:r>
              <w:tab/>
            </w:r>
            <w:r>
              <w:t xml:space="preserve">För att underlätta ett smidigt införande av in- och utresesystemet bör Europeiska unionens byrå för den operativa förvaltningen av stora it-system inom området frihet, säkerhet och rättvisa (eu-LISA) utveckla en utrullningsplan på hög nivå, för att ge medlemsstaterna och unionsbyråerna vägledning om planeringen och genomförandet av in- och utresesystemets införande under den gradvisa driftsstarten, och lämna den till kommissionen, </w:t>
            </w:r>
            <w:r>
              <w:rPr>
                <w:b/>
                <w:i/>
              </w:rPr>
              <w:t>Europaparlamentet,</w:t>
            </w:r>
            <w:r>
              <w:t xml:space="preserve"> medlemsstaterna och unionsbyråerna. Planen bör innehålla de kapacitetsbegränsningar för det centrala systemet som eu-LISA har specificerat för varje fas av införandet. Medlemsstaternas beslut att inleda eller tidigarelägga driften bör ta hänsyn till det centrala systemets kapacitet i enlighet med utrullningsplanen på hög 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44</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För att underlätta ett smidigt införande av in- och utresesystemet bör medlemsstaterna utarbeta nationella utrullningsplaner i samråd med kommissionen och eu-LISA. För varje fas av in- och utresesystemets gradvisa driftsstart bör de nationella utrullningsplanerna innehålla information om de fastställda tröskelvärdena och kraven, särskilt i) från vilket datum in- och utresesystemet tas i drift vid varje gränsövergångsställe, ii) den procentandel av det uppskattade antalet gränspassager som ska registreras i in- och utresesystemet av det totala antalet tredjelandsmedborgare som omfattas av registrering i in- och utresesystemet, och iii) i tillämpliga fall de biometriska funktioner som ska användas vid varje utvalt gränsövergångsställe. Medlemsstaterna uppmanas att, när de utarbetar sina nationella utrullningsplaner, på lämpligt sätt samordna med operatörerna av den infrastruktur där gränsövergångsställena finns. För att övervaka efterlevnaden av den gradvisa driftsstarten bör medlemsstaterna lämna månatliga rapporter till kommissionen och eu-LISA om genomförandet av sina utrullningsplaner. Sådana månatliga rapporter bör innehålla korrigerande åtgärder, när så är nödvändigt, för att säkerställa efterlevnad av den gradvisa driftsstarten.</w:t>
            </w:r>
          </w:p>
        </w:tc>
        <w:tc>
          <w:tcPr>
            <w:tcW w:w="4876" w:type="dxa"/>
            <w:tcBorders>
              <w:top w:val="nil"/>
              <w:left w:val="nil"/>
              <w:bottom w:val="nil"/>
              <w:right w:val="nil"/>
            </w:tcBorders>
          </w:tcPr>
          <w:p>
            <w:pPr>
              <w:pStyle w:val="Normal6a"/>
            </w:pPr>
            <w:r>
              <w:t>(8)</w:t>
            </w:r>
            <w:r>
              <w:tab/>
            </w:r>
            <w:r>
              <w:t xml:space="preserve">För att underlätta ett smidigt införande av in- och utresesystemet bör medlemsstaterna utarbeta nationella utrullningsplaner i samråd med kommissionen och eu-LISA. För varje fas av in- och utresesystemets gradvisa driftsstart bör de nationella utrullningsplanerna innehålla information om de fastställda tröskelvärdena och kraven, särskilt i) från vilket datum in- och utresesystemet tas i drift vid varje gränsövergångsställe, ii) den procentandel av det uppskattade antalet gränspassager som ska registreras i in- och utresesystemet av det totala antalet tredjelandsmedborgare som omfattas av registrering i in- och utresesystemet, och iii) i tillämpliga fall de biometriska funktioner som ska användas vid varje utvalt gränsövergångsställe. </w:t>
            </w:r>
            <w:r>
              <w:rPr>
                <w:b/>
                <w:i/>
              </w:rPr>
              <w:t>Vid utarbetandet av sina nationella utrullningsplaner ska medlemsstaterna vederbörligen överväga att prioritera driften av in- och utresesystemet vid de gränsövergångsställen som påverkas mest av irreguljär migration, olagliga gränspassager eller organiserad brottslighet, för att redan från början maximera de säkerhetsfördelar som in- och utresesystemet medför.</w:t>
            </w:r>
            <w:r>
              <w:t xml:space="preserve"> Medlemsstaterna uppmanas att, när de utarbetar sina nationella utrullningsplaner, på lämpligt sätt samordna med operatörerna av den infrastruktur där gränsövergångsställena finns. För att övervaka efterlevnaden av den gradvisa driftsstarten bör medlemsstaterna lämna månatliga rapporter till kommissionen och eu-LISA om genomförandet av sina utrullningsplaner. Sådana månatliga rapporter bör innehålla korrigerande åtgärder, när så är nödvändigt, för att säkerställa efterlevnad av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45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För att underlätta ett smidigt införande av in- och utresesystemet bör medlemsstaterna utarbeta nationella utrullningsplaner i samråd med kommissionen och eu-LISA. För varje fas av in- och utresesystemets gradvisa driftsstart bör de nationella utrullningsplanerna innehålla information om de fastställda tröskelvärdena och kraven, särskilt i) från vilket datum in- och utresesystemet tas i drift vid varje gränsövergångsställe, ii) den procentandel av det uppskattade antalet gränspassager som ska registreras i in- och utresesystemet av det totala antalet tredjelandsmedborgare som omfattas av registrering i in- och utresesystemet, och iii) i tillämpliga fall de biometriska funktioner som ska användas vid varje utvalt gränsövergångsställe. Medlemsstaterna uppmanas att, när de utarbetar sina nationella utrullningsplaner, på lämpligt sätt samordna med operatörerna av den infrastruktur där gränsövergångsställena finns. För att övervaka efterlevnaden av den gradvisa driftsstarten bör medlemsstaterna lämna månatliga rapporter till kommissionen och eu-LISA om genomförandet av sina utrullningsplaner. Sådana månatliga rapporter bör innehålla korrigerande åtgärder, när så är nödvändigt, för att säkerställa efterlevnad av den gradvisa driftsstarten.</w:t>
            </w:r>
          </w:p>
        </w:tc>
        <w:tc>
          <w:tcPr>
            <w:tcW w:w="4876" w:type="dxa"/>
            <w:tcBorders>
              <w:top w:val="nil"/>
              <w:left w:val="nil"/>
              <w:bottom w:val="nil"/>
              <w:right w:val="nil"/>
            </w:tcBorders>
          </w:tcPr>
          <w:p>
            <w:pPr>
              <w:pStyle w:val="Normal6a"/>
            </w:pPr>
            <w:r>
              <w:t>(8)</w:t>
            </w:r>
            <w:r>
              <w:tab/>
            </w:r>
            <w:r>
              <w:t xml:space="preserve">För att underlätta ett smidigt införande av in- och utresesystemet bör medlemsstaterna utarbeta nationella utrullningsplaner i samråd med kommissionen och eu-LISA. </w:t>
            </w:r>
            <w:r>
              <w:rPr>
                <w:b/>
                <w:i/>
              </w:rPr>
              <w:t>Eu-LISA bör bedöma om de nationella utrullningsplanerna är förenliga med utrullningsplanen på hög nivå och ska bekräfta att de inte innehåller några brister som ytterligare skulle kunna försena driftsstarten för in- och utresesystemet.</w:t>
            </w:r>
            <w:r>
              <w:t xml:space="preserve"> För varje fas av in- och utresesystemets gradvisa driftsstart bör de nationella utrullningsplanerna innehålla information om de fastställda tröskelvärdena och kraven, särskilt i) från vilket datum in- och utresesystemet tas i drift vid varje gränsövergångsställe, ii) den procentandel av det uppskattade antalet gränspassager som ska registreras i in- och utresesystemet av det totala antalet tredjelandsmedborgare som omfattas av registrering i in- och utresesystemet, och iii) i tillämpliga fall de biometriska funktioner som ska användas vid varje utvalt gränsövergångsställe. Medlemsstaterna uppmanas att, när de utarbetar sina nationella utrullningsplaner, på lämpligt sätt samordna med operatörerna av den infrastruktur där gränsövergångsställena finns. För att övervaka efterlevnaden av den gradvisa driftsstarten bör medlemsstaterna lämna månatliga rapporter till kommissionen och eu-LISA om genomförandet av sina utrullningsplaner. Sådana månatliga rapporter bör innehålla korrigerande åtgärder, när så är nödvändigt, för att säkerställa efterlevnad av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46</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För att underlätta ett smidigt införande av in- och utresesystemet bör medlemsstaterna utarbeta nationella utrullningsplaner i samråd med kommissionen och eu-LISA. För varje fas av in- och utresesystemets gradvisa driftsstart bör de nationella utrullningsplanerna innehålla information om de fastställda tröskelvärdena och kraven, särskilt i) från vilket datum in- och utresesystemet tas i drift vid varje gränsövergångsställe, ii) den procentandel av det uppskattade antalet gränspassager som ska registreras i in- och utresesystemet av det totala antalet tredjelandsmedborgare som omfattas av registrering i in- och utresesystemet, och iii) i tillämpliga fall de biometriska funktioner som ska användas vid varje utvalt gränsövergångsställe. Medlemsstaterna uppmanas att, när de utarbetar sina nationella utrullningsplaner, på lämpligt sätt samordna med operatörerna av den infrastruktur där gränsövergångsställena finns. För att övervaka efterlevnaden av den gradvisa driftsstarten bör medlemsstaterna lämna månatliga rapporter till kommissionen och eu-LISA om genomförandet av sina utrullningsplaner. Sådana månatliga rapporter bör innehålla korrigerande åtgärder, när så är nödvändigt, för att säkerställa efterlevnad av den gradvisa driftsstarten.</w:t>
            </w:r>
          </w:p>
        </w:tc>
        <w:tc>
          <w:tcPr>
            <w:tcW w:w="4876" w:type="dxa"/>
            <w:tcBorders>
              <w:top w:val="nil"/>
              <w:left w:val="nil"/>
              <w:bottom w:val="nil"/>
              <w:right w:val="nil"/>
            </w:tcBorders>
          </w:tcPr>
          <w:p>
            <w:pPr>
              <w:pStyle w:val="Normal6a"/>
            </w:pPr>
            <w:r>
              <w:t>(8)</w:t>
            </w:r>
            <w:r>
              <w:tab/>
            </w:r>
            <w:r>
              <w:t>För att underlätta ett smidigt införande av in- och utresesystemet bör medlemsstaterna utarbeta nationella utrullningsplaner i samråd med kommissionen och eu-LISA. För varje fas av in- och utresesystemets gradvisa driftsstart bör de nationella utrullningsplanerna innehålla information om de fastställda tröskelvärdena och kraven, särskilt i) från vilket datum in- och utresesystemet tas i drift vid varje gränsövergångsställe, ii) den procentandel av det uppskattade antalet gränspassager som ska registreras i in- och utresesystemet av det totala antalet tredjelandsmedborgare som omfattas av registrering i in- och utresesystemet, och iii) i tillämpliga fall de biometriska funktioner som ska användas vid varje utvalt gränsövergångsställe. Medlemsstaterna uppmanas att, när de utarbetar sina nationella utrullningsplaner, på lämpligt sätt samordna med operatörerna av den infrastruktur där gränsövergångsställena finns. För att övervaka efterlevnaden av den gradvisa driftsstarten bör medlemsstaterna lämna månatliga rapporter till kommissionen och eu-LISA om genomförandet av sina utrullningsplaner</w:t>
            </w:r>
            <w:r>
              <w:rPr>
                <w:b/>
                <w:i/>
              </w:rPr>
              <w:t>, såvida inte och till dess att in- och utresesystemet används fullt ut för alla tredjelandsmedborgare som omfattas av registrering i in- och utresesystemet och används samtidigt vid alla gränsövergångsställen i medlemsstaten</w:t>
            </w:r>
            <w:r>
              <w:t>. Sådana månatliga rapporter bör innehålla korrigerande åtgärder, när så är nödvändigt, för att säkerställa efterlevnad av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Medlemsstaterna bör vara skyldiga att lämna månatliga rapporter om genomförandet av sina utrullningsplaner endast fram till den tidpunkt då systemet är helt infört i den medlemsstaten.</w:t>
      </w:r>
    </w:p>
    <w:p>
      <w:r>
        <w:rPr>
          <w:rStyle w:val="HideTWBExt"/>
        </w:rPr>
        <w:t>&lt;/AmendB&gt;</w:t>
      </w:r>
    </w:p>
    <w:p>
      <w:pPr>
        <w:pStyle w:val="AmNumberTabs"/>
      </w:pPr>
      <w:r>
        <w:rPr>
          <w:rStyle w:val="HideTWBExt"/>
        </w:rPr>
        <w:t>&lt;AmendB&gt;</w:t>
      </w:r>
      <w:r>
        <w:t>Ändringsförslag</w:t>
      </w:r>
      <w:r>
        <w:tab/>
      </w:r>
      <w:r>
        <w:tab/>
      </w:r>
      <w:r>
        <w:rPr>
          <w:rStyle w:val="HideTWBExt"/>
        </w:rPr>
        <w:t>&lt;NumAmB&gt;</w:t>
      </w:r>
      <w:r>
        <w:t>47</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För att underlätta ett smidigt införande av in- och utresesystemet bör medlemsstaterna utarbeta nationella utrullningsplaner i samråd med kommissionen och eu-LISA. För varje fas av in- och utresesystemets gradvisa driftsstart bör de nationella utrullningsplanerna innehålla information om de fastställda tröskelvärdena och kraven, särskilt i) från vilket datum in- och utresesystemet tas i drift vid varje gränsövergångsställe, ii) den procentandel av det uppskattade antalet gränspassager som ska registreras i in- och utresesystemet av det totala antalet tredjelandsmedborgare som omfattas av registrering i in- och utresesystemet, och iii) i tillämpliga fall de biometriska funktioner som ska användas vid varje utvalt gränsövergångsställe. Medlemsstaterna </w:t>
            </w:r>
            <w:r>
              <w:rPr>
                <w:b/>
                <w:i/>
              </w:rPr>
              <w:t>uppmanas att</w:t>
            </w:r>
            <w:r>
              <w:t>, när de utarbetar sina nationella utrullningsplaner, på lämpligt sätt samordna med operatörerna av den infrastruktur där gränsövergångsställena finns. För att övervaka efterlevnaden av den gradvisa driftsstarten bör medlemsstaterna lämna månatliga rapporter till kommissionen och eu-LISA om genomförandet av sina utrullningsplaner. Sådana månatliga rapporter bör innehålla korrigerande åtgärder, när så är nödvändigt, för att säkerställa efterlevnad av den gradvisa driftsstarten.</w:t>
            </w:r>
          </w:p>
        </w:tc>
        <w:tc>
          <w:tcPr>
            <w:tcW w:w="4876" w:type="dxa"/>
            <w:tcBorders>
              <w:top w:val="nil"/>
              <w:left w:val="nil"/>
              <w:bottom w:val="nil"/>
              <w:right w:val="nil"/>
            </w:tcBorders>
          </w:tcPr>
          <w:p>
            <w:pPr>
              <w:pStyle w:val="Normal6a"/>
            </w:pPr>
            <w:r>
              <w:t>(8)</w:t>
            </w:r>
            <w:r>
              <w:tab/>
            </w:r>
            <w:r>
              <w:t xml:space="preserve">För att underlätta ett smidigt införande av in- och utresesystemet bör medlemsstaterna utarbeta nationella utrullningsplaner i samråd med kommissionen och eu-LISA. </w:t>
            </w:r>
            <w:r>
              <w:rPr>
                <w:b/>
                <w:i/>
              </w:rPr>
              <w:t>Dessa planer bör offentliggöras och delas med kommissionen, Europaparlamentet och berörda branschaktörer.</w:t>
            </w:r>
            <w:r>
              <w:t xml:space="preserve"> För varje fas av in- och utresesystemets gradvisa driftsstart bör de nationella utrullningsplanerna innehålla information om de fastställda tröskelvärdena och kraven, särskilt i) från vilket datum in- och utresesystemet tas i drift vid varje gränsövergångsställe, ii) den procentandel av det uppskattade antalet gränspassager som ska registreras i in- och utresesystemet av det totala antalet tredjelandsmedborgare som omfattas av registrering i in- och utresesystemet, och iii) i tillämpliga fall de biometriska funktioner som ska användas vid varje utvalt gränsövergångsställe. Medlemsstaterna </w:t>
            </w:r>
            <w:r>
              <w:rPr>
                <w:b/>
                <w:i/>
              </w:rPr>
              <w:t>bör</w:t>
            </w:r>
            <w:r>
              <w:t>, när de utarbetar sina nationella utrullningsplaner, på lämpligt sätt samordna med operatörerna av den infrastruktur där gränsövergångsställena finns. För att övervaka efterlevnaden av den gradvisa driftsstarten bör medlemsstaterna lämna månatliga rapporter till kommissionen</w:t>
            </w:r>
            <w:r>
              <w:rPr>
                <w:b/>
                <w:i/>
              </w:rPr>
              <w:t>, Europaparlamentet</w:t>
            </w:r>
            <w:r>
              <w:t xml:space="preserve"> och eu-LISA om genomförandet av sina utrullningsplaner. Sådana månatliga rapporter bör innehålla korrigerande åtgärder, när så är nödvändigt, för att säkerställa efterlevnad av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48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För att underlätta ett smidigt införande av in- och utresesystemet bör det säkerställas att slutförandet av den successiva driftsstarten för in- och utresesystemet inte sammanfaller med högsäsongerna för resor under sommaren (juni-augusti) eller vintern (december till februari).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49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8a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De nationella utrullningsplaner som medlemsstaterna ska upprätta i enlighet med denna förordning bör vara kortfattade och proportionella och bör inte medföra en orimlig administrativ börda.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50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På grund av att in- och utresesystemet tas i drift gradvis och att uppgifterna i systemet eventuellt är ofullständiga bör tredjelandsmedborgares resehandlingar systematiskt stämplas vid in- och utresa under in- och utresesystemets gradvisa driftsstart. De nationella myndigheterna bör beakta att in- och utreseposter och poster om nekad inresa kan vara ofullständiga och ge stämplar företräde framför den information som registrerats i in- och utresesystemet. När de nationella myndigheterna ger tredjelandsmedborgare information om den maximala återstående längden på deras tillåtna vistelse bör de dessutom grunda sin bedömning på stämplarna i resehandlingarna. Uppgifterna i in- och utresesystemet bör </w:t>
            </w:r>
            <w:r>
              <w:rPr>
                <w:b/>
                <w:i/>
              </w:rPr>
              <w:t>gälla</w:t>
            </w:r>
            <w:r>
              <w:t xml:space="preserve"> om det inte finns någon stämpel.</w:t>
            </w:r>
          </w:p>
        </w:tc>
        <w:tc>
          <w:tcPr>
            <w:tcW w:w="4876" w:type="dxa"/>
            <w:tcBorders>
              <w:top w:val="nil"/>
              <w:left w:val="nil"/>
              <w:bottom w:val="nil"/>
              <w:right w:val="nil"/>
            </w:tcBorders>
          </w:tcPr>
          <w:p>
            <w:pPr>
              <w:pStyle w:val="Normal6a"/>
            </w:pPr>
            <w:r>
              <w:t>(9)</w:t>
            </w:r>
            <w:r>
              <w:tab/>
            </w:r>
            <w:r>
              <w:t xml:space="preserve">På grund av att in- och utresesystemet tas i drift gradvis och att uppgifterna i systemet eventuellt är ofullständiga bör tredjelandsmedborgares resehandlingar systematiskt stämplas vid in- och utresa under in- och utresesystemets gradvisa driftsstart. De nationella myndigheterna bör beakta att in- och utreseposter och poster om nekad inresa kan vara ofullständiga och ge stämplar företräde framför den information som registrerats i in- och utresesystemet. När de nationella myndigheterna ger tredjelandsmedborgare information om den maximala återstående längden på deras tillåtna vistelse bör de dessutom grunda sin bedömning på stämplarna i resehandlingarna. Uppgifterna i in- och utresesystemet bör </w:t>
            </w:r>
            <w:r>
              <w:rPr>
                <w:b/>
                <w:i/>
              </w:rPr>
              <w:t>användas vid beräkningen av den maximala återstående längden på en tillåten vistelse endast</w:t>
            </w:r>
            <w:r>
              <w:t xml:space="preserve"> om det inte finns någon stämpel.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Uppgifterna i in- och utresesystemet kan i inget fall ha företräde under den gradvisa driftsstarten, eftersom dessa uppgifter med stor sannolikhet kommer att vara ofullständiga.</w:t>
      </w:r>
    </w:p>
    <w:p>
      <w:r>
        <w:rPr>
          <w:rStyle w:val="HideTWBExt"/>
        </w:rPr>
        <w:t>&lt;/AmendB&gt;</w:t>
      </w:r>
    </w:p>
    <w:p>
      <w:pPr>
        <w:pStyle w:val="AmNumberTabs"/>
      </w:pPr>
      <w:r>
        <w:rPr>
          <w:rStyle w:val="HideTWBExt"/>
        </w:rPr>
        <w:t>&lt;AmendB&gt;</w:t>
      </w:r>
      <w:r>
        <w:t>Ändringsförslag</w:t>
      </w:r>
      <w:r>
        <w:tab/>
      </w:r>
      <w:r>
        <w:tab/>
      </w:r>
      <w:r>
        <w:rPr>
          <w:rStyle w:val="HideTWBExt"/>
        </w:rPr>
        <w:t>&lt;NumAmB&gt;</w:t>
      </w:r>
      <w:r>
        <w:t>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På grund av att in- och utresesystemet tas i drift gradvis och att uppgifterna i systemet eventuellt är ofullständiga bör tredjelandsmedborgares resehandlingar systematiskt stämplas vid in- och utresa under in- och utresesystemets gradvisa driftsstart. De nationella myndigheterna bör beakta att in- och utreseposter och poster om nekad inresa kan vara ofullständiga och ge stämplar företräde framför den information som registrerats i in- och utresesystemet. När de nationella myndigheterna ger tredjelandsmedborgare information om den maximala återstående längden på deras tillåtna vistelse bör de dessutom grunda sin bedömning på stämplarna i resehandlingarna. Uppgifterna i in- och utresesystemet bör gälla om det inte finns någon stämpel.</w:t>
            </w:r>
          </w:p>
        </w:tc>
        <w:tc>
          <w:tcPr>
            <w:tcW w:w="4876" w:type="dxa"/>
            <w:tcBorders>
              <w:top w:val="nil"/>
              <w:left w:val="nil"/>
              <w:bottom w:val="nil"/>
              <w:right w:val="nil"/>
            </w:tcBorders>
          </w:tcPr>
          <w:p>
            <w:pPr>
              <w:pStyle w:val="Normal6a"/>
            </w:pPr>
            <w:r>
              <w:t>(9)</w:t>
            </w:r>
            <w:r>
              <w:tab/>
            </w:r>
            <w:r>
              <w:t xml:space="preserve">På grund av att in- och utresesystemet tas i drift gradvis och att uppgifterna i systemet eventuellt är ofullständiga </w:t>
            </w:r>
            <w:r>
              <w:rPr>
                <w:b/>
                <w:i/>
              </w:rPr>
              <w:t>och felaktiga</w:t>
            </w:r>
            <w:r>
              <w:t xml:space="preserve"> bör tredjelandsmedborgares resehandlingar systematiskt stämplas vid in- och utresa under in- och utresesystemets gradvisa driftsstart. De nationella myndigheterna bör beakta att in- och utreseposter och poster om nekad inresa kan vara ofullständiga och ge stämplar företräde framför den information som registrerats i in- och utresesystemet. När de nationella myndigheterna ger tredjelandsmedborgare information om den maximala återstående längden på deras tillåtna vistelse bör de dessutom grunda sin bedömning på stämplarna i resehandlingarna. Uppgifterna i in- och utresesystemet bör gälla om det inte finns någon stämpel.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52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Med tanke på att de uppgifter som registreras i in- och utresesystemet under systemets gradvisa driftsstart kan vara ofullständiga bör </w:t>
            </w:r>
            <w:r>
              <w:rPr>
                <w:b/>
                <w:i/>
              </w:rPr>
              <w:t>de nationella myndigheterna inte beakta de resultat som</w:t>
            </w:r>
            <w:r>
              <w:t xml:space="preserve"> den automatiserade beräkningsmekanismen </w:t>
            </w:r>
            <w:r>
              <w:rPr>
                <w:b/>
                <w:i/>
              </w:rPr>
              <w:t>ger om</w:t>
            </w:r>
            <w:r>
              <w:t xml:space="preserve"> den maximala återstående längden på den tillåtna vistelsen för tredjelandsmedborgare som är registrerade i in- och utresesystemet. </w:t>
            </w:r>
            <w:r>
              <w:rPr>
                <w:b/>
                <w:i/>
              </w:rPr>
              <w:t>När de nationella myndigheterna utför sina uppgifter bör de heller inte beakta</w:t>
            </w:r>
            <w:r>
              <w:t xml:space="preserve"> den automatiserade mekanismen för att identifiera eller flagga avsaknaden av utreseposter efter den dag då den tillåtna vistelsen löper ut eller de poster för vilka den maximala längden på den tillåtna vistelsen överskridits, varpå förteckningar genereras över personer som identifierats som personer som överskridit den tillåtna vistelsen.</w:t>
            </w:r>
          </w:p>
        </w:tc>
        <w:tc>
          <w:tcPr>
            <w:tcW w:w="4876" w:type="dxa"/>
            <w:tcBorders>
              <w:top w:val="nil"/>
              <w:left w:val="nil"/>
              <w:bottom w:val="nil"/>
              <w:right w:val="nil"/>
            </w:tcBorders>
          </w:tcPr>
          <w:p>
            <w:pPr>
              <w:pStyle w:val="Normal6a"/>
            </w:pPr>
            <w:r>
              <w:t>(10)</w:t>
            </w:r>
            <w:r>
              <w:tab/>
            </w:r>
            <w:r>
              <w:t xml:space="preserve">Med tanke på att de uppgifter som registreras i in- och utresesystemet under systemets gradvisa driftsstart kan vara ofullständiga bör </w:t>
            </w:r>
            <w:r>
              <w:rPr>
                <w:b/>
                <w:i/>
              </w:rPr>
              <w:t>uppgifterna i in- och utresesystemet inte behandlas med</w:t>
            </w:r>
            <w:r>
              <w:t xml:space="preserve"> den automatiserade beräkningsmekanismen </w:t>
            </w:r>
            <w:r>
              <w:rPr>
                <w:b/>
                <w:i/>
              </w:rPr>
              <w:t>för</w:t>
            </w:r>
            <w:r>
              <w:t xml:space="preserve"> den maximala återstående längden på den tillåtna vistelsen för tredjelandsmedborgare som är registrerade i in- och utresesystemet. Den automatiserade mekanismen för att identifiera eller flagga avsaknaden av utreseposter efter den dag då den tillåtna vistelsen löper ut eller de poster för vilka den maximala längden på den tillåtna vistelsen överskridits, varpå förteckningar genereras över personer som identifierats som personer som överskridit den tillåtna vistelsen</w:t>
            </w:r>
            <w:r>
              <w:rPr>
                <w:b/>
                <w:i/>
              </w:rPr>
              <w:t>, bör på motsvarande sätt tillfälligt upphävas under den gradvisa driftsstarten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53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Med tanke på att de uppgifter som registreras i in- och utresesystemet under systemets gradvisa driftsstart kan vara ofullständiga bör de nationella myndigheterna inte beakta de resultat som den automatiserade beräkningsmekanismen ger om den maximala återstående längden på den tillåtna vistelsen för tredjelandsmedborgare som är registrerade i in- och utresesystemet. När de nationella myndigheterna utför sina uppgifter bör de heller inte beakta den automatiserade mekanismen för att identifiera eller flagga avsaknaden av utreseposter efter den dag då den tillåtna vistelsen löper ut eller de poster för vilka den maximala längden på den tillåtna vistelsen överskridits</w:t>
            </w:r>
            <w:r>
              <w:rPr>
                <w:b/>
                <w:i/>
              </w:rPr>
              <w:t>, varpå förteckningar genereras över personer som identifierats som personer som överskridit den tillåtna vistelsen</w:t>
            </w:r>
            <w:r>
              <w:t>.</w:t>
            </w:r>
          </w:p>
        </w:tc>
        <w:tc>
          <w:tcPr>
            <w:tcW w:w="4876" w:type="dxa"/>
            <w:tcBorders>
              <w:top w:val="nil"/>
              <w:left w:val="nil"/>
              <w:bottom w:val="nil"/>
              <w:right w:val="nil"/>
            </w:tcBorders>
          </w:tcPr>
          <w:p>
            <w:pPr>
              <w:pStyle w:val="Normal6a"/>
            </w:pPr>
            <w:r>
              <w:t>(10)</w:t>
            </w:r>
            <w:r>
              <w:tab/>
            </w:r>
            <w:r>
              <w:t>Med tanke på att de uppgifter som registreras i in- och utresesystemet under systemets gradvisa driftsstart kan vara ofullständiga bör de nationella myndigheterna inte beakta de resultat som den automatiserade beräkningsmekanismen ger om den maximala återstående längden på den tillåtna vistelsen för tredjelandsmedborgare som är registrerade i in- och utresesystemet. När de nationella myndigheterna utför sina uppgifter bör de heller inte beakta den automatiserade mekanismen för att identifiera eller flagga avsaknaden av utreseposter efter den dag då den tillåtna vistelsen löper ut eller de poster för vilka den maximala längden på den tillåtna vistelsen överskridits.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bör inte genereras någon förteckning över personer som överskridit den tillåtna vistelsen under den gradvisa driftsstarten.</w:t>
      </w:r>
    </w:p>
    <w:p>
      <w:r>
        <w:rPr>
          <w:rStyle w:val="HideTWBExt"/>
        </w:rPr>
        <w:t>&lt;/AmendB&gt;</w:t>
      </w:r>
    </w:p>
    <w:p>
      <w:pPr>
        <w:pStyle w:val="AmNumberTabs"/>
      </w:pPr>
      <w:r>
        <w:rPr>
          <w:rStyle w:val="HideTWBExt"/>
        </w:rPr>
        <w:t>&lt;AmendB&gt;</w:t>
      </w:r>
      <w:r>
        <w:t>Ändringsförslag</w:t>
      </w:r>
      <w:r>
        <w:tab/>
      </w:r>
      <w:r>
        <w:tab/>
      </w:r>
      <w:r>
        <w:rPr>
          <w:rStyle w:val="HideTWBExt"/>
        </w:rPr>
        <w:t>&lt;NumAmB&gt;</w:t>
      </w:r>
      <w:r>
        <w:t>54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För att ge medlemsstaterna den tid som krävs för att anpassa sig till in- och utresesystemets start bör det inte vara obligatoriskt att använda biometriska funktioner vid gränsövergångsställen under de första </w:t>
            </w:r>
            <w:r>
              <w:rPr>
                <w:b/>
                <w:i/>
              </w:rPr>
              <w:t>60</w:t>
            </w:r>
            <w:r>
              <w:t xml:space="preserve"> kalenderdagarna av den gradvisa driftsstarten. Senast den </w:t>
            </w:r>
            <w:r>
              <w:rPr>
                <w:b/>
                <w:i/>
              </w:rPr>
              <w:t>90</w:t>
            </w:r>
            <w:r>
              <w:t xml:space="preserve">:e kalenderdagen efter den gradvisa driftsstarten bör medlemsstaterna använda in- och utresesystemet med biometriska funktioner vid minst </w:t>
            </w:r>
            <w:r>
              <w:rPr>
                <w:b/>
                <w:i/>
              </w:rPr>
              <w:t>hälften</w:t>
            </w:r>
            <w:r>
              <w:t xml:space="preserve"> av sina gränsövergångsställen. Att lämna biometriska uppgifter bör inte vara ett inresevillkor för tredjelandsmedborgare som omfattas av registrering i in- och utresesystemet vid de gränsövergångsställen där in- och utresesystemet används utan biometriska funktioner.</w:t>
            </w:r>
          </w:p>
        </w:tc>
        <w:tc>
          <w:tcPr>
            <w:tcW w:w="4876" w:type="dxa"/>
            <w:tcBorders>
              <w:top w:val="nil"/>
              <w:left w:val="nil"/>
              <w:bottom w:val="nil"/>
              <w:right w:val="nil"/>
            </w:tcBorders>
          </w:tcPr>
          <w:p>
            <w:pPr>
              <w:pStyle w:val="Normal6a"/>
            </w:pPr>
            <w:r>
              <w:t>(11)</w:t>
            </w:r>
            <w:r>
              <w:tab/>
            </w:r>
            <w:r>
              <w:t xml:space="preserve">För att ge medlemsstaterna den tid som krävs för att anpassa sig till in- och utresesystemets start bör det inte vara obligatoriskt att använda biometriska funktioner vid gränsövergångsställen under de första </w:t>
            </w:r>
            <w:r>
              <w:rPr>
                <w:b/>
                <w:i/>
              </w:rPr>
              <w:t>180</w:t>
            </w:r>
            <w:r>
              <w:t xml:space="preserve"> kalenderdagarna av den gradvisa driftsstarten. Senast den </w:t>
            </w:r>
            <w:r>
              <w:rPr>
                <w:b/>
                <w:i/>
              </w:rPr>
              <w:t>180</w:t>
            </w:r>
            <w:r>
              <w:t xml:space="preserve">:e kalenderdagen efter den gradvisa driftsstarten bör medlemsstaterna använda in- och utresesystemet med biometriska funktioner vid minst </w:t>
            </w:r>
            <w:r>
              <w:rPr>
                <w:b/>
                <w:i/>
              </w:rPr>
              <w:t>10 %</w:t>
            </w:r>
            <w:r>
              <w:t xml:space="preserve"> av sina gränsövergångsställen. Att lämna biometriska uppgifter bör inte vara ett inresevillkor för tredjelandsmedborgare som omfattas av registrering i in- och utresesystemet vid de gränsövergångsställen där in- och utresesystemet används utan biometriska funktioner.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55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För att ge medlemsstaterna den tid som krävs för att anpassa sig till in- och utresesystemets start bör det inte vara obligatoriskt att använda biometriska funktioner vid gränsövergångsställen under de första 60 kalenderdagarna av den gradvisa driftsstarten. Senast den 90:e kalenderdagen efter den gradvisa driftsstarten bör medlemsstaterna använda in- och utresesystemet med biometriska funktioner vid minst hälften av sina gränsövergångsställen. Att lämna biometriska uppgifter bör inte vara ett inresevillkor för tredjelandsmedborgare som omfattas av registrering i in- och utresesystemet </w:t>
            </w:r>
            <w:r>
              <w:rPr>
                <w:b/>
                <w:i/>
              </w:rPr>
              <w:t>vid de gränsövergångsställen där in- och utresesystemet används utan biometriska funktioner</w:t>
            </w:r>
            <w:r>
              <w:t>.</w:t>
            </w:r>
          </w:p>
        </w:tc>
        <w:tc>
          <w:tcPr>
            <w:tcW w:w="4876" w:type="dxa"/>
            <w:tcBorders>
              <w:top w:val="nil"/>
              <w:left w:val="nil"/>
              <w:bottom w:val="nil"/>
              <w:right w:val="nil"/>
            </w:tcBorders>
          </w:tcPr>
          <w:p>
            <w:pPr>
              <w:pStyle w:val="Normal6a"/>
            </w:pPr>
            <w:r>
              <w:t>(11)</w:t>
            </w:r>
            <w:r>
              <w:tab/>
            </w:r>
            <w:r>
              <w:t xml:space="preserve">För att ge medlemsstaterna den tid som krävs för att anpassa sig till in- och utresesystemets start bör det inte vara obligatoriskt att använda biometriska funktioner vid gränsövergångsställen under de första 60 kalenderdagarna av den gradvisa driftsstarten. Senast den 90:e kalenderdagen efter den gradvisa driftsstarten bör medlemsstaterna använda in- och utresesystemet med biometriska funktioner vid minst hälften av sina gränsövergångsställen. Att lämna biometriska uppgifter bör inte vara ett inresevillkor för tredjelandsmedborgare som omfattas av registrering i in- och utresesystemet </w:t>
            </w:r>
            <w:r>
              <w:rPr>
                <w:b/>
                <w:i/>
              </w:rPr>
              <w:t>under den gradvisa driftsstarten och i händelse av uppehåll i driften av in- och utresesystemet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56</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För att ge medlemsstaterna den tid som krävs för att anpassa sig till in- och utresesystemets start bör det inte vara obligatoriskt att använda biometriska funktioner vid gränsövergångsställen under de första 60 kalenderdagarna av den gradvisa driftsstarten. Senast den 90:e kalenderdagen efter den gradvisa driftsstarten bör medlemsstaterna använda in- och utresesystemet med biometriska funktioner vid minst hälften av sina gränsövergångsställen. Att lämna biometriska uppgifter bör inte vara ett inresevillkor för tredjelandsmedborgare som omfattas av registrering i in- och utresesystemet vid de gränsövergångsställen där in- och utresesystemet används utan biometriska funktioner.</w:t>
            </w:r>
          </w:p>
        </w:tc>
        <w:tc>
          <w:tcPr>
            <w:tcW w:w="4876" w:type="dxa"/>
            <w:tcBorders>
              <w:top w:val="nil"/>
              <w:left w:val="nil"/>
              <w:bottom w:val="nil"/>
              <w:right w:val="nil"/>
            </w:tcBorders>
          </w:tcPr>
          <w:p>
            <w:pPr>
              <w:pStyle w:val="Normal6a"/>
            </w:pPr>
            <w:r>
              <w:t>(11)</w:t>
            </w:r>
            <w:r>
              <w:tab/>
            </w:r>
            <w:r>
              <w:t xml:space="preserve">För att ge medlemsstaterna den tid som krävs för att anpassa sig till in- och utresesystemets start bör det inte vara obligatoriskt att använda biometriska funktioner vid gränsövergångsställen under de första 60 kalenderdagarna av den gradvisa driftsstarten. Senast den 90:e kalenderdagen efter den gradvisa driftsstarten bör medlemsstaterna använda in- och utresesystemet med biometriska funktioner vid minst hälften av sina gränsövergångsställen. </w:t>
            </w:r>
            <w:r>
              <w:rPr>
                <w:b/>
                <w:i/>
              </w:rPr>
              <w:t>I tillämpliga fall bör medlemsstaterna prioritera driften av in- och utresesystemet med biometriska funktioner vid gränsövergångsställen som i deras respektive nationella utrullningsplaner identifieras som oftast drabbade av irreguljär migration, olagliga gränspassager eller organiserad brottslighet.</w:t>
            </w:r>
            <w:r>
              <w:t xml:space="preserve"> Att lämna biometriska uppgifter bör inte vara ett inresevillkor för tredjelandsmedborgare som omfattas av registrering i in- och utresesystemet vid de gränsövergångsställen där in- och utresesystemet används utan biometriska funktioner.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57</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För att ge medlemsstaterna den tid som krävs för att anpassa sig till in- och utresesystemets start bör det inte vara obligatoriskt att använda biometriska funktioner vid gränsövergångsställen under de första 60 kalenderdagarna av den gradvisa driftsstarten. Senast den 90:e kalenderdagen efter den gradvisa driftsstarten bör medlemsstaterna använda in- och utresesystemet med biometriska funktioner vid minst hälften av sina gränsövergångsställen. Att lämna biometriska uppgifter bör inte vara ett inresevillkor för tredjelandsmedborgare som omfattas av registrering i in- och utresesystemet vid de gränsövergångsställen där in- och utresesystemet används utan biometriska funktioner.</w:t>
            </w:r>
          </w:p>
        </w:tc>
        <w:tc>
          <w:tcPr>
            <w:tcW w:w="4876" w:type="dxa"/>
            <w:tcBorders>
              <w:top w:val="nil"/>
              <w:left w:val="nil"/>
              <w:bottom w:val="nil"/>
              <w:right w:val="nil"/>
            </w:tcBorders>
          </w:tcPr>
          <w:p>
            <w:pPr>
              <w:pStyle w:val="Normal6a"/>
            </w:pPr>
            <w:r>
              <w:t>(11)</w:t>
            </w:r>
            <w:r>
              <w:tab/>
            </w:r>
            <w:r>
              <w:t xml:space="preserve">För att ge medlemsstaterna den tid som krävs för att anpassa sig till in- och utresesystemets start bör det inte vara obligatoriskt att använda biometriska funktioner vid gränsövergångsställen under de första 60 kalenderdagarna av den gradvisa driftsstarten. </w:t>
            </w:r>
            <w:r>
              <w:rPr>
                <w:b/>
                <w:i/>
              </w:rPr>
              <w:t>Medlemsstaterna uppmanas dock starkt att använda dessa funktioner under den perioden för att stödja en smidig operativ övergång och göra det möjligt att snabbt upptäcka och lösa eventuella problem med genomförandet.</w:t>
            </w:r>
            <w:r>
              <w:t xml:space="preserve"> Senast den 90:e kalenderdagen efter den gradvisa driftsstarten bör medlemsstaterna använda in- och utresesystemet med biometriska funktioner vid minst hälften av sina gränsövergångsställen. Att lämna biometriska uppgifter bör inte vara ett inresevillkor för tredjelandsmedborgare som omfattas av registrering i in- och utresesystemet vid de gränsövergångsställen där in- och utresesystemet används utan biometriska funktioner.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58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Tredjelandsmedborgare vars uppgifter ska registreras i in- och utresesystemet bör informeras om sina rättigheter och skyldigheter när det gäller behandlingen av deras uppgifter med hjälp av en mall i enlighet med artikel 50.5 i förordning (EU) 2017/2226. Den information som ska ges till tredjelandsmedborgare som omfattas av registrering i in- och utresesystemet bör nämna in- och utresesystemets gradvisa driftsstart. Tredjelandsmedborgare bör i mallen informeras om sin skyldighet att lämna biometriska uppgifter vid gränsövergångsställen där detta utgör ett inresevillkor. De bör i mallen göras medvetna om konsekvenserna av att inte lämna biometriska uppgifter. De bör i mallen informeras om att det inte kommer att vara möjligt för dem att med automatiserade medel verifiera hur lång tid som återstår av deras tillåtna vistelse.</w:t>
            </w:r>
          </w:p>
        </w:tc>
        <w:tc>
          <w:tcPr>
            <w:tcW w:w="4876" w:type="dxa"/>
            <w:tcBorders>
              <w:top w:val="nil"/>
              <w:left w:val="nil"/>
              <w:bottom w:val="nil"/>
              <w:right w:val="nil"/>
            </w:tcBorders>
          </w:tcPr>
          <w:p>
            <w:pPr>
              <w:pStyle w:val="Normal6a"/>
            </w:pPr>
            <w:r>
              <w:t>(14)</w:t>
            </w:r>
            <w:r>
              <w:tab/>
            </w:r>
            <w:r>
              <w:t xml:space="preserve">Tredjelandsmedborgare vars uppgifter ska registreras i in- och utresesystemet bör informeras om sina rättigheter och skyldigheter när det gäller behandlingen av deras uppgifter med hjälp av en mall i enlighet med artikel 50.5 i förordning (EU) 2017/2226 </w:t>
            </w:r>
            <w:r>
              <w:rPr>
                <w:b/>
                <w:i/>
              </w:rPr>
              <w:t>och att insamling av uppgifterna är en förutsättning för prövning av huruvida villkoren för inresa är uppfyllda samt att tredjelandsmedborgare som vägrar att lämna de biometriska uppgifter som begärs för registrering, verifiering eller identifiering i in- och utresesystemet kommer att nekas inresa i enlighet med artikel 50.1 d och e i förordning (EU) 2017/2226</w:t>
            </w:r>
            <w:r>
              <w:t>. Den information som ska ges till tredjelandsmedborgare som omfattas av registrering i in- och utresesystemet bör nämna in- och utresesystemets gradvisa driftsstart. Tredjelandsmedborgare bör i mallen informeras om sin skyldighet att lämna biometriska uppgifter vid gränsövergångsställen där detta utgör ett inresevillkor. De bör i mallen göras medvetna om konsekvenserna av att inte lämna biometriska uppgifter. De bör i mallen informeras om att det inte kommer att vara möjligt för dem att med automatiserade medel verifiera hur lång tid som återstår av deras tillåtna vistelse.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59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Tredjelandsmedborgare vars uppgifter ska registreras i in- och utresesystemet bör informeras om sina rättigheter och skyldigheter när det gäller behandlingen av deras uppgifter med hjälp av en mall i enlighet med artikel 50.5 i förordning (EU) 2017/2226. Den information som ska ges till tredjelandsmedborgare som omfattas av registrering i in- och utresesystemet bör nämna in- och utresesystemets gradvisa driftsstart. Tredjelandsmedborgare bör i mallen informeras om sin skyldighet att lämna biometriska uppgifter vid gränsövergångsställen där detta utgör ett inresevillkor. De bör i mallen göras medvetna om konsekvenserna av att inte lämna biometriska uppgifter. De bör i mallen informeras om att det inte kommer att vara möjligt för dem att med automatiserade medel verifiera hur lång tid som återstår av deras tillåtna vistelse.</w:t>
            </w:r>
          </w:p>
        </w:tc>
        <w:tc>
          <w:tcPr>
            <w:tcW w:w="4876" w:type="dxa"/>
            <w:tcBorders>
              <w:top w:val="nil"/>
              <w:left w:val="nil"/>
              <w:bottom w:val="nil"/>
              <w:right w:val="nil"/>
            </w:tcBorders>
          </w:tcPr>
          <w:p>
            <w:pPr>
              <w:pStyle w:val="Normal6a"/>
            </w:pPr>
            <w:r>
              <w:t>(14)</w:t>
            </w:r>
            <w:r>
              <w:tab/>
            </w:r>
            <w:r>
              <w:t xml:space="preserve">Tredjelandsmedborgare vars uppgifter ska registreras i in- och utresesystemet bör informeras om sina rättigheter och skyldigheter när det gäller behandlingen av deras uppgifter med hjälp av en mall i enlighet med artikel 50.5 i förordning (EU) 2017/2226. Den information som ska ges till tredjelandsmedborgare som omfattas av registrering i in- och utresesystemet bör nämna in- och utresesystemets gradvisa driftsstart. Tredjelandsmedborgare bör i mallen informeras om sin skyldighet att lämna biometriska uppgifter vid gränsövergångsställen där detta utgör ett inresevillkor. De bör i mallen göras medvetna om konsekvenserna av att inte lämna biometriska uppgifter. De bör i mallen informeras om att det inte kommer att vara möjligt för dem att med automatiserade medel verifiera hur lång tid som återstår av deras tillåtna vistelse. </w:t>
            </w:r>
            <w:r>
              <w:rPr>
                <w:b/>
                <w:i/>
              </w:rPr>
              <w:t>De nationella myndigheterna bör vidta alla rimliga åtgärder för att förse dessa tredjelandsmedborgare med uppgifter om längden på deras tillåtna vistelse på grundval av stämplarna i deras resehandlingar.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Resenärer som är tredjelandsmedborgare kommer att ha de skyldigheter som in- och utresesystemet medför utan dess fördelar, åtminstone under den gradvisa driftsstarten.</w:t>
      </w:r>
      <w:r>
        <w:t xml:space="preserve"> </w:t>
      </w:r>
      <w:r>
        <w:t>Under dessa omständigheter bör medlemsstaternas nationella myndigheter göra alla rimliga ansträngningar för att hålla tredjelandsmedborgare informerade om längden på deras återstående tillåtna vistelse.</w:t>
      </w:r>
    </w:p>
    <w:p>
      <w:r>
        <w:rPr>
          <w:rStyle w:val="HideTWBExt"/>
        </w:rPr>
        <w:t>&lt;/AmendB&gt;</w:t>
      </w:r>
    </w:p>
    <w:p>
      <w:pPr>
        <w:pStyle w:val="AmNumberTabs"/>
      </w:pPr>
      <w:r>
        <w:rPr>
          <w:rStyle w:val="HideTWBExt"/>
        </w:rPr>
        <w:t>&lt;AmendB&gt;</w:t>
      </w:r>
      <w:r>
        <w:t>Ändringsförslag</w:t>
      </w:r>
      <w:r>
        <w:tab/>
      </w:r>
      <w:r>
        <w:tab/>
      </w:r>
      <w:r>
        <w:rPr>
          <w:rStyle w:val="HideTWBExt"/>
        </w:rPr>
        <w:t>&lt;NumAmB&gt;</w:t>
      </w:r>
      <w:r>
        <w:t>60</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Kommissionen bör lägga ut relevanta uppdateringar på in- och utresesystemets webbplats för att återspegla in- och utresesystemets gradvisa driftsstart.</w:t>
            </w:r>
          </w:p>
        </w:tc>
        <w:tc>
          <w:tcPr>
            <w:tcW w:w="4876" w:type="dxa"/>
            <w:tcBorders>
              <w:top w:val="nil"/>
              <w:left w:val="nil"/>
              <w:bottom w:val="nil"/>
              <w:right w:val="nil"/>
            </w:tcBorders>
          </w:tcPr>
          <w:p>
            <w:pPr>
              <w:pStyle w:val="Normal6a"/>
            </w:pPr>
            <w:r>
              <w:t>(15)</w:t>
            </w:r>
            <w:r>
              <w:tab/>
            </w:r>
            <w:r>
              <w:t xml:space="preserve">Kommissionen bör </w:t>
            </w:r>
            <w:r>
              <w:rPr>
                <w:b/>
                <w:i/>
              </w:rPr>
              <w:t>åtminstone en gång per månad</w:t>
            </w:r>
            <w:r>
              <w:t xml:space="preserve"> lägga ut relevanta uppdateringar på in- och utresesystemets webbplats för att återspegla in- och utresesystemets gradvisa driftsstart.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Syftet att uppmärksamma tredjelandsmedborgare på deras särskilda rättigheter och skyldigheter uppnås bäst om medlemsstaterna anpassar sina informationskampanjer utifrån hur in- och utresesystemet kommer att drivas vid de gränser vid vilka in- och utresesystemet tagits i drift i enlighet med artikel 4 i förordning (EU) 2017/2226.</w:t>
            </w:r>
            <w:r>
              <w:t xml:space="preserve"> Det informationsmaterial som utarbetats av kommissionen med hjälp av medlemsstaterna inom ramen för artikel 51 i förordning (EU) 2017/2226 bör därför anpassas för att genomföra informationskampanjen i anknytning till den gradvisa driftsstarten.</w:t>
            </w:r>
          </w:p>
        </w:tc>
        <w:tc>
          <w:tcPr>
            <w:tcW w:w="4876" w:type="dxa"/>
            <w:tcBorders>
              <w:top w:val="nil"/>
              <w:left w:val="nil"/>
              <w:bottom w:val="nil"/>
              <w:right w:val="nil"/>
            </w:tcBorders>
          </w:tcPr>
          <w:p>
            <w:pPr>
              <w:pStyle w:val="Normal6a"/>
            </w:pPr>
            <w:r>
              <w:t>(16)</w:t>
            </w:r>
            <w:r>
              <w:tab/>
            </w:r>
            <w:r>
              <w:t>Det informationsmaterial som utarbetats av kommissionen med hjälp av medlemsstaterna inom ramen för artikel 51 i förordning (EU) 2017/2226 bör därför anpassas för att genomföra informationskampanjen i anknytning till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62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Syftet att uppmärksamma tredjelandsmedborgare på deras särskilda rättigheter och skyldigheter uppnås bäst om medlemsstaterna anpassar sina informationskampanjer utifrån hur in- och utresesystemet kommer att drivas vid de gränser vid vilka in- och utresesystemet tagits i drift i enlighet med artikel 4 i förordning (EU) 2017/2226. Det informationsmaterial som utarbetats av kommissionen med hjälp av medlemsstaterna inom ramen för artikel 51 i förordning (EU) 2017/2226 bör därför anpassas för att genomföra informationskampanjen i anknytning till den gradvisa driftsstarten.</w:t>
            </w:r>
          </w:p>
        </w:tc>
        <w:tc>
          <w:tcPr>
            <w:tcW w:w="4876" w:type="dxa"/>
            <w:tcBorders>
              <w:top w:val="nil"/>
              <w:left w:val="nil"/>
              <w:bottom w:val="nil"/>
              <w:right w:val="nil"/>
            </w:tcBorders>
          </w:tcPr>
          <w:p>
            <w:pPr>
              <w:pStyle w:val="Normal6a"/>
            </w:pPr>
            <w:r>
              <w:t>(16)</w:t>
            </w:r>
            <w:r>
              <w:tab/>
            </w:r>
            <w:r>
              <w:t>Syftet att uppmärksamma tredjelandsmedborgare på deras särskilda rättigheter och skyldigheter uppnås bäst om medlemsstaterna anpassar sina informationskampanjer utifrån hur in- och utresesystemet kommer att drivas vid de gränser vid vilka in- och utresesystemet tagits i drift i enlighet med artikel 4 i förordning (EU) 2017/2226. Det informationsmaterial som utarbetats av kommissionen</w:t>
            </w:r>
            <w:r>
              <w:rPr>
                <w:b/>
                <w:i/>
              </w:rPr>
              <w:t>, i samarbete med tillsynsmyndigheterna och Europeiska datatillsynsmannen, och</w:t>
            </w:r>
            <w:r>
              <w:t xml:space="preserve"> med hjälp av medlemsstaterna inom ramen för artikel 51 i förordning (EU) 2017/2226 bör därför anpassas för att genomföra informationskampanjen i anknytning till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63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Syftet att uppmärksamma tredjelandsmedborgare på deras särskilda rättigheter och skyldigheter uppnås bäst om medlemsstaterna anpassar sina informationskampanjer utifrån hur in- och utresesystemet kommer att drivas vid de gränser vid vilka in- och utresesystemet tagits i drift i enlighet med artikel 4 i förordning (EU) 2017/2226. </w:t>
            </w:r>
            <w:r>
              <w:rPr>
                <w:b/>
                <w:i/>
              </w:rPr>
              <w:t>Det</w:t>
            </w:r>
            <w:r>
              <w:t xml:space="preserve"> informationsmaterial som utarbetats </w:t>
            </w:r>
            <w:r>
              <w:rPr>
                <w:b/>
                <w:i/>
              </w:rPr>
              <w:t>av kommissionen</w:t>
            </w:r>
            <w:r>
              <w:t xml:space="preserve"> med hjälp av medlemsstaterna inom ramen för artikel 51 i förordning (EU) 2017/2226 </w:t>
            </w:r>
            <w:r>
              <w:rPr>
                <w:b/>
                <w:i/>
              </w:rPr>
              <w:t>bör därför anpassas</w:t>
            </w:r>
            <w:r>
              <w:t xml:space="preserve"> för att </w:t>
            </w:r>
            <w:r>
              <w:rPr>
                <w:b/>
                <w:i/>
              </w:rPr>
              <w:t>genomföra informationskampanjen i anknytning till</w:t>
            </w:r>
            <w:r>
              <w:t xml:space="preserve"> den gradvisa driftsstarten.</w:t>
            </w:r>
          </w:p>
        </w:tc>
        <w:tc>
          <w:tcPr>
            <w:tcW w:w="4876" w:type="dxa"/>
            <w:tcBorders>
              <w:top w:val="nil"/>
              <w:left w:val="nil"/>
              <w:bottom w:val="nil"/>
              <w:right w:val="nil"/>
            </w:tcBorders>
          </w:tcPr>
          <w:p>
            <w:pPr>
              <w:pStyle w:val="Normal6a"/>
            </w:pPr>
            <w:r>
              <w:t>(16)</w:t>
            </w:r>
            <w:r>
              <w:tab/>
            </w:r>
            <w:r>
              <w:t xml:space="preserve">Syftet att uppmärksamma tredjelandsmedborgare på deras särskilda rättigheter och skyldigheter uppnås bäst om medlemsstaterna anpassar sina informationskampanjer utifrån hur in- och utresesystemet kommer att drivas vid de gränser vid vilka in- och utresesystemet tagits i drift i enlighet med artikel 4 i förordning (EU) 2017/2226. </w:t>
            </w:r>
            <w:r>
              <w:rPr>
                <w:b/>
                <w:i/>
              </w:rPr>
              <w:t>Kommissionen bör därför anpassa sitt</w:t>
            </w:r>
            <w:r>
              <w:t xml:space="preserve"> informationsmaterial som utarbetats med hjälp av medlemsstaterna inom ramen för artikel 51 i förordning (EU) 2017/2226 för att </w:t>
            </w:r>
            <w:r>
              <w:rPr>
                <w:b/>
                <w:i/>
              </w:rPr>
              <w:t>säkerställa att en korrekt informationskampanj åtföljer</w:t>
            </w:r>
            <w:r>
              <w:t xml:space="preserve">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64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Under in- och utresesystemets gradvisa driftsstart kommer tredjelandsmedborgare inte att elektroniskt via webbtjänsten kunna verifiera den exakta längden på sin tillåtna vistelse.</w:t>
            </w:r>
          </w:p>
        </w:tc>
        <w:tc>
          <w:tcPr>
            <w:tcW w:w="4876" w:type="dxa"/>
            <w:tcBorders>
              <w:top w:val="nil"/>
              <w:left w:val="nil"/>
              <w:bottom w:val="nil"/>
              <w:right w:val="nil"/>
            </w:tcBorders>
          </w:tcPr>
          <w:p>
            <w:pPr>
              <w:pStyle w:val="Normal6a"/>
            </w:pPr>
            <w:r>
              <w:t>(17)</w:t>
            </w:r>
            <w:r>
              <w:tab/>
            </w:r>
            <w:r>
              <w:t xml:space="preserve">Under in- och utresesystemets gradvisa driftsstart kommer tredjelandsmedborgare inte att elektroniskt via webbtjänsten kunna verifiera den exakta längden på sin tillåtna vistelse. </w:t>
            </w:r>
            <w:r>
              <w:rPr>
                <w:b/>
                <w:i/>
              </w:rPr>
              <w:t>Trots detta bör medlemsstaterna, i samarbete med kommissionen och eu-LISA, kunna införa tillfälliga eller föroperativa versioner av webbtjänsten med begränsade funktioner för testning, demonstration och tidig validering av in- och utresesystemets kapacitet.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65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Under in- och utresesystemets gradvisa driftsstart kommer tredjelandsmedborgare inte att elektroniskt via webbtjänsten kunna verifiera den exakta längden på sin tillåtna vistelse.</w:t>
            </w:r>
          </w:p>
        </w:tc>
        <w:tc>
          <w:tcPr>
            <w:tcW w:w="4876" w:type="dxa"/>
            <w:tcBorders>
              <w:top w:val="nil"/>
              <w:left w:val="nil"/>
              <w:bottom w:val="nil"/>
              <w:right w:val="nil"/>
            </w:tcBorders>
          </w:tcPr>
          <w:p>
            <w:pPr>
              <w:pStyle w:val="Normal6a"/>
            </w:pPr>
            <w:r>
              <w:t>(17)</w:t>
            </w:r>
            <w:r>
              <w:tab/>
            </w:r>
            <w:r>
              <w:t xml:space="preserve">Under in- och utresesystemets gradvisa driftsstart kommer tredjelandsmedborgare inte att elektroniskt via webbtjänsten kunna verifiera den exakta längden på sin tillåtna vistelse. </w:t>
            </w:r>
            <w:r>
              <w:rPr>
                <w:b/>
                <w:i/>
              </w:rPr>
              <w:t>De nationella myndigheterna bör vidta alla rimliga åtgärder för att förse dessa tredjelandsmedborgare med uppgifter om längden på deras tillåtna vistelse på grundval av stämplarna i deras resehandlingar.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Tredjelandsmedborgare kommer att ha de skyldigheter som in- och utresesystemet medför utan dess fördelar, åtminstone under den gradvisa driftsstarten.</w:t>
      </w:r>
      <w:r>
        <w:t xml:space="preserve"> </w:t>
      </w:r>
      <w:r>
        <w:t>Under dessa omständigheter bör medlemsstaternas nationella myndigheter göra alla rimliga ansträngningar för att hålla tredjelandsmedborgare informerade om längden på deras återstående tillåtna vistelse.</w:t>
      </w:r>
    </w:p>
    <w:p>
      <w:r>
        <w:rPr>
          <w:rStyle w:val="HideTWBExt"/>
        </w:rPr>
        <w:t>&lt;/AmendB&gt;</w:t>
      </w:r>
    </w:p>
    <w:p>
      <w:pPr>
        <w:pStyle w:val="AmNumberTabs"/>
      </w:pPr>
      <w:r>
        <w:rPr>
          <w:rStyle w:val="HideTWBExt"/>
        </w:rPr>
        <w:t>&lt;AmendB&gt;</w:t>
      </w:r>
      <w:r>
        <w:t>Ändringsförslag</w:t>
      </w:r>
      <w:r>
        <w:tab/>
      </w:r>
      <w:r>
        <w:tab/>
      </w:r>
      <w:r>
        <w:rPr>
          <w:rStyle w:val="HideTWBExt"/>
        </w:rPr>
        <w:t>&lt;NumAmB&gt;</w:t>
      </w:r>
      <w:r>
        <w:t>66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Denna förordning påverkar inte skyldigheterna för luft- och sjötransportörer och transportörer som ansvarar för grupptransporter i samband med internationella bussförbindelser enligt artikel 26.1 i konventionen om tillämpning av Schengenavtalet</w:t>
            </w:r>
            <w:r>
              <w:rPr>
                <w:vertAlign w:val="superscript"/>
              </w:rPr>
              <w:t>5</w:t>
            </w:r>
            <w:r>
              <w:t>och rådets direktiv 2001/51/EG</w:t>
            </w:r>
            <w:r>
              <w:rPr>
                <w:vertAlign w:val="superscript"/>
              </w:rPr>
              <w:t>6</w:t>
            </w:r>
            <w:r>
              <w:t>. I detta avseende bör transportörerna kontrollera stämplarna i resehandlingarna. Det är mycket viktigt att medlemsstaterna är transparenta om införandet av in- och utresesystemet vid sina gränsövergångsställen för att säkerställa effektiv kommunikation med transportörer om den särskilda tillämpningen av in- och utresesystemet vid gränsövergångsställena, vilket i slutändan gynnar resenärerna.</w:t>
            </w:r>
          </w:p>
        </w:tc>
        <w:tc>
          <w:tcPr>
            <w:tcW w:w="4876" w:type="dxa"/>
            <w:tcBorders>
              <w:top w:val="nil"/>
              <w:left w:val="nil"/>
              <w:bottom w:val="nil"/>
              <w:right w:val="nil"/>
            </w:tcBorders>
          </w:tcPr>
          <w:p>
            <w:pPr>
              <w:pStyle w:val="Normal6a"/>
            </w:pPr>
            <w:r>
              <w:t>(18)</w:t>
            </w:r>
            <w:r>
              <w:tab/>
            </w:r>
            <w:r>
              <w:t>Denna förordning påverkar inte skyldigheterna för luft- och sjötransportörer och transportörer som ansvarar för grupptransporter i samband med internationella bussförbindelser enligt artikel 26.1 i konventionen om tillämpning av Schengenavtalet</w:t>
            </w:r>
            <w:r>
              <w:rPr>
                <w:vertAlign w:val="superscript"/>
              </w:rPr>
              <w:t>5</w:t>
            </w:r>
            <w:r>
              <w:t xml:space="preserve"> och rådets direktiv 2001/51/EG</w:t>
            </w:r>
            <w:r>
              <w:rPr>
                <w:vertAlign w:val="superscript"/>
              </w:rPr>
              <w:t>6</w:t>
            </w:r>
            <w:r>
              <w:t xml:space="preserve">. I detta avseende bör transportörerna kontrollera stämplarna i resehandlingarna. Det är mycket viktigt att medlemsstaterna är transparenta om införandet av in- och utresesystemet vid sina gränsövergångsställen </w:t>
            </w:r>
            <w:r>
              <w:rPr>
                <w:b/>
                <w:i/>
              </w:rPr>
              <w:t>och delar sina nationella utrullningsplaner med berörda branschaktörer</w:t>
            </w:r>
            <w:r>
              <w:t xml:space="preserve"> för att säkerställa effektiv kommunikation med transportörer om den särskilda tillämpningen av in- och utresesystemet vid gränsövergångsställena, vilket i slutändan gynnar resenärerna.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Konvention om tillämpning av Schengenavtalet av den 14 juni 1985 mellan regeringarna i Beneluxstaterna, Förbundsrepubliken Tyskland och Franska republiken om gradvis avskaffande av kontroller vid de gemensamma gränserna (konventionen om tillämpning av Schengenavtalet) (EGT L 239, 22.9.2000, s. 19, ELI: http://data.europa.eu/eli/convention/2000/922/oj).</w:t>
            </w:r>
          </w:p>
        </w:tc>
        <w:tc>
          <w:tcPr>
            <w:tcW w:w="4876" w:type="dxa"/>
            <w:tcBorders>
              <w:top w:val="nil"/>
              <w:left w:val="nil"/>
              <w:bottom w:val="nil"/>
              <w:right w:val="nil"/>
            </w:tcBorders>
          </w:tcPr>
          <w:p>
            <w:pPr>
              <w:pStyle w:val="Normal6a"/>
            </w:pPr>
            <w:r>
              <w:rPr>
                <w:vertAlign w:val="superscript"/>
              </w:rPr>
              <w:t>5</w:t>
            </w:r>
            <w:r>
              <w:t xml:space="preserve"> </w:t>
            </w:r>
            <w:r>
              <w:t>Konvention om tillämpning av Schengenavtalet av den 14 juni 1985 mellan regeringarna i Beneluxstaterna, Förbundsrepubliken Tyskland och Franska republiken om gradvis avskaffande av kontroller vid de gemensamma gränserna (konventionen om tillämpning av Schengenavtalet) (EGT L 239, 22.9.2000, s. 19, ELI: http://data.europa.eu/eli/convention/2000/922/oj).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Rådets direktiv 2001/51/EG av den 28 juni 2001 om komplettering av bestämmelserna i artikel 26 i konventionen om tillämpning av Schengenavtalet av den 14 juni 1985 (EGT L 187, 10.7.2001, s. 45, ELI: http://data.europa.eu/eli/dir/2001/51/oj).</w:t>
            </w:r>
          </w:p>
        </w:tc>
        <w:tc>
          <w:tcPr>
            <w:tcW w:w="4876" w:type="dxa"/>
            <w:tcBorders>
              <w:top w:val="nil"/>
              <w:left w:val="nil"/>
              <w:bottom w:val="nil"/>
              <w:right w:val="nil"/>
            </w:tcBorders>
          </w:tcPr>
          <w:p>
            <w:pPr>
              <w:pStyle w:val="Normal6a"/>
            </w:pPr>
            <w:r>
              <w:rPr>
                <w:vertAlign w:val="superscript"/>
              </w:rPr>
              <w:t>6</w:t>
            </w:r>
            <w:r>
              <w:t xml:space="preserve"> </w:t>
            </w:r>
            <w:r>
              <w:t>Rådets direktiv 2001/51/EG av den 28 juni 2001 om komplettering av bestämmelserna i artikel 26 i konventionen om tillämpning av Schengenavtalet av den 14 juni 1985 (EGT L 187, 10.7.2001, s. 45, ELI: http://data.europa.eu/eli/dir/2001/51/oj).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67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I artikel 22 i förordning (EU) 2017/2226 och artikel 12a i förordning (EU) 2016/399 föreskrivs en övergångsperiod och övergångsåtgärder för in- och utresesystemets driftsstart. Det är nödvändigt att göra undantag från dessa artiklar för att säkerställa att övergångsperioden och övergångsåtgärderna tillämpas först från och med slutet av den gradvisa driftsstarten. </w:t>
            </w:r>
            <w:r>
              <w:rPr>
                <w:b/>
                <w:i/>
              </w:rPr>
              <w:t>Det undantaget bör upphöra att gälla 5 år och 180 kalenderdagar efter det datum som kommissionen fastställt i enlighet med artikel 66.1 i förordning (EU) 2017/2226.</w:t>
            </w:r>
          </w:p>
        </w:tc>
        <w:tc>
          <w:tcPr>
            <w:tcW w:w="4876" w:type="dxa"/>
            <w:tcBorders>
              <w:top w:val="nil"/>
              <w:left w:val="nil"/>
              <w:bottom w:val="nil"/>
              <w:right w:val="nil"/>
            </w:tcBorders>
          </w:tcPr>
          <w:p>
            <w:pPr>
              <w:pStyle w:val="Normal6a"/>
            </w:pPr>
            <w:r>
              <w:t>(19)</w:t>
            </w:r>
            <w:r>
              <w:tab/>
            </w:r>
            <w:r>
              <w:t>I artikel 22 i förordning (EU) 2017/2226 och artikel 12a i förordning (EU) 2016/399 föreskrivs en övergångsperiod och övergångsåtgärder för in- och utresesystemets driftsstart. Det är nödvändigt att göra undantag från dessa artiklar för att säkerställa att övergångsperioden och övergångsåtgärderna tillämpas först från och med slutet av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68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För att säkerställa att nationella myndigheter och EU-byråer i sin tjänsteutövning undviker att fatta beslut uteslutande på grundval av uppgifter i in- och utresesystemet bör de ta hänsyn till att personakter i in- och utresesystemet kan innehålla ofullständiga </w:t>
            </w:r>
            <w:r>
              <w:rPr>
                <w:b/>
                <w:i/>
              </w:rPr>
              <w:t>uppgifter.</w:t>
            </w:r>
            <w:r>
              <w:t xml:space="preserve"> </w:t>
            </w:r>
            <w:r>
              <w:rPr>
                <w:b/>
                <w:i/>
              </w:rPr>
              <w:t>Det undantaget bör upphöra att gälla fem år efter det datum som kommissionen fastställt i enlighet med artikel 66.1 i förordning (EU) 2017/2226 för att återspegla den femåriga lagringsperioden för</w:t>
            </w:r>
            <w:r>
              <w:t xml:space="preserve"> uppgifter </w:t>
            </w:r>
            <w:r>
              <w:rPr>
                <w:b/>
                <w:i/>
              </w:rPr>
              <w:t>där utreseposten saknas i enlighet med artikel 34.3 i den förordningen</w:t>
            </w:r>
            <w:r>
              <w:t>.</w:t>
            </w:r>
          </w:p>
        </w:tc>
        <w:tc>
          <w:tcPr>
            <w:tcW w:w="4876" w:type="dxa"/>
            <w:tcBorders>
              <w:top w:val="nil"/>
              <w:left w:val="nil"/>
              <w:bottom w:val="nil"/>
              <w:right w:val="nil"/>
            </w:tcBorders>
          </w:tcPr>
          <w:p>
            <w:pPr>
              <w:pStyle w:val="Normal6a"/>
            </w:pPr>
            <w:r>
              <w:t>(20)</w:t>
            </w:r>
            <w:r>
              <w:tab/>
            </w:r>
            <w:r>
              <w:t xml:space="preserve">För att säkerställa att nationella myndigheter och EU-byråer i sin tjänsteutövning undviker att fatta beslut uteslutande på grundval av uppgifter i in- och utresesystemet bör de ta hänsyn till att personakter i in- och utresesystemet kan innehålla ofullständiga </w:t>
            </w:r>
            <w:r>
              <w:rPr>
                <w:b/>
                <w:i/>
              </w:rPr>
              <w:t>eller felaktiga</w:t>
            </w:r>
            <w:r>
              <w:t xml:space="preserve"> 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69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För att säkerställa att nationella myndigheter och EU-byråer i sin tjänsteutövning undviker att</w:t>
            </w:r>
            <w:r>
              <w:t xml:space="preserve"> fatta beslut </w:t>
            </w:r>
            <w:r>
              <w:rPr>
                <w:b/>
                <w:i/>
              </w:rPr>
              <w:t>uteslutande</w:t>
            </w:r>
            <w:r>
              <w:t xml:space="preserve"> på grundval av uppgifter i in- och utresesystemet </w:t>
            </w:r>
            <w:r>
              <w:rPr>
                <w:b/>
                <w:i/>
              </w:rPr>
              <w:t>bör de ta hänsyn till att personakter i in- och utresesystemet kan innehålla ofullständiga uppgifter</w:t>
            </w:r>
            <w:r>
              <w:t>. Det undantaget bör upphöra att gälla fem år efter det datum som kommissionen fastställt i enlighet med artikel 66.1 i förordning (EU) 2017/2226 för att återspegla den femåriga lagringsperioden för uppgifter där utreseposten saknas i enlighet med artikel 34.3 i den förordningen.</w:t>
            </w:r>
          </w:p>
        </w:tc>
        <w:tc>
          <w:tcPr>
            <w:tcW w:w="4876" w:type="dxa"/>
            <w:tcBorders>
              <w:top w:val="nil"/>
              <w:left w:val="nil"/>
              <w:bottom w:val="nil"/>
              <w:right w:val="nil"/>
            </w:tcBorders>
          </w:tcPr>
          <w:p>
            <w:pPr>
              <w:pStyle w:val="Normal6a"/>
            </w:pPr>
            <w:r>
              <w:t>(20)</w:t>
            </w:r>
            <w:r>
              <w:tab/>
            </w:r>
            <w:r>
              <w:rPr>
                <w:b/>
                <w:i/>
              </w:rPr>
              <w:t>Med hänsyn till att personakter i in- och utresesystemet kan innehålla ofullständiga uppgifter under den gradvisa driftsstarten bör de nationella myndigheterna inte</w:t>
            </w:r>
            <w:r>
              <w:t xml:space="preserve"> fatta beslut </w:t>
            </w:r>
            <w:r>
              <w:rPr>
                <w:b/>
                <w:i/>
              </w:rPr>
              <w:t>som negativt påverkar enskilda personer enbart</w:t>
            </w:r>
            <w:r>
              <w:t xml:space="preserve"> på grundval av uppgifter </w:t>
            </w:r>
            <w:r>
              <w:rPr>
                <w:b/>
                <w:i/>
              </w:rPr>
              <w:t>som registrerats</w:t>
            </w:r>
            <w:r>
              <w:t xml:space="preserve"> i in- och utresesystemet </w:t>
            </w:r>
            <w:r>
              <w:rPr>
                <w:b/>
                <w:i/>
              </w:rPr>
              <w:t>eller det faktum att en in- eller utresa inte har registrerats</w:t>
            </w:r>
            <w:r>
              <w:t>. Det undantaget bör upphöra att gälla fem år efter det datum som kommissionen fastställt i enlighet med artikel 66.1 i förordning (EU) 2017/2226 för att återspegla den femåriga lagringsperioden för uppgifter där utreseposten saknas i enlighet med artikel 34.3 i den förordningen.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70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För att säkerställa att nationella myndigheter och EU-byråer i sin tjänsteutövning undviker att fatta beslut uteslutande på grundval av uppgifter i in- och utresesystemet bör de ta hänsyn till att personakter i in- och utresesystemet kan innehålla ofullständiga uppgifter. Det undantaget bör upphöra att gälla fem år efter det datum som kommissionen fastställt i enlighet med artikel 66.1 i förordning (EU) 2017/2226 för att återspegla den femåriga lagringsperioden för uppgifter där utreseposten saknas i enlighet med artikel 34.3 i den förordningen.</w:t>
            </w:r>
          </w:p>
        </w:tc>
        <w:tc>
          <w:tcPr>
            <w:tcW w:w="4876" w:type="dxa"/>
            <w:tcBorders>
              <w:top w:val="nil"/>
              <w:left w:val="nil"/>
              <w:bottom w:val="nil"/>
              <w:right w:val="nil"/>
            </w:tcBorders>
          </w:tcPr>
          <w:p>
            <w:pPr>
              <w:pStyle w:val="Normal6a"/>
            </w:pPr>
            <w:r>
              <w:t>(20)</w:t>
            </w:r>
            <w:r>
              <w:tab/>
            </w:r>
            <w:r>
              <w:t xml:space="preserve">För att säkerställa att nationella myndigheter och EU-byråer i sin tjänsteutövning undviker att fatta beslut uteslutande på grundval av uppgifter i in- och utresesystemet bör de ta hänsyn till att personakter i in- och utresesystemet kan innehålla ofullständiga uppgifter. Det undantaget bör upphöra att gälla fem år efter det datum som kommissionen fastställt i enlighet med artikel 66.1 i förordning (EU) 2017/2226 för att återspegla den femåriga lagringsperioden för uppgifter där utreseposten saknas i enlighet med artikel 34.3 i den förordningen. </w:t>
            </w:r>
            <w:r>
              <w:rPr>
                <w:b/>
                <w:i/>
              </w:rPr>
              <w:t>In- och utreseposter som skapas under den gradvisa driftsstarten bör inte användas för automatiserad rapportering eller för automatiserade processer, inbegripet automatiska sökningar från Etias.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Ändringsförslaget syftar till att hitta en balans mellan att helt radera uppgifterna och generering av falska positiva resultat från ofullständiga uppgifter.</w:t>
      </w:r>
    </w:p>
    <w:p>
      <w:r>
        <w:rPr>
          <w:rStyle w:val="HideTWBExt"/>
        </w:rPr>
        <w:t>&lt;/AmendB&gt;</w:t>
      </w:r>
    </w:p>
    <w:p>
      <w:pPr>
        <w:pStyle w:val="AmNumberTabs"/>
      </w:pPr>
      <w:r>
        <w:rPr>
          <w:rStyle w:val="HideTWBExt"/>
        </w:rPr>
        <w:t>&lt;AmendB&gt;</w:t>
      </w:r>
      <w:r>
        <w:t>Ändringsförslag</w:t>
      </w:r>
      <w:r>
        <w:tab/>
      </w:r>
      <w:r>
        <w:tab/>
      </w:r>
      <w:r>
        <w:rPr>
          <w:rStyle w:val="HideTWBExt"/>
        </w:rPr>
        <w:t>&lt;NumAmB&gt;</w:t>
      </w:r>
      <w:r>
        <w:t>71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För att säkerställa att</w:t>
            </w:r>
            <w:r>
              <w:t xml:space="preserve"> nationella myndigheter och EU-byråer i sin tjänsteutövning </w:t>
            </w:r>
            <w:r>
              <w:rPr>
                <w:b/>
                <w:i/>
              </w:rPr>
              <w:t>undviker</w:t>
            </w:r>
            <w:r>
              <w:t xml:space="preserve"> att fatta beslut uteslutande på grundval av uppgifter i in- och utresesystemet </w:t>
            </w:r>
            <w:r>
              <w:rPr>
                <w:b/>
                <w:i/>
              </w:rPr>
              <w:t>bör de ta hänsyn till</w:t>
            </w:r>
            <w:r>
              <w:t xml:space="preserve"> att personakter i in- och utresesystemet kan innehålla ofullständiga uppgifter. Det undantaget bör upphöra att gälla fem år efter det datum som kommissionen fastställt i enlighet med artikel 66.1 i förordning (EU) 2017/2226 för att återspegla den femåriga lagringsperioden för uppgifter där utreseposten saknas i enlighet med artikel 34.3 i den förordningen.</w:t>
            </w:r>
          </w:p>
        </w:tc>
        <w:tc>
          <w:tcPr>
            <w:tcW w:w="4876" w:type="dxa"/>
            <w:tcBorders>
              <w:top w:val="nil"/>
              <w:left w:val="nil"/>
              <w:bottom w:val="nil"/>
              <w:right w:val="nil"/>
            </w:tcBorders>
          </w:tcPr>
          <w:p>
            <w:pPr>
              <w:pStyle w:val="Normal6a"/>
            </w:pPr>
            <w:r>
              <w:t>(20)</w:t>
            </w:r>
            <w:r>
              <w:tab/>
            </w:r>
            <w:r>
              <w:t xml:space="preserve">Nationella myndigheter och EU-byråer </w:t>
            </w:r>
            <w:r>
              <w:rPr>
                <w:b/>
                <w:i/>
              </w:rPr>
              <w:t>bör</w:t>
            </w:r>
            <w:r>
              <w:t xml:space="preserve"> i sin tjänsteutövning </w:t>
            </w:r>
            <w:r>
              <w:rPr>
                <w:b/>
                <w:i/>
              </w:rPr>
              <w:t>undvika</w:t>
            </w:r>
            <w:r>
              <w:t xml:space="preserve"> att fatta beslut uteslutande </w:t>
            </w:r>
            <w:r>
              <w:rPr>
                <w:b/>
                <w:i/>
              </w:rPr>
              <w:t>eller huvudsakligen</w:t>
            </w:r>
            <w:r>
              <w:t xml:space="preserve"> på grundval av uppgifter i in- och utresesystemet</w:t>
            </w:r>
            <w:r>
              <w:rPr>
                <w:b/>
                <w:i/>
              </w:rPr>
              <w:t>, eftersom de bör vara medvetna om</w:t>
            </w:r>
            <w:r>
              <w:t xml:space="preserve"> att personakter i in- och utresesystemet kan innehålla ofullständiga uppgifter. Det undantaget bör upphöra att gälla fem år efter det datum som kommissionen fastställt i enlighet med artikel 66.1 i förordning (EU) 2017/2226 för att återspegla den femåriga lagringsperioden för uppgifter där utreseposten saknas i enlighet med artikel 34.3 i den förordningen.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bör klargöras att de nationella myndigheterna och EU-byråerna inte kan förlita sig på informationen i in- och utresesystemet under en period på fem år, med tanke på den gradvisa driftsstarten och de ofullständiga uppgifter som den kommer att medföra.</w:t>
      </w:r>
    </w:p>
    <w:p>
      <w:r>
        <w:rPr>
          <w:rStyle w:val="HideTWBExt"/>
        </w:rPr>
        <w:t>&lt;/AmendB&gt;</w:t>
      </w:r>
    </w:p>
    <w:p>
      <w:pPr>
        <w:pStyle w:val="AmNumberTabs"/>
      </w:pPr>
      <w:r>
        <w:rPr>
          <w:rStyle w:val="HideTWBExt"/>
        </w:rPr>
        <w:t>&lt;AmendB&gt;</w:t>
      </w:r>
      <w:r>
        <w:t>Ändringsförslag</w:t>
      </w:r>
      <w:r>
        <w:tab/>
      </w:r>
      <w:r>
        <w:tab/>
      </w:r>
      <w:r>
        <w:rPr>
          <w:rStyle w:val="HideTWBExt"/>
        </w:rPr>
        <w:t>&lt;NumAmB&gt;</w:t>
      </w:r>
      <w:r>
        <w:t>72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Europeiska gräns- och kustbevakningsbyrån bör inte använda uppgifter som registrerats i in- och utresesystemet under den gradvisa driftsstarten för att utföra riskanalyser och sårbarhetsbedömningar på grund av att uppgifternas ofullständighet skulle kunna leda till vilseledande risk- och sårbarhetsbedömningar.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73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Europeiska gräns- och kustbevakningsbyrån bör inte använda uppgifter som registrerats i in- och utresesystemet under den gradvisa driftsstarten för att utföra riskanalyser och sårbarhetsbedömningar på grund av att uppgifternas ofullständighet skulle kunna leda till vilseledande risk- och sårbarhetsbedömningar.</w:t>
            </w:r>
          </w:p>
        </w:tc>
        <w:tc>
          <w:tcPr>
            <w:tcW w:w="4876" w:type="dxa"/>
            <w:tcBorders>
              <w:top w:val="nil"/>
              <w:left w:val="nil"/>
              <w:bottom w:val="nil"/>
              <w:right w:val="nil"/>
            </w:tcBorders>
          </w:tcPr>
          <w:p>
            <w:pPr>
              <w:pStyle w:val="Normal6a"/>
            </w:pPr>
            <w:r>
              <w:t>(22)</w:t>
            </w:r>
            <w:r>
              <w:tab/>
            </w:r>
            <w:r>
              <w:t xml:space="preserve">Europeiska gräns- och kustbevakningsbyrån bör inte använda uppgifter som registrerats i in- och utresesystemet under den gradvisa driftsstarten för att utföra riskanalyser och sårbarhetsbedömningar på grund av att uppgifternas ofullständighet skulle kunna leda till vilseledande risk- och sårbarhetsbedömningar. </w:t>
            </w:r>
            <w:r>
              <w:rPr>
                <w:b/>
                <w:i/>
              </w:rPr>
              <w:t>På samma sätt bör, i enlighet med principen om korrekthet och för att undvika risken för felaktiga träffar, Europols åtkomst för brottsbekämpande ändamål till uppgifter som registrerats i in- och utresesystemet förhindras till dess att in- och utresesystemets gradvisa driftsstart slutförts.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74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För att säkerställa en effektiv förvaltning av de yttre gränserna under in- och utresesystemets gradvisa driftsstart bör in- och utresekontroller vid de gränsövergångsställen där in- och utresesystemet inte har tagits i drift utföras i enlighet med förordning (EU) 2016/399 i dess tillämpliga lydelse [dagen före den dag då in- och utresesystemet ska tas i drift enligt kommissionens beslut i enlighet med artikel 66.1 i förordning (EU) 2017/2226]. Vid de gränsövergångsställen där in- och utresesystemet har tagits i drift bör in- och utresekontroller utföras i enlighet med förordning (EU) 2017/2226 och kodexen om Schengengränserna. Särskilda undantag från dessa förordningar bör dock tillämpas när det gäller verifieringen vid de gränsövergångsställen där in- och utresesystemet används utan biometriska funktioner för att möjliggöra en gradvis driftsstart. Detta bör ske utan att det påverkar verifieringen av viseringsinnehavare med hjälp av fingeravtryck, i enlighet med förordning (EG) nr 787/2008.</w:t>
            </w:r>
          </w:p>
        </w:tc>
        <w:tc>
          <w:tcPr>
            <w:tcW w:w="4876" w:type="dxa"/>
            <w:tcBorders>
              <w:top w:val="nil"/>
              <w:left w:val="nil"/>
              <w:bottom w:val="nil"/>
              <w:right w:val="nil"/>
            </w:tcBorders>
          </w:tcPr>
          <w:p>
            <w:pPr>
              <w:pStyle w:val="Normal6a"/>
            </w:pPr>
            <w:r>
              <w:t>(23)</w:t>
            </w:r>
            <w:r>
              <w:tab/>
            </w:r>
            <w:r>
              <w:rPr>
                <w:b/>
                <w:i/>
              </w:rPr>
              <w:t>En effektiv förvaltning av de yttre gränserna är avgörande för ett Schengenområde utan inre gränskontroller, eftersom den underlättar laglig gränspassage, säkerställer en effektiv migrationshantering, förbättrar den inre säkerheten genom att upptäcka och förebygga hot vid de yttre gränserna och upprätthåller principen om fri rörlighet för personer.</w:t>
            </w:r>
            <w:r>
              <w:t xml:space="preserve"> För att säkerställa en effektiv förvaltning av de yttre gränserna under in- och utresesystemets gradvisa driftsstart bör in- och utresekontroller vid de gränsövergångsställen där in- och utresesystemet inte har tagits i drift utföras i enlighet med förordning (EU) 2016/399 i dess tillämpliga lydelse [dagen före den dag då in- och utresesystemet ska tas i drift enligt kommissionens beslut i enlighet med artikel 66.1 i förordning (EU) 2017/2226]. Vid de gränsövergångsställen där in- och utresesystemet har tagits i drift bör in- och utresekontroller utföras i enlighet med förordning (EU) 2017/2226 och kodexen om Schengengränserna. Särskilda undantag från dessa förordningar bör dock tillämpas när det gäller verifieringen vid de gränsövergångsställen där in- och utresesystemet används utan biometriska funktioner för att möjliggöra en gradvis driftsstart. Detta bör ske utan att det påverkar verifieringen av viseringsinnehavare med hjälp av fingeravtryck, i enlighet med förordning (EG) nr 787/2008.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75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För att möjliggöra en effektiv anpassning av de tekniska och organisatoriska arrangemangen under in- och utresesystemets gradvisa driftsstart i varje medlemsstat och för att hantera exceptionella omständigheter då fel uppstår i in- och utresesystemets centrala system, nationella system eller kommunikationsinfrastruktur, eller alltför långa väntetider vid gränserna, bör medlemsstaterna ha möjlighet att helt eller partiellt hålla upp med driften av in- och utresesystemet vid vissa gränsövergångsställen. Vid ett partiellt uppehåll bör registreringen av biometriska uppgifter i in- och utresesystemet avbrytas. Vid ett totalt uppehåll bör inga uppgifter registreras i in- och utresesystemet. För att minska ytterligare risker i samband med införandet av in- och utresesystemet med biometriska funktioner bör medlemsstaterna ha möjlighet att, vid exceptionella omständigheter som orsakar så omfattande trafik att väntetiderna vid gränserna blir alltför långa, hålla upp med registreringen av biometriska uppgifter i in- och utresesystemet även efter den gradvisa driftsstartens slut. Ett sådant uppehåll bör vara möjligt under en begränsad period på 60 dagar efter in- och utresesystemets gradvisa driftsstarts slut och bör förlängas med 60 dagar om mindre än 80 % av de personakter som registrerats i in- och utresesystemet under dess gradvisa driftsstart innehåller biometriska uppgifter.</w:t>
            </w:r>
          </w:p>
        </w:tc>
        <w:tc>
          <w:tcPr>
            <w:tcW w:w="4876" w:type="dxa"/>
            <w:tcBorders>
              <w:top w:val="nil"/>
              <w:left w:val="nil"/>
              <w:bottom w:val="nil"/>
              <w:right w:val="nil"/>
            </w:tcBorders>
          </w:tcPr>
          <w:p>
            <w:pPr>
              <w:pStyle w:val="Normal6a"/>
            </w:pPr>
            <w:r>
              <w:t>(24)</w:t>
            </w:r>
            <w:r>
              <w:tab/>
            </w:r>
            <w:r>
              <w:t xml:space="preserve">För att möjliggöra en effektiv anpassning av de tekniska och organisatoriska arrangemangen under in- och utresesystemets gradvisa driftsstart i varje medlemsstat och för att hantera exceptionella omständigheter då fel uppstår i in- och utresesystemets centrala system, nationella system eller kommunikationsinfrastruktur, eller alltför långa väntetider vid gränserna, bör medlemsstaterna ha möjlighet att helt eller partiellt hålla upp med driften av in- och utresesystemet vid vissa gränsövergångsställen. Vid ett partiellt uppehåll bör registreringen av biometriska uppgifter i in- och utresesystemet avbrytas. Vid ett totalt uppehåll bör inga uppgifter registreras i in- och utresesystemet. För att minska ytterligare risker i samband med införandet av in- och utresesystemet med biometriska funktioner bör medlemsstaterna ha möjlighet att, vid exceptionella omständigheter som orsakar så omfattande trafik att väntetiderna vid gränserna blir alltför långa, hålla upp med registreringen av biometriska uppgifter i in- och utresesystemet även efter den gradvisa driftsstartens slut. Ett sådant uppehåll bör vara möjligt under en begränsad period på 60 dagar efter in- och utresesystemets gradvisa driftsstarts slut och bör förlängas med 60 dagar om mindre än 80 % av de personakter som registrerats i in- och utresesystemet under dess gradvisa driftsstart innehåller biometriska uppgifter. </w:t>
            </w:r>
            <w:r>
              <w:rPr>
                <w:b/>
                <w:i/>
              </w:rPr>
              <w:t>Uppehållet i registreringen av biometriska uppgifter i in- och utresesystemet bör inte inverka negativt på rättigheterna och inresevillkoren för tredjelandsmedborgare som omfattas av registrering i in- och utresesystemet.</w:t>
            </w:r>
            <w:r>
              <w:t xml:space="preserve"> </w:t>
            </w:r>
            <w:r>
              <w:rPr>
                <w:b/>
                <w:i/>
              </w:rPr>
              <w:t>Ett beslut om nekad inresa i enlighet med förordning (EU) 2016/399 bör inte fattas enbart på grundval av att medlemsstaten avbrutit registreringen av biometriska uppgifter i in- och utresesystemet.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76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För att möjliggöra en effektiv anpassning av de tekniska och organisatoriska arrangemangen under in- och utresesystemets gradvisa driftsstart i varje medlemsstat och för att hantera </w:t>
            </w:r>
            <w:r>
              <w:rPr>
                <w:b/>
                <w:i/>
              </w:rPr>
              <w:t>exceptionella omständigheter</w:t>
            </w:r>
            <w:r>
              <w:t xml:space="preserve"> då fel uppstår i in- och utresesystemets centrala system, nationella system eller kommunikationsinfrastruktur, eller alltför långa väntetider vid gränserna, bör medlemsstaterna ha möjlighet att helt eller partiellt hålla upp med driften av in- och utresesystemet vid vissa gränsövergångsställen. Vid ett partiellt uppehåll bör registreringen av biometriska uppgifter i in- och utresesystemet avbrytas. Vid ett totalt uppehåll bör inga uppgifter registreras i in- och utresesystemet. För att minska ytterligare risker i samband med införandet av in- och utresesystemet med biometriska funktioner bör medlemsstaterna ha möjlighet att, vid exceptionella omständigheter som orsakar så omfattande trafik att väntetiderna vid gränserna blir alltför långa, hålla upp med registreringen av biometriska uppgifter i in- och utresesystemet även efter den gradvisa driftsstartens slut. Ett sådant uppehåll bör vara möjligt under en begränsad period på 60 dagar efter in- och utresesystemets gradvisa driftsstarts slut och bör förlängas med 60 dagar om mindre än 80 % av de personakter som registrerats i in- och utresesystemet under dess gradvisa driftsstart innehåller biometriska uppgifter.</w:t>
            </w:r>
          </w:p>
        </w:tc>
        <w:tc>
          <w:tcPr>
            <w:tcW w:w="4876" w:type="dxa"/>
            <w:tcBorders>
              <w:top w:val="nil"/>
              <w:left w:val="nil"/>
              <w:bottom w:val="nil"/>
              <w:right w:val="nil"/>
            </w:tcBorders>
          </w:tcPr>
          <w:p>
            <w:pPr>
              <w:pStyle w:val="Normal6a"/>
            </w:pPr>
            <w:r>
              <w:t>(24)</w:t>
            </w:r>
            <w:r>
              <w:tab/>
            </w:r>
            <w:r>
              <w:t xml:space="preserve">För att möjliggöra en effektiv anpassning av de tekniska och organisatoriska arrangemangen under in- och utresesystemets gradvisa driftsstart i varje medlemsstat och för att hantera </w:t>
            </w:r>
            <w:r>
              <w:rPr>
                <w:b/>
                <w:i/>
              </w:rPr>
              <w:t>fall</w:t>
            </w:r>
            <w:r>
              <w:t xml:space="preserve"> då fel uppstår i in- och utresesystemets centrala system, nationella system eller kommunikationsinfrastruktur, eller alltför långa väntetider vid gränserna, bör medlemsstaterna ha möjlighet att helt eller partiellt hålla upp med driften av in- och utresesystemet vid vissa gränsövergångsställen. Vid ett partiellt uppehåll bör registreringen av biometriska uppgifter i in- och utresesystemet avbrytas. Vid ett totalt uppehåll bör inga uppgifter registreras i in- och utresesystemet. För att minska ytterligare risker i samband med införandet av in- och utresesystemet med biometriska funktioner bör medlemsstaterna ha möjlighet att, vid exceptionella omständigheter som orsakar så omfattande trafik att väntetiderna vid gränserna blir alltför långa, hålla upp med registreringen av biometriska uppgifter i in- och utresesystemet även efter den gradvisa driftsstartens slut. Ett sådant uppehåll bör vara möjligt under en begränsad period på 60 dagar efter in- och utresesystemets gradvisa driftsstarts slut och bör förlängas med 60 dagar om mindre än 80 % av de personakter som registrerats i in- och utresesystemet under dess gradvisa driftsstart innehåller biometriska 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77</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eu-LISA bör utfärda rapporter om statistik om användningen av systemet, vilka bör användas för att utvärdera systemets prestanda, bedöma medlemsstaternas efterlevnad av utrullningsplanerna, identifiera förbättringsmöjligheter, övervaka efterlevnaden av in- och utresesystemets gradvisa driftsstart och stödja beslutsfattandet om systemets vidareutveckling och optimering.</w:t>
            </w:r>
          </w:p>
        </w:tc>
        <w:tc>
          <w:tcPr>
            <w:tcW w:w="4876" w:type="dxa"/>
            <w:tcBorders>
              <w:top w:val="nil"/>
              <w:left w:val="nil"/>
              <w:bottom w:val="nil"/>
              <w:right w:val="nil"/>
            </w:tcBorders>
          </w:tcPr>
          <w:p>
            <w:pPr>
              <w:pStyle w:val="Normal6a"/>
            </w:pPr>
            <w:r>
              <w:t>(25)</w:t>
            </w:r>
            <w:r>
              <w:tab/>
            </w:r>
            <w:r>
              <w:t xml:space="preserve">eu-LISA bör utfärda rapporter om statistik om användningen av systemet, vilka bör användas för att utvärdera systemets prestanda, bedöma medlemsstaternas efterlevnad av </w:t>
            </w:r>
            <w:r>
              <w:rPr>
                <w:b/>
                <w:i/>
              </w:rPr>
              <w:t>eu-LISAs utrullningsplan på hög nivå och de nationella</w:t>
            </w:r>
            <w:r>
              <w:t xml:space="preserve"> utrullningsplanerna, identifiera förbättringsmöjligheter, övervaka efterlevnaden av in- och utresesystemets gradvisa driftsstart och stödja beslutsfattandet om systemets vidareutveckling och optimering. </w:t>
            </w:r>
            <w:r>
              <w:rPr>
                <w:b/>
                <w:i/>
              </w:rPr>
              <w:t>Dessutom bör eu-LISA fortsätta sin regelbundna rapportering till sin styrelse, som i sin tur kommer att övervaka in- och utresesystemets gradvisa driftsstart.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Syftet med detta ändringsförslag är att bekräfta att utrullningsplanen på hög nivå överensstämmer med den nationella planen och att stärka styrelsens roll.</w:t>
      </w:r>
    </w:p>
    <w:p>
      <w:r>
        <w:rPr>
          <w:rStyle w:val="HideTWBExt"/>
        </w:rPr>
        <w:t>&lt;/AmendB&gt;</w:t>
      </w:r>
    </w:p>
    <w:p>
      <w:pPr>
        <w:pStyle w:val="AmNumberTabs"/>
      </w:pPr>
      <w:r>
        <w:rPr>
          <w:rStyle w:val="HideTWBExt"/>
        </w:rPr>
        <w:t>&lt;AmendB&gt;</w:t>
      </w:r>
      <w:r>
        <w:t>Ändringsförslag</w:t>
      </w:r>
      <w:r>
        <w:tab/>
      </w:r>
      <w:r>
        <w:tab/>
      </w:r>
      <w:r>
        <w:rPr>
          <w:rStyle w:val="HideTWBExt"/>
        </w:rPr>
        <w:t>&lt;NumAmB&gt;</w:t>
      </w:r>
      <w:r>
        <w:t>78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eu-LISA bör </w:t>
            </w:r>
            <w:r>
              <w:rPr>
                <w:b/>
                <w:i/>
              </w:rPr>
              <w:t>utfärda</w:t>
            </w:r>
            <w:r>
              <w:t xml:space="preserve"> rapporter om statistik om användningen av systemet, vilka bör användas för att utvärdera systemets prestanda, bedöma medlemsstaternas efterlevnad av utrullningsplanerna, identifiera förbättringsmöjligheter, övervaka efterlevnaden av in- och utresesystemets gradvisa driftsstart och stödja beslutsfattandet om systemets vidareutveckling och optimering.</w:t>
            </w:r>
          </w:p>
        </w:tc>
        <w:tc>
          <w:tcPr>
            <w:tcW w:w="4876" w:type="dxa"/>
            <w:tcBorders>
              <w:top w:val="nil"/>
              <w:left w:val="nil"/>
              <w:bottom w:val="nil"/>
              <w:right w:val="nil"/>
            </w:tcBorders>
          </w:tcPr>
          <w:p>
            <w:pPr>
              <w:pStyle w:val="Normal6a"/>
            </w:pPr>
            <w:r>
              <w:t>(25)</w:t>
            </w:r>
            <w:r>
              <w:tab/>
            </w:r>
            <w:r>
              <w:t xml:space="preserve">Eu-LISA bör </w:t>
            </w:r>
            <w:r>
              <w:rPr>
                <w:b/>
                <w:i/>
              </w:rPr>
              <w:t>offentliggöra</w:t>
            </w:r>
            <w:r>
              <w:t xml:space="preserve"> rapporter om statistik om användningen av systemet, vilka bör användas för att utvärdera systemets prestanda, bedöma medlemsstaternas efterlevnad av utrullningsplanerna, identifiera förbättringsmöjligheter, övervaka efterlevnaden av in- och utresesystemets gradvisa driftsstart och stödja beslutsfattandet om systemets vidareutveckling och optimering.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79</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Det förberedande arbetet i samband med utrullningsplanerna bör inledas när denna förordning träder i kraft. Den gradvisa driftsstarten bör tillämpas från och med den dag som fastställs av kommissionen i enlighet med artikel 66.1 i förordningen om in- och utresesystemet. </w:t>
            </w:r>
            <w:r>
              <w:rPr>
                <w:b/>
                <w:i/>
              </w:rPr>
              <w:t>Eftersom denna förordning föreskriver tillfälliga undantag bör den upphöra att gälla 180 kalenderdagar efter det datum som kommissionen fastställt i enlighet med artikel 66.1 i förordning (EU) 2017/2226.</w:t>
            </w:r>
            <w:r>
              <w:t xml:space="preserve"> Undantagsreglerna om tillämpning av övergångsperioden och övergångsåtgärderna, åtkomsten till uppgifter i in- och utresesystemet, transportörers verifiering av stämplar i resehandlingarna och uppehåll med användningen av in- och utresesystemet bör dock gälla under en begränsad period efter den gradvisa driftsstartens slut.</w:t>
            </w:r>
          </w:p>
        </w:tc>
        <w:tc>
          <w:tcPr>
            <w:tcW w:w="4876" w:type="dxa"/>
            <w:tcBorders>
              <w:top w:val="nil"/>
              <w:left w:val="nil"/>
              <w:bottom w:val="nil"/>
              <w:right w:val="nil"/>
            </w:tcBorders>
          </w:tcPr>
          <w:p>
            <w:pPr>
              <w:pStyle w:val="Normal6a"/>
            </w:pPr>
            <w:r>
              <w:t>(26)</w:t>
            </w:r>
            <w:r>
              <w:tab/>
            </w:r>
            <w:r>
              <w:t>Det förberedande arbetet i samband med utrullningsplanerna bör inledas när denna förordning träder i kraft. Den gradvisa driftsstarten bör tillämpas från och med den dag som fastställs av kommissionen i enlighet med artikel 66.1 i förordningen om in- och utresesystemet. Undantagsreglerna om tillämpning av övergångsperioden och övergångsåtgärderna, åtkomsten till uppgifter i in- och utresesystemet, transportörers verifiering av stämplar i resehandlingarna och uppehåll med användningen av in- och utresesystemet bör dock gälla under en begränsad period efter den gradvisa driftsstartens slut.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80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Det förberedande arbetet i samband med utrullningsplanerna bör inledas när denna förordning träder i kraft. Den gradvisa driftsstarten bör tillämpas från och med den dag som fastställs av kommissionen i enlighet med artikel 66.1 i förordningen om in- och utresesystemet. Eftersom denna förordning föreskriver tillfälliga undantag bör </w:t>
            </w:r>
            <w:r>
              <w:rPr>
                <w:b/>
                <w:i/>
              </w:rPr>
              <w:t>den upphöra att</w:t>
            </w:r>
            <w:r>
              <w:t xml:space="preserve"> gälla </w:t>
            </w:r>
            <w:r>
              <w:rPr>
                <w:b/>
                <w:i/>
              </w:rPr>
              <w:t>180 kalenderdagar efter det datum som kommissionen fastställt</w:t>
            </w:r>
            <w:r>
              <w:t xml:space="preserve"> i enlighet med </w:t>
            </w:r>
            <w:r>
              <w:rPr>
                <w:b/>
                <w:i/>
              </w:rPr>
              <w:t>artikel 66.1 i</w:t>
            </w:r>
            <w:r>
              <w:t xml:space="preserve"> förordning </w:t>
            </w:r>
            <w:r>
              <w:rPr>
                <w:b/>
                <w:i/>
              </w:rPr>
              <w:t>(EU) 2017/2226.</w:t>
            </w:r>
            <w:r>
              <w:t xml:space="preserve"> </w:t>
            </w:r>
            <w:r>
              <w:rPr>
                <w:b/>
                <w:i/>
              </w:rPr>
              <w:t>Undantagsreglerna om tillämpning av övergångsperioden och övergångsåtgärderna, åtkomsten till uppgifter i in- och utresesystemet, transportörers verifiering av stämplar i resehandlingarna och uppehåll med användningen av in- och utresesystemet bör dock gälla under en begränsad period efter den gradvisa driftsstartens slut</w:t>
            </w:r>
            <w:r>
              <w:t>.</w:t>
            </w:r>
          </w:p>
        </w:tc>
        <w:tc>
          <w:tcPr>
            <w:tcW w:w="4876" w:type="dxa"/>
            <w:tcBorders>
              <w:top w:val="nil"/>
              <w:left w:val="nil"/>
              <w:bottom w:val="nil"/>
              <w:right w:val="nil"/>
            </w:tcBorders>
          </w:tcPr>
          <w:p>
            <w:pPr>
              <w:pStyle w:val="Normal6a"/>
            </w:pPr>
            <w:r>
              <w:t>(26)</w:t>
            </w:r>
            <w:r>
              <w:tab/>
            </w:r>
            <w:r>
              <w:t xml:space="preserve">Det förberedande arbetet i samband med utrullningsplanerna bör inledas när denna förordning träder i kraft. Den gradvisa driftsstarten bör tillämpas från och med den dag som fastställs av kommissionen i enlighet med artikel 66.1 i förordningen om in- och utresesystemet. Eftersom denna förordning föreskriver tillfälliga undantag bör </w:t>
            </w:r>
            <w:r>
              <w:rPr>
                <w:b/>
                <w:i/>
              </w:rPr>
              <w:t>dessa undantag endast</w:t>
            </w:r>
            <w:r>
              <w:t xml:space="preserve"> gälla </w:t>
            </w:r>
            <w:r>
              <w:rPr>
                <w:b/>
                <w:i/>
              </w:rPr>
              <w:t>så länge de är tillämpliga</w:t>
            </w:r>
            <w:r>
              <w:t xml:space="preserve"> i enlighet med </w:t>
            </w:r>
            <w:r>
              <w:rPr>
                <w:b/>
                <w:i/>
              </w:rPr>
              <w:t>denna</w:t>
            </w:r>
            <w:r>
              <w:t xml:space="preserve"> förordning.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Undantag som rör bestämmelserna i kodexen om Schengengränserna ((EU) 2016/399) och själva förordningen om in- och utresesystemet ((EU) 2017/2226) gäller under en period på fem år.</w:t>
      </w:r>
      <w:r>
        <w:t xml:space="preserve"> </w:t>
      </w:r>
      <w:r>
        <w:t>Undantag som rör EU-byråernas användning av uppgifter när de utför sina uppgifter gäller i fem år.</w:t>
      </w:r>
      <w:r>
        <w:t xml:space="preserve"> </w:t>
      </w:r>
      <w:r>
        <w:t>Eftersom de ofullständiga uppgifterna kommer att kvarstå i upp till fem år bör medlemsstaternas myndigheter inte förlita sig på den automatiserade mekanismen under den perioden när det gäller personer som överskridit den tillåtna vistelsen.</w:t>
      </w:r>
      <w:r>
        <w:t xml:space="preserve"> </w:t>
      </w:r>
      <w:r>
        <w:t>Dessa undantagsperioder återspeglas inte i den gräns på 180 kalenderdagar för undantag som föreslås i detta skäl.</w:t>
      </w:r>
    </w:p>
    <w:p>
      <w:r>
        <w:rPr>
          <w:rStyle w:val="HideTWBExt"/>
        </w:rPr>
        <w:t>&lt;/AmendB&gt;</w:t>
      </w:r>
    </w:p>
    <w:p>
      <w:pPr>
        <w:pStyle w:val="AmNumberTabs"/>
      </w:pPr>
      <w:r>
        <w:rPr>
          <w:rStyle w:val="HideTWBExt"/>
        </w:rPr>
        <w:t>&lt;AmendB&gt;</w:t>
      </w:r>
      <w:r>
        <w:t>Ändringsförslag</w:t>
      </w:r>
      <w:r>
        <w:tab/>
      </w:r>
      <w:r>
        <w:tab/>
      </w:r>
      <w:r>
        <w:rPr>
          <w:rStyle w:val="HideTWBExt"/>
        </w:rPr>
        <w:t>&lt;NumAmB&gt;</w:t>
      </w:r>
      <w:r>
        <w:t>81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Skäl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Det förberedande arbetet i samband med utrullningsplanerna bör inledas när denna förordning träder i kraft. Den gradvisa driftsstarten bör tillämpas från och med den dag som fastställs av kommissionen i enlighet med artikel 66.1 i förordningen om in- och utresesystemet. Eftersom denna förordning föreskriver tillfälliga undantag bör den upphöra att gälla 180 kalenderdagar efter det datum som kommissionen fastställt i enlighet med artikel 66.1 i förordning (EU) 2017/2226. Undantagsreglerna om tillämpning av övergångsperioden och övergångsåtgärderna, åtkomsten till uppgifter i in- och utresesystemet, transportörers verifiering av stämplar i resehandlingarna och uppehåll med användningen av in- och utresesystemet bör dock gälla under en begränsad period efter den gradvisa driftsstartens slut.</w:t>
            </w:r>
          </w:p>
        </w:tc>
        <w:tc>
          <w:tcPr>
            <w:tcW w:w="4876" w:type="dxa"/>
            <w:tcBorders>
              <w:top w:val="nil"/>
              <w:left w:val="nil"/>
              <w:bottom w:val="nil"/>
              <w:right w:val="nil"/>
            </w:tcBorders>
          </w:tcPr>
          <w:p>
            <w:pPr>
              <w:pStyle w:val="Normal6a"/>
            </w:pPr>
            <w:r>
              <w:t>(26)</w:t>
            </w:r>
            <w:r>
              <w:tab/>
            </w:r>
            <w:r>
              <w:t xml:space="preserve">Det förberedande arbetet i samband med utrullningsplanerna bör inledas när denna förordning träder i kraft. </w:t>
            </w:r>
            <w:r>
              <w:rPr>
                <w:b/>
                <w:i/>
              </w:rPr>
              <w:t>De medlemsstater som ännu inte har förklarat sig redo uppmanas att göra detta inom 30 dagar efter det att denna förordning har trätt i kraft.</w:t>
            </w:r>
            <w:r>
              <w:t xml:space="preserve"> Den gradvisa driftsstarten bör tillämpas från och med den dag som fastställs av kommissionen i enlighet med artikel 66.1 i förordningen om in- och utresesystemet</w:t>
            </w:r>
            <w:r>
              <w:rPr>
                <w:b/>
                <w:i/>
              </w:rPr>
              <w:t>.</w:t>
            </w:r>
            <w:r>
              <w:t xml:space="preserve"> </w:t>
            </w:r>
            <w:r>
              <w:rPr>
                <w:b/>
                <w:i/>
              </w:rPr>
              <w:t>Denna dag bör vara senast 60 dagar efter att den sista medlemsstaten förklarat sig redo eller 90 dagar från dagen för denna förordnings ikraftträdande, beroende på vilket som inträffar först</w:t>
            </w:r>
            <w:r>
              <w:t>. Eftersom denna förordning föreskriver tillfälliga undantag bör den upphöra att gälla 180 kalenderdagar efter det datum som kommissionen fastställt i enlighet med artikel 66.1 i förordning (EU) 2017/2226. Undantagsreglerna om tillämpning av övergångsperioden och övergångsåtgärderna, åtkomsten till uppgifter i in- och utresesystemet, transportörers verifiering av stämplar i resehandlingarna och uppehåll med användningen av in- och utresesystemet bör dock gälla under en begränsad period efter den gradvisa driftsstartens slut.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82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och utresesystemets gradvisa driftsstart: perioden </w:t>
            </w:r>
            <w:r>
              <w:rPr>
                <w:b/>
                <w:i/>
              </w:rPr>
              <w:t>på 180 kalenderdagar</w:t>
            </w:r>
            <w:r>
              <w:t xml:space="preserve"> från och med det datum som kommissionen fastställt i enlighet med artikel 66.1 i förordning (EU) 2017/2226.</w:t>
            </w:r>
          </w:p>
        </w:tc>
        <w:tc>
          <w:tcPr>
            <w:tcW w:w="4876" w:type="dxa"/>
            <w:tcBorders>
              <w:top w:val="nil"/>
              <w:left w:val="nil"/>
              <w:bottom w:val="nil"/>
              <w:right w:val="nil"/>
            </w:tcBorders>
          </w:tcPr>
          <w:p>
            <w:pPr>
              <w:pStyle w:val="Normal6a"/>
            </w:pPr>
            <w:r>
              <w:t>(a)</w:t>
            </w:r>
            <w:r>
              <w:tab/>
            </w:r>
            <w:r>
              <w:t xml:space="preserve">in- och utresesystemets gradvisa driftsstart: perioden från och med det datum som kommissionen fastställt i enlighet med artikel 66.1 i förordning (EU) 2017/2226 </w:t>
            </w:r>
            <w:r>
              <w:rPr>
                <w:b/>
                <w:i/>
              </w:rPr>
              <w:t>till dess att alla krav i artikel 7a är uppfyllda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83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2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och utresesystemets gradvisa driftsstart: perioden på 180 kalenderdagar från och med det datum som kommissionen fastställt i enlighet med artikel 66.1 i förordning (EU) 2017/2226.</w:t>
            </w:r>
          </w:p>
        </w:tc>
        <w:tc>
          <w:tcPr>
            <w:tcW w:w="4876" w:type="dxa"/>
            <w:tcBorders>
              <w:top w:val="nil"/>
              <w:left w:val="nil"/>
              <w:bottom w:val="nil"/>
              <w:right w:val="nil"/>
            </w:tcBorders>
          </w:tcPr>
          <w:p>
            <w:pPr>
              <w:pStyle w:val="Normal6a"/>
            </w:pPr>
            <w:r>
              <w:t>(a)</w:t>
            </w:r>
            <w:r>
              <w:tab/>
            </w:r>
            <w:r>
              <w:t>in- och utresesystemets gradvisa driftsstart:perioden på 180 kalenderdagar från och med det datum som kommissionen fastställt i enlighet med artikel 66.1 i förordning (EU) 2017/2226</w:t>
            </w:r>
            <w:r>
              <w:rPr>
                <w:b/>
                <w:i/>
              </w:rPr>
              <w:t>, senast 60 dagar efter att den sista medlemsstaten förklarat sig redo eller 90 dagar från dagen för denna förordnings ikraftträdande, beroende på vilket som inträffar först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84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Senast [den </w:t>
            </w:r>
            <w:r>
              <w:rPr>
                <w:b/>
                <w:i/>
              </w:rPr>
              <w:t>30</w:t>
            </w:r>
            <w:r>
              <w:t>:</w:t>
            </w:r>
            <w:r>
              <w:rPr>
                <w:b/>
                <w:i/>
              </w:rPr>
              <w:t>e</w:t>
            </w:r>
            <w:r>
              <w:t xml:space="preserve"> kalenderdagen efter denna förordnings ikraftträdande] ska Europeiska unionens byrå för den operativa förvaltningen av stora it-system inom området frihet, säkerhet och rättvisa (eu-LISA) tillhandahålla kommissionen, medlemsstaterna och Europol en utrullningsplan på hög nivå för in- och utresesystemets gradvisa driftsstart, med beaktande av de faser som anges i artikel 4. Utrullningsplanen ska ge medlemsstaterna och Europol vägledning om användningen av in- och utresesystemet, inbegripet kapacitetsbegränsningar för in- och utresesystemets centrala system.</w:t>
            </w:r>
          </w:p>
        </w:tc>
        <w:tc>
          <w:tcPr>
            <w:tcW w:w="4876" w:type="dxa"/>
            <w:tcBorders>
              <w:top w:val="nil"/>
              <w:left w:val="nil"/>
              <w:bottom w:val="nil"/>
              <w:right w:val="nil"/>
            </w:tcBorders>
          </w:tcPr>
          <w:p>
            <w:pPr>
              <w:pStyle w:val="Normal6a"/>
            </w:pPr>
            <w:r>
              <w:t>1.</w:t>
            </w:r>
            <w:r>
              <w:tab/>
            </w:r>
            <w:r>
              <w:t xml:space="preserve">Senast [den </w:t>
            </w:r>
            <w:r>
              <w:rPr>
                <w:b/>
                <w:i/>
              </w:rPr>
              <w:t>91</w:t>
            </w:r>
            <w:r>
              <w:t>:</w:t>
            </w:r>
            <w:r>
              <w:rPr>
                <w:b/>
                <w:i/>
              </w:rPr>
              <w:t>a</w:t>
            </w:r>
            <w:r>
              <w:t xml:space="preserve"> kalenderdagen efter denna förordnings ikraftträdande] ska Europeiska unionens byrå för den operativa förvaltningen av stora it-system inom området frihet, säkerhet och rättvisa (eu-LISA) tillhandahålla kommissionen, medlemsstaterna och Europol en utrullningsplan på hög nivå för in- och utresesystemets gradvisa driftsstart, med beaktande av de faser som anges i artikel 4. Utrullningsplanen ska ge medlemsstaterna och Europol vägledning om användningen av in- och utresesystemet, inbegripet kapacitetsbegränsningar </w:t>
            </w:r>
            <w:r>
              <w:rPr>
                <w:b/>
                <w:i/>
              </w:rPr>
              <w:t>och andra relevanta begränsningar</w:t>
            </w:r>
            <w:r>
              <w:t xml:space="preserve"> för in- och utresesystemets centrala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Senast [den 30:e kalenderdagen efter denna förordnings ikraftträdande] ska Europeiska unionens byrå för den operativa förvaltningen av stora it-system inom området frihet, säkerhet och rättvisa (eu-LISA) tillhandahålla kommissionen, medlemsstaterna och Europol en utrullningsplan på hög nivå för in- och utresesystemets gradvisa driftsstart, med beaktande av de faser som anges i artikel 4. Utrullningsplanen ska ge medlemsstaterna och Europol vägledning om användningen av in- och utresesystemet, inbegripet kapacitetsbegränsningar för in- och utresesystemets centrala system.</w:t>
            </w:r>
          </w:p>
        </w:tc>
        <w:tc>
          <w:tcPr>
            <w:tcW w:w="4876" w:type="dxa"/>
            <w:tcBorders>
              <w:top w:val="nil"/>
              <w:left w:val="nil"/>
              <w:bottom w:val="nil"/>
              <w:right w:val="nil"/>
            </w:tcBorders>
          </w:tcPr>
          <w:p>
            <w:pPr>
              <w:pStyle w:val="Normal6a"/>
            </w:pPr>
            <w:r>
              <w:t>1.</w:t>
            </w:r>
            <w:r>
              <w:tab/>
            </w:r>
            <w:r>
              <w:t xml:space="preserve">Senast [den 30:e kalenderdagen efter denna förordnings ikraftträdande] ska Europeiska unionens byrå för den operativa förvaltningen av stora it-system inom området frihet, säkerhet och rättvisa (eu-LISA) tillhandahålla kommissionen, </w:t>
            </w:r>
            <w:r>
              <w:rPr>
                <w:b/>
                <w:i/>
              </w:rPr>
              <w:t>Europaparlamentet,</w:t>
            </w:r>
            <w:r>
              <w:t xml:space="preserve"> medlemsstaterna och Europol en utrullningsplan på hög nivå för in- och utresesystemets gradvisa driftsstart, med beaktande av de faser som anges i artikel 4. Utrullningsplanen ska ge medlemsstaterna och Europol vägledning om användningen av in- och utresesystemet, inbegripet kapacitetsbegränsningar för in- och utresesystemets centrala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86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Senast [den 30:e kalenderdagen efter denna förordnings ikraftträdande] ska Europeiska unionens byrå för den operativa förvaltningen av stora it-system inom området frihet, säkerhet och rättvisa (eu-LISA) tillhandahålla kommissionen, medlemsstaterna och Europol en utrullningsplan på hög nivå för in- och utresesystemets gradvisa driftsstart, med beaktande av de faser som anges i artikel 4. Utrullningsplanen ska ge medlemsstaterna och Europol vägledning om användningen av in- och utresesystemet, inbegripet kapacitetsbegränsningar för in- och utresesystemets centrala system.</w:t>
            </w:r>
          </w:p>
        </w:tc>
        <w:tc>
          <w:tcPr>
            <w:tcW w:w="4876" w:type="dxa"/>
            <w:tcBorders>
              <w:top w:val="nil"/>
              <w:left w:val="nil"/>
              <w:bottom w:val="nil"/>
              <w:right w:val="nil"/>
            </w:tcBorders>
          </w:tcPr>
          <w:p>
            <w:pPr>
              <w:pStyle w:val="Normal6a"/>
            </w:pPr>
            <w:r>
              <w:t>1.</w:t>
            </w:r>
            <w:r>
              <w:tab/>
            </w:r>
            <w:r>
              <w:t xml:space="preserve">Senast [den 30:e kalenderdagen efter denna förordnings ikraftträdande] ska Europeiska unionens byrå för den operativa förvaltningen av stora it-system inom området frihet, säkerhet och rättvisa (eu-LISA) tillhandahålla kommissionen, </w:t>
            </w:r>
            <w:r>
              <w:rPr>
                <w:b/>
                <w:i/>
              </w:rPr>
              <w:t>Europaparlamentet,</w:t>
            </w:r>
            <w:r>
              <w:t xml:space="preserve"> medlemsstaterna och Europol en utrullningsplan på hög nivå för in- och utresesystemets gradvisa driftsstart, med beaktande av de faser som anges i artikel 4. Utrullningsplanen ska ge medlemsstaterna och Europol vägledning om användningen av in- och utresesystemet, inbegripet kapacitetsbegränsningar för in- och utresesystemets centrala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87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Senast [den 30:e kalenderdagen efter denna förordnings ikraftträdande] ska Europeiska unionens byrå för den operativa förvaltningen av stora it-system inom området frihet, säkerhet och rättvisa (eu-LISA) tillhandahålla kommissionen, medlemsstaterna och Europol en utrullningsplan på hög nivå för in- och utresesystemets gradvisa driftsstart, med beaktande av de faser som anges i artikel 4. Utrullningsplanen ska ge medlemsstaterna </w:t>
            </w:r>
            <w:r>
              <w:rPr>
                <w:b/>
                <w:i/>
              </w:rPr>
              <w:t>och Europol</w:t>
            </w:r>
            <w:r>
              <w:t xml:space="preserve"> vägledning om användningen av in- och utresesystemet, inbegripet kapacitetsbegränsningar för in- och utresesystemets centrala system.</w:t>
            </w:r>
          </w:p>
        </w:tc>
        <w:tc>
          <w:tcPr>
            <w:tcW w:w="4876" w:type="dxa"/>
            <w:tcBorders>
              <w:top w:val="nil"/>
              <w:left w:val="nil"/>
              <w:bottom w:val="nil"/>
              <w:right w:val="nil"/>
            </w:tcBorders>
          </w:tcPr>
          <w:p>
            <w:pPr>
              <w:pStyle w:val="Normal6a"/>
            </w:pPr>
            <w:r>
              <w:t>1.</w:t>
            </w:r>
            <w:r>
              <w:tab/>
            </w:r>
            <w:r>
              <w:t>Senast [den 30:e kalenderdagen efter denna förordnings ikraftträdande] ska Europeiska unionens byrå för den operativa förvaltningen av stora it-system inom området frihet, säkerhet och rättvisa (eu-LISA) tillhandahålla kommissionen, medlemsstaterna och Europol en utrullningsplan på hög nivå för in- och utresesystemets gradvisa driftsstart, med beaktande av de faser som anges i artikel 4. Utrullningsplanen ska ge medlemsstaterna vägledning om användningen av in- och utresesystemet, inbegripet kapacitetsbegränsningar för in- och utresesystemets centrala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88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Senast [den </w:t>
            </w:r>
            <w:r>
              <w:rPr>
                <w:b/>
                <w:i/>
              </w:rPr>
              <w:t>60</w:t>
            </w:r>
            <w:r>
              <w:t>:e kalenderdagen efter denna förordnings ikraftträdande] ska medlemsstaterna, i samråd med kommissionen och eu-LISA, utarbeta en nationell utrullningsplan om in- och utresesystemets gradvisa driftsstart, med beaktande av den utrullningsplan på hög nivå som avses i punkt 1 i denna artikel och de faser som anges i artikel 4.</w:t>
            </w:r>
          </w:p>
        </w:tc>
        <w:tc>
          <w:tcPr>
            <w:tcW w:w="4876" w:type="dxa"/>
            <w:tcBorders>
              <w:top w:val="nil"/>
              <w:left w:val="nil"/>
              <w:bottom w:val="nil"/>
              <w:right w:val="nil"/>
            </w:tcBorders>
          </w:tcPr>
          <w:p>
            <w:pPr>
              <w:pStyle w:val="Normal6a"/>
            </w:pPr>
            <w:r>
              <w:t>2.</w:t>
            </w:r>
            <w:r>
              <w:tab/>
            </w:r>
            <w:r>
              <w:t xml:space="preserve">Senast [den </w:t>
            </w:r>
            <w:r>
              <w:rPr>
                <w:b/>
                <w:i/>
              </w:rPr>
              <w:t>180</w:t>
            </w:r>
            <w:r>
              <w:t>:e kalenderdagen efter denna förordnings ikraftträdande] ska medlemsstaterna, i samråd med kommissionen och eu-LISA, utarbeta en nationell utrullningsplan om in- och utresesystemets gradvisa driftsstart, med beaktande av den utrullningsplan på hög nivå som avses i punkt 1 i denna artikel och de faser som anges i artikel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89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Senast [den 60:e kalenderdagen efter denna förordnings ikraftträdande] ska medlemsstaterna, i samråd med kommissionen och eu-LISA, </w:t>
            </w:r>
            <w:r>
              <w:rPr>
                <w:b/>
                <w:i/>
              </w:rPr>
              <w:t>utarbeta</w:t>
            </w:r>
            <w:r>
              <w:t xml:space="preserve"> en nationell utrullningsplan om in- och utresesystemets gradvisa driftsstart, med beaktande av den utrullningsplan på hög nivå som avses i punkt 1 i denna artikel och de faser som anges i artikel 4.</w:t>
            </w:r>
          </w:p>
        </w:tc>
        <w:tc>
          <w:tcPr>
            <w:tcW w:w="4876" w:type="dxa"/>
            <w:tcBorders>
              <w:top w:val="nil"/>
              <w:left w:val="nil"/>
              <w:bottom w:val="nil"/>
              <w:right w:val="nil"/>
            </w:tcBorders>
          </w:tcPr>
          <w:p>
            <w:pPr>
              <w:pStyle w:val="Normal6a"/>
            </w:pPr>
            <w:r>
              <w:t>2.</w:t>
            </w:r>
            <w:r>
              <w:tab/>
            </w:r>
            <w:r>
              <w:t xml:space="preserve">Senast [den 60:e kalenderdagen efter denna förordnings ikraftträdande] ska medlemsstaterna, i samråd med kommissionen och eu-LISA, </w:t>
            </w:r>
            <w:r>
              <w:rPr>
                <w:b/>
                <w:i/>
              </w:rPr>
              <w:t>offentliggöra</w:t>
            </w:r>
            <w:r>
              <w:t xml:space="preserve"> en nationell utrullningsplan om in- och utresesystemets gradvisa driftsstart </w:t>
            </w:r>
            <w:r>
              <w:rPr>
                <w:b/>
                <w:i/>
              </w:rPr>
              <w:t>och dela dem med kommissionen, Europaparlamentet och berörda parter inom industrin</w:t>
            </w:r>
            <w:r>
              <w:t>, med beaktande av den utrullningsplan på hög nivå som avses i punkt 1 i denna artikel och de faser som anges i artikel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90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Senast [den 60:e kalenderdagen efter denna förordnings ikraftträdande] ska medlemsstaterna, i samråd med kommissionen och eu-LISA, utarbeta en nationell utrullningsplan om in- och utresesystemets gradvisa driftsstart, med beaktande av den utrullningsplan på hög nivå som avses i punkt 1 i denna artikel och de faser som anges i artikel 4.</w:t>
            </w:r>
          </w:p>
        </w:tc>
        <w:tc>
          <w:tcPr>
            <w:tcW w:w="4876" w:type="dxa"/>
            <w:tcBorders>
              <w:top w:val="nil"/>
              <w:left w:val="nil"/>
              <w:bottom w:val="nil"/>
              <w:right w:val="nil"/>
            </w:tcBorders>
          </w:tcPr>
          <w:p>
            <w:pPr>
              <w:pStyle w:val="Normal6a"/>
            </w:pPr>
            <w:r>
              <w:t>2.</w:t>
            </w:r>
            <w:r>
              <w:tab/>
            </w:r>
            <w:r>
              <w:t xml:space="preserve">Senast [den 60:e kalenderdagen efter denna förordnings ikraftträdande] ska medlemsstaterna, i samråd med kommissionen och eu-LISA, utarbeta en nationell utrullningsplan om in- och utresesystemets gradvisa driftsstart, med beaktande av den utrullningsplan på hög nivå som avses i punkt 1 i denna artikel och de faser som anges i artikel 4. </w:t>
            </w:r>
            <w:r>
              <w:rPr>
                <w:b/>
                <w:i/>
              </w:rPr>
              <w:t>eu-LISA ska bedöma huruvida de nationella utrullningsplanerna är förenliga med utrullningsplanen på hög nivå och bekräfta att de inte innehåller några brister som skulle kunna fördröja in- och utresesystemets driftsstart ytterligare.</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91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När medlemsstaterna utarbetar sina nationella utrullningsplaner enligt vad som avses i punkt 2 ska de, när så är lämpligt, samråda med Europeiska gräns- och kustbevakningsbyrån för att kartlägga de gränsövergångsställen som oftast utsätts för irreguljär migration eller olagliga gränspassager.</w:t>
            </w:r>
            <w:r>
              <w:t xml:space="preserve"> </w:t>
            </w:r>
            <w:r>
              <w:rPr>
                <w:b/>
                <w:i/>
              </w:rPr>
              <w:t>Vid behov kan även Europol konsulteras för att bedöma huruvida organiserade kriminella nätverk är inblandade, särskilt i underlättandet av sådana gränspassager.</w:t>
            </w:r>
            <w:r>
              <w:t xml:space="preserve"> </w:t>
            </w:r>
            <w:r>
              <w:rPr>
                <w:b/>
                <w:i/>
              </w:rPr>
              <w:t>Sådana konsultationer ska syfta till att säkerställa att man maximerar systemets säkerhetsfördelar redan från början genom att prioritera in- och utresesystemets tillämpning vid dessa gränsövergångsställen.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92</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För var och en av de faser som anges i artikel 4 ska de nationella utrullningsplanerna innehålla information om de tröskelvärden och krav som anges i den artikeln.</w:t>
            </w:r>
          </w:p>
        </w:tc>
        <w:tc>
          <w:tcPr>
            <w:tcW w:w="4876" w:type="dxa"/>
            <w:tcBorders>
              <w:top w:val="nil"/>
              <w:left w:val="nil"/>
              <w:bottom w:val="nil"/>
              <w:right w:val="nil"/>
            </w:tcBorders>
          </w:tcPr>
          <w:p>
            <w:pPr>
              <w:pStyle w:val="Normal6a"/>
            </w:pPr>
            <w:r>
              <w:t>3.</w:t>
            </w:r>
            <w:r>
              <w:tab/>
            </w:r>
            <w:r>
              <w:t xml:space="preserve">För var och en av de faser som anges i artikel 4 ska de nationella utrullningsplanerna innehålla information om </w:t>
            </w:r>
            <w:r>
              <w:rPr>
                <w:b/>
                <w:i/>
              </w:rPr>
              <w:t>hur</w:t>
            </w:r>
            <w:r>
              <w:t xml:space="preserve"> de tröskelvärden och krav som anges i den artikeln </w:t>
            </w:r>
            <w:r>
              <w:rPr>
                <w:b/>
                <w:i/>
              </w:rPr>
              <w:t>ska uppnås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93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Från och med den 30:e kalenderdagen efter in- och utresesystemets gradvisa driftsstart ska medlemsstaterna lämna månatliga rapporter till kommissionen och eu-LISA om genomförandet av sina nationella utrullningsplaner, inbegripet korrigerande åtgärder när så krävs för att fullgöra de skyldigheter som anges i artikel 4.</w:t>
            </w:r>
          </w:p>
        </w:tc>
        <w:tc>
          <w:tcPr>
            <w:tcW w:w="4876" w:type="dxa"/>
            <w:tcBorders>
              <w:top w:val="nil"/>
              <w:left w:val="nil"/>
              <w:bottom w:val="nil"/>
              <w:right w:val="nil"/>
            </w:tcBorders>
          </w:tcPr>
          <w:p>
            <w:pPr>
              <w:pStyle w:val="Normal6a"/>
            </w:pPr>
            <w:r>
              <w:t>4.</w:t>
            </w:r>
            <w:r>
              <w:tab/>
            </w:r>
            <w:r>
              <w:t xml:space="preserve">Från och med den 30:e kalenderdagen efter in- och utresesystemets gradvisa driftsstart </w:t>
            </w:r>
            <w:r>
              <w:rPr>
                <w:b/>
                <w:i/>
              </w:rPr>
              <w:t>till dess att en medlemsstat till fullo tillämpar in- och utresesystemet på alla tredjelandsmedborgare som omfattas av registrering i in- och utresesystemet, och samtidigt tillämpar systemet på alla gränsövergångsställen i den medlemsstaten,</w:t>
            </w:r>
            <w:r>
              <w:t xml:space="preserve"> ska medlemsstaterna lämna månatliga rapporter till kommissionen och eu-LISA om genomförandet av sina nationella utrullningsplaner, inbegripet korrigerande åtgärder när så krävs för att fullgöra de skyldigheter som anges i artikel 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Medlemsstaterna bör endast vara skyldiga att lämna månatliga rapporter om genomförandet av sina utrullningsplaner fram till den tidpunkt då systemet är helt infört i den medlemsstaten.</w:t>
      </w:r>
    </w:p>
    <w:p>
      <w:r>
        <w:rPr>
          <w:rStyle w:val="HideTWBExt"/>
        </w:rPr>
        <w:t>&lt;/AmendB&gt;</w:t>
      </w:r>
    </w:p>
    <w:p>
      <w:pPr>
        <w:pStyle w:val="AmNumberTabs"/>
      </w:pPr>
      <w:r>
        <w:rPr>
          <w:rStyle w:val="HideTWBExt"/>
        </w:rPr>
        <w:t>&lt;AmendB&gt;</w:t>
      </w:r>
      <w:r>
        <w:t>Ändringsförslag</w:t>
      </w:r>
      <w:r>
        <w:tab/>
      </w:r>
      <w:r>
        <w:tab/>
      </w:r>
      <w:r>
        <w:rPr>
          <w:rStyle w:val="HideTWBExt"/>
        </w:rPr>
        <w:t>&lt;NumAmB&gt;</w:t>
      </w:r>
      <w:r>
        <w:t>94</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Från och med den 30:e kalenderdagen efter in- och utresesystemets gradvisa driftsstart ska medlemsstaterna lämna månatliga rapporter till kommissionen och eu-LISA om genomförandet av sina nationella utrullningsplaner, inbegripet korrigerande åtgärder när så krävs för att fullgöra de skyldigheter som anges i artikel 4.</w:t>
            </w:r>
          </w:p>
        </w:tc>
        <w:tc>
          <w:tcPr>
            <w:tcW w:w="4876" w:type="dxa"/>
            <w:tcBorders>
              <w:top w:val="nil"/>
              <w:left w:val="nil"/>
              <w:bottom w:val="nil"/>
              <w:right w:val="nil"/>
            </w:tcBorders>
          </w:tcPr>
          <w:p>
            <w:pPr>
              <w:pStyle w:val="Normal6a"/>
            </w:pPr>
            <w:r>
              <w:t>4.</w:t>
            </w:r>
            <w:r>
              <w:tab/>
            </w:r>
            <w:r>
              <w:t>Från och med den 30:e kalenderdagen efter in- och utresesystemets gradvisa driftsstart ska medlemsstaterna lämna månatliga rapporter till kommissionen</w:t>
            </w:r>
            <w:r>
              <w:rPr>
                <w:b/>
                <w:i/>
              </w:rPr>
              <w:t>, Europaparlamentet</w:t>
            </w:r>
            <w:r>
              <w:t xml:space="preserve"> och eu-LISA om genomförandet av sina nationella utrullningsplaner, inbegripet korrigerande åtgärder när så krävs för att fullgöra de skyldigheter som anges i artikel 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95</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På kommissionens begäran ska eu-LISA tillhandahålla kommissionen den statistik som krävs för övervakningen av de nationella utrullningsplanerna, i enlighet med artikel 63.6 i förordning (EU) 2017/2226.</w:t>
            </w:r>
          </w:p>
        </w:tc>
        <w:tc>
          <w:tcPr>
            <w:tcW w:w="4876" w:type="dxa"/>
            <w:tcBorders>
              <w:top w:val="nil"/>
              <w:left w:val="nil"/>
              <w:bottom w:val="nil"/>
              <w:right w:val="nil"/>
            </w:tcBorders>
          </w:tcPr>
          <w:p>
            <w:pPr>
              <w:pStyle w:val="Normal6a"/>
            </w:pPr>
            <w:r>
              <w:t>5.</w:t>
            </w:r>
            <w:r>
              <w:tab/>
            </w:r>
            <w:r>
              <w:t xml:space="preserve">På kommissionens begäran ska eu-LISA tillhandahålla kommissionen den statistik som krävs för övervakningen av </w:t>
            </w:r>
            <w:r>
              <w:rPr>
                <w:b/>
                <w:i/>
              </w:rPr>
              <w:t>ett framgångsrikt genomförande inom fastställd tid av</w:t>
            </w:r>
            <w:r>
              <w:t xml:space="preserve"> de nationella utrullningsplanerna </w:t>
            </w:r>
            <w:r>
              <w:rPr>
                <w:b/>
                <w:i/>
              </w:rPr>
              <w:t>och utrullningsplanen på hög nivå</w:t>
            </w:r>
            <w:r>
              <w:t>, i enlighet med artikel 63.6 i förordning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96</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eu-LISA:s styrelse ska anta eu-LISA:s utrullningsplan på hög nivå, som avses i punkt 1 i denna artikel.</w:t>
            </w:r>
            <w:r>
              <w:t xml:space="preserve"> </w:t>
            </w:r>
            <w:r>
              <w:rPr>
                <w:b/>
                <w:i/>
              </w:rPr>
              <w:t>eu-LISA:s styrelse ska också övervaka utvecklingen av in- och utresesystemets centrala system i enlighet med artikel 19 i förordning (EU) 2018/1726, särskilt i fråga om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97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Kommissionen ska i samråd med Europeiska datatillsynsmannen utfärda riktlinjer för behandlingen av personuppgifter i in- och utresesystemet under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98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3 – 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De nationella utrullningsplaner som medlemsstaterna ska upprätta i enlighet med denna förordning ska vara kortfattade och proportionella och ska inte medföra en orimlig administrativ börda.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99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Genom undantag från artikel 66.6 i förordning (EU) 2017/2226 </w:t>
            </w:r>
            <w:r>
              <w:rPr>
                <w:b/>
                <w:i/>
              </w:rPr>
              <w:t>ska</w:t>
            </w:r>
            <w:r>
              <w:t xml:space="preserve"> medlemsstaterna under in- och utresesystemets gradvisa driftsstart använda in- och utresesystemet i enlighet med den här artikeln.</w:t>
            </w:r>
          </w:p>
        </w:tc>
        <w:tc>
          <w:tcPr>
            <w:tcW w:w="4876" w:type="dxa"/>
            <w:tcBorders>
              <w:top w:val="nil"/>
              <w:left w:val="nil"/>
              <w:bottom w:val="nil"/>
              <w:right w:val="nil"/>
            </w:tcBorders>
          </w:tcPr>
          <w:p>
            <w:pPr>
              <w:pStyle w:val="Normal6a"/>
            </w:pPr>
            <w:r>
              <w:t>1.</w:t>
            </w:r>
            <w:r>
              <w:tab/>
            </w:r>
            <w:r>
              <w:t xml:space="preserve">Genom undantag från artikel 66.6 i förordning (EU) 2017/2226 </w:t>
            </w:r>
            <w:r>
              <w:rPr>
                <w:b/>
                <w:i/>
              </w:rPr>
              <w:t>får</w:t>
            </w:r>
            <w:r>
              <w:t xml:space="preserve"> medlemsstaterna under in- och utresesystemets gradvisa driftsstart använda in- och utresesystemet i enlighet med den här artikeln.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 bör stå medlemsstaterna fritt att tillämpa in- och utresesystemet helt vid alla gränsövergångsställen från första dagen, om de så önskar.</w:t>
      </w:r>
    </w:p>
    <w:p>
      <w:r>
        <w:rPr>
          <w:rStyle w:val="HideTWBExt"/>
        </w:rPr>
        <w:t>&lt;/AmendB&gt;</w:t>
      </w:r>
    </w:p>
    <w:p>
      <w:pPr>
        <w:pStyle w:val="AmNumberTabs"/>
      </w:pPr>
      <w:r>
        <w:rPr>
          <w:rStyle w:val="HideTWBExt"/>
        </w:rPr>
        <w:t>&lt;AmendB&gt;</w:t>
      </w:r>
      <w:r>
        <w:t>Ändringsförslag</w:t>
      </w:r>
      <w:r>
        <w:tab/>
      </w:r>
      <w:r>
        <w:tab/>
      </w:r>
      <w:r>
        <w:rPr>
          <w:rStyle w:val="HideTWBExt"/>
        </w:rPr>
        <w:t>&lt;NumAmB&gt;</w:t>
      </w:r>
      <w:r>
        <w:t>100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Från och med den </w:t>
            </w:r>
            <w:r>
              <w:rPr>
                <w:b/>
                <w:i/>
              </w:rPr>
              <w:t>första</w:t>
            </w:r>
            <w:r>
              <w:t xml:space="preserve"> dagen av in- och utresesystemets gradvisa driftsstart ska varje medlemsstat börja använda in- och utresesystemet för in- </w:t>
            </w:r>
            <w:r>
              <w:rPr>
                <w:b/>
                <w:i/>
              </w:rPr>
              <w:t>och</w:t>
            </w:r>
            <w:r>
              <w:t xml:space="preserve"> utresor vid ett eller flera gränsövergångsställen med, om möjligt och tillämpligt, en kombination av gränsövergångsställen vid luft-, land- och sjögränser, för att registrera och lagra uppgifter om tredjelandsmedborgare som avses i artikel 2.1 och 2.2 i förordning (EU) 2017/2226. Medlemsstaterna ska i in- och utresesystemet registrera minst </w:t>
            </w:r>
            <w:r>
              <w:rPr>
                <w:b/>
                <w:i/>
              </w:rPr>
              <w:t>10</w:t>
            </w:r>
            <w:r>
              <w:t xml:space="preserve"> % av det uppskattade antalet gränspassager i den medlemsstaten.</w:t>
            </w:r>
          </w:p>
        </w:tc>
        <w:tc>
          <w:tcPr>
            <w:tcW w:w="4876" w:type="dxa"/>
            <w:tcBorders>
              <w:top w:val="nil"/>
              <w:left w:val="nil"/>
              <w:bottom w:val="nil"/>
              <w:right w:val="nil"/>
            </w:tcBorders>
          </w:tcPr>
          <w:p>
            <w:pPr>
              <w:pStyle w:val="Normal6a"/>
            </w:pPr>
            <w:r>
              <w:t xml:space="preserve">Från och med den </w:t>
            </w:r>
            <w:r>
              <w:rPr>
                <w:b/>
                <w:i/>
              </w:rPr>
              <w:t>30:e</w:t>
            </w:r>
            <w:r>
              <w:t xml:space="preserve"> dagen av in- och utresesystemets gradvisa driftsstart ska varje medlemsstat börja använda in- och utresesystemet för in- </w:t>
            </w:r>
            <w:r>
              <w:rPr>
                <w:b/>
                <w:i/>
              </w:rPr>
              <w:t>eller</w:t>
            </w:r>
            <w:r>
              <w:t xml:space="preserve"> utresor vid ett eller flera gränsövergångsställen med, om möjligt och tillämpligt, en kombination av gränsövergångsställen vid luft-, land- och sjögränser, för att registrera och lagra uppgifter om tredjelandsmedborgare som avses i artikel 2.1 och 2.2 i förordning (EU) 2017/2226. Medlemsstaterna ska i in- och utresesystemet registrera minst </w:t>
            </w:r>
            <w:r>
              <w:rPr>
                <w:b/>
                <w:i/>
              </w:rPr>
              <w:t>2</w:t>
            </w:r>
            <w:r>
              <w:t xml:space="preserve"> % av det uppskattade antalet gränspassager i den medlemsstaten.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101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2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Från och med den första dagen av in- och utresesystemets gradvisa driftsstart ska varje medlemsstat börja använda in- och utresesystemet för in- och utresor vid ett eller flera gränsövergångsställen med, om möjligt och tillämpligt, en kombination av gränsövergångsställen vid luft-, land- och sjögränser, för att registrera och lagra uppgifter om tredjelandsmedborgare som avses i artikel 2.1 och 2.2 i förordning (EU) 2017/2226. </w:t>
            </w:r>
            <w:r>
              <w:rPr>
                <w:b/>
                <w:i/>
              </w:rPr>
              <w:t>Medlemsstaterna ska</w:t>
            </w:r>
            <w:r>
              <w:t xml:space="preserve"> i in- och utresesystemet registrera minst 10 % av det uppskattade antalet gränspassager i den medlemsstaten.</w:t>
            </w:r>
          </w:p>
        </w:tc>
        <w:tc>
          <w:tcPr>
            <w:tcW w:w="4876" w:type="dxa"/>
            <w:tcBorders>
              <w:top w:val="nil"/>
              <w:left w:val="nil"/>
              <w:bottom w:val="nil"/>
              <w:right w:val="nil"/>
            </w:tcBorders>
          </w:tcPr>
          <w:p>
            <w:pPr>
              <w:pStyle w:val="Normal6a"/>
            </w:pPr>
            <w:r>
              <w:t xml:space="preserve">Från och med den första dagen av in- och utresesystemets gradvisa driftsstart ska varje medlemsstat börja använda in- och utresesystemet för in- och utresor vid ett eller flera gränsövergångsställen med, om möjligt och tillämpligt, en kombination av gränsövergångsställen vid luft-, land- och sjögränser, för att registrera och lagra uppgifter om tredjelandsmedborgare som avses i artikel 2.1 och 2.2 i förordning (EU) 2017/2226. </w:t>
            </w:r>
            <w:r>
              <w:rPr>
                <w:b/>
                <w:i/>
              </w:rPr>
              <w:t>Senast den 30:e kalenderdagen i in- och utresesystemets gradvisa driftsstart ska medlemsstaterna</w:t>
            </w:r>
            <w:r>
              <w:t xml:space="preserve"> i in- och utresesystemet registrera minst 10 % av det uppskattade antalet gränspassager i den medlemsstaten.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 xml:space="preserve">Som en följd av föredragandens hållning (äf 20) föreslår vi ett gradvist införande under de första 30 dagarna, ett förslag som kan stödjas av kommissionen. </w:t>
      </w:r>
    </w:p>
    <w:p>
      <w:r>
        <w:rPr>
          <w:rStyle w:val="HideTWBExt"/>
        </w:rPr>
        <w:t>&lt;/AmendB&gt;</w:t>
      </w:r>
    </w:p>
    <w:p>
      <w:pPr>
        <w:pStyle w:val="AmNumberTabs"/>
      </w:pPr>
      <w:r>
        <w:rPr>
          <w:rStyle w:val="HideTWBExt"/>
        </w:rPr>
        <w:t>&lt;AmendB&gt;</w:t>
      </w:r>
      <w:r>
        <w:t>Ändringsförslag</w:t>
      </w:r>
      <w:r>
        <w:tab/>
      </w:r>
      <w:r>
        <w:tab/>
      </w:r>
      <w:r>
        <w:rPr>
          <w:rStyle w:val="HideTWBExt"/>
        </w:rPr>
        <w:t>&lt;NumAmB&gt;</w:t>
      </w:r>
      <w:r>
        <w:t>102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2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Under de första </w:t>
            </w:r>
            <w:r>
              <w:rPr>
                <w:b/>
                <w:i/>
              </w:rPr>
              <w:t>60</w:t>
            </w:r>
            <w:r>
              <w:t xml:space="preserve"> kalenderdagarna av in- och utresesystemets gradvisa driftsstart får medlemsstaterna använda in- och utresesystemet utan biometriska funktioner, och de nationella myndigheterna får skapa eller uppdatera personakter utan biometriska uppgifter.</w:t>
            </w:r>
          </w:p>
        </w:tc>
        <w:tc>
          <w:tcPr>
            <w:tcW w:w="4876" w:type="dxa"/>
            <w:tcBorders>
              <w:top w:val="nil"/>
              <w:left w:val="nil"/>
              <w:bottom w:val="nil"/>
              <w:right w:val="nil"/>
            </w:tcBorders>
          </w:tcPr>
          <w:p>
            <w:pPr>
              <w:pStyle w:val="Normal6a"/>
            </w:pPr>
            <w:r>
              <w:t xml:space="preserve">Under de första </w:t>
            </w:r>
            <w:r>
              <w:rPr>
                <w:b/>
                <w:i/>
              </w:rPr>
              <w:t>180</w:t>
            </w:r>
            <w:r>
              <w:t xml:space="preserve"> kalenderdagarna av in- och utresesystemets gradvisa driftsstart får medlemsstaterna använda in- och utresesystemet utan biometriska funktioner, och de nationella myndigheterna får skapa eller uppdatera personakter utan biometriska 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103</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Senast den </w:t>
            </w:r>
            <w:r>
              <w:rPr>
                <w:b/>
                <w:i/>
              </w:rPr>
              <w:t>90</w:t>
            </w:r>
            <w:r>
              <w:t xml:space="preserve">:e kalenderdagen efter in- och utresesystemets gradvisa driftsstart ska medlemsstaterna använda in- och utresesystemet med biometriska funktioner vid minst </w:t>
            </w:r>
            <w:r>
              <w:rPr>
                <w:b/>
                <w:i/>
              </w:rPr>
              <w:t>hälften</w:t>
            </w:r>
            <w:r>
              <w:t xml:space="preserve"> av sina gränsövergångsställen. Medlemsstaterna ska registrera minst </w:t>
            </w:r>
            <w:r>
              <w:rPr>
                <w:b/>
                <w:i/>
              </w:rPr>
              <w:t>50</w:t>
            </w:r>
            <w:r>
              <w:t xml:space="preserve"> % av det uppskattade antalet gränspassager i den medlemsstaten. Personakter för de tredjelandsmedborgare som avses i artikel 2.1 och 2.2 i förordning (EU) 2017/2226 och som är registrerade i in- och utresesystemet </w:t>
            </w:r>
            <w:r>
              <w:rPr>
                <w:b/>
                <w:i/>
              </w:rPr>
              <w:t>ska</w:t>
            </w:r>
            <w:r>
              <w:t xml:space="preserve"> innehålla biometriska uppgifter.</w:t>
            </w:r>
          </w:p>
        </w:tc>
        <w:tc>
          <w:tcPr>
            <w:tcW w:w="4876" w:type="dxa"/>
            <w:tcBorders>
              <w:top w:val="nil"/>
              <w:left w:val="nil"/>
              <w:bottom w:val="nil"/>
              <w:right w:val="nil"/>
            </w:tcBorders>
          </w:tcPr>
          <w:p>
            <w:pPr>
              <w:pStyle w:val="Normal6a"/>
            </w:pPr>
            <w:r>
              <w:t>3.</w:t>
            </w:r>
            <w:r>
              <w:tab/>
            </w:r>
            <w:r>
              <w:t xml:space="preserve">Senast den </w:t>
            </w:r>
            <w:r>
              <w:rPr>
                <w:b/>
                <w:i/>
              </w:rPr>
              <w:t>180</w:t>
            </w:r>
            <w:r>
              <w:t xml:space="preserve">:e kalenderdagen efter in- och utresesystemets gradvisa driftsstart ska medlemsstaterna använda in- och utresesystemet med biometriska funktioner vid minst </w:t>
            </w:r>
            <w:r>
              <w:rPr>
                <w:b/>
                <w:i/>
              </w:rPr>
              <w:t>10 %</w:t>
            </w:r>
            <w:r>
              <w:t xml:space="preserve"> av sina gränsövergångsställen. Medlemsstaterna ska registrera minst </w:t>
            </w:r>
            <w:r>
              <w:rPr>
                <w:b/>
                <w:i/>
              </w:rPr>
              <w:t>10</w:t>
            </w:r>
            <w:r>
              <w:t xml:space="preserve"> % av det uppskattade antalet gränspassager i den medlemsstaten. Personakter för de tredjelandsmedborgare som avses i artikel 2.1 och 2.2 i förordning (EU) 2017/2226 och som är registrerade i in- och utresesystemet </w:t>
            </w:r>
            <w:r>
              <w:rPr>
                <w:b/>
                <w:i/>
              </w:rPr>
              <w:t>får</w:t>
            </w:r>
            <w:r>
              <w:t xml:space="preserve"> innehålla biometriska 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104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Senast den 90:e kalenderdagen efter in- och utresesystemets gradvisa driftsstart ska medlemsstaterna använda in- och utresesystemet med biometriska funktioner vid minst hälften av sina gränsövergångsställen. Medlemsstaterna ska registrera minst 50 % av det uppskattade antalet gränspassager i den medlemsstaten. Personakter för de tredjelandsmedborgare som avses i artikel 2.1 och 2.2 i förordning (EU) 2017/2226 och som är registrerade i in- och utresesystemet ska innehålla biometriska uppgifter.</w:t>
            </w:r>
          </w:p>
        </w:tc>
        <w:tc>
          <w:tcPr>
            <w:tcW w:w="4876" w:type="dxa"/>
            <w:tcBorders>
              <w:top w:val="nil"/>
              <w:left w:val="nil"/>
              <w:bottom w:val="nil"/>
              <w:right w:val="nil"/>
            </w:tcBorders>
          </w:tcPr>
          <w:p>
            <w:pPr>
              <w:pStyle w:val="Normal6a"/>
            </w:pPr>
            <w:r>
              <w:t>3.</w:t>
            </w:r>
            <w:r>
              <w:tab/>
            </w:r>
            <w:r>
              <w:t>Senast den 90:e kalenderdagen efter in- och utresesystemets gradvisa driftsstart ska medlemsstaterna använda in- och utresesystemet med biometriska funktioner vid minst hälften av sina gränsövergångsställen. Medlemsstaterna ska registrera minst 50 % av det uppskattade antalet gränspassager i den medlemsstaten. Personakter för de tredjelandsmedborgare som avses i artikel 2.1 och 2.2 i förordning (EU) 2017/2226 och som är registrerade i in- och utresesystemet ska innehålla biometriska uppgifter</w:t>
            </w:r>
            <w:r>
              <w:rPr>
                <w:b/>
                <w:i/>
              </w:rPr>
              <w:t> om systemet används med biometriska funktioner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105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Senast den </w:t>
            </w:r>
            <w:r>
              <w:rPr>
                <w:b/>
                <w:i/>
              </w:rPr>
              <w:t>150</w:t>
            </w:r>
            <w:r>
              <w:t xml:space="preserve">:e kalenderdagen efter in- och utresesystemets gradvisa driftsstart ska medlemsstaterna använda in- och utresesystemet med biometriska funktioner vid </w:t>
            </w:r>
            <w:r>
              <w:rPr>
                <w:b/>
                <w:i/>
              </w:rPr>
              <w:t>alla</w:t>
            </w:r>
            <w:r>
              <w:t xml:space="preserve"> sina gränsövergångsställen och </w:t>
            </w:r>
            <w:r>
              <w:rPr>
                <w:b/>
                <w:i/>
              </w:rPr>
              <w:t>fortsätta att</w:t>
            </w:r>
            <w:r>
              <w:t xml:space="preserve"> i in- och utresesystemet registrera minst 50 % av det uppskattade antalet gränspassager i den medlemsstaten.</w:t>
            </w:r>
          </w:p>
        </w:tc>
        <w:tc>
          <w:tcPr>
            <w:tcW w:w="4876" w:type="dxa"/>
            <w:tcBorders>
              <w:top w:val="nil"/>
              <w:left w:val="nil"/>
              <w:bottom w:val="nil"/>
              <w:right w:val="nil"/>
            </w:tcBorders>
          </w:tcPr>
          <w:p>
            <w:pPr>
              <w:pStyle w:val="Normal6a"/>
            </w:pPr>
            <w:r>
              <w:t>4.</w:t>
            </w:r>
            <w:r>
              <w:tab/>
            </w:r>
            <w:r>
              <w:t xml:space="preserve">Senast den </w:t>
            </w:r>
            <w:r>
              <w:rPr>
                <w:b/>
                <w:i/>
              </w:rPr>
              <w:t>300</w:t>
            </w:r>
            <w:r>
              <w:t xml:space="preserve">:e kalenderdagen efter in- och utresesystemets gradvisa driftsstart ska medlemsstaterna använda in- och utresesystemet med biometriska funktioner vid </w:t>
            </w:r>
            <w:r>
              <w:rPr>
                <w:b/>
                <w:i/>
              </w:rPr>
              <w:t>hälften av</w:t>
            </w:r>
            <w:r>
              <w:t xml:space="preserve"> sina gränsövergångsställen och i in- och utresesystemet registrera minst 50 % av det uppskattade antalet gränspassager i den medlemsstaten.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106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Senast den </w:t>
            </w:r>
            <w:r>
              <w:rPr>
                <w:b/>
                <w:i/>
              </w:rPr>
              <w:t>170</w:t>
            </w:r>
            <w:r>
              <w:t>:e kalenderdagen efter in- och utresesystemets gradvisa driftsstart ska medlemsstaterna använda in- och utresesystemet med biometriska funktioner vid alla sina gränsövergångsställen och ska i in- och utresesystemet registrera alla tredjelandsmedborgare som avses i artikel 2.1 och 2.2 i förordning (EU) 2017/2226.</w:t>
            </w:r>
          </w:p>
        </w:tc>
        <w:tc>
          <w:tcPr>
            <w:tcW w:w="4876" w:type="dxa"/>
            <w:tcBorders>
              <w:top w:val="nil"/>
              <w:left w:val="nil"/>
              <w:bottom w:val="nil"/>
              <w:right w:val="nil"/>
            </w:tcBorders>
          </w:tcPr>
          <w:p>
            <w:pPr>
              <w:pStyle w:val="Normal6a"/>
            </w:pPr>
            <w:r>
              <w:t>5.</w:t>
            </w:r>
            <w:r>
              <w:tab/>
            </w:r>
            <w:r>
              <w:t xml:space="preserve">Senast den </w:t>
            </w:r>
            <w:r>
              <w:rPr>
                <w:b/>
                <w:i/>
              </w:rPr>
              <w:t>320</w:t>
            </w:r>
            <w:r>
              <w:t>:e kalenderdagen efter in- och utresesystemets gradvisa driftsstart ska medlemsstaterna använda in- och utresesystemet med biometriska funktioner vid alla sina gränsövergångsställen och ska i in- och utresesystemet registrera alla tredjelandsmedborgare som avses i artikel 2.1 och 2.2 i förordning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107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stycke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Registrering av biometriska uppgifter i in- och utresesystemet ska inte vara ett inresevillkor för tredjelandsmedborgare som omfattas av registrering i in- och utresesystemet under den gradvisa driftsstarten.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108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Nekad inresa vid ett gränsövergångsställe där in- och utresesystemet har tagits i drift ska registreras i in- och utresesystemet i enlighet med artikel 18 i förordning (EU) 2017/2226. </w:t>
            </w:r>
            <w:r>
              <w:rPr>
                <w:b/>
                <w:i/>
              </w:rPr>
              <w:t>Om in- och utresesystemet används med biometriska funktioner ska</w:t>
            </w:r>
            <w:r>
              <w:t xml:space="preserve"> nekad inresa </w:t>
            </w:r>
            <w:r>
              <w:rPr>
                <w:b/>
                <w:i/>
              </w:rPr>
              <w:t>registreras med biometriska uppgifter.</w:t>
            </w:r>
            <w:r>
              <w:t xml:space="preserve"> </w:t>
            </w:r>
            <w:r>
              <w:rPr>
                <w:b/>
                <w:i/>
              </w:rPr>
              <w:t>Om in- och utresesystemet används utan biometriska funktioner ska nekad inresa</w:t>
            </w:r>
            <w:r>
              <w:t xml:space="preserve"> registreras utan biometriska uppgifter.</w:t>
            </w:r>
          </w:p>
        </w:tc>
        <w:tc>
          <w:tcPr>
            <w:tcW w:w="4876" w:type="dxa"/>
            <w:tcBorders>
              <w:top w:val="nil"/>
              <w:left w:val="nil"/>
              <w:bottom w:val="nil"/>
              <w:right w:val="nil"/>
            </w:tcBorders>
          </w:tcPr>
          <w:p>
            <w:pPr>
              <w:pStyle w:val="Normal6a"/>
            </w:pPr>
            <w:r>
              <w:t>6.</w:t>
            </w:r>
            <w:r>
              <w:tab/>
            </w:r>
            <w:r>
              <w:t xml:space="preserve">Nekad inresa vid ett gränsövergångsställe där in- och utresesystemet har tagits i drift ska registreras i in- och utresesystemet i enlighet med artikel 18 i förordning (EU) 2017/2226. Nekad inresa </w:t>
            </w:r>
            <w:r>
              <w:rPr>
                <w:b/>
                <w:i/>
              </w:rPr>
              <w:t>ska</w:t>
            </w:r>
            <w:r>
              <w:t xml:space="preserve"> registreras utan biometriska 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109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Nekad inresa vid ett gränsövergångsställe där in- och utresesystemet har tagits i drift ska registreras i in- och utresesystemet i enlighet med artikel 18 i förordning (EU) 2017/2226. Om in- och utresesystemet används med biometriska funktioner ska nekad inresa registreras med biometriska uppgifter. Om in- och utresesystemet används utan biometriska funktioner ska nekad inresa registreras utan biometriska uppgifter.</w:t>
            </w:r>
          </w:p>
        </w:tc>
        <w:tc>
          <w:tcPr>
            <w:tcW w:w="4876" w:type="dxa"/>
            <w:tcBorders>
              <w:top w:val="nil"/>
              <w:left w:val="nil"/>
              <w:bottom w:val="nil"/>
              <w:right w:val="nil"/>
            </w:tcBorders>
          </w:tcPr>
          <w:p>
            <w:pPr>
              <w:pStyle w:val="Normal6a"/>
            </w:pPr>
            <w:r>
              <w:t>6.</w:t>
            </w:r>
            <w:r>
              <w:tab/>
            </w:r>
            <w:r>
              <w:t>Nekad inresa vid ett gränsövergångsställe där in- och utresesystemet har tagits i drift ska registreras i in- och utresesystemet i enlighet med artikel 18 i förordning (EU) 2017/2226. Om in- och utresesystemet används med biometriska funktioner ska nekad inresa registreras med biometriska uppgifter. Om in- och utresesystemet används utan biometriska funktioner ska nekad inresa registreras utan biometriska uppgifter</w:t>
            </w:r>
            <w:r>
              <w:rPr>
                <w:b/>
                <w:i/>
              </w:rPr>
              <w:t>, om inte dessa uppgifter kan hämtas från VIS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Från och med den första dagen av in- och utresesystemets gradvisa driftsstart ska Europol använda in- och utresesystemet i enlighet med förordning (EU) 2017/2226.</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4 – 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Från och med</w:t>
            </w:r>
            <w:r>
              <w:t xml:space="preserve"> den första dagen av in- och utresesystemets gradvisa driftsstart ska Europol använda in- och utresesystemet i enlighet med förordning (EU) 2017/2226.</w:t>
            </w:r>
          </w:p>
        </w:tc>
        <w:tc>
          <w:tcPr>
            <w:tcW w:w="4876" w:type="dxa"/>
            <w:tcBorders>
              <w:top w:val="nil"/>
              <w:left w:val="nil"/>
              <w:bottom w:val="nil"/>
              <w:right w:val="nil"/>
            </w:tcBorders>
          </w:tcPr>
          <w:p>
            <w:pPr>
              <w:pStyle w:val="Normal6a"/>
            </w:pPr>
            <w:r>
              <w:t>7.</w:t>
            </w:r>
            <w:r>
              <w:tab/>
            </w:r>
            <w:r>
              <w:rPr>
                <w:b/>
                <w:i/>
              </w:rPr>
              <w:t>Under</w:t>
            </w:r>
            <w:r>
              <w:t xml:space="preserve"> den första dagen av in- och utresesystemets gradvisa driftsstart ska Europol </w:t>
            </w:r>
            <w:r>
              <w:rPr>
                <w:b/>
                <w:i/>
              </w:rPr>
              <w:t>inte</w:t>
            </w:r>
            <w:r>
              <w:t xml:space="preserve"> använda in- och utresesystemet i enlighet med förordning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Utöver reglerna i artikel 4 ska reglerna i den här artikeln tillämpas under in- och utresesystemets gradvisa driftsstart.</w:t>
            </w:r>
          </w:p>
        </w:tc>
        <w:tc>
          <w:tcPr>
            <w:tcW w:w="4876" w:type="dxa"/>
            <w:tcBorders>
              <w:top w:val="nil"/>
              <w:left w:val="nil"/>
              <w:bottom w:val="nil"/>
              <w:right w:val="nil"/>
            </w:tcBorders>
          </w:tcPr>
          <w:p>
            <w:pPr>
              <w:pStyle w:val="Normal6a"/>
            </w:pPr>
            <w:r>
              <w:t>1.</w:t>
            </w:r>
            <w:r>
              <w:tab/>
            </w:r>
            <w:r>
              <w:t xml:space="preserve">Utöver reglerna i artikel 4 ska reglerna i den här artikeln tillämpas </w:t>
            </w:r>
            <w:r>
              <w:rPr>
                <w:b/>
                <w:i/>
              </w:rPr>
              <w:t>på alla medlemsstater</w:t>
            </w:r>
            <w:r>
              <w:t xml:space="preserve"> under in- och utresesystemets gradvisa driftsstart.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Även om medlemsstaterna bör kunna välja om de vill tillämpa undantaget i artikel 4, så måste de följa reglerna i artikel 5 i fråga om stämpling av resehandlingar.</w:t>
      </w:r>
    </w:p>
    <w:p>
      <w:r>
        <w:rPr>
          <w:rStyle w:val="HideTWBExt"/>
        </w:rPr>
        <w:t>&lt;/AmendB&gt;</w:t>
      </w:r>
    </w:p>
    <w:p>
      <w:pPr>
        <w:pStyle w:val="AmNumberTabs"/>
      </w:pPr>
      <w:r>
        <w:rPr>
          <w:rStyle w:val="HideTWBExt"/>
        </w:rPr>
        <w:t>&lt;AmendB&gt;</w:t>
      </w:r>
      <w:r>
        <w:t>Ändringsförslag</w:t>
      </w:r>
      <w:r>
        <w:tab/>
      </w:r>
      <w:r>
        <w:tab/>
      </w:r>
      <w:r>
        <w:rPr>
          <w:rStyle w:val="HideTWBExt"/>
        </w:rPr>
        <w:t>&lt;NumAmB&gt;</w:t>
      </w:r>
      <w:r>
        <w:t>113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Vid införande, ändring, radering och inhämtande av uppgifter i in- och utresesystemet ska nationella myndigheter som är behöriga för de ändamål som anges i artiklarna 23–35 i förordning (EU) 2017/2226 ge stämplar företräde framför uppgifter i in- och utresesystemet, även i fall av avvikelser och de fall som avses i artikel 16.4 i den förordningen. </w:t>
            </w:r>
            <w:r>
              <w:rPr>
                <w:b/>
                <w:i/>
              </w:rPr>
              <w:t>Uppgifterna i in- och utresesystemet ska gälla om det inte finns någon stämpel.</w:t>
            </w:r>
          </w:p>
        </w:tc>
        <w:tc>
          <w:tcPr>
            <w:tcW w:w="4876" w:type="dxa"/>
            <w:tcBorders>
              <w:top w:val="nil"/>
              <w:left w:val="nil"/>
              <w:bottom w:val="nil"/>
              <w:right w:val="nil"/>
            </w:tcBorders>
          </w:tcPr>
          <w:p>
            <w:pPr>
              <w:pStyle w:val="Normal6a"/>
            </w:pPr>
            <w:r>
              <w:t>3.</w:t>
            </w:r>
            <w:r>
              <w:tab/>
            </w:r>
            <w:r>
              <w:t>Vid införande, ändring, radering och inhämtande av uppgifter i in- och utresesystemet ska nationella myndigheter som är behöriga för de ändamål som anges i artiklarna 23–35 i förordning (EU) 2017/2226 ge stämplar företräde framför uppgifter i in- och utresesystemet, även i fall av avvikelser och de fall som avses i artikel 16.4 i den förordningen.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4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Om det inte finns någon stämpel i resehandlingen </w:t>
            </w:r>
            <w:r>
              <w:rPr>
                <w:b/>
                <w:i/>
              </w:rPr>
              <w:t>och det inte har skapats någon personakt i in- och utresesystemet</w:t>
            </w:r>
            <w:r>
              <w:t xml:space="preserve"> för en tredjelandsmedborgare som befinner sig på medlemsstaternas territorium, får de nationella myndigheterna presumera att tredjelandsmedborgaren inte uppfyller, eller inte längre uppfyller, villkoren för inresa eller vistelse i medlemsstaterna.</w:t>
            </w:r>
          </w:p>
        </w:tc>
        <w:tc>
          <w:tcPr>
            <w:tcW w:w="4876" w:type="dxa"/>
            <w:tcBorders>
              <w:top w:val="nil"/>
              <w:left w:val="nil"/>
              <w:bottom w:val="nil"/>
              <w:right w:val="nil"/>
            </w:tcBorders>
          </w:tcPr>
          <w:p>
            <w:pPr>
              <w:pStyle w:val="Normal6a"/>
            </w:pPr>
            <w:r>
              <w:t>Om det inte finns någon stämpel i resehandlingen för en tredjelandsmedborgare som befinner sig på medlemsstaternas territorium, får de nationella myndigheterna presumera att tredjelandsmedborgaren inte uppfyller, eller inte längre uppfyller, villkoren för inresa eller vistelse i medlemsstaterna.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115</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4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Om det inte finns någon stämpel i resehandlingen och det inte har skapats någon personakt i in- och utresesystemet för en tredjelandsmedborgare som befinner sig på medlemsstaternas territorium, </w:t>
            </w:r>
            <w:r>
              <w:rPr>
                <w:b/>
                <w:i/>
              </w:rPr>
              <w:t>får</w:t>
            </w:r>
            <w:r>
              <w:t xml:space="preserve"> de nationella myndigheterna presumera att tredjelandsmedborgaren inte uppfyller, eller inte längre uppfyller, villkoren för inresa eller vistelse i medlemsstaterna.</w:t>
            </w:r>
          </w:p>
        </w:tc>
        <w:tc>
          <w:tcPr>
            <w:tcW w:w="4876" w:type="dxa"/>
            <w:tcBorders>
              <w:top w:val="nil"/>
              <w:left w:val="nil"/>
              <w:bottom w:val="nil"/>
              <w:right w:val="nil"/>
            </w:tcBorders>
          </w:tcPr>
          <w:p>
            <w:pPr>
              <w:pStyle w:val="Normal6a"/>
            </w:pPr>
            <w:r>
              <w:t xml:space="preserve">Om det inte finns någon stämpel i resehandlingen och det inte har skapats någon personakt i in- och utresesystemet för en tredjelandsmedborgare som befinner sig på medlemsstaternas territorium, </w:t>
            </w:r>
            <w:r>
              <w:rPr>
                <w:b/>
                <w:i/>
              </w:rPr>
              <w:t>ska</w:t>
            </w:r>
            <w:r>
              <w:t xml:space="preserve"> de nationella myndigheterna presumera att tredjelandsmedborgaren inte uppfyller, eller inte längre uppfyller, villkoren för inresa eller vistelse i medlemsstaterna.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De nationella myndigheterna och Europol ska bortse från</w:t>
            </w:r>
          </w:p>
        </w:tc>
        <w:tc>
          <w:tcPr>
            <w:tcW w:w="4876" w:type="dxa"/>
            <w:tcBorders>
              <w:top w:val="nil"/>
              <w:left w:val="nil"/>
              <w:bottom w:val="nil"/>
              <w:right w:val="nil"/>
            </w:tcBorders>
          </w:tcPr>
          <w:p>
            <w:pPr>
              <w:pStyle w:val="Normal6a"/>
            </w:pPr>
            <w:r>
              <w:rPr>
                <w:b/>
                <w:i/>
              </w:rPr>
              <w:t>utgår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resultaten av den automatiserade beräkningsmekanism som ger information om den maximala längden på den tillåtna vistelsen och som avses i artikel 11 i förordning (EU) 2017/2226,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den automatiskt genererade förteckningen över personer som överskridit den tillåtna vistelsen och konsekvenserna av denna, särskilt de som avses i artiklarna 6.1 c och h, 12.3, 16.4, 34.3, 50.1 i och k och 63.1 e i den förordningen.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 och utresesystemet håller på att rullas ut gradvis. Under den här utrullningsperioden [från och med ...] kan det hända att dina personuppgifter, inklusive biometriska uppgifter, inte samlas in för in- och utresesystemet vid alla medlemsstaternas yttre gränser. </w:t>
            </w:r>
            <w:r>
              <w:rPr>
                <w:b/>
                <w:i/>
              </w:rPr>
              <w:t>Om vi måste samla in denna information och du väljer att inte lämna den</w:t>
            </w:r>
            <w:r>
              <w:t xml:space="preserve"> kommer </w:t>
            </w:r>
            <w:r>
              <w:rPr>
                <w:b/>
                <w:i/>
              </w:rPr>
              <w:t>du att nekas</w:t>
            </w:r>
            <w:r>
              <w:t xml:space="preserve"> inresa</w:t>
            </w:r>
            <w:r>
              <w:rPr>
                <w:b/>
                <w:i/>
              </w:rPr>
              <w:t>.</w:t>
            </w:r>
            <w:r>
              <w:t xml:space="preserve"> Under den gradvisa utrullningsperioden kommer dina uppgifter inte automatiskt att läggas till i förteckningen över personer som överskridit den tillåtna vistelsen. Du kommer inte heller att kunna kontrollera hur länge du har rätt att stanna kvar med hjälp av webbplatsen eller den utrustning som finns vid gränsövergångsställena.</w:t>
            </w:r>
          </w:p>
        </w:tc>
        <w:tc>
          <w:tcPr>
            <w:tcW w:w="4876" w:type="dxa"/>
            <w:tcBorders>
              <w:top w:val="nil"/>
              <w:left w:val="nil"/>
              <w:bottom w:val="nil"/>
              <w:right w:val="nil"/>
            </w:tcBorders>
          </w:tcPr>
          <w:p>
            <w:pPr>
              <w:pStyle w:val="Normal6a"/>
            </w:pPr>
            <w:r>
              <w:t xml:space="preserve">In- och utresesystemet håller på att rullas ut gradvis. Under den här utrullningsperioden [från och med ...] kan det hända att dina personuppgifter, inklusive biometriska uppgifter, inte samlas in för in- och utresesystemet vid alla medlemsstaternas yttre gränser. </w:t>
            </w:r>
            <w:r>
              <w:rPr>
                <w:b/>
                <w:i/>
              </w:rPr>
              <w:t>Vid de gränsövergångsställen där in- och utresesystemet används med biometriska funktioner är du skyldig att tillhandahålla biometriska uppgifter.</w:t>
            </w:r>
            <w:r>
              <w:t xml:space="preserve"> </w:t>
            </w:r>
            <w:r>
              <w:rPr>
                <w:b/>
                <w:i/>
              </w:rPr>
              <w:t>Om biometriska uppgifter inte registreras under den gradvisa driftsstarten av in- och utresesystemet</w:t>
            </w:r>
            <w:r>
              <w:t xml:space="preserve"> kommer </w:t>
            </w:r>
            <w:r>
              <w:rPr>
                <w:b/>
                <w:i/>
              </w:rPr>
              <w:t>detta inte i sig att leda till att</w:t>
            </w:r>
            <w:r>
              <w:t xml:space="preserve"> inresa </w:t>
            </w:r>
            <w:r>
              <w:rPr>
                <w:b/>
                <w:i/>
              </w:rPr>
              <w:t xml:space="preserve">nekas automatiskt. </w:t>
            </w:r>
            <w:r>
              <w:t xml:space="preserve"> Under den gradvisa utrullningsperioden kommer dina uppgifter inte automatiskt att läggas till i förteckningen över personer som överskridit den tillåtna vistelsen. Du kommer inte heller att kunna kontrollera hur länge du har rätt att stanna kvar med hjälp av webbplatsen eller den utrustning som finns vid gränsövergångsställena.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för S&amp;D-gruppen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9</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 och utresesystemet håller på att rullas ut gradvis. Under den här utrullningsperioden [från och med ...] kan det hända att dina personuppgifter, inklusive biometriska uppgifter, </w:t>
            </w:r>
            <w:r>
              <w:rPr>
                <w:b/>
                <w:i/>
              </w:rPr>
              <w:t>inte</w:t>
            </w:r>
            <w:r>
              <w:t xml:space="preserve"> samlas in för in- och utresesystemet vid </w:t>
            </w:r>
            <w:r>
              <w:rPr>
                <w:b/>
                <w:i/>
              </w:rPr>
              <w:t>alla medlemsstaternas</w:t>
            </w:r>
            <w:r>
              <w:t xml:space="preserve"> yttre gränser. Om </w:t>
            </w:r>
            <w:r>
              <w:rPr>
                <w:b/>
                <w:i/>
              </w:rPr>
              <w:t>vi måste samla in</w:t>
            </w:r>
            <w:r>
              <w:t xml:space="preserve"> denna information och du väljer att inte lämna den kommer du att nekas inresa. Under den gradvisa utrullningsperioden kommer dina uppgifter inte automatiskt att läggas till i förteckningen över personer som överskridit den tillåtna vistelsen. Du kommer inte heller att kunna kontrollera hur länge du har rätt att stanna kvar med hjälp av webbplatsen eller den utrustning som finns vid gränsövergångsställena.</w:t>
            </w:r>
          </w:p>
        </w:tc>
        <w:tc>
          <w:tcPr>
            <w:tcW w:w="4876" w:type="dxa"/>
            <w:tcBorders>
              <w:top w:val="nil"/>
              <w:left w:val="nil"/>
              <w:bottom w:val="nil"/>
              <w:right w:val="nil"/>
            </w:tcBorders>
          </w:tcPr>
          <w:p>
            <w:pPr>
              <w:pStyle w:val="Normal6a"/>
            </w:pPr>
            <w:r>
              <w:t xml:space="preserve">In- och utresesystemet håller på att rullas ut gradvis. Under den här utrullningsperioden [från och med ...] kan det hända att dina personuppgifter, inklusive biometriska uppgifter, samlas in för in- och utresesystemet vid </w:t>
            </w:r>
            <w:r>
              <w:rPr>
                <w:b/>
                <w:i/>
              </w:rPr>
              <w:t>vissa medlemsstaters yttre gränser medan de inte samlas in vid andra medlemsstaters</w:t>
            </w:r>
            <w:r>
              <w:t xml:space="preserve"> yttre gränser. Om </w:t>
            </w:r>
            <w:r>
              <w:rPr>
                <w:b/>
                <w:i/>
              </w:rPr>
              <w:t>en medlemsstat begär insamling av</w:t>
            </w:r>
            <w:r>
              <w:t xml:space="preserve"> denna information och du väljer att inte lämna den kommer du att nekas inresa. Under den gradvisa utrullningsperioden kommer dina uppgifter inte automatiskt att läggas till i förteckningen över personer som </w:t>
            </w:r>
            <w:r>
              <w:rPr>
                <w:b/>
                <w:i/>
              </w:rPr>
              <w:t>potentiellt har</w:t>
            </w:r>
            <w:r>
              <w:t xml:space="preserve"> överskridit den tillåtna vistelsen. Du kommer inte heller att kunna kontrollera hur länge du har rätt att stanna kvar med hjälp av webbplatsen eller den utrustning som finns vid gränsövergångsställena. </w:t>
            </w:r>
            <w:r>
              <w:rPr>
                <w:b/>
                <w:i/>
              </w:rPr>
              <w:t>Om du har frågor om hur länge du har rätt att stanna kvar kan du vända dig till de behöriga nationella myndigheterna vid de yttre gränserna.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(Detta ändringsförslag gäller endast de föreslagna ytterligare uppgifter som avses i artikel 5.9 i denna förordning.)</w:t>
      </w:r>
    </w:p>
    <w:p>
      <w:r>
        <w:rPr>
          <w:rStyle w:val="HideTWBExt"/>
        </w:rPr>
        <w:t>&lt;/AmendB&gt;</w:t>
      </w:r>
    </w:p>
    <w:p>
      <w:pPr>
        <w:pStyle w:val="AmNumberTabs"/>
      </w:pPr>
      <w:r>
        <w:rPr>
          <w:rStyle w:val="HideTWBExt"/>
        </w:rPr>
        <w:t>&lt;AmendB&gt;</w:t>
      </w:r>
      <w:r>
        <w:t>Ändringsförslag</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Den informationskampanj som avses i artikel 51 i förordning (EU) 2017/2226 och som åtföljer in- och utresesystemets driftsstart ska återspegla de särskilda villkoren vid gränsövergångsställena, för att säkerställa att relevant information förmedlas till de berörda, med beaktande av de faser som anges i artikel 4 i den här förordningen. Kommissionen ska stödja medlemsstaterna i utarbetandet av det anpassade materialet för informationskampanjen.</w:t>
            </w:r>
          </w:p>
        </w:tc>
        <w:tc>
          <w:tcPr>
            <w:tcW w:w="4876" w:type="dxa"/>
            <w:tcBorders>
              <w:top w:val="nil"/>
              <w:left w:val="nil"/>
              <w:bottom w:val="nil"/>
              <w:right w:val="nil"/>
            </w:tcBorders>
          </w:tcPr>
          <w:p>
            <w:pPr>
              <w:pStyle w:val="Normal6a"/>
            </w:pPr>
            <w:r>
              <w:t>11.</w:t>
            </w:r>
            <w:r>
              <w:tab/>
            </w:r>
            <w:r>
              <w:t>Den informationskampanj som avses i artikel 51 i förordning (EU) 2017/2226 och som åtföljer in- och utresesystemets driftsstart ska återspegla de särskilda villkoren vid gränsövergångsställena, för att säkerställa att relevant information förmedlas till de berörda, med beaktande av de faser som anges i artikel 4 i den här förordningen. Kommissionen ska</w:t>
            </w:r>
            <w:r>
              <w:rPr>
                <w:b/>
                <w:i/>
              </w:rPr>
              <w:t>, i samarbete med tillsynsmyndigheterna och Europeiska datatillsynsmannen,</w:t>
            </w:r>
            <w:r>
              <w:t xml:space="preserve"> stödja medlemsstaterna i utarbetandet av det anpassade materialet för informationskampanjen.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Tillämpningen av artiklarna 12.1, 12.2, 13.1, 13.2, 20 </w:t>
            </w:r>
            <w:r>
              <w:rPr>
                <w:b/>
                <w:i/>
              </w:rPr>
              <w:t>och 21</w:t>
            </w:r>
            <w:r>
              <w:t xml:space="preserve"> i förordning (EU) 2017/2226 ska tillfälligt upphävas.</w:t>
            </w:r>
          </w:p>
        </w:tc>
        <w:tc>
          <w:tcPr>
            <w:tcW w:w="4876" w:type="dxa"/>
            <w:tcBorders>
              <w:top w:val="nil"/>
              <w:left w:val="nil"/>
              <w:bottom w:val="nil"/>
              <w:right w:val="nil"/>
            </w:tcBorders>
          </w:tcPr>
          <w:p>
            <w:pPr>
              <w:pStyle w:val="Normal6a"/>
            </w:pPr>
            <w:r>
              <w:t>12.</w:t>
            </w:r>
            <w:r>
              <w:tab/>
            </w:r>
            <w:r>
              <w:t xml:space="preserve">Tillämpningen av artiklarna </w:t>
            </w:r>
            <w:r>
              <w:rPr>
                <w:b/>
                <w:i/>
              </w:rPr>
              <w:t>11,</w:t>
            </w:r>
            <w:r>
              <w:t xml:space="preserve"> 12.1, 12.2, </w:t>
            </w:r>
            <w:r>
              <w:rPr>
                <w:b/>
                <w:i/>
              </w:rPr>
              <w:t>12.3,</w:t>
            </w:r>
            <w:r>
              <w:t xml:space="preserve"> 13.1, 13.2, 20</w:t>
            </w:r>
            <w:r>
              <w:rPr>
                <w:b/>
                <w:i/>
              </w:rPr>
              <w:t>, 21 och 63.1 e</w:t>
            </w:r>
            <w:r>
              <w:t xml:space="preserve"> i förordning (EU) 2017/2226 ska tillfälligt upphävas </w:t>
            </w:r>
            <w:r>
              <w:rPr>
                <w:b/>
                <w:i/>
              </w:rPr>
              <w:t>till och med slutet av den gradvisa driftsstarten av in- och utresesystemet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för PfE-gruppen</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Genom undantag från artikel 22 i förordning (EU) 2017/2226 och artikel 12a i förordning (EU) 2016/399 ska den övergångsperiod och de övergångsåtgärder som anges i de artiklarna tillämpas </w:t>
            </w:r>
            <w:r>
              <w:rPr>
                <w:b/>
                <w:i/>
              </w:rPr>
              <w:t>från och med den första dagen</w:t>
            </w:r>
            <w:r>
              <w:t xml:space="preserve"> efter det att in- och utresesystemets gradvisa driftsstart har slutförts.</w:t>
            </w:r>
          </w:p>
        </w:tc>
        <w:tc>
          <w:tcPr>
            <w:tcW w:w="4876" w:type="dxa"/>
            <w:tcBorders>
              <w:top w:val="nil"/>
              <w:left w:val="nil"/>
              <w:bottom w:val="nil"/>
              <w:right w:val="nil"/>
            </w:tcBorders>
          </w:tcPr>
          <w:p>
            <w:pPr>
              <w:pStyle w:val="Normal6a"/>
            </w:pPr>
            <w:r>
              <w:t>13.</w:t>
            </w:r>
            <w:r>
              <w:tab/>
            </w:r>
            <w:r>
              <w:t xml:space="preserve">Genom undantag från artikel 22 i förordning (EU) 2017/2226 och artikel 12a i förordning (EU) 2016/399 ska den övergångsperiod och de övergångsåtgärder som anges i de artiklarna tillämpas </w:t>
            </w:r>
            <w:r>
              <w:rPr>
                <w:b/>
                <w:i/>
              </w:rPr>
              <w:t>90 dagar</w:t>
            </w:r>
            <w:r>
              <w:t xml:space="preserve"> efter det att in- och utresesystemets gradvisa driftsstart har slutförts.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 xml:space="preserve">Förordningen om in- och utresesystemet föreskriver att personakter måste skapas vid inresa för personer som reser in i Schengenområdet innan in- och utresesystemet tas i drift. </w:t>
      </w:r>
      <w:r>
        <w:t xml:space="preserve"> </w:t>
      </w:r>
      <w:r>
        <w:t>För att effektivisera utreseförfarandena föreslår vi att kravet på att skapa en personakt vid utresa från Schengenområdet ska förlängas med 90 dagar.</w:t>
      </w:r>
    </w:p>
    <w:p>
      <w:r>
        <w:rPr>
          <w:rStyle w:val="HideTWBExt"/>
        </w:rPr>
        <w:t>&lt;/AmendB&gt;</w:t>
      </w:r>
    </w:p>
    <w:p>
      <w:pPr>
        <w:pStyle w:val="AmNumberTabs"/>
      </w:pPr>
      <w:r>
        <w:rPr>
          <w:rStyle w:val="HideTWBExt"/>
        </w:rPr>
        <w:t>&lt;AmendB&gt;</w:t>
      </w:r>
      <w:r>
        <w:t>Ändringsförslag</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punkt 14 – stycke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Genom undantag från andra stycket ska artikel 6.1 f i och bestämmelserna om verifiering av tredjelandsmedborgare på grundval av biometriska uppgifter enbart för syftena med in- och utresesystemet, i enlighet med artiklarna 6 f ii och 8.3 a och g i förordning (EU) 2016/399, inte tillämpas </w:t>
            </w:r>
            <w:r>
              <w:rPr>
                <w:b/>
                <w:i/>
              </w:rPr>
              <w:t>vid de gränsövergångsställen där</w:t>
            </w:r>
            <w:r>
              <w:t xml:space="preserve"> in- och utresesystemet </w:t>
            </w:r>
            <w:r>
              <w:rPr>
                <w:b/>
                <w:i/>
              </w:rPr>
              <w:t>används utan biometriska funktioner</w:t>
            </w:r>
            <w:r>
              <w:t>.</w:t>
            </w:r>
          </w:p>
        </w:tc>
        <w:tc>
          <w:tcPr>
            <w:tcW w:w="4876" w:type="dxa"/>
            <w:tcBorders>
              <w:top w:val="nil"/>
              <w:left w:val="nil"/>
              <w:bottom w:val="nil"/>
              <w:right w:val="nil"/>
            </w:tcBorders>
          </w:tcPr>
          <w:p>
            <w:pPr>
              <w:pStyle w:val="Normal6a"/>
            </w:pPr>
            <w:r>
              <w:t xml:space="preserve">Genom undantag från andra stycket ska artikel 6.1 f i och bestämmelserna om verifiering av tredjelandsmedborgare på grundval av biometriska uppgifter enbart för syftena med in- och utresesystemet, i enlighet med artiklarna 6 f ii och 8.3 a och g i förordning (EU) 2016/399, inte tillämpas </w:t>
            </w:r>
            <w:r>
              <w:rPr>
                <w:b/>
                <w:i/>
              </w:rPr>
              <w:t>under den gradvisa driftsstarten av</w:t>
            </w:r>
            <w:r>
              <w:t xml:space="preserve"> in- och utresesystemet.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Malik Azmani, Moritz Körner, Jan-Christoph Oetjen,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5 – stycke 14a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För att säkerställa att tredjelandsmedborgare tydligt förstår var de kan registrera sig vid gränsövergångsställen behöver gemensamma identifieringspunkter inrättas och enhetlig kommunikation användas i alla medlemsstater.</w:t>
            </w:r>
            <w:r>
              <w:t xml:space="preserve"> </w:t>
            </w:r>
            <w:r>
              <w:rPr>
                <w:b/>
                <w:i/>
              </w:rPr>
              <w:t>Detta bidrar till mindre förvirring och onödiga köer under registreringen.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Vid åtkomst till in- och utreseposter som registrerats i in- och utresesystemet under in- och utresesystemets gradvisa driftsstart ska </w:t>
            </w:r>
            <w:r>
              <w:rPr>
                <w:b/>
                <w:i/>
              </w:rPr>
              <w:t>följande gälla vid</w:t>
            </w:r>
            <w:r>
              <w:t xml:space="preserve"> tjänsteutövning:</w:t>
            </w:r>
          </w:p>
        </w:tc>
        <w:tc>
          <w:tcPr>
            <w:tcW w:w="4876" w:type="dxa"/>
            <w:tcBorders>
              <w:top w:val="nil"/>
              <w:left w:val="nil"/>
              <w:bottom w:val="nil"/>
              <w:right w:val="nil"/>
            </w:tcBorders>
          </w:tcPr>
          <w:p>
            <w:pPr>
              <w:pStyle w:val="Normal6a"/>
            </w:pPr>
            <w:r>
              <w:t>1.</w:t>
            </w:r>
            <w:r>
              <w:tab/>
            </w:r>
            <w:r>
              <w:t xml:space="preserve">Vid åtkomst till in- och utreseposter som registrerats i in- och utresesystemet under in- och utresesystemets gradvisa driftsstart ska </w:t>
            </w:r>
            <w:r>
              <w:rPr>
                <w:b/>
                <w:i/>
              </w:rPr>
              <w:t>nationella myndigheter vid sin</w:t>
            </w:r>
            <w:r>
              <w:t xml:space="preserve"> tjänsteutövning</w:t>
            </w:r>
            <w:r>
              <w:rPr>
                <w:b/>
                <w:i/>
              </w:rPr>
              <w:t> ta hänsyn till att uppgifter kan vara ofullständiga.</w:t>
            </w:r>
            <w:r>
              <w:t xml:space="preserve"> </w:t>
            </w:r>
            <w:r>
              <w:rPr>
                <w:b/>
                <w:i/>
              </w:rPr>
              <w:t>Därvid gäller följande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De nationella myndigheterna och Europol ska beakta att uppgifterna kan vara ofullständiga, på grund av att in- och utresesystemet har tagits i drift i varierande utsträckning i medlemsstaterna under in- och utresesystemets gradvisa driftsstart.</w:t>
            </w:r>
          </w:p>
        </w:tc>
        <w:tc>
          <w:tcPr>
            <w:tcW w:w="4876" w:type="dxa"/>
            <w:tcBorders>
              <w:top w:val="nil"/>
              <w:left w:val="nil"/>
              <w:bottom w:val="nil"/>
              <w:right w:val="nil"/>
            </w:tcBorders>
          </w:tcPr>
          <w:p>
            <w:pPr>
              <w:pStyle w:val="Normal6a"/>
            </w:pPr>
            <w:r>
              <w:rPr>
                <w:b/>
                <w:i/>
              </w:rPr>
              <w:t>a)</w:t>
            </w:r>
            <w:r>
              <w:tab/>
            </w:r>
            <w:r>
              <w:t xml:space="preserve">De nationella myndigheterna och Europol ska beakta att uppgifterna kan vara ofullständiga </w:t>
            </w:r>
            <w:r>
              <w:rPr>
                <w:b/>
                <w:i/>
              </w:rPr>
              <w:t>eller felaktiga</w:t>
            </w:r>
            <w:r>
              <w:t>, på grund av att in- och utresesystemet har tagits i drift i varierande utsträckning i medlemsstaterna under in- och utresesystemets gradvisa driftsstart.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De nationella myndigheterna </w:t>
            </w:r>
            <w:r>
              <w:rPr>
                <w:b/>
                <w:i/>
              </w:rPr>
              <w:t>och Europol ska beakta att uppgifterna kan vara ofullständiga, på grund av att</w:t>
            </w:r>
            <w:r>
              <w:t xml:space="preserve"> in- och utresesystemet </w:t>
            </w:r>
            <w:r>
              <w:rPr>
                <w:b/>
                <w:i/>
              </w:rPr>
              <w:t>har tagits i drift i varierande utsträckning i medlemsstaterna under in- och utresesystemets gradvisa driftsstart</w:t>
            </w:r>
            <w:r>
              <w:t>.</w:t>
            </w:r>
          </w:p>
        </w:tc>
        <w:tc>
          <w:tcPr>
            <w:tcW w:w="4876" w:type="dxa"/>
            <w:tcBorders>
              <w:top w:val="nil"/>
              <w:left w:val="nil"/>
              <w:bottom w:val="nil"/>
              <w:right w:val="nil"/>
            </w:tcBorders>
          </w:tcPr>
          <w:p>
            <w:pPr>
              <w:pStyle w:val="Normal6a"/>
            </w:pPr>
            <w:r>
              <w:rPr>
                <w:b/>
                <w:i/>
              </w:rPr>
              <w:t>a)</w:t>
            </w:r>
            <w:r>
              <w:tab/>
            </w:r>
            <w:r>
              <w:t xml:space="preserve">De nationella myndigheterna </w:t>
            </w:r>
            <w:r>
              <w:rPr>
                <w:b/>
                <w:i/>
              </w:rPr>
              <w:t>ska inte fatta beslut som negativt påverkar enskilda personer enbart på grundval av uppgifter som registrerats i</w:t>
            </w:r>
            <w:r>
              <w:t xml:space="preserve"> in- och utresesystemet </w:t>
            </w:r>
            <w:r>
              <w:rPr>
                <w:b/>
                <w:i/>
              </w:rPr>
              <w:t>eller av det faktum att en in- eller utresa inte har registrerats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 xml:space="preserve">De nationella myndigheterna ska </w:t>
            </w:r>
            <w:r>
              <w:rPr>
                <w:b/>
                <w:i/>
              </w:rPr>
              <w:t>beakta att uppgifterna kan vara ofullständiga när de lämnar</w:t>
            </w:r>
            <w:r>
              <w:t xml:space="preserve"> uppgifter i enlighet med artiklarna 41 och 42 i förordning (EU) 2017/2226.</w:t>
            </w:r>
          </w:p>
        </w:tc>
        <w:tc>
          <w:tcPr>
            <w:tcW w:w="4876" w:type="dxa"/>
            <w:tcBorders>
              <w:top w:val="nil"/>
              <w:left w:val="nil"/>
              <w:bottom w:val="nil"/>
              <w:right w:val="nil"/>
            </w:tcBorders>
          </w:tcPr>
          <w:p>
            <w:pPr>
              <w:pStyle w:val="Normal6a"/>
            </w:pPr>
            <w:r>
              <w:rPr>
                <w:b/>
                <w:i/>
              </w:rPr>
              <w:t>b)</w:t>
            </w:r>
            <w:r>
              <w:tab/>
            </w:r>
            <w:r>
              <w:t xml:space="preserve">De nationella myndigheterna ska </w:t>
            </w:r>
            <w:r>
              <w:rPr>
                <w:b/>
                <w:i/>
              </w:rPr>
              <w:t>undvika att lämna</w:t>
            </w:r>
            <w:r>
              <w:t xml:space="preserve"> uppgifter i enlighet med artiklarna 41 och 42 i förordning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De nationella myndigheterna ska beakta att uppgifterna kan vara ofullständiga när de lämnar uppgifter i enlighet med artiklarna 41 och 42 i förordning (EU) 2017/2226.</w:t>
            </w:r>
          </w:p>
        </w:tc>
        <w:tc>
          <w:tcPr>
            <w:tcW w:w="4876" w:type="dxa"/>
            <w:tcBorders>
              <w:top w:val="nil"/>
              <w:left w:val="nil"/>
              <w:bottom w:val="nil"/>
              <w:right w:val="nil"/>
            </w:tcBorders>
          </w:tcPr>
          <w:p>
            <w:pPr>
              <w:pStyle w:val="Normal6a"/>
            </w:pPr>
            <w:r>
              <w:rPr>
                <w:b/>
                <w:i/>
              </w:rPr>
              <w:t>b)</w:t>
            </w:r>
            <w:r>
              <w:tab/>
            </w:r>
            <w:r>
              <w:t xml:space="preserve">De nationella myndigheterna ska beakta att uppgifterna kan vara ofullständiga </w:t>
            </w:r>
            <w:r>
              <w:rPr>
                <w:b/>
                <w:i/>
              </w:rPr>
              <w:t>eller felaktiga</w:t>
            </w:r>
            <w:r>
              <w:t xml:space="preserve"> när de lämnar uppgifter i enlighet med artiklarna 41 och 42 i förordning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 xml:space="preserve">Etias centralenhet ska vid kontroll i enlighet med artikel 25a.2 i förordning (EU) 2017/2226 </w:t>
            </w:r>
            <w:r>
              <w:rPr>
                <w:b/>
                <w:i/>
              </w:rPr>
              <w:t>beakta att de in- och utreseposter som registrerats i</w:t>
            </w:r>
            <w:r>
              <w:t xml:space="preserve"> in- och utresesystemet </w:t>
            </w:r>
            <w:r>
              <w:rPr>
                <w:b/>
                <w:i/>
              </w:rPr>
              <w:t>under in- och utresesystemets gradvisa driftsstart kan innehålla ofullständiga uppgifter</w:t>
            </w:r>
            <w:r>
              <w:t>.</w:t>
            </w:r>
          </w:p>
        </w:tc>
        <w:tc>
          <w:tcPr>
            <w:tcW w:w="4876" w:type="dxa"/>
            <w:tcBorders>
              <w:top w:val="nil"/>
              <w:left w:val="nil"/>
              <w:bottom w:val="nil"/>
              <w:right w:val="nil"/>
            </w:tcBorders>
          </w:tcPr>
          <w:p>
            <w:pPr>
              <w:pStyle w:val="Normal6a"/>
            </w:pPr>
            <w:r>
              <w:rPr>
                <w:b/>
                <w:i/>
              </w:rPr>
              <w:t>c)</w:t>
            </w:r>
            <w:r>
              <w:tab/>
            </w:r>
            <w:r>
              <w:t>Etias centralenhet ska vid kontroll i enlighet med artikel 25a.2 i förordning (EU) 2017/2226 </w:t>
            </w:r>
            <w:r>
              <w:rPr>
                <w:b/>
                <w:i/>
              </w:rPr>
              <w:t>inte tillåtas att använda uppgifter från</w:t>
            </w:r>
            <w:r>
              <w:t xml:space="preserve"> in- och utresesystemet.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Etias centralenhet ska vid kontroll i enlighet med artikel 25a.2 i förordning (EU) 2017/2226 beakta att de in- och utreseposter som registrerats i in- och utresesystemet under in- och utresesystemets gradvisa driftsstart kan innehålla ofullständiga uppgifter.</w:t>
            </w:r>
          </w:p>
        </w:tc>
        <w:tc>
          <w:tcPr>
            <w:tcW w:w="4876" w:type="dxa"/>
            <w:tcBorders>
              <w:top w:val="nil"/>
              <w:left w:val="nil"/>
              <w:bottom w:val="nil"/>
              <w:right w:val="nil"/>
            </w:tcBorders>
          </w:tcPr>
          <w:p>
            <w:pPr>
              <w:pStyle w:val="Normal6a"/>
            </w:pPr>
            <w:r>
              <w:rPr>
                <w:b/>
                <w:i/>
              </w:rPr>
              <w:t>c)</w:t>
            </w:r>
            <w:r>
              <w:tab/>
            </w:r>
            <w:r>
              <w:t xml:space="preserve">Etias centralenhet ska vid kontroll i enlighet med artikel 25a.2 i förordning (EU) 2017/2226 beakta att de in- och utreseposter som registrerats i in- och utresesystemet under in- och utresesystemets gradvisa driftsstart kan innehålla ofullständiga </w:t>
            </w:r>
            <w:r>
              <w:rPr>
                <w:b/>
                <w:i/>
              </w:rPr>
              <w:t>eller felaktiga</w:t>
            </w:r>
            <w:r>
              <w:t xml:space="preserve"> uppgifter.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1 – stycke -1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Beslut som kan påverka personer negativt bör därför inte fattas enbart på grundval av att en påstådd inresa eller utresa inte har registrerats i in- och utresesystemet.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 behöriga myndigheterna, kommissionen och relevanta unionsbyråer ska beakta att de uppgifter som registrerats i in- och utresesystemet under in- och utresesystemets gradvisa driftsstart kan vara ofullständiga vid åtkomst till uppgifter för rapportering och statistik i enlighet med artikel 63 i förordning (EU) 2017/2226.</w:t>
            </w:r>
          </w:p>
        </w:tc>
        <w:tc>
          <w:tcPr>
            <w:tcW w:w="4876" w:type="dxa"/>
            <w:tcBorders>
              <w:top w:val="nil"/>
              <w:left w:val="nil"/>
              <w:bottom w:val="nil"/>
              <w:right w:val="nil"/>
            </w:tcBorders>
          </w:tcPr>
          <w:p>
            <w:pPr>
              <w:pStyle w:val="Normal6a"/>
            </w:pPr>
            <w:r>
              <w:t>2.</w:t>
            </w:r>
            <w:r>
              <w:tab/>
            </w:r>
            <w:r>
              <w:t xml:space="preserve">De behöriga myndigheterna, kommissionen och relevanta unionsbyråer ska beakta att de uppgifter som registrerats i in- och utresesystemet under in- och utresesystemets gradvisa driftsstart kan vara ofullständiga </w:t>
            </w:r>
            <w:r>
              <w:rPr>
                <w:b/>
                <w:i/>
              </w:rPr>
              <w:t>eller felaktiga</w:t>
            </w:r>
            <w:r>
              <w:t xml:space="preserve"> vid åtkomst till uppgifter för rapportering och statistik i enlighet med artikel 63 i förordning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När medlemsstaterna fullgör de skyldigheter som avses i artiklarna 35 och 52 i förordning (EU) 2017/2226 med avseende på komplettering av personuppgifter i in- och utresesystemet, ska de komplettera de berörda uppgifterna endast i den mån det är möjligt med beaktande av den begränsade tillgången till uppgifter som samlats in under in- och utresesystemets gradvisa driftsstart. I tillämpliga fall ska det administrativa beslut som avses i artikel 52.4 i förordning (EU) 2017/2226 hänvisa till de villkor som anges i artikel 4 i den här förordningen och som möjliggör registrering av ofullständiga akter.</w:t>
            </w:r>
          </w:p>
        </w:tc>
        <w:tc>
          <w:tcPr>
            <w:tcW w:w="4876" w:type="dxa"/>
            <w:tcBorders>
              <w:top w:val="nil"/>
              <w:left w:val="nil"/>
              <w:bottom w:val="nil"/>
              <w:right w:val="nil"/>
            </w:tcBorders>
          </w:tcPr>
          <w:p>
            <w:pPr>
              <w:pStyle w:val="Normal6a"/>
            </w:pPr>
            <w:r>
              <w:t>4.</w:t>
            </w:r>
            <w:r>
              <w:tab/>
            </w:r>
            <w:r>
              <w:t xml:space="preserve">När medlemsstaterna fullgör de skyldigheter som avses i artiklarna 35 och 52 i förordning (EU) 2017/2226 med avseende på komplettering av personuppgifter i in- och utresesystemet, ska de komplettera de berörda uppgifterna endast i den mån det är möjligt med beaktande av den begränsade tillgången till uppgifter som samlats in under in- och utresesystemets gradvisa driftsstart. I tillämpliga fall ska det administrativa beslut som avses i artikel 52.4 i förordning (EU) 2017/2226 hänvisa till de villkor som anges i artikel 4 i den här förordningen och som möjliggör registrering av ofullständiga akter. </w:t>
            </w:r>
            <w:r>
              <w:rPr>
                <w:b/>
                <w:i/>
              </w:rPr>
              <w:t>Det faktum att uppgifterna i in- och utresesystemet kan vara ofullständiga på grund av den gradvisa driftsstarten ska under inga omständigheter utgöra en grund för att frångå bestämmelserna i artiklarna 52 och 53 i förordning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6 – stycke 5a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Genom undantag från artikel 33 i förordning (EU) 2017/2226 ska vederbörligen bemyndigad personal vid Europol inte ges tillgång till uppgifterna i in- och utresesystemet under den gradvisa driftsstarten av in- och utresesystemet för de syften som anges däri.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 – punkt 1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Under in- och utresesystemets gradvisa driftsstart får medlemsstaterna helt eller partiellt hålla upp med driften av in- och utresesystemet vid vissa gränsövergångsställen </w:t>
            </w:r>
            <w:r>
              <w:rPr>
                <w:b/>
                <w:i/>
              </w:rPr>
              <w:t>vid exceptionella omständigheter då</w:t>
            </w:r>
            <w:r>
              <w:t xml:space="preserve"> fel uppstår i in- och utresesystemets centrala system, nationella system eller kommunikationsinfrastruktur eller vid händelser som orsakar så omfattande trafik att väntetiderna vid ett gränsövergångsställe blir alltför långa.</w:t>
            </w:r>
          </w:p>
        </w:tc>
        <w:tc>
          <w:tcPr>
            <w:tcW w:w="4876" w:type="dxa"/>
            <w:tcBorders>
              <w:top w:val="nil"/>
              <w:left w:val="nil"/>
              <w:bottom w:val="nil"/>
              <w:right w:val="nil"/>
            </w:tcBorders>
          </w:tcPr>
          <w:p>
            <w:pPr>
              <w:pStyle w:val="Normal6a"/>
            </w:pPr>
            <w:r>
              <w:t xml:space="preserve">Under in- och utresesystemets gradvisa driftsstart får medlemsstaterna helt eller partiellt hålla upp med driften av in- och utresesystemet vid vissa gränsövergångsställen </w:t>
            </w:r>
            <w:r>
              <w:rPr>
                <w:b/>
                <w:i/>
              </w:rPr>
              <w:t>om</w:t>
            </w:r>
            <w:r>
              <w:t xml:space="preserve"> fel uppstår i in- och utresesystemets centrala system, nationella system eller kommunikationsinfrastruktur eller vid händelser som orsakar så omfattande trafik att väntetiderna vid ett gränsövergångsställe blir alltför långa.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 – punkt 1 – stycke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Under in- och utresesystemets gradvisa driftsstart får medlemsstaterna helt eller partiellt hålla upp med driften av in- och utresesystemet vid vissa gränsövergångsställen vid exceptionella omständigheter då fel uppstår i in- och utresesystemets centrala system, nationella system eller kommunikationsinfrastruktur </w:t>
            </w:r>
            <w:r>
              <w:rPr>
                <w:b/>
                <w:i/>
              </w:rPr>
              <w:t>eller vid händelser som orsakar så omfattande trafik att väntetiderna vid ett gränsövergångsställe blir alltför långa</w:t>
            </w:r>
            <w:r>
              <w:t>.</w:t>
            </w:r>
          </w:p>
        </w:tc>
        <w:tc>
          <w:tcPr>
            <w:tcW w:w="4876" w:type="dxa"/>
            <w:tcBorders>
              <w:top w:val="nil"/>
              <w:left w:val="nil"/>
              <w:bottom w:val="nil"/>
              <w:right w:val="nil"/>
            </w:tcBorders>
          </w:tcPr>
          <w:p>
            <w:pPr>
              <w:pStyle w:val="Normal6a"/>
            </w:pPr>
            <w:r>
              <w:t>Under in- och utresesystemets gradvisa driftsstart får medlemsstaterna helt eller partiellt hålla upp med driften av in- och utresesystemet vid vissa gränsövergångsställen vid exceptionella omständigheter då fel uppstår i in- och utresesystemets centrala system, nationella system eller kommunikationsinfrastruktur.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 – punkt 1 – stycke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 båda fallen ska medlemsstaterna utan dröjsmål och senast sex timmar efter uppehållets början meddela kommissionen och eu-LISA skälet till det partiella eller fullständiga uppehållet och dess förväntade varaktighet samt säkerställa att operatörer av infrastruktur där gränsövergångsställen finns och transportörer vederbörligen informeras om uppehållet. När de </w:t>
            </w:r>
            <w:r>
              <w:rPr>
                <w:b/>
                <w:i/>
              </w:rPr>
              <w:t>exceptionella</w:t>
            </w:r>
            <w:r>
              <w:t xml:space="preserve"> omständigheter som ledde till uppehållet inte längre föreligger ska medlemsstaterna omedelbart meddela kommissionen och eu-LISA.</w:t>
            </w:r>
          </w:p>
        </w:tc>
        <w:tc>
          <w:tcPr>
            <w:tcW w:w="4876" w:type="dxa"/>
            <w:tcBorders>
              <w:top w:val="nil"/>
              <w:left w:val="nil"/>
              <w:bottom w:val="nil"/>
              <w:right w:val="nil"/>
            </w:tcBorders>
          </w:tcPr>
          <w:p>
            <w:pPr>
              <w:pStyle w:val="Normal6a"/>
            </w:pPr>
            <w:r>
              <w:t>I båda fallen ska medlemsstaterna utan dröjsmål och senast sex timmar efter uppehållets början meddela kommissionen och eu-LISA skälet till det partiella eller fullständiga uppehållet och dess förväntade varaktighet samt säkerställa att operatörer av infrastruktur där gränsövergångsställen finns och transportörer vederbörligen informeras om uppehållet. När de omständigheter som ledde till uppehållet inte längre föreligger ska medlemsstaterna omedelbart meddela kommissionen och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 60 kalenderdagar efter det att in- och utresesystemets gradvisa driftsstart har slutförts får medlemsstaterna partiellt hålla upp med driften av in- och utresesystemet i enlighet med punkt 1 andra stycket vid ett visst gränsövergångsställe under en begränsad tid på högst sex timmar och endast under exceptionella omständigheter </w:t>
            </w:r>
            <w:r>
              <w:rPr>
                <w:b/>
                <w:i/>
              </w:rPr>
              <w:t>som orsakar så omfattande trafik att väntetiderna vid ett gränsövergångsställe blir alltför långa</w:t>
            </w:r>
            <w:r>
              <w:t>. Medlemsstaterna ska befrias från sin skyldighet enligt artikel 21.1 i förordning (EU) 2017/2226 när det gäller biometriska uppgifter. I dessa fall ska medlemsstaterna utan dröjsmål och senast sex timmar efter uppehållets början meddela kommissionen och eu-LISA skälet till uppehållet och dess förväntade varaktighet.</w:t>
            </w:r>
          </w:p>
        </w:tc>
        <w:tc>
          <w:tcPr>
            <w:tcW w:w="4876" w:type="dxa"/>
            <w:tcBorders>
              <w:top w:val="nil"/>
              <w:left w:val="nil"/>
              <w:bottom w:val="nil"/>
              <w:right w:val="nil"/>
            </w:tcBorders>
          </w:tcPr>
          <w:p>
            <w:pPr>
              <w:pStyle w:val="Normal6a"/>
            </w:pPr>
            <w:r>
              <w:t>2.</w:t>
            </w:r>
            <w:r>
              <w:tab/>
            </w:r>
            <w:r>
              <w:t>Under 60 kalenderdagar efter det att in- och utresesystemets gradvisa driftsstart har slutförts får medlemsstaterna partiellt hålla upp med driften av in- och utresesystemet i enlighet med punkt 1 andra stycket vid ett visst gränsövergångsställe under en begränsad tid på högst sex timmar och endast under exceptionella omständigheter. Medlemsstaterna ska befrias från sin skyldighet enligt artikel 21.1 i förordning (EU) 2017/2226 när det gäller biometriska uppgifter. I dessa fall ska medlemsstaterna utan dröjsmål och senast sex timmar efter uppehållets början meddela kommissionen och eu-LISA skälet till uppehållet och dess förväntade varaktighet.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Under 60 kalenderdagar efter det att in- och utresesystemets gradvisa driftsstart har slutförts får medlemsstaterna partiellt hålla upp med driften av in- och utresesystemet i enlighet med punkt 1 andra stycket vid ett visst gränsövergångsställe under en begränsad tid på högst </w:t>
            </w:r>
            <w:r>
              <w:rPr>
                <w:b/>
                <w:i/>
              </w:rPr>
              <w:t>sex</w:t>
            </w:r>
            <w:r>
              <w:t xml:space="preserve"> timmar och endast under exceptionella omständigheter som orsakar så omfattande trafik att väntetiderna vid ett gränsövergångsställe blir alltför långa. Medlemsstaterna ska befrias från sin skyldighet enligt artikel 21.1 i förordning (EU) 2017/2226 när det gäller biometriska uppgifter. I dessa fall ska medlemsstaterna utan dröjsmål och senast sex timmar efter uppehållets början meddela kommissionen och eu-LISA skälet till uppehållet och dess förväntade varaktighet.</w:t>
            </w:r>
          </w:p>
        </w:tc>
        <w:tc>
          <w:tcPr>
            <w:tcW w:w="4876" w:type="dxa"/>
            <w:tcBorders>
              <w:top w:val="nil"/>
              <w:left w:val="nil"/>
              <w:bottom w:val="nil"/>
              <w:right w:val="nil"/>
            </w:tcBorders>
          </w:tcPr>
          <w:p>
            <w:pPr>
              <w:pStyle w:val="Normal6a"/>
            </w:pPr>
            <w:r>
              <w:t>2.</w:t>
            </w:r>
            <w:r>
              <w:tab/>
            </w:r>
            <w:r>
              <w:t xml:space="preserve">Under 60 kalenderdagar efter det att in- och utresesystemets gradvisa driftsstart har slutförts får medlemsstaterna partiellt hålla upp med driften av in- och utresesystemet i enlighet med punkt 1 andra stycket vid ett visst gränsövergångsställe under en begränsad tid på högst </w:t>
            </w:r>
            <w:r>
              <w:rPr>
                <w:b/>
                <w:i/>
              </w:rPr>
              <w:t>fyra</w:t>
            </w:r>
            <w:r>
              <w:t xml:space="preserve"> timmar </w:t>
            </w:r>
            <w:r>
              <w:rPr>
                <w:b/>
                <w:i/>
              </w:rPr>
              <w:t>under en och samma dag</w:t>
            </w:r>
            <w:r>
              <w:t xml:space="preserve"> och endast under exceptionella omständigheter som orsakar så omfattande trafik att väntetiderna vid ett gränsövergångsställe blir alltför långa. Medlemsstaterna ska befrias från sin skyldighet enligt artikel 21.1 i förordning (EU) 2017/2226 när det gäller biometriska uppgifter. I dessa fall ska medlemsstaterna utan dröjsmål och senast sex timmar efter uppehållets början meddela kommissionen och eu-LISA skälet till uppehållet och dess förväntade varaktighet.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 – stycke 2a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Under de undantagsperioder som anges i punkterna 1 och 2 i denna artikel ska artikel 6.1 f i och bestämmelserna om verifiering av tredjelandsmedborgare på grundval av biometriska uppgifter, endast vid tillämpning av in- och utresesystemet, i enlighet med artiklarna 6 f ii och 8.3 a och g i förordning (EU) 2016/399, inte tillämpas.</w:t>
            </w:r>
            <w:r>
              <w:t xml:space="preserve"> </w:t>
            </w:r>
            <w:r>
              <w:rPr>
                <w:b/>
                <w:i/>
              </w:rPr>
              <w:t>Ett beslut om nekad inresa i enlighet med förordning (EU) 2016/399 ska inte fattas enbart på grundval av att medlemsstaten har gjort ett uppehåll i registreringen av biometriska uppgifter i in- och utresesystemet.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Om mindre än 80 % av de personakter som registrerats i in- och utresesystemet under in- och utresesystemets gradvisa driftsstart innehåller biometriska uppgifter ska den period som anges i punkt 2 i denna artikel automatiskt förlängas med </w:t>
            </w:r>
            <w:r>
              <w:rPr>
                <w:b/>
                <w:i/>
              </w:rPr>
              <w:t>60</w:t>
            </w:r>
            <w:r>
              <w:t xml:space="preserve"> kalenderdagar.</w:t>
            </w:r>
          </w:p>
        </w:tc>
        <w:tc>
          <w:tcPr>
            <w:tcW w:w="4876" w:type="dxa"/>
            <w:tcBorders>
              <w:top w:val="nil"/>
              <w:left w:val="nil"/>
              <w:bottom w:val="nil"/>
              <w:right w:val="nil"/>
            </w:tcBorders>
          </w:tcPr>
          <w:p>
            <w:pPr>
              <w:pStyle w:val="Normal6a"/>
            </w:pPr>
            <w:r>
              <w:t>3.</w:t>
            </w:r>
            <w:r>
              <w:tab/>
            </w:r>
            <w:r>
              <w:t xml:space="preserve">Om mindre än 80 % av de personakter som registrerats i in- och utresesystemet under in- och utresesystemets gradvisa driftsstart innehåller biometriska uppgifter ska den period som anges i punkt 2 i denna artikel automatiskt förlängas med </w:t>
            </w:r>
            <w:r>
              <w:rPr>
                <w:b/>
                <w:i/>
              </w:rPr>
              <w:t>90</w:t>
            </w:r>
            <w:r>
              <w:t xml:space="preserve"> kalenderdagar.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Denna förlängning skulle säkerställa ett effektivare och enklare införande av in- och utresesystemet och mildra effekterna av genomförandet på förseningar vid gränserna och väntetider för resenärer under övergångsperioden, särskilt under perioder med hög belastning, i synnerhet under sommaren.</w:t>
      </w:r>
    </w:p>
    <w:p>
      <w:r>
        <w:rPr>
          <w:rStyle w:val="HideTWBExt"/>
        </w:rPr>
        <w:t>&lt;/AmendB&gt;</w:t>
      </w:r>
    </w:p>
    <w:p>
      <w:pPr>
        <w:pStyle w:val="AmNumberTabs"/>
      </w:pPr>
      <w:r>
        <w:rPr>
          <w:rStyle w:val="HideTWBExt"/>
        </w:rPr>
        <w:t>&lt;AmendB&gt;</w:t>
      </w:r>
      <w:r>
        <w:t>Ändringsförslag</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Slutförande av den gradvisa driftsstarten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Perioden för den gradvisa driftsstarten av in- och utresesystemet ska inte slutföras förrän samtliga följande krav är uppfyllda: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Medlemsstaterna har använt in- och utresesystemet i enlighet med artikel 4.5 i minst 90 dagar i sträck.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Ingen medlemsstat har gjort uppehåll i driften av in- och utresesystemet i enlighet med artikel 7 under minst 150 dagar i sträck.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Inget fel har uppstått i in- och utresesystemets centrala system under minst 90 dagar i sträck.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När kommissionen har fastställt att kraven i punkt 1 är uppfyllda ska den informera medlemsstaterna, eu-LISA och Europol om slutförandet av den gradvisa driftsstarten av in- och utresesystemet.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8 – punkt 1 – stycke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Den ska tillämpas från och med den dag då in- och utresesystemet ska tas i drift enligt kommissionens beslut i enlighet med artikel 66.1 i förordning (EU) 2017/2226.</w:t>
            </w:r>
          </w:p>
        </w:tc>
        <w:tc>
          <w:tcPr>
            <w:tcW w:w="4876" w:type="dxa"/>
            <w:tcBorders>
              <w:top w:val="nil"/>
              <w:left w:val="nil"/>
              <w:bottom w:val="nil"/>
              <w:right w:val="nil"/>
            </w:tcBorders>
          </w:tcPr>
          <w:p>
            <w:pPr>
              <w:pStyle w:val="Normal6a"/>
            </w:pPr>
            <w:r>
              <w:t>Den ska tillämpas från och med den dag då in- och utresesystemet ska tas i drift enligt kommissionens beslut i enlighet med artikel 66.1 i förordning (EU) 2017/2226</w:t>
            </w:r>
            <w:r>
              <w:rPr>
                <w:b/>
                <w:i/>
              </w:rPr>
              <w:t>, och senast 90 dagar från dagen för denna förordnings ikraftträdande eller 60 dagar från dagen då den sista medlemsstaten anmälde att den var redo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8 – punkt 2 – stycke 1 – inledningen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Denna förordning ska upphöra att tillämpas </w:t>
            </w:r>
            <w:r>
              <w:rPr>
                <w:b/>
                <w:i/>
              </w:rPr>
              <w:t>180</w:t>
            </w:r>
            <w:r>
              <w:t xml:space="preserve"> kalenderdagar </w:t>
            </w:r>
            <w:r>
              <w:rPr>
                <w:b/>
                <w:i/>
              </w:rPr>
              <w:t>från och med den dag då in- och utresesystemet ska tas i drift enligt kommissionens beslut</w:t>
            </w:r>
            <w:r>
              <w:t xml:space="preserve"> i enlighet med artikel </w:t>
            </w:r>
            <w:r>
              <w:rPr>
                <w:b/>
                <w:i/>
              </w:rPr>
              <w:t>66.1 i förordning (EU) 2017/2226</w:t>
            </w:r>
            <w:r>
              <w:t>. Emellertid gäller följande:</w:t>
            </w:r>
          </w:p>
        </w:tc>
        <w:tc>
          <w:tcPr>
            <w:tcW w:w="4876" w:type="dxa"/>
            <w:tcBorders>
              <w:top w:val="nil"/>
              <w:left w:val="nil"/>
              <w:bottom w:val="nil"/>
              <w:right w:val="nil"/>
            </w:tcBorders>
          </w:tcPr>
          <w:p>
            <w:pPr>
              <w:pStyle w:val="Normal6a"/>
            </w:pPr>
            <w:r>
              <w:t xml:space="preserve">Denna förordning ska upphöra att tillämpas </w:t>
            </w:r>
            <w:r>
              <w:rPr>
                <w:b/>
                <w:i/>
              </w:rPr>
              <w:t>30</w:t>
            </w:r>
            <w:r>
              <w:t xml:space="preserve"> kalenderdagar </w:t>
            </w:r>
            <w:r>
              <w:rPr>
                <w:b/>
                <w:i/>
              </w:rPr>
              <w:t>efter att kommissionen har informerat medlemsstaterna, eu-LISA och Europol</w:t>
            </w:r>
            <w:r>
              <w:t xml:space="preserve"> i enlighet med artikel </w:t>
            </w:r>
            <w:r>
              <w:rPr>
                <w:b/>
                <w:i/>
              </w:rPr>
              <w:t>7a.2</w:t>
            </w:r>
            <w:r>
              <w:t>. Emellertid gäller följande: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8 – punkt 2 – stycke 1 – led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t xml:space="preserve">Artikel 5.13 ska upphöra att gälla 5 år och 180 kalenderdagar efter det datum som kommissionen fastställt i enlighet med artikel </w:t>
            </w:r>
            <w:r>
              <w:rPr>
                <w:b/>
                <w:i/>
              </w:rPr>
              <w:t>66.1 i förordning (EU) 2017/2226</w:t>
            </w:r>
            <w:r>
              <w:t>.</w:t>
            </w:r>
          </w:p>
        </w:tc>
        <w:tc>
          <w:tcPr>
            <w:tcW w:w="4876" w:type="dxa"/>
            <w:tcBorders>
              <w:top w:val="nil"/>
              <w:left w:val="nil"/>
              <w:bottom w:val="nil"/>
              <w:right w:val="nil"/>
            </w:tcBorders>
          </w:tcPr>
          <w:p>
            <w:pPr>
              <w:pStyle w:val="Normal6a"/>
            </w:pPr>
            <w:r>
              <w:rPr>
                <w:b/>
                <w:i/>
              </w:rPr>
              <w:t>a)</w:t>
            </w:r>
            <w:r>
              <w:tab/>
            </w:r>
            <w:r>
              <w:t xml:space="preserve">Artikel 5.13 ska upphöra att gälla 5 år och 180 kalenderdagar efter det datum som kommissionen fastställt i enlighet med artikel </w:t>
            </w:r>
            <w:r>
              <w:rPr>
                <w:b/>
                <w:i/>
              </w:rPr>
              <w:t>7a.2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8 – punkt 2 – stycke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 xml:space="preserve">Artikel 6.1, 6.2, 6.4 och 6.5 ska upphöra att gälla 5 år och 180 kalenderdagar efter det datum som kommissionen fastställt i enlighet med artikel </w:t>
            </w:r>
            <w:r>
              <w:rPr>
                <w:b/>
                <w:i/>
              </w:rPr>
              <w:t>66.1 i förordning (EU) 2017/2226</w:t>
            </w:r>
            <w:r>
              <w:t>.</w:t>
            </w:r>
          </w:p>
        </w:tc>
        <w:tc>
          <w:tcPr>
            <w:tcW w:w="4876" w:type="dxa"/>
            <w:tcBorders>
              <w:top w:val="nil"/>
              <w:left w:val="nil"/>
              <w:bottom w:val="nil"/>
              <w:right w:val="nil"/>
            </w:tcBorders>
          </w:tcPr>
          <w:p>
            <w:pPr>
              <w:pStyle w:val="Normal6a"/>
            </w:pPr>
            <w:r>
              <w:rPr>
                <w:b/>
                <w:i/>
              </w:rPr>
              <w:t>b)</w:t>
            </w:r>
            <w:r>
              <w:tab/>
            </w:r>
            <w:r>
              <w:t xml:space="preserve">Artikel 6.1, 6.2, 6.4 och 6.5 ska upphöra att gälla 5 år och 180 kalenderdagar efter det datum som kommissionen fastställt i enlighet med artikel </w:t>
            </w:r>
            <w:r>
              <w:rPr>
                <w:b/>
                <w:i/>
              </w:rPr>
              <w:t>7a.2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8 – punkt 2 – stycke 1 – led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t xml:space="preserve">Artikel 6.1, 6.2, 6.4 </w:t>
            </w:r>
            <w:r>
              <w:rPr>
                <w:b/>
                <w:i/>
              </w:rPr>
              <w:t>och 6.5</w:t>
            </w:r>
            <w:r>
              <w:t xml:space="preserve"> ska upphöra att gälla 5 år och 180 kalenderdagar efter det datum som kommissionen fastställt i enlighet med artikel 66.1 i förordning (EU) 2017/2226.</w:t>
            </w:r>
          </w:p>
        </w:tc>
        <w:tc>
          <w:tcPr>
            <w:tcW w:w="4876" w:type="dxa"/>
            <w:tcBorders>
              <w:top w:val="nil"/>
              <w:left w:val="nil"/>
              <w:bottom w:val="nil"/>
              <w:right w:val="nil"/>
            </w:tcBorders>
          </w:tcPr>
          <w:p>
            <w:pPr>
              <w:pStyle w:val="Normal6a"/>
            </w:pPr>
            <w:r>
              <w:rPr>
                <w:b/>
                <w:i/>
              </w:rPr>
              <w:t>b)</w:t>
            </w:r>
            <w:r>
              <w:tab/>
            </w:r>
            <w:r>
              <w:t>Artikel 6.1, 6.2, 6.4</w:t>
            </w:r>
            <w:r>
              <w:rPr>
                <w:b/>
                <w:i/>
              </w:rPr>
              <w:t>, 6.5 och 6.5a</w:t>
            </w:r>
            <w:r>
              <w:t xml:space="preserve"> ska upphöra att gälla 5 år och 180 kalenderdagar efter det datum som kommissionen fastställt i enlighet med artikel 66.1 i förordning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8 – punkt 2 – stycke 1 – led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t xml:space="preserve">Artikel 6.3 andra stycket ska upphöra att gälla 360 kalenderdagar efter det datum som kommissionen fastställt i enlighet med artikel </w:t>
            </w:r>
            <w:r>
              <w:rPr>
                <w:b/>
                <w:i/>
              </w:rPr>
              <w:t>66.1 i förordning (EU) 2017/2226</w:t>
            </w:r>
            <w:r>
              <w:t>.</w:t>
            </w:r>
          </w:p>
        </w:tc>
        <w:tc>
          <w:tcPr>
            <w:tcW w:w="4876" w:type="dxa"/>
            <w:tcBorders>
              <w:top w:val="nil"/>
              <w:left w:val="nil"/>
              <w:bottom w:val="nil"/>
              <w:right w:val="nil"/>
            </w:tcBorders>
          </w:tcPr>
          <w:p>
            <w:pPr>
              <w:pStyle w:val="Normal6a"/>
            </w:pPr>
            <w:r>
              <w:rPr>
                <w:b/>
                <w:i/>
              </w:rPr>
              <w:t>c)</w:t>
            </w:r>
            <w:r>
              <w:tab/>
            </w:r>
            <w:r>
              <w:t xml:space="preserve">Artikel 6.3 andra stycket ska upphöra att gälla 360 kalenderdagar efter det datum som kommissionen fastställt i enlighet med artikel </w:t>
            </w:r>
            <w:r>
              <w:rPr>
                <w:b/>
                <w:i/>
              </w:rPr>
              <w:t>7a.2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8 – punkt 2 – stycke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Artikel 7.2 och 7.3 ska upphöra att gälla 300 kalenderdagar efter det datum som kommissionen fastställt i enlighet med artikel 66.1 i förordning (EU) 2017/2226.</w:t>
            </w:r>
          </w:p>
        </w:tc>
        <w:tc>
          <w:tcPr>
            <w:tcW w:w="4876" w:type="dxa"/>
            <w:tcBorders>
              <w:top w:val="nil"/>
              <w:left w:val="nil"/>
              <w:bottom w:val="nil"/>
              <w:right w:val="nil"/>
            </w:tcBorders>
          </w:tcPr>
          <w:p>
            <w:pPr>
              <w:pStyle w:val="Normal6a"/>
            </w:pPr>
            <w:r>
              <w:rPr>
                <w:b/>
                <w:i/>
              </w:rPr>
              <w:t>d)</w:t>
            </w:r>
            <w:r>
              <w:tab/>
            </w:r>
            <w:r>
              <w:t>Artikel 7.2</w:t>
            </w:r>
            <w:r>
              <w:rPr>
                <w:b/>
                <w:i/>
              </w:rPr>
              <w:t>, 7.2a</w:t>
            </w:r>
            <w:r>
              <w:t xml:space="preserve"> och 7.3 ska upphöra att gälla 300 kalenderdagar efter det datum som kommissionen fastställt i enlighet med artikel 66.1 i förordning (EU) 2017/2226.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8 – punkt 2 – stycke 1 – led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t xml:space="preserve">Artikel 7.2 och 7.3 ska upphöra att gälla 300 kalenderdagar efter det datum som kommissionen fastställt i enlighet med artikel </w:t>
            </w:r>
            <w:r>
              <w:rPr>
                <w:b/>
                <w:i/>
              </w:rPr>
              <w:t>66.1 i förordning (EU) 2017/2226</w:t>
            </w:r>
            <w:r>
              <w:t>.</w:t>
            </w:r>
          </w:p>
        </w:tc>
        <w:tc>
          <w:tcPr>
            <w:tcW w:w="4876" w:type="dxa"/>
            <w:tcBorders>
              <w:top w:val="nil"/>
              <w:left w:val="nil"/>
              <w:bottom w:val="nil"/>
              <w:right w:val="nil"/>
            </w:tcBorders>
          </w:tcPr>
          <w:p>
            <w:pPr>
              <w:pStyle w:val="Normal6a"/>
            </w:pPr>
            <w:r>
              <w:rPr>
                <w:b/>
                <w:i/>
              </w:rPr>
              <w:t>d)</w:t>
            </w:r>
            <w:r>
              <w:tab/>
            </w:r>
            <w:r>
              <w:t xml:space="preserve">Artikel 7.2 och 7.3 ska upphöra att gälla 300 kalenderdagar efter det datum som kommissionen fastställt i enlighet med artikel </w:t>
            </w:r>
            <w:r>
              <w:rPr>
                <w:b/>
                <w:i/>
              </w:rPr>
              <w:t>7a.2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Ändringsförslag</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förordning</w:t>
      </w:r>
      <w:r>
        <w:rPr>
          <w:rStyle w:val="HideTWBExt"/>
        </w:rPr>
        <w:t>&lt;/DocAmend&gt;</w:t>
      </w:r>
    </w:p>
    <w:p>
      <w:pPr>
        <w:pStyle w:val="NormalBold"/>
      </w:pPr>
      <w:r>
        <w:rPr>
          <w:rStyle w:val="HideTWBExt"/>
        </w:rPr>
        <w:t>&lt;Article&gt;</w:t>
      </w:r>
      <w:r>
        <w:t>Artikel 8 – punkt 2 – stycke 1 – led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Kommissionens förslag</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t xml:space="preserve">Artikel 7.4 ska upphöra att gälla 210 kalenderdagar efter det datum som kommissionen fastställt i enlighet med artikel </w:t>
            </w:r>
            <w:r>
              <w:rPr>
                <w:b/>
                <w:i/>
              </w:rPr>
              <w:t>66.1 i förordning (EU) 2017/2226</w:t>
            </w:r>
            <w:r>
              <w:t>.</w:t>
            </w:r>
          </w:p>
        </w:tc>
        <w:tc>
          <w:tcPr>
            <w:tcW w:w="4876" w:type="dxa"/>
            <w:tcBorders>
              <w:top w:val="nil"/>
              <w:left w:val="nil"/>
              <w:bottom w:val="nil"/>
              <w:right w:val="nil"/>
            </w:tcBorders>
          </w:tcPr>
          <w:p>
            <w:pPr>
              <w:pStyle w:val="Normal6a"/>
            </w:pPr>
            <w:r>
              <w:rPr>
                <w:b/>
                <w:i/>
              </w:rPr>
              <w:t>e)</w:t>
            </w:r>
            <w:r>
              <w:tab/>
            </w:r>
            <w:r>
              <w:t xml:space="preserve">Artikel 7.4 ska upphöra att gälla 210 kalenderdagar efter det datum som kommissionen fastställt i enlighet med artikel </w:t>
            </w:r>
            <w:r>
              <w:rPr>
                <w:b/>
                <w:i/>
              </w:rPr>
              <w:t>7a.2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74</w:t>
    </w:r>
    <w:r>
      <w:fldChar w:fldCharType="end"/>
    </w:r>
    <w:r>
      <w:t>/</w:t>
    </w:r>
    <w:r>
      <w:fldChar w:fldCharType="begin"/>
    </w:r>
    <w:r>
      <w:instrText xml:space="preserve"> NUMPAGES </w:instrText>
    </w:r>
    <w:r>
      <w:fldChar w:fldCharType="separate"/>
    </w:r>
    <w:r>
      <w:t>75</w:t>
    </w:r>
    <w:r>
      <w:fldChar w:fldCharType="end"/>
    </w:r>
    <w:r>
      <w:tab/>
    </w:r>
    <w:r>
      <w:rPr>
        <w:rStyle w:val="HideTWBExt"/>
      </w:rPr>
      <w:t>&lt;PathFdR&gt;</w:t>
    </w:r>
    <w:r>
      <w:t>AM\1318321SV.docx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AM\1318321SV.docx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75</w:t>
    </w:r>
    <w:r>
      <w:fldChar w:fldCharType="end"/>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AM\1318321SV.docx</w:t>
    </w:r>
    <w:r>
      <w:rPr>
        <w:rStyle w:val="HideTWBExt"/>
      </w:rPr>
      <w:t>&lt;/PathFdR&gt;</w:t>
    </w:r>
    <w:r>
      <w:tab/>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75</Pages>
  <Words>19735</Words>
  <Characters>124695</Characters>
  <Application>Microsoft Office Word</Application>
  <DocSecurity>0</DocSecurity>
  <Lines>1</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158652</vt:lpwstr>
  </property>
  <property fmtid="{D5CDD505-2E9C-101B-9397-08002B2CF9AE}" pid="7" name="dmxml.render.traceId">
    <vt:lpwstr>67efaa204cbabf9d732d626ebb001967</vt:lpwstr>
  </property>
  <property fmtid="{D5CDD505-2E9C-101B-9397-08002B2CF9AE}" pid="8" name="FooterPath">
    <vt:lpwstr>AM\1318321SV.docx</vt:lpwstr>
  </property>
  <property fmtid="{D5CDD505-2E9C-101B-9397-08002B2CF9AE}" pid="9" name="PE Number">
    <vt:lpwstr>772.011</vt:lpwstr>
  </property>
  <property fmtid="{D5CDD505-2E9C-101B-9397-08002B2CF9AE}" pid="10" name="UID">
    <vt:lpwstr>eu.europa.europarl-DIN1-2025-0000065457_02.00-sv-01.00_text-xml</vt:lpwstr>
  </property>
</Properties>
</file>